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650E0">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2A4FB4A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3734F25">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36CB9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9123"/>
      <w:bookmarkStart w:id="2" w:name="_Toc1949"/>
      <w:bookmarkStart w:id="3" w:name="_Toc25575"/>
      <w:r>
        <w:rPr>
          <w:rFonts w:hint="eastAsia" w:cs="宋体"/>
          <w:b/>
          <w:bCs/>
          <w:color w:val="auto"/>
          <w:sz w:val="40"/>
          <w:szCs w:val="40"/>
          <w:highlight w:val="none"/>
          <w:shd w:val="clear" w:color="auto" w:fill="auto"/>
          <w:lang w:val="en-US" w:eastAsia="zh-CN"/>
        </w:rPr>
        <w:t>基本公共卫生服务</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35AF7F4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5F1F2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AA8A9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D965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28902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FB8E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81DAB4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0239808">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项目名称：基本公共卫生服务</w:t>
      </w:r>
    </w:p>
    <w:p w14:paraId="0E474D5E">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实施单位：阜康市妇幼保健院</w:t>
      </w:r>
    </w:p>
    <w:p w14:paraId="67A4A664">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主管部门：阜康市</w:t>
      </w:r>
      <w:r>
        <w:rPr>
          <w:rFonts w:hint="eastAsia" w:ascii="黑体" w:hAnsi="Times New Roman" w:eastAsia="黑体"/>
          <w:b w:val="0"/>
          <w:bCs/>
          <w:color w:val="auto"/>
          <w:sz w:val="30"/>
          <w:szCs w:val="30"/>
          <w:highlight w:val="none"/>
          <w:lang w:val="en-US" w:eastAsia="zh-CN"/>
        </w:rPr>
        <w:t>卫生健康委员会</w:t>
      </w:r>
    </w:p>
    <w:p w14:paraId="41ED7AE2">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康庭燕</w:t>
      </w:r>
    </w:p>
    <w:p w14:paraId="5B137C8A">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358B91F7">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38C95B59">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r>
        <w:rPr>
          <w:rFonts w:hint="eastAsia"/>
          <w:color w:val="auto"/>
          <w:highlight w:val="none"/>
          <w:lang w:val="en-US" w:eastAsia="zh-CN"/>
        </w:rPr>
        <w:br w:type="page"/>
      </w:r>
    </w:p>
    <w:p w14:paraId="76A1BB3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65CF0BA">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4451125E">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70D2AB1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1BB89E2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48878E5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05705A6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0814E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1C3CAA5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050CD59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5E3407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BD8FC0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688F149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044ECE3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69615D1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08C3E4D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38E33F9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7817769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60BD6C6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3F90D68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5E95AA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0C28D30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28</w:t>
          </w:r>
          <w:r>
            <w:rPr>
              <w:color w:val="auto"/>
              <w:highlight w:val="none"/>
            </w:rPr>
            <w:fldChar w:fldCharType="end"/>
          </w:r>
          <w:r>
            <w:rPr>
              <w:rFonts w:hint="eastAsia"/>
              <w:color w:val="auto"/>
              <w:szCs w:val="28"/>
              <w:highlight w:val="none"/>
              <w:lang w:val="en-US" w:eastAsia="zh-CN"/>
            </w:rPr>
            <w:fldChar w:fldCharType="end"/>
          </w:r>
        </w:p>
        <w:p w14:paraId="0151FAF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99F668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5E9C41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0E585D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F687A3E">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4330EF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1194"/>
      <w:bookmarkStart w:id="6" w:name="_Toc20432"/>
      <w:bookmarkStart w:id="7" w:name="_Toc22946"/>
      <w:r>
        <w:rPr>
          <w:rFonts w:hint="eastAsia" w:cs="宋体"/>
          <w:b/>
          <w:bCs/>
          <w:color w:val="auto"/>
          <w:sz w:val="36"/>
          <w:szCs w:val="36"/>
          <w:highlight w:val="none"/>
          <w:shd w:val="clear" w:color="auto" w:fill="auto"/>
          <w:lang w:val="en-US" w:eastAsia="zh-CN"/>
        </w:rPr>
        <w:t>基本公共卫生服务项目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02D73388">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1E05302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41E7C760">
      <w:pPr>
        <w:pStyle w:val="5"/>
        <w:pageBreakBefore w:val="0"/>
        <w:kinsoku/>
        <w:wordWrap/>
        <w:overflowPunct/>
        <w:topLinePunct w:val="0"/>
        <w:autoSpaceDE/>
        <w:autoSpaceDN/>
        <w:bidi w:val="0"/>
        <w:adjustRightInd/>
        <w:snapToGrid/>
        <w:spacing w:line="560" w:lineRule="exact"/>
        <w:textAlignment w:val="auto"/>
        <w:rPr>
          <w:rFonts w:hint="eastAsia"/>
          <w:highlight w:val="none"/>
          <w:lang w:val="en-US" w:eastAsia="zh-CN"/>
        </w:rPr>
      </w:pPr>
      <w:bookmarkStart w:id="10" w:name="_Toc10645"/>
      <w:bookmarkStart w:id="11" w:name="_Toc22346"/>
      <w:bookmarkStart w:id="12" w:name="_Toc29812"/>
      <w:bookmarkStart w:id="13" w:name="_Toc5043"/>
      <w:r>
        <w:rPr>
          <w:rFonts w:hint="eastAsia" w:ascii="仿宋_GB2312" w:hAnsi="仿宋_GB2312" w:eastAsia="仿宋_GB2312" w:cs="仿宋_GB2312"/>
          <w:color w:val="auto"/>
          <w:sz w:val="32"/>
          <w:szCs w:val="32"/>
          <w:highlight w:val="none"/>
          <w:shd w:val="clear" w:color="auto" w:fill="auto"/>
          <w:lang w:val="en-US" w:eastAsia="zh-CN"/>
        </w:rPr>
        <w:t>1.项目背景</w:t>
      </w:r>
      <w:bookmarkEnd w:id="10"/>
      <w:bookmarkEnd w:id="11"/>
      <w:bookmarkEnd w:id="12"/>
      <w:bookmarkEnd w:id="13"/>
    </w:p>
    <w:p w14:paraId="33AE83E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随着社会经济的发展，农村地区的医疗条件得到了显著改善，但在一些偏远贫困地区，仍存在医疗资源匮乏和技术落后的情况。宫颈癌和乳腺癌是严重威胁女性健康的恶性肿瘤。在农村地区，由于医疗条件相对较差、健康意识相对薄弱等原因，这两种疾病的防治形势更为严峻。《中共中央国务院关于深化医药卫生体制改革的意见》及《国务院关于印发医药卫生体制改革近期重点实施方案（2009 - 2011年）的通知》提出实施国家重大公共卫生服务项目，加强农村妇女宫颈癌、乳腺癌检查工作是其中一项重要内容。这为项目的开展提供了政策依据和支持</w:t>
      </w:r>
      <w:r>
        <w:rPr>
          <w:rFonts w:hint="eastAsia" w:cs="仿宋_GB2312"/>
          <w:b w:val="0"/>
          <w:bCs w:val="0"/>
          <w:color w:val="auto"/>
          <w:sz w:val="32"/>
          <w:szCs w:val="32"/>
          <w:highlight w:val="none"/>
          <w:shd w:val="clear" w:color="auto" w:fill="auto"/>
          <w:lang w:val="en-US" w:eastAsia="zh-CN"/>
        </w:rPr>
        <w:t>。</w:t>
      </w:r>
    </w:p>
    <w:p w14:paraId="3266A42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630"/>
      <w:bookmarkStart w:id="15" w:name="_Toc17880"/>
      <w:bookmarkStart w:id="16" w:name="_Toc27343"/>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55BC6B2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3" w:firstLineChars="200"/>
        <w:jc w:val="left"/>
        <w:textAlignment w:val="auto"/>
        <w:rPr>
          <w:rFonts w:hint="eastAsia" w:ascii="仿宋_GB2312" w:hAnsi="仿宋_GB2312" w:eastAsia="仿宋_GB2312" w:cs="仿宋_GB2312"/>
          <w:b/>
          <w:bCs/>
          <w:color w:val="auto"/>
          <w:kern w:val="0"/>
          <w:sz w:val="32"/>
          <w:szCs w:val="32"/>
          <w:highlight w:val="none"/>
          <w:shd w:val="clear" w:color="auto" w:fill="auto"/>
          <w:lang w:val="en-US" w:eastAsia="zh-CN" w:bidi="ar-SA"/>
        </w:rPr>
      </w:pPr>
      <w:bookmarkStart w:id="18" w:name="_Toc27409"/>
      <w:bookmarkStart w:id="19" w:name="_Toc27245"/>
      <w:bookmarkStart w:id="20" w:name="_Toc16592"/>
      <w:bookmarkStart w:id="21" w:name="_Toc21898"/>
      <w:r>
        <w:rPr>
          <w:rFonts w:hint="eastAsia" w:ascii="仿宋_GB2312" w:hAnsi="仿宋_GB2312" w:eastAsia="仿宋_GB2312" w:cs="仿宋_GB2312"/>
          <w:b/>
          <w:bCs/>
          <w:color w:val="auto"/>
          <w:kern w:val="0"/>
          <w:sz w:val="32"/>
          <w:szCs w:val="32"/>
          <w:highlight w:val="none"/>
          <w:shd w:val="clear" w:color="auto" w:fill="auto"/>
          <w:lang w:val="en-US" w:eastAsia="zh-CN" w:bidi="ar-SA"/>
        </w:rPr>
        <w:t>项目主要内容：</w:t>
      </w:r>
      <w:bookmarkEnd w:id="18"/>
      <w:bookmarkEnd w:id="19"/>
      <w:bookmarkEnd w:id="20"/>
      <w:bookmarkEnd w:id="21"/>
    </w:p>
    <w:p w14:paraId="07A7DDE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bookmarkStart w:id="22" w:name="OLE_LINK3"/>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（1）宫颈癌检查项目</w:t>
      </w:r>
    </w:p>
    <w:p w14:paraId="45EBFE7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妇科检查：包括盆腔检查及阴道分泌物湿片显微镜检查/革兰染色检查。</w:t>
      </w:r>
    </w:p>
    <w:p w14:paraId="5D786A9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宫颈癌相关检查：宫颈脱落细胞学或者 HPV 检测，包括取材、分型与报告。</w:t>
      </w:r>
    </w:p>
    <w:p w14:paraId="4E9CC81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阴道镜检查：对宫颈脱落细胞学检查结果可疑或异常者、高危型 HPV 检测阳性以及肉眼检查异常者进行阴道镜检查。组织病理学检查：对阴道镜检查结果可疑或异常者进行组织病理学检查。</w:t>
      </w:r>
    </w:p>
    <w:p w14:paraId="5DAD51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（2）乳腺癌检查项目</w:t>
      </w:r>
    </w:p>
    <w:p w14:paraId="07984CF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乳腺临床检查和乳腺彩色 B 超检查：对接受检查的妇女 均进行乳腺视诊、触诊和乳腺彩色 B 超检查，乳腺彩超检查结 果采用乳腺影像分级评估报告系统（以下简称 BI-RADS 分级评估报告系统）。</w:t>
      </w:r>
    </w:p>
    <w:p w14:paraId="2BBB1D8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乳腺 X 线检查：对乳腺彩超检查 BI-RADS 分级 0 级以 及 3 级者，进行乳腺 X 线检查，乳腺 X 线检查结果采用 BI-RADS分级评估报告系统。</w:t>
      </w:r>
    </w:p>
    <w:p w14:paraId="5E5B5DA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组织病理检查：对乳腺彩超检查BI-RADS分级4级和5级、X线检查 BI-RADS分级4级和5级者应当直接进行组织病理学检查（以下简称活检）。</w:t>
      </w:r>
    </w:p>
    <w:p w14:paraId="1D91DB2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对乳腺X线检查 0 级和 3 级者应当由副高以上专科医生综合评估后进行随访、活检或其他进一步检查。</w:t>
      </w:r>
    </w:p>
    <w:p w14:paraId="60166CF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（3）检查异常/可疑病例管理</w:t>
      </w:r>
    </w:p>
    <w:p w14:paraId="7876666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宫颈癌检查异常/可疑病例的登记和随访，主要包括宫颈细胞学检查TBS报告结果为未明确意义的不典型鳞状上皮细胞（以下简称ASC-US）及以上者、巴氏分级报告结果为 IIB 及以上者，肉眼观察异常/可疑者，阴道镜检查异常/可疑者以及病理学检查结果为宫颈高级别病变(CIN2和CIN3)及以上者。</w:t>
      </w:r>
    </w:p>
    <w:p w14:paraId="23C451B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乳腺癌检查项目异常/可疑病例的登记和随访。主要包括 乳腺彩超检查BI-RADS分级0级、3级及以上者，临床乳腺检 查异常/可疑者，乳腺X线检查BI-RADS分级0级、3级及以上者，以及病理学检查为不典型增生及小叶原位癌、导管原位癌、浸润性乳腺癌等恶性病变。</w:t>
      </w:r>
    </w:p>
    <w:p w14:paraId="4B802CB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（4）人员培训</w:t>
      </w:r>
    </w:p>
    <w:p w14:paraId="4738512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为保证农村妇女“两癌”检查项目质量，对项目地区相关管理和专业技术人员进行培训。</w:t>
      </w:r>
    </w:p>
    <w:p w14:paraId="4AC39D4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（5）健康教育和社会宣传</w:t>
      </w:r>
    </w:p>
    <w:p w14:paraId="51DB3DA7">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各级卫生健康委要结合我区实际，组织编制发布宫颈癌防治健康教育核心信息，积极联合妇联、工会等部门，深入社区、家庭，开展健康教育和健康促进活动，营造全社会关注妇女健康的氛围。</w:t>
      </w:r>
    </w:p>
    <w:bookmarkEnd w:id="22"/>
    <w:p w14:paraId="27CA946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本项目自2024年1月1日经新疆维吾尔自治卫生健康委员会新卫妇幼函【2024】3号文件批复，经支委会会议，确定了项目领导小组，明确了责任分工：</w:t>
      </w:r>
      <w:bookmarkStart w:id="23" w:name="OLE_LINK14"/>
      <w:bookmarkStart w:id="24" w:name="OLE_LINK33"/>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组长为马丽娜，副组长为李雪花，项目负责人为康庭燕,组员为裴秀丽、孔菊梅、吴幸玲，其中：</w:t>
      </w:r>
      <w:bookmarkStart w:id="25" w:name="OLE_LINK4"/>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裴秀丽</w:t>
      </w:r>
      <w:bookmarkEnd w:id="25"/>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负责监管工作，</w:t>
      </w:r>
      <w:bookmarkStart w:id="26" w:name="OLE_LINK32"/>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孔菊梅</w:t>
      </w:r>
      <w:bookmarkEnd w:id="26"/>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负责项目档案资料，吴幸玲负责资金拨付工作。</w:t>
      </w:r>
      <w:bookmarkEnd w:id="23"/>
      <w:bookmarkEnd w:id="24"/>
      <w:bookmarkStart w:id="27" w:name="_Toc1858"/>
      <w:bookmarkStart w:id="28" w:name="_Toc569"/>
      <w:bookmarkStart w:id="29" w:name="_Toc10240"/>
      <w:bookmarkStart w:id="30" w:name="_Toc12348"/>
    </w:p>
    <w:p w14:paraId="1A4F0B9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0" w:firstLineChars="200"/>
        <w:jc w:val="lef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截止2024年12月31日完成宫颈癌检查5000人，乳腺癌检查1200人；宫颈癌早诊率达到100%，乳腺癌早诊率达到100%，业务指导按期完成率达到100%，两癌项目经费26万元，其他妇幼项目经费41.26万元。通过项目的实施达到逐步提高农村妇女整体健康水平的效益。筛查对象满意度达到90%。</w:t>
      </w:r>
    </w:p>
    <w:p w14:paraId="70B1E3F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ind w:leftChars="0" w:firstLine="643" w:firstLineChars="200"/>
        <w:jc w:val="left"/>
        <w:textAlignment w:val="auto"/>
        <w:rPr>
          <w:rFonts w:hint="eastAsia" w:ascii="仿宋_GB2312" w:hAnsi="仿宋_GB2312" w:eastAsia="仿宋_GB2312" w:cs="仿宋_GB2312"/>
          <w:b/>
          <w:bCs/>
          <w:color w:val="auto"/>
          <w:kern w:val="0"/>
          <w:sz w:val="32"/>
          <w:szCs w:val="32"/>
          <w:highlight w:val="none"/>
          <w:shd w:val="clear" w:color="auto" w:fill="auto"/>
          <w:lang w:val="en-US" w:eastAsia="zh-CN" w:bidi="ar-SA"/>
        </w:rPr>
      </w:pPr>
      <w:r>
        <w:rPr>
          <w:rFonts w:hint="eastAsia" w:ascii="仿宋_GB2312" w:hAnsi="仿宋_GB2312" w:eastAsia="仿宋_GB2312" w:cs="仿宋_GB2312"/>
          <w:b/>
          <w:bCs/>
          <w:color w:val="auto"/>
          <w:kern w:val="0"/>
          <w:sz w:val="32"/>
          <w:szCs w:val="32"/>
          <w:highlight w:val="none"/>
          <w:shd w:val="clear" w:color="auto" w:fill="auto"/>
          <w:lang w:val="en-US" w:eastAsia="zh-CN" w:bidi="ar-SA"/>
        </w:rPr>
        <w:t>3.资金投入和使用情况</w:t>
      </w:r>
      <w:bookmarkEnd w:id="27"/>
      <w:bookmarkEnd w:id="28"/>
      <w:bookmarkEnd w:id="29"/>
      <w:bookmarkEnd w:id="30"/>
    </w:p>
    <w:p w14:paraId="3ACC29C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1" w:name="_Toc23509"/>
      <w:bookmarkStart w:id="32" w:name="_Toc26369"/>
      <w:bookmarkStart w:id="33" w:name="_Toc694"/>
      <w:r>
        <w:rPr>
          <w:rFonts w:hint="eastAsia" w:ascii="仿宋_GB2312" w:hAnsi="仿宋_GB2312" w:eastAsia="仿宋_GB2312" w:cs="仿宋_GB2312"/>
          <w:color w:val="auto"/>
          <w:sz w:val="32"/>
          <w:szCs w:val="32"/>
          <w:highlight w:val="none"/>
          <w:lang w:val="en-US" w:eastAsia="zh-CN"/>
        </w:rPr>
        <w:t>（1）资金投入情况</w:t>
      </w:r>
      <w:bookmarkEnd w:id="31"/>
      <w:bookmarkEnd w:id="32"/>
      <w:bookmarkEnd w:id="33"/>
    </w:p>
    <w:p w14:paraId="637B1C1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4" w:name="_Toc9464"/>
      <w:bookmarkStart w:id="35" w:name="_Toc29190"/>
      <w:bookmarkStart w:id="36" w:name="_Toc5573"/>
      <w:r>
        <w:rPr>
          <w:rFonts w:hint="eastAsia" w:ascii="仿宋_GB2312" w:hAnsi="仿宋_GB2312" w:eastAsia="仿宋_GB2312" w:cs="仿宋_GB2312"/>
          <w:color w:val="auto"/>
          <w:sz w:val="32"/>
          <w:szCs w:val="32"/>
          <w:highlight w:val="none"/>
          <w:lang w:val="en-US" w:eastAsia="zh-CN"/>
        </w:rPr>
        <w:t>该项目年初预算数67.26万元，全年预算数67.26万元，该项目资金已全部落实到位，资金来源为财政拨款。</w:t>
      </w:r>
      <w:bookmarkEnd w:id="34"/>
      <w:bookmarkEnd w:id="35"/>
      <w:bookmarkEnd w:id="36"/>
    </w:p>
    <w:p w14:paraId="12C7107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7" w:name="_Toc28187"/>
      <w:bookmarkStart w:id="38" w:name="_Toc1166"/>
      <w:bookmarkStart w:id="39" w:name="_Toc3409"/>
      <w:r>
        <w:rPr>
          <w:rFonts w:hint="eastAsia" w:ascii="仿宋_GB2312" w:hAnsi="仿宋_GB2312" w:eastAsia="仿宋_GB2312" w:cs="仿宋_GB2312"/>
          <w:color w:val="auto"/>
          <w:sz w:val="32"/>
          <w:szCs w:val="32"/>
          <w:highlight w:val="none"/>
          <w:lang w:val="en-US" w:eastAsia="zh-CN"/>
        </w:rPr>
        <w:t>（2）资金使用情况</w:t>
      </w:r>
      <w:bookmarkEnd w:id="37"/>
      <w:bookmarkEnd w:id="38"/>
      <w:bookmarkEnd w:id="39"/>
    </w:p>
    <w:p w14:paraId="78858DC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40" w:name="_Toc11647"/>
      <w:bookmarkStart w:id="41" w:name="_Toc29121"/>
      <w:bookmarkStart w:id="42" w:name="_Toc1430"/>
      <w:r>
        <w:rPr>
          <w:rFonts w:hint="eastAsia" w:ascii="仿宋_GB2312" w:hAnsi="仿宋_GB2312" w:eastAsia="仿宋_GB2312" w:cs="仿宋_GB2312"/>
          <w:color w:val="auto"/>
          <w:sz w:val="32"/>
          <w:szCs w:val="32"/>
          <w:highlight w:val="none"/>
          <w:lang w:val="en-US" w:eastAsia="zh-CN"/>
        </w:rPr>
        <w:t>该项目年初预算数67.26万元，全年预算数67.26万元，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全年执行数67.26万元，预算执行率为100%，主要用于：农村妇女“两癌”筛查办公费、检验试剂费、其他专用材料费用的支付。</w:t>
      </w:r>
      <w:bookmarkEnd w:id="40"/>
      <w:bookmarkEnd w:id="41"/>
      <w:bookmarkEnd w:id="42"/>
    </w:p>
    <w:p w14:paraId="0174D89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3" w:name="_Toc9109"/>
      <w:r>
        <w:rPr>
          <w:rFonts w:hint="eastAsia" w:ascii="Times New Roman" w:hAnsi="Times New Roman" w:eastAsia="楷体_GB2312" w:cs="Times New Roman"/>
          <w:color w:val="auto"/>
          <w:kern w:val="28"/>
          <w:sz w:val="32"/>
          <w:highlight w:val="none"/>
          <w:lang w:val="en-US" w:eastAsia="zh-CN"/>
        </w:rPr>
        <w:t>（二）项目绩效目标</w:t>
      </w:r>
      <w:bookmarkEnd w:id="43"/>
    </w:p>
    <w:p w14:paraId="389C9D6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4" w:name="_Toc2547"/>
      <w:bookmarkStart w:id="45" w:name="_Toc8528"/>
      <w:bookmarkStart w:id="46" w:name="_Toc14758"/>
      <w:bookmarkStart w:id="47"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44"/>
      <w:bookmarkEnd w:id="45"/>
      <w:bookmarkEnd w:id="46"/>
      <w:bookmarkEnd w:id="47"/>
    </w:p>
    <w:p w14:paraId="6A6245E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基本公共卫生服务项目绩效总体目标为：2024年计划完成宫颈癌检查5000人，乳腺癌检查1200人；宫颈癌早诊率达到90%以上，乳腺癌早诊率达到60%以上；达到逐步提高农村妇女整体健康水平的效益。</w:t>
      </w:r>
    </w:p>
    <w:p w14:paraId="7324EE36">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8" w:name="_Toc8990"/>
      <w:bookmarkStart w:id="49" w:name="_Toc3255"/>
      <w:bookmarkStart w:id="50" w:name="_Toc4007"/>
      <w:bookmarkStart w:id="51"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8"/>
      <w:bookmarkEnd w:id="49"/>
      <w:bookmarkEnd w:id="50"/>
      <w:bookmarkEnd w:id="51"/>
    </w:p>
    <w:p w14:paraId="76A0E2D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26F5C5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5AA3D1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87E6E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宫颈癌检查人数”指标，预期目标值为≥5000人；</w:t>
      </w:r>
    </w:p>
    <w:p w14:paraId="3ABE45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“乳腺癌检查人数”指标，预期目标值为≥1200人；</w:t>
      </w:r>
    </w:p>
    <w:p w14:paraId="5BDD62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414861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宫颈癌早诊率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63D7EB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乳腺癌早诊率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指标，预期目标值为≥60%；</w:t>
      </w:r>
    </w:p>
    <w:p w14:paraId="0F5113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2E032E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业务指导按期完成率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3CE2A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7DF69D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2" w:name="OLE_LINK34"/>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两癌项目经费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指标，预期目标值为≤26万元；</w:t>
      </w:r>
    </w:p>
    <w:bookmarkEnd w:id="52"/>
    <w:p w14:paraId="46E0A5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其他妇幼项目经费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指标，预期目标值为≤41.26万元；</w:t>
      </w:r>
    </w:p>
    <w:p w14:paraId="3F949CC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157DF56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614394E2">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7150D47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②</w:t>
      </w:r>
      <w:r>
        <w:rPr>
          <w:rFonts w:hint="eastAsia" w:ascii="仿宋_GB2312" w:hAnsi="仿宋_GB2312" w:eastAsia="仿宋_GB2312" w:cs="仿宋_GB2312"/>
          <w:color w:val="auto"/>
          <w:sz w:val="32"/>
          <w:szCs w:val="32"/>
          <w:highlight w:val="none"/>
          <w:shd w:val="clear" w:color="auto" w:fill="auto"/>
          <w:lang w:val="en-US" w:eastAsia="zh-CN"/>
        </w:rPr>
        <w:t>社会效益指标</w:t>
      </w:r>
    </w:p>
    <w:p w14:paraId="2DB594E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农村妇女整体健康水平</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指标，预期目标值为逐步提高；</w:t>
      </w:r>
    </w:p>
    <w:p w14:paraId="3E53FB3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③生态效益指标</w:t>
      </w:r>
    </w:p>
    <w:p w14:paraId="0A9FE150">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w:t>
      </w:r>
      <w:r>
        <w:rPr>
          <w:rFonts w:hint="eastAsia" w:ascii="仿宋_GB2312" w:hAnsi="仿宋_GB2312" w:eastAsia="仿宋_GB2312" w:cs="仿宋_GB2312"/>
          <w:b w:val="0"/>
          <w:color w:val="auto"/>
          <w:kern w:val="2"/>
          <w:sz w:val="32"/>
          <w:szCs w:val="32"/>
          <w:highlight w:val="none"/>
          <w:shd w:val="clear" w:color="auto" w:fill="auto"/>
          <w:lang w:val="en-US" w:eastAsia="zh-CN" w:bidi="ar-SA"/>
        </w:rPr>
        <w:t>生态效益指标</w:t>
      </w:r>
      <w:r>
        <w:rPr>
          <w:rFonts w:hint="eastAsia" w:ascii="仿宋_GB2312" w:hAnsi="仿宋_GB2312" w:eastAsia="仿宋_GB2312" w:cs="仿宋_GB2312"/>
          <w:color w:val="auto"/>
          <w:sz w:val="32"/>
          <w:szCs w:val="32"/>
          <w:highlight w:val="none"/>
          <w:shd w:val="clear" w:color="auto" w:fill="auto"/>
          <w:lang w:val="en-US" w:eastAsia="zh-CN"/>
        </w:rPr>
        <w:t>。</w:t>
      </w:r>
    </w:p>
    <w:p w14:paraId="5F8318C0">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④可持续影响</w:t>
      </w:r>
    </w:p>
    <w:p w14:paraId="2CA4E45C">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w:t>
      </w:r>
      <w:r>
        <w:rPr>
          <w:rFonts w:hint="eastAsia" w:ascii="仿宋_GB2312" w:hAnsi="仿宋_GB2312" w:eastAsia="仿宋_GB2312" w:cs="仿宋_GB2312"/>
          <w:b w:val="0"/>
          <w:color w:val="auto"/>
          <w:kern w:val="2"/>
          <w:sz w:val="32"/>
          <w:szCs w:val="32"/>
          <w:highlight w:val="none"/>
          <w:shd w:val="clear" w:color="auto" w:fill="auto"/>
          <w:lang w:val="en-US" w:eastAsia="zh-CN" w:bidi="ar-SA"/>
        </w:rPr>
        <w:t>可持续影响</w:t>
      </w:r>
      <w:r>
        <w:rPr>
          <w:rFonts w:hint="eastAsia" w:ascii="仿宋_GB2312" w:hAnsi="仿宋_GB2312" w:eastAsia="仿宋_GB2312" w:cs="仿宋_GB2312"/>
          <w:color w:val="auto"/>
          <w:sz w:val="32"/>
          <w:szCs w:val="32"/>
          <w:highlight w:val="none"/>
          <w:shd w:val="clear" w:color="auto" w:fill="auto"/>
          <w:lang w:val="en-US" w:eastAsia="zh-CN"/>
        </w:rPr>
        <w:t>。</w:t>
      </w:r>
    </w:p>
    <w:p w14:paraId="2412BDF4">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微软雅黑" w:hAnsi="微软雅黑" w:eastAsia="微软雅黑" w:cs="微软雅黑"/>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53EF0290">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筛查对象满意度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2453E6D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53" w:name="_Toc26567"/>
      <w:r>
        <w:rPr>
          <w:rFonts w:hint="eastAsia" w:ascii="宋体" w:hAnsi="宋体" w:eastAsia="宋体" w:cs="宋体"/>
          <w:b/>
          <w:bCs/>
          <w:color w:val="auto"/>
          <w:highlight w:val="none"/>
          <w:shd w:val="clear" w:color="auto" w:fill="auto"/>
        </w:rPr>
        <w:t>二、绩效评价工作开展情况</w:t>
      </w:r>
      <w:bookmarkEnd w:id="53"/>
    </w:p>
    <w:p w14:paraId="117B0DE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4" w:name="_Toc12868"/>
      <w:bookmarkStart w:id="55" w:name="_Toc5462343"/>
      <w:bookmarkStart w:id="56" w:name="_Toc26632"/>
      <w:bookmarkStart w:id="57" w:name="_Toc21664"/>
      <w:bookmarkStart w:id="58" w:name="_Toc22169_WPSOffice_Level2"/>
      <w:bookmarkStart w:id="59" w:name="_Toc480473081"/>
      <w:bookmarkStart w:id="60" w:name="_Toc22922"/>
      <w:bookmarkStart w:id="61" w:name="_Toc5258"/>
      <w:bookmarkStart w:id="62" w:name="_Toc22839"/>
      <w:r>
        <w:rPr>
          <w:rFonts w:hint="eastAsia" w:ascii="Times New Roman" w:hAnsi="Times New Roman" w:eastAsia="楷体_GB2312" w:cs="Times New Roman"/>
          <w:color w:val="auto"/>
          <w:kern w:val="28"/>
          <w:sz w:val="32"/>
          <w:highlight w:val="none"/>
          <w:lang w:val="en-US" w:eastAsia="zh-CN"/>
        </w:rPr>
        <w:t>（一）绩效评价的目的</w:t>
      </w:r>
      <w:bookmarkEnd w:id="54"/>
      <w:bookmarkEnd w:id="55"/>
      <w:bookmarkEnd w:id="56"/>
      <w:bookmarkEnd w:id="57"/>
      <w:bookmarkEnd w:id="58"/>
      <w:bookmarkEnd w:id="59"/>
      <w:bookmarkEnd w:id="60"/>
      <w:bookmarkEnd w:id="61"/>
      <w:r>
        <w:rPr>
          <w:rFonts w:hint="eastAsia" w:ascii="Times New Roman" w:hAnsi="Times New Roman" w:eastAsia="楷体_GB2312" w:cs="Times New Roman"/>
          <w:color w:val="auto"/>
          <w:kern w:val="28"/>
          <w:sz w:val="32"/>
          <w:highlight w:val="none"/>
          <w:lang w:val="en-US" w:eastAsia="zh-CN"/>
        </w:rPr>
        <w:t>、对象和范围</w:t>
      </w:r>
      <w:bookmarkEnd w:id="62"/>
    </w:p>
    <w:p w14:paraId="27DE85F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63"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7B99CDC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259BBF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E4BCC49">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C64A52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3464FE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791D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4" w:name="_Toc417"/>
      <w:bookmarkStart w:id="65"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63"/>
      <w:bookmarkEnd w:id="64"/>
      <w:bookmarkEnd w:id="65"/>
    </w:p>
    <w:p w14:paraId="1945993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2FD4B2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6" w:name="_Toc30609"/>
      <w:r>
        <w:rPr>
          <w:rFonts w:hint="default" w:ascii="Times New Roman" w:hAnsi="Times New Roman" w:eastAsia="仿宋_GB2312" w:cs="Times New Roman"/>
          <w:color w:val="auto"/>
          <w:sz w:val="32"/>
          <w:szCs w:val="32"/>
          <w:highlight w:val="none"/>
        </w:rPr>
        <w:t>（1）评估项目实施效果</w:t>
      </w:r>
    </w:p>
    <w:p w14:paraId="485F66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通过对项目预算执行情况及各项绩效目标达成程度的系统性分析，全面、客观地评估项目在预定周期内的实施效果，包括经社会效益等多维度指标，为项目后续的改进与优化提供科学依据。</w:t>
      </w:r>
    </w:p>
    <w:p w14:paraId="06325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7D2AC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7302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F153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ADC1A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11E8DD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DB702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37A217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1DADA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2B0CFF0">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7" w:name="_Toc16346"/>
      <w:bookmarkStart w:id="68"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6"/>
      <w:bookmarkEnd w:id="67"/>
      <w:bookmarkEnd w:id="68"/>
    </w:p>
    <w:p w14:paraId="444392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文件要求对2024年度我单位实施的基本公共卫生服务项目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445D30C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阜康市妇幼保健院</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宫颈癌检查人数5000人，乳腺癌筛查人数1200人</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67.26</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747EE597">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9" w:name="_Toc11666"/>
      <w:bookmarkStart w:id="70" w:name="_Toc21311"/>
      <w:r>
        <w:rPr>
          <w:rFonts w:hint="default" w:cs="仿宋_GB2312"/>
          <w:color w:val="auto"/>
          <w:sz w:val="32"/>
          <w:szCs w:val="32"/>
          <w:highlight w:val="none"/>
          <w:shd w:val="clear" w:color="auto" w:fill="auto"/>
          <w:lang w:val="en-US" w:eastAsia="zh-CN"/>
        </w:rPr>
        <w:t>4.绩效评价的范围</w:t>
      </w:r>
      <w:bookmarkEnd w:id="69"/>
      <w:bookmarkEnd w:id="70"/>
    </w:p>
    <w:p w14:paraId="5D050FC3">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65E2949">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3FB72B4">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2A6E6836">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71DC159C">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7077D47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71" w:name="_Toc1286"/>
      <w:bookmarkStart w:id="72"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71"/>
      <w:bookmarkEnd w:id="72"/>
    </w:p>
    <w:p w14:paraId="30C49A1D">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73" w:name="_Toc13694"/>
      <w:bookmarkStart w:id="74" w:name="_Toc5354"/>
      <w:bookmarkStart w:id="75"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73"/>
      <w:bookmarkEnd w:id="74"/>
      <w:bookmarkEnd w:id="75"/>
    </w:p>
    <w:p w14:paraId="578ABE0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0113F5CC">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20E7993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751059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21AFD56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571B04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00B7EAA9">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6" w:name="_Toc419984722"/>
      <w:bookmarkStart w:id="77" w:name="_Toc428278230"/>
      <w:bookmarkStart w:id="78" w:name="_Toc1913"/>
      <w:bookmarkStart w:id="79" w:name="_Toc26131"/>
      <w:bookmarkStart w:id="80"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6"/>
      <w:bookmarkEnd w:id="77"/>
      <w:bookmarkEnd w:id="78"/>
      <w:bookmarkEnd w:id="79"/>
      <w:bookmarkEnd w:id="80"/>
    </w:p>
    <w:p w14:paraId="009E0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1"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62DBBCC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10EA48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99265B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3F64513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C44EB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86A5E1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3A41B7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0050F9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7D3A5FE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2" w:name="_Toc5690"/>
      <w:bookmarkStart w:id="83"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81"/>
      <w:bookmarkEnd w:id="82"/>
      <w:bookmarkEnd w:id="83"/>
    </w:p>
    <w:p w14:paraId="063F32DC">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4"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4C68509A">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30BF716">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eastAsia="zh-CN"/>
        </w:rPr>
        <w:t>原因：农村地区医疗资源相对有限，通过成本效益分析，可以明确筛查项目的投入与产出关系，帮助决策者判断资源是否得到有效利用，进而合理分配资金、人力、设备等资源，使有限的资源发挥最大的效益，提高筛查项目的效率和质量。</w:t>
      </w:r>
    </w:p>
    <w:p w14:paraId="17E4E1C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eastAsia="zh-CN"/>
        </w:rPr>
        <w:t>原因：</w:t>
      </w:r>
      <w:r>
        <w:rPr>
          <w:rFonts w:hint="default" w:ascii="Times New Roman" w:hAnsi="Times New Roman" w:eastAsia="仿宋_GB2312" w:cs="Times New Roman"/>
          <w:color w:val="auto"/>
          <w:spacing w:val="17"/>
          <w:sz w:val="32"/>
          <w:szCs w:val="32"/>
          <w:highlight w:val="none"/>
        </w:rPr>
        <w:t>比较不同筛查技术、设备、流程等在农村妇女两癌筛查中的应用效果，包括准确性、便捷性、成本等方面。例如，对比传统的巴氏涂片法与液基薄层细胞学检测法在宫颈癌筛查中的阳性检出率和假阴性率，从而选择更适合农村地区实际情况的筛查方法，优化筛查方案，提高筛查效率。</w:t>
      </w:r>
    </w:p>
    <w:p w14:paraId="54BBA19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auto"/>
          <w:spacing w:val="17"/>
          <w:sz w:val="32"/>
          <w:szCs w:val="32"/>
          <w:highlight w:val="none"/>
          <w:lang w:eastAsia="zh-CN"/>
        </w:rPr>
        <w:t>原因：因素分析法有助于揭示各影响因素之间的相互关系。比如，农村妇女健康意识的提高可能与当地的宣传教育工作密切相关，而宣传教育的效果又可能受到医疗资源中专业宣传人员数量和素质的影响。了解这些关系后，可以更全面地制定干预策略，通过调整相关因素来优化筛查工作。</w:t>
      </w:r>
    </w:p>
    <w:p w14:paraId="6A90B608">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5" w:name="_Toc6081"/>
      <w:bookmarkStart w:id="86"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4"/>
      <w:bookmarkEnd w:id="85"/>
      <w:bookmarkEnd w:id="86"/>
    </w:p>
    <w:p w14:paraId="5D08AD31">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rPr>
        <w:t>计划</w:t>
      </w:r>
      <w:r>
        <w:rPr>
          <w:rFonts w:hint="eastAsia" w:ascii="Times New Roman" w:hAnsi="Times New Roman" w:eastAsia="仿宋_GB2312" w:cs="Times New Roman"/>
          <w:color w:val="auto"/>
          <w:spacing w:val="17"/>
          <w:sz w:val="32"/>
          <w:szCs w:val="32"/>
          <w:highlight w:val="none"/>
          <w:lang w:eastAsia="zh-CN"/>
        </w:rPr>
        <w:t>标准</w:t>
      </w:r>
      <w:r>
        <w:rPr>
          <w:rFonts w:hint="eastAsia" w:ascii="Times New Roman" w:hAnsi="Times New Roman" w:eastAsia="仿宋_GB2312" w:cs="Times New Roman"/>
          <w:color w:val="auto"/>
          <w:spacing w:val="17"/>
          <w:sz w:val="32"/>
          <w:szCs w:val="32"/>
          <w:highlight w:val="none"/>
        </w:rPr>
        <w:t>、行业</w:t>
      </w:r>
      <w:r>
        <w:rPr>
          <w:rFonts w:ascii="Times New Roman" w:hAnsi="Times New Roman" w:eastAsia="仿宋_GB2312" w:cs="Times New Roman"/>
          <w:color w:val="auto"/>
          <w:spacing w:val="17"/>
          <w:sz w:val="32"/>
          <w:szCs w:val="32"/>
          <w:highlight w:val="none"/>
        </w:rPr>
        <w:t>标准</w:t>
      </w:r>
      <w:r>
        <w:rPr>
          <w:rFonts w:hint="default" w:ascii="Times New Roman" w:hAnsi="Times New Roman" w:eastAsia="仿宋_GB2312" w:cs="Times New Roman"/>
          <w:color w:val="auto"/>
          <w:spacing w:val="17"/>
          <w:sz w:val="32"/>
          <w:szCs w:val="32"/>
          <w:highlight w:val="none"/>
        </w:rPr>
        <w:t>。</w:t>
      </w:r>
    </w:p>
    <w:p w14:paraId="4A67524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0AD369A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0B37E4C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7" w:name="_Toc21435"/>
      <w:r>
        <w:rPr>
          <w:rFonts w:hint="eastAsia" w:ascii="Times New Roman" w:hAnsi="Times New Roman" w:eastAsia="楷体_GB2312" w:cs="Times New Roman"/>
          <w:color w:val="auto"/>
          <w:kern w:val="28"/>
          <w:sz w:val="32"/>
          <w:highlight w:val="none"/>
          <w:lang w:val="en-US" w:eastAsia="zh-CN"/>
        </w:rPr>
        <w:t>（三）绩效评价工作过程</w:t>
      </w:r>
      <w:bookmarkEnd w:id="87"/>
    </w:p>
    <w:p w14:paraId="3C804880">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8"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8"/>
    </w:p>
    <w:p w14:paraId="232C61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2AC91AB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7620C56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9"/>
    </w:p>
    <w:p w14:paraId="2C041C6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90"/>
    </w:p>
    <w:p w14:paraId="59EB2BF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1"/>
    </w:p>
    <w:p w14:paraId="5D70186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2"/>
    </w:p>
    <w:p w14:paraId="13EC8EFD">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3"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3"/>
    </w:p>
    <w:p w14:paraId="0E74064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4"/>
    </w:p>
    <w:p w14:paraId="32EC820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5"/>
    </w:p>
    <w:p w14:paraId="05F6F25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6"/>
    </w:p>
    <w:p w14:paraId="37374EB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7"/>
    </w:p>
    <w:p w14:paraId="15A953B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8"/>
    </w:p>
    <w:p w14:paraId="4DEB62E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9"/>
    </w:p>
    <w:p w14:paraId="4D83899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100"/>
    </w:p>
    <w:p w14:paraId="78A7187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1"/>
    </w:p>
    <w:p w14:paraId="359A6BE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2"/>
    </w:p>
    <w:p w14:paraId="267337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3"/>
    </w:p>
    <w:p w14:paraId="3A56F6B3">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4"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4"/>
    </w:p>
    <w:p w14:paraId="5B3ED1E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5"/>
    </w:p>
    <w:p w14:paraId="018719F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6"/>
    </w:p>
    <w:p w14:paraId="75AA441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7"/>
    </w:p>
    <w:p w14:paraId="5DBA670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8"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8"/>
    </w:p>
    <w:p w14:paraId="5932D00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9"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9"/>
    </w:p>
    <w:p w14:paraId="4B798BA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10"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10"/>
    </w:p>
    <w:p w14:paraId="1FFE721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1"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1"/>
    </w:p>
    <w:p w14:paraId="3830854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bookmarkStart w:id="112" w:name="OLE_LINK1"/>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bookmarkEnd w:id="112"/>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94540AF">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阜康市妇幼保健院</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2DEFE53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eastAsia="zh-CN"/>
        </w:rPr>
        <w:t>通过对农村妇女两癌筛查项目的实施，对女性身体健康</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72FB4F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704F6A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3" w:name="_Toc11863"/>
      <w:r>
        <w:rPr>
          <w:rFonts w:hint="eastAsia" w:ascii="Times New Roman" w:hAnsi="Times New Roman" w:eastAsia="楷体_GB2312" w:cs="Times New Roman"/>
          <w:color w:val="auto"/>
          <w:kern w:val="28"/>
          <w:sz w:val="32"/>
          <w:highlight w:val="none"/>
          <w:lang w:val="en-US" w:eastAsia="zh-CN"/>
        </w:rPr>
        <w:t>（二）相关评分表</w:t>
      </w:r>
      <w:bookmarkEnd w:id="113"/>
    </w:p>
    <w:p w14:paraId="41B1381A">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95.56</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35.56</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88.9</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14217216">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05B4D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基本公共卫生</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478A6F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8FC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94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DD7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5E5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F16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E9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244637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452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C71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4B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B61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B28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5FF5D2B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6D0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91A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824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A1B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35.56</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6A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A69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94.76</w:t>
            </w:r>
          </w:p>
        </w:tc>
      </w:tr>
      <w:tr w14:paraId="35FEBCE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236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7A4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6D3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8F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88.9</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F74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C8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94.76</w:t>
            </w:r>
            <w:r>
              <w:rPr>
                <w:rFonts w:hint="eastAsia" w:ascii="宋体" w:hAnsi="宋体" w:eastAsia="宋体" w:cs="宋体"/>
                <w:color w:val="auto"/>
                <w:kern w:val="0"/>
                <w:sz w:val="21"/>
                <w:szCs w:val="21"/>
                <w:highlight w:val="none"/>
                <w:shd w:val="clear" w:color="auto" w:fill="auto"/>
                <w:lang w:val="en-US" w:eastAsia="zh-CN"/>
              </w:rPr>
              <w:t>%</w:t>
            </w:r>
          </w:p>
        </w:tc>
      </w:tr>
    </w:tbl>
    <w:p w14:paraId="5CD4C3E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4" w:name="_Toc14941"/>
      <w:r>
        <w:rPr>
          <w:rFonts w:hint="eastAsia" w:ascii="黑体" w:hAnsi="黑体" w:eastAsia="黑体" w:cs="黑体"/>
          <w:b w:val="0"/>
          <w:bCs w:val="0"/>
          <w:color w:val="auto"/>
          <w:highlight w:val="none"/>
          <w:shd w:val="clear" w:color="auto" w:fill="auto"/>
          <w:lang w:val="en-US" w:eastAsia="zh-CN"/>
        </w:rPr>
        <w:t>四、绩效评价指标分析</w:t>
      </w:r>
      <w:bookmarkEnd w:id="114"/>
    </w:p>
    <w:p w14:paraId="407C3124">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5" w:name="_Toc6759"/>
      <w:r>
        <w:rPr>
          <w:rFonts w:hint="eastAsia" w:ascii="Times New Roman" w:hAnsi="Times New Roman" w:eastAsia="楷体_GB2312" w:cs="Times New Roman"/>
          <w:color w:val="auto"/>
          <w:kern w:val="28"/>
          <w:sz w:val="32"/>
          <w:highlight w:val="none"/>
        </w:rPr>
        <w:t>（一）项目决策情况</w:t>
      </w:r>
      <w:bookmarkEnd w:id="115"/>
    </w:p>
    <w:p w14:paraId="3162531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30C9B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6925B8E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93803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F86B0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AAEB4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27C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CA5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3F2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713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CD8BC7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11D95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E915D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27639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14:paraId="1788B6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677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E30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F94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A3AFB7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C6064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C4326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812CE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44427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0A4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9FB1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264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2F779765">
        <w:tblPrEx>
          <w:tblCellMar>
            <w:top w:w="0" w:type="dxa"/>
            <w:left w:w="0" w:type="dxa"/>
            <w:bottom w:w="0" w:type="dxa"/>
            <w:right w:w="0" w:type="dxa"/>
          </w:tblCellMar>
        </w:tblPrEx>
        <w:trPr>
          <w:gridAfter w:val="1"/>
          <w:wAfter w:w="3" w:type="dxa"/>
          <w:trHeight w:val="90"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BF7EF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91216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16D66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254F5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A55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6A63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7C6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1E7194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30A498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E1A5E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14:paraId="24DF95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335D65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E36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056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8D8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FA0EA2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C4024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90555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2D38D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E65D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A87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AB9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C35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BBFA12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50574D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0E7D1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95C2B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EC3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54A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8C4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1093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AB7CD94">
        <w:tblPrEx>
          <w:tblCellMar>
            <w:top w:w="0" w:type="dxa"/>
            <w:left w:w="0" w:type="dxa"/>
            <w:bottom w:w="0" w:type="dxa"/>
            <w:right w:w="0" w:type="dxa"/>
          </w:tblCellMar>
        </w:tblPrEx>
        <w:trPr>
          <w:trHeight w:val="334" w:hRule="atLeast"/>
          <w:tblHeader/>
          <w:jc w:val="center"/>
        </w:trPr>
        <w:tc>
          <w:tcPr>
            <w:tcW w:w="3285" w:type="dxa"/>
            <w:gridSpan w:val="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71B4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11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33A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17E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C95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04DC547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6" w:name="_Toc28069"/>
      <w:bookmarkStart w:id="117" w:name="_Toc13522"/>
      <w:r>
        <w:rPr>
          <w:rFonts w:hint="eastAsia" w:ascii="仿宋_GB2312" w:hAnsi="仿宋_GB2312" w:eastAsia="仿宋_GB2312" w:cs="仿宋_GB2312"/>
          <w:b/>
          <w:bCs/>
          <w:color w:val="auto"/>
          <w:sz w:val="32"/>
          <w:szCs w:val="32"/>
          <w:highlight w:val="none"/>
          <w:lang w:val="en-US" w:eastAsia="zh-CN"/>
        </w:rPr>
        <w:t>1.立项依据充分性</w:t>
      </w:r>
      <w:bookmarkEnd w:id="116"/>
      <w:bookmarkEnd w:id="117"/>
    </w:p>
    <w:p w14:paraId="649190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w:t>
      </w:r>
      <w:bookmarkStart w:id="118" w:name="OLE_LINK5"/>
      <w:r>
        <w:rPr>
          <w:rFonts w:hint="eastAsia" w:ascii="仿宋_GB2312" w:hAnsi="仿宋_GB2312" w:eastAsia="仿宋_GB2312" w:cs="仿宋_GB2312"/>
          <w:color w:val="auto"/>
          <w:sz w:val="32"/>
          <w:szCs w:val="32"/>
          <w:highlight w:val="none"/>
          <w:lang w:eastAsia="zh-CN"/>
        </w:rPr>
        <w:t>目立项符</w:t>
      </w:r>
      <w:bookmarkEnd w:id="118"/>
      <w:r>
        <w:rPr>
          <w:rFonts w:hint="eastAsia" w:ascii="仿宋_GB2312" w:hAnsi="仿宋_GB2312" w:eastAsia="仿宋_GB2312" w:cs="仿宋_GB2312"/>
          <w:color w:val="auto"/>
          <w:sz w:val="32"/>
          <w:szCs w:val="32"/>
          <w:highlight w:val="none"/>
          <w:lang w:eastAsia="zh-CN"/>
        </w:rPr>
        <w:t>合《中华人民共和国基本医疗卫生与健康促进法》、《国家基本公共卫生服务规范（第三版）》；</w:t>
      </w:r>
    </w:p>
    <w:p w14:paraId="6E3A00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②项目立项符合基本公共卫生服务在实施主体、实施内容和实施方式方面，都是 “以基层为重点，以改革创新为动力，预防为主，中西医并重，将健康融入所有政策，人民共建共享” 新时期卫生与健康工作方针的具体落实。以基层医疗卫生机构为实施主体，将预防工作放在首位，提供包括中医药健康管理在内的服务，动员全社会参与，共同维护和促进居民健康；</w:t>
      </w:r>
    </w:p>
    <w:p w14:paraId="5B9516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③项目立项与基本公共卫生服务健康管理相符，属于部门履职所需；</w:t>
      </w:r>
    </w:p>
    <w:p w14:paraId="426AEC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211C0A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7DC12B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4574CB5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1976"/>
      <w:bookmarkStart w:id="120" w:name="_Toc23240"/>
      <w:r>
        <w:rPr>
          <w:rFonts w:hint="eastAsia" w:ascii="仿宋_GB2312" w:hAnsi="仿宋_GB2312" w:eastAsia="仿宋_GB2312" w:cs="仿宋_GB2312"/>
          <w:b/>
          <w:bCs/>
          <w:color w:val="auto"/>
          <w:sz w:val="32"/>
          <w:szCs w:val="32"/>
          <w:highlight w:val="none"/>
          <w:lang w:val="en-US" w:eastAsia="zh-CN"/>
        </w:rPr>
        <w:t>2.立项程序规范性</w:t>
      </w:r>
      <w:bookmarkEnd w:id="119"/>
      <w:bookmarkEnd w:id="120"/>
    </w:p>
    <w:p w14:paraId="11078E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3428A3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125018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事前经过必要的集体决策，未经过可行性研究、专家论证、风险评估、绩效评估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扣</w:t>
      </w:r>
      <w:r>
        <w:rPr>
          <w:rFonts w:hint="eastAsia" w:ascii="仿宋_GB2312" w:hAnsi="仿宋_GB2312" w:eastAsia="仿宋_GB2312" w:cs="仿宋_GB2312"/>
          <w:color w:val="auto"/>
          <w:sz w:val="32"/>
          <w:szCs w:val="32"/>
          <w:highlight w:val="none"/>
          <w:lang w:val="en-US" w:eastAsia="zh-CN"/>
        </w:rPr>
        <w:t>0.8</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w:t>
      </w:r>
    </w:p>
    <w:p w14:paraId="20242F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6CF9EC8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15382"/>
      <w:bookmarkStart w:id="122" w:name="_Toc23542"/>
      <w:r>
        <w:rPr>
          <w:rFonts w:hint="eastAsia" w:ascii="仿宋_GB2312" w:hAnsi="仿宋_GB2312" w:eastAsia="仿宋_GB2312" w:cs="仿宋_GB2312"/>
          <w:b/>
          <w:bCs/>
          <w:color w:val="auto"/>
          <w:sz w:val="32"/>
          <w:szCs w:val="32"/>
          <w:highlight w:val="none"/>
          <w:lang w:val="en-US" w:eastAsia="zh-CN"/>
        </w:rPr>
        <w:t>3.绩效目标合理性</w:t>
      </w:r>
      <w:bookmarkEnd w:id="121"/>
      <w:bookmarkEnd w:id="122"/>
    </w:p>
    <w:p w14:paraId="7D4B10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669A3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②该项目实际工作内容为：基本公共卫生服务，农村妇女“两癌”筛查项目，绩效目标与实际工作内容一致，两者具有相关性。</w:t>
      </w:r>
    </w:p>
    <w:p w14:paraId="63B6FE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③该项目按照绩效目标完成数量指标、质量指标、时效指标、成本指标，完成了宫颈癌筛查</w:t>
      </w:r>
      <w:r>
        <w:rPr>
          <w:rFonts w:hint="eastAsia" w:ascii="仿宋_GB2312" w:hAnsi="仿宋_GB2312" w:eastAsia="仿宋_GB2312" w:cs="仿宋_GB2312"/>
          <w:color w:val="auto"/>
          <w:sz w:val="32"/>
          <w:szCs w:val="32"/>
          <w:highlight w:val="none"/>
          <w:lang w:val="en-US" w:eastAsia="zh-CN"/>
        </w:rPr>
        <w:t>5000人，乳腺癌筛查1200人，宫颈癌早诊率达到100%，乳腺癌早诊率100%；于2024年10月31日已全面完成；资金支付67.26万元，其中</w:t>
      </w:r>
      <w:bookmarkStart w:id="123" w:name="OLE_LINK7"/>
      <w:r>
        <w:rPr>
          <w:rFonts w:hint="eastAsia" w:ascii="仿宋_GB2312" w:hAnsi="仿宋_GB2312" w:eastAsia="仿宋_GB2312" w:cs="仿宋_GB2312"/>
          <w:color w:val="auto"/>
          <w:sz w:val="32"/>
          <w:szCs w:val="32"/>
          <w:highlight w:val="none"/>
          <w:lang w:val="en-US" w:eastAsia="zh-CN"/>
        </w:rPr>
        <w:t>人员费用17.51万元，宣传费用9.1万元，专用检验试剂费4万元，日常办公费1.04万元，办公设备费10.4万元，专用设备费25.57万元</w:t>
      </w:r>
      <w:bookmarkEnd w:id="123"/>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达到了逐步提高农村妇女整体健康水平社会效益，预期产出效益和效果符合正常的业绩水平。</w:t>
      </w:r>
    </w:p>
    <w:p w14:paraId="5C0854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67.26</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753D6CF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03A121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8198"/>
      <w:bookmarkStart w:id="125" w:name="_Toc10650"/>
      <w:r>
        <w:rPr>
          <w:rFonts w:hint="eastAsia" w:ascii="仿宋_GB2312" w:hAnsi="仿宋_GB2312" w:eastAsia="仿宋_GB2312" w:cs="仿宋_GB2312"/>
          <w:b/>
          <w:bCs/>
          <w:color w:val="auto"/>
          <w:sz w:val="32"/>
          <w:szCs w:val="32"/>
          <w:highlight w:val="none"/>
          <w:lang w:val="en-US" w:eastAsia="zh-CN"/>
        </w:rPr>
        <w:t>4.绩效指标明确性</w:t>
      </w:r>
      <w:bookmarkEnd w:id="124"/>
      <w:bookmarkEnd w:id="125"/>
    </w:p>
    <w:p w14:paraId="4EA7344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7F9780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10B27F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6FF688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59651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5A02E1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9401"/>
      <w:bookmarkStart w:id="127" w:name="_Toc8296"/>
      <w:r>
        <w:rPr>
          <w:rFonts w:hint="eastAsia" w:ascii="仿宋_GB2312" w:hAnsi="仿宋_GB2312" w:eastAsia="仿宋_GB2312" w:cs="仿宋_GB2312"/>
          <w:b/>
          <w:bCs/>
          <w:color w:val="auto"/>
          <w:sz w:val="32"/>
          <w:szCs w:val="32"/>
          <w:highlight w:val="none"/>
          <w:lang w:val="en-US" w:eastAsia="zh-CN"/>
        </w:rPr>
        <w:t>5.预算编制科学性</w:t>
      </w:r>
      <w:bookmarkEnd w:id="126"/>
      <w:bookmarkEnd w:id="127"/>
    </w:p>
    <w:p w14:paraId="2C20FE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742F14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bookmarkStart w:id="128" w:name="OLE_LINK6"/>
      <w:r>
        <w:rPr>
          <w:rFonts w:hint="eastAsia" w:ascii="仿宋_GB2312" w:hAnsi="仿宋_GB2312" w:eastAsia="仿宋_GB2312" w:cs="仿宋_GB2312"/>
          <w:color w:val="auto"/>
          <w:sz w:val="32"/>
          <w:szCs w:val="32"/>
          <w:highlight w:val="none"/>
          <w:lang w:val="en-US" w:eastAsia="zh-CN"/>
        </w:rPr>
        <w:t>2024年基本公共卫生服务补助资金</w:t>
      </w:r>
      <w:bookmarkEnd w:id="128"/>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2024年基本公共卫生服务补助资金</w:t>
      </w:r>
      <w:r>
        <w:rPr>
          <w:rFonts w:hint="eastAsia" w:ascii="仿宋_GB2312" w:hAnsi="仿宋_GB2312" w:eastAsia="仿宋_GB2312" w:cs="仿宋_GB2312"/>
          <w:color w:val="auto"/>
          <w:sz w:val="32"/>
          <w:szCs w:val="32"/>
          <w:highlight w:val="none"/>
          <w:lang w:eastAsia="zh-CN"/>
        </w:rPr>
        <w:t>，预算申请与项目内容匹配；</w:t>
      </w:r>
    </w:p>
    <w:p w14:paraId="527528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67.26万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人员费用17.51万元，宣传费用9.1万元，专用检验试剂费4万元，日常办公费1.04万元，办公设备费10.4万元，专用设备费25.57万元</w:t>
      </w:r>
      <w:r>
        <w:rPr>
          <w:rFonts w:hint="eastAsia" w:ascii="仿宋_GB2312" w:hAnsi="仿宋_GB2312" w:eastAsia="仿宋_GB2312" w:cs="仿宋_GB2312"/>
          <w:color w:val="auto"/>
          <w:sz w:val="32"/>
          <w:szCs w:val="32"/>
          <w:highlight w:val="none"/>
          <w:lang w:eastAsia="zh-CN"/>
        </w:rPr>
        <w:t>。</w:t>
      </w:r>
    </w:p>
    <w:p w14:paraId="3E3F36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3F01C9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AE2994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9" w:name="_Toc697"/>
      <w:bookmarkStart w:id="130" w:name="_Toc20556"/>
      <w:r>
        <w:rPr>
          <w:rFonts w:hint="eastAsia" w:ascii="仿宋_GB2312" w:hAnsi="仿宋_GB2312" w:eastAsia="仿宋_GB2312" w:cs="仿宋_GB2312"/>
          <w:b/>
          <w:bCs/>
          <w:color w:val="auto"/>
          <w:sz w:val="32"/>
          <w:szCs w:val="32"/>
          <w:highlight w:val="none"/>
          <w:lang w:val="en-US" w:eastAsia="zh-CN"/>
        </w:rPr>
        <w:t>6.资金分配合理性</w:t>
      </w:r>
      <w:bookmarkEnd w:id="129"/>
      <w:bookmarkEnd w:id="130"/>
    </w:p>
    <w:p w14:paraId="6EF6864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申请基本公共卫生服务项目资金的请示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56E710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67.26</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47C85884">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49358B85">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3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31"/>
    </w:p>
    <w:p w14:paraId="0957937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F2A9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C37222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686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492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45C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8DE6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E827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2D9C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58F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45FDCF8">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0F8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BBA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A675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E87A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EAD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0C09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DAD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87D735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384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453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B4AA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F8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520C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B797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114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353E49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DA22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65E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6EF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D4A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592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8427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CD45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8F0CC2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7E9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EC6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B5F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F56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E58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678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F39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139C64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373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0EE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CAF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D95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C91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4A5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C6BA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EAA35E5">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D90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BEE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488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14F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189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114439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2" w:name="_Toc20449"/>
      <w:bookmarkStart w:id="133" w:name="_Toc3886"/>
      <w:r>
        <w:rPr>
          <w:rFonts w:hint="eastAsia" w:ascii="仿宋_GB2312" w:hAnsi="仿宋_GB2312" w:eastAsia="仿宋_GB2312" w:cs="仿宋_GB2312"/>
          <w:b/>
          <w:bCs/>
          <w:color w:val="auto"/>
          <w:sz w:val="32"/>
          <w:szCs w:val="32"/>
          <w:highlight w:val="none"/>
          <w:lang w:val="en-US" w:eastAsia="zh-CN"/>
        </w:rPr>
        <w:t>1.资金到位率（算出到位率×4=得分，算出后删除批注）</w:t>
      </w:r>
      <w:bookmarkEnd w:id="132"/>
      <w:bookmarkEnd w:id="133"/>
    </w:p>
    <w:p w14:paraId="5FFEDE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67.26</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67.26</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3F941E1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bookmarkStart w:id="134" w:name="OLE_LINK8"/>
      <w:r>
        <w:rPr>
          <w:rFonts w:hint="eastAsia" w:ascii="仿宋_GB2312" w:hAnsi="仿宋_GB2312" w:eastAsia="仿宋_GB2312" w:cs="仿宋_GB2312"/>
          <w:color w:val="auto"/>
          <w:sz w:val="32"/>
          <w:szCs w:val="32"/>
          <w:highlight w:val="none"/>
          <w:lang w:val="en-US" w:eastAsia="zh-CN"/>
        </w:rPr>
        <w:t>67.26万元</w:t>
      </w:r>
      <w:bookmarkEnd w:id="134"/>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67.26万元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7E6995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D61B4E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9705"/>
      <w:bookmarkStart w:id="136" w:name="_Toc17709"/>
      <w:r>
        <w:rPr>
          <w:rFonts w:hint="eastAsia" w:ascii="仿宋_GB2312" w:hAnsi="仿宋_GB2312" w:eastAsia="仿宋_GB2312" w:cs="仿宋_GB2312"/>
          <w:b/>
          <w:bCs/>
          <w:color w:val="auto"/>
          <w:sz w:val="32"/>
          <w:szCs w:val="32"/>
          <w:highlight w:val="none"/>
          <w:lang w:val="en-US" w:eastAsia="zh-CN"/>
        </w:rPr>
        <w:t>2.预算执行率</w:t>
      </w:r>
      <w:bookmarkEnd w:id="135"/>
      <w:bookmarkEnd w:id="136"/>
    </w:p>
    <w:p w14:paraId="49E1A4B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67.26</w:t>
      </w:r>
      <w:r>
        <w:rPr>
          <w:rFonts w:hint="eastAsia" w:ascii="仿宋_GB2312" w:hAnsi="仿宋_GB2312" w:eastAsia="仿宋_GB2312" w:cs="仿宋_GB2312"/>
          <w:color w:val="auto"/>
          <w:sz w:val="32"/>
          <w:szCs w:val="32"/>
          <w:highlight w:val="none"/>
          <w:lang w:val="en-US" w:eastAsia="zh-CN"/>
        </w:rPr>
        <w:t>万元。</w:t>
      </w:r>
    </w:p>
    <w:p w14:paraId="1AA4C32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67.26万元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67.26万元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2F0B94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4CFE27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28875"/>
      <w:bookmarkStart w:id="138" w:name="_Toc18691"/>
      <w:r>
        <w:rPr>
          <w:rFonts w:hint="eastAsia" w:ascii="仿宋_GB2312" w:hAnsi="仿宋_GB2312" w:eastAsia="仿宋_GB2312" w:cs="仿宋_GB2312"/>
          <w:b/>
          <w:bCs/>
          <w:color w:val="auto"/>
          <w:sz w:val="32"/>
          <w:szCs w:val="32"/>
          <w:highlight w:val="none"/>
          <w:lang w:val="en-US" w:eastAsia="zh-CN"/>
        </w:rPr>
        <w:t>3.资金使用合规性</w:t>
      </w:r>
      <w:bookmarkEnd w:id="137"/>
      <w:bookmarkEnd w:id="138"/>
    </w:p>
    <w:p w14:paraId="1CA2B79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①本项目资金支出符合国家财经法规、《政府会计制度》《阜康市妇幼保健院单位资金管理办法》《基本公共卫生服务专项资金管理办法》；</w:t>
      </w:r>
    </w:p>
    <w:p w14:paraId="1B2D44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7B41C6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39146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FB7450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61496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C748112">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B36DC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bookmarkStart w:id="139" w:name="OLE_LINK9"/>
      <w:bookmarkStart w:id="140" w:name="OLE_LINK10"/>
      <w:r>
        <w:rPr>
          <w:rFonts w:hint="eastAsia" w:ascii="仿宋_GB2312" w:hAnsi="仿宋_GB2312" w:eastAsia="仿宋_GB2312" w:cs="仿宋_GB2312"/>
          <w:color w:val="auto"/>
          <w:sz w:val="32"/>
          <w:szCs w:val="32"/>
          <w:highlight w:val="none"/>
          <w:lang w:eastAsia="zh-CN"/>
        </w:rPr>
        <w:t>阜康市妇幼保健院</w:t>
      </w:r>
      <w:bookmarkEnd w:id="139"/>
      <w:r>
        <w:rPr>
          <w:rFonts w:hint="eastAsia" w:ascii="仿宋_GB2312" w:hAnsi="仿宋_GB2312" w:eastAsia="仿宋_GB2312" w:cs="仿宋_GB2312"/>
          <w:color w:val="auto"/>
          <w:sz w:val="32"/>
          <w:szCs w:val="32"/>
          <w:highlight w:val="none"/>
          <w:lang w:eastAsia="zh-CN"/>
        </w:rPr>
        <w:t>资金管理办法</w:t>
      </w:r>
      <w:bookmarkEnd w:id="140"/>
      <w:r>
        <w:rPr>
          <w:rFonts w:hint="eastAsia" w:ascii="仿宋_GB2312" w:hAnsi="仿宋_GB2312" w:eastAsia="仿宋_GB2312" w:cs="仿宋_GB2312"/>
          <w:color w:val="auto"/>
          <w:sz w:val="32"/>
          <w:szCs w:val="32"/>
          <w:highlight w:val="none"/>
          <w:lang w:eastAsia="zh-CN"/>
        </w:rPr>
        <w:t>》《</w:t>
      </w:r>
      <w:bookmarkStart w:id="141" w:name="OLE_LINK11"/>
      <w:r>
        <w:rPr>
          <w:rFonts w:hint="eastAsia" w:ascii="仿宋_GB2312" w:hAnsi="仿宋_GB2312" w:eastAsia="仿宋_GB2312" w:cs="仿宋_GB2312"/>
          <w:color w:val="auto"/>
          <w:sz w:val="32"/>
          <w:szCs w:val="32"/>
          <w:highlight w:val="none"/>
          <w:lang w:eastAsia="zh-CN"/>
        </w:rPr>
        <w:t>阜康市妇幼保健院收支业务管理制度</w:t>
      </w:r>
      <w:bookmarkEnd w:id="141"/>
      <w:r>
        <w:rPr>
          <w:rFonts w:hint="eastAsia" w:ascii="仿宋_GB2312" w:hAnsi="仿宋_GB2312" w:eastAsia="仿宋_GB2312" w:cs="仿宋_GB2312"/>
          <w:color w:val="auto"/>
          <w:sz w:val="32"/>
          <w:szCs w:val="32"/>
          <w:highlight w:val="none"/>
          <w:lang w:eastAsia="zh-CN"/>
        </w:rPr>
        <w:t>》《</w:t>
      </w:r>
      <w:bookmarkStart w:id="142" w:name="OLE_LINK12"/>
      <w:r>
        <w:rPr>
          <w:rFonts w:hint="eastAsia" w:ascii="仿宋_GB2312" w:hAnsi="仿宋_GB2312" w:eastAsia="仿宋_GB2312" w:cs="仿宋_GB2312"/>
          <w:color w:val="auto"/>
          <w:sz w:val="32"/>
          <w:szCs w:val="32"/>
          <w:highlight w:val="none"/>
          <w:lang w:eastAsia="zh-CN"/>
        </w:rPr>
        <w:t>阜康市妇幼保健院政府采购业务管理制度</w:t>
      </w:r>
      <w:bookmarkEnd w:id="142"/>
      <w:r>
        <w:rPr>
          <w:rFonts w:hint="eastAsia" w:ascii="仿宋_GB2312" w:hAnsi="仿宋_GB2312" w:eastAsia="仿宋_GB2312" w:cs="仿宋_GB2312"/>
          <w:color w:val="auto"/>
          <w:sz w:val="32"/>
          <w:szCs w:val="32"/>
          <w:highlight w:val="none"/>
          <w:lang w:eastAsia="zh-CN"/>
        </w:rPr>
        <w:t>》《</w:t>
      </w:r>
      <w:bookmarkStart w:id="143" w:name="OLE_LINK13"/>
      <w:r>
        <w:rPr>
          <w:rFonts w:hint="eastAsia" w:ascii="仿宋_GB2312" w:hAnsi="仿宋_GB2312" w:eastAsia="仿宋_GB2312" w:cs="仿宋_GB2312"/>
          <w:color w:val="auto"/>
          <w:sz w:val="32"/>
          <w:szCs w:val="32"/>
          <w:highlight w:val="none"/>
          <w:lang w:eastAsia="zh-CN"/>
        </w:rPr>
        <w:t>阜康市妇幼保健院合同管理制度</w:t>
      </w:r>
      <w:bookmarkEnd w:id="143"/>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3CC2E7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50367E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61A787A">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44" w:name="_Toc31684"/>
      <w:bookmarkStart w:id="145" w:name="_Toc13984"/>
      <w:r>
        <w:rPr>
          <w:rFonts w:hint="eastAsia" w:ascii="仿宋_GB2312" w:hAnsi="仿宋_GB2312" w:eastAsia="仿宋_GB2312" w:cs="仿宋_GB2312"/>
          <w:b/>
          <w:bCs/>
          <w:color w:val="auto"/>
          <w:sz w:val="32"/>
          <w:szCs w:val="32"/>
          <w:highlight w:val="none"/>
          <w:lang w:val="en-US" w:eastAsia="zh-CN"/>
        </w:rPr>
        <w:t>5.制度执行有效性</w:t>
      </w:r>
      <w:bookmarkEnd w:id="144"/>
      <w:bookmarkEnd w:id="145"/>
    </w:p>
    <w:p w14:paraId="7E8BBD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阜康市妇幼保健院资金管理办法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阜康市妇幼保健院收支业务管理制度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阜康市妇幼保健院政府采购业务管理制度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阜康市妇幼保健院合同管理制度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578044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25CF577D">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实施方案</w:t>
      </w:r>
      <w:r>
        <w:rPr>
          <w:rFonts w:hint="eastAsia" w:ascii="仿宋_GB2312" w:hAnsi="仿宋_GB2312" w:eastAsia="仿宋_GB2312" w:cs="仿宋_GB2312"/>
          <w:color w:val="auto"/>
          <w:sz w:val="32"/>
          <w:szCs w:val="32"/>
          <w:highlight w:val="none"/>
        </w:rPr>
        <w:t>、财务支付凭证等资料齐全并及时归档。</w:t>
      </w:r>
    </w:p>
    <w:p w14:paraId="662909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成立了基本公共卫生服务项目工作领导小组，由</w:t>
      </w:r>
      <w:r>
        <w:rPr>
          <w:rFonts w:hint="eastAsia" w:ascii="仿宋_GB2312" w:hAnsi="仿宋_GB2312" w:eastAsia="仿宋_GB2312" w:cs="仿宋_GB2312"/>
          <w:color w:val="auto"/>
          <w:sz w:val="32"/>
          <w:szCs w:val="32"/>
          <w:highlight w:val="none"/>
          <w:lang w:val="en-US" w:eastAsia="zh-CN"/>
        </w:rPr>
        <w:t>马丽娜</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李雪花</w:t>
      </w:r>
      <w:r>
        <w:rPr>
          <w:rFonts w:hint="eastAsia" w:ascii="仿宋_GB2312" w:hAnsi="仿宋_GB2312" w:eastAsia="仿宋_GB2312" w:cs="仿宋_GB2312"/>
          <w:color w:val="auto"/>
          <w:sz w:val="32"/>
          <w:szCs w:val="32"/>
          <w:highlight w:val="none"/>
          <w:lang w:eastAsia="zh-CN"/>
        </w:rPr>
        <w:t>任副组长，负责项目的实施工作；组员包括：冒欣延和王菊红，主要负责项目监督管理、验收以及资金核拨等工作。</w:t>
      </w:r>
    </w:p>
    <w:p w14:paraId="095636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7B3A69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6" w:name="_Toc2441"/>
      <w:r>
        <w:rPr>
          <w:rFonts w:hint="eastAsia" w:ascii="Times New Roman" w:hAnsi="Times New Roman" w:eastAsia="楷体_GB2312" w:cs="Times New Roman"/>
          <w:color w:val="auto"/>
          <w:kern w:val="28"/>
          <w:sz w:val="32"/>
          <w:highlight w:val="none"/>
          <w:lang w:val="en-US" w:eastAsia="zh-CN"/>
        </w:rPr>
        <w:t>（三）项目产出情况</w:t>
      </w:r>
      <w:bookmarkEnd w:id="146"/>
    </w:p>
    <w:p w14:paraId="5DBCA74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35.56</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88C71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DF5BFBD">
        <w:tblPrEx>
          <w:shd w:val="clear" w:color="auto" w:fill="auto"/>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0B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0CB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00D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748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08B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9E4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C64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274A86BF">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B2394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C0A5B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3EC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7" w:name="OLE_LINK15"/>
            <w:r>
              <w:rPr>
                <w:rFonts w:hint="eastAsia" w:ascii="宋体" w:hAnsi="宋体" w:eastAsia="宋体" w:cs="宋体"/>
                <w:color w:val="auto"/>
                <w:kern w:val="0"/>
                <w:sz w:val="20"/>
                <w:szCs w:val="20"/>
                <w:highlight w:val="none"/>
                <w:shd w:val="clear" w:color="auto" w:fill="auto"/>
                <w:lang w:val="en-US" w:eastAsia="zh-CN"/>
              </w:rPr>
              <w:t>宫颈癌检查人数</w:t>
            </w:r>
            <w:bookmarkEnd w:id="147"/>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E21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8" w:name="OLE_LINK16"/>
            <w:r>
              <w:rPr>
                <w:rFonts w:hint="eastAsia" w:ascii="宋体" w:hAnsi="宋体" w:eastAsia="宋体" w:cs="宋体"/>
                <w:color w:val="auto"/>
                <w:kern w:val="0"/>
                <w:sz w:val="20"/>
                <w:szCs w:val="20"/>
                <w:highlight w:val="none"/>
                <w:shd w:val="clear" w:color="auto" w:fill="auto"/>
                <w:lang w:val="en-US" w:eastAsia="zh-CN"/>
              </w:rPr>
              <w:t>≥5000人</w:t>
            </w:r>
            <w:bookmarkEnd w:id="14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9DE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14F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5000人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5A0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F54ACD9">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BC58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891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695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17"/>
            <w:r>
              <w:rPr>
                <w:rFonts w:hint="eastAsia" w:ascii="宋体" w:hAnsi="宋体" w:eastAsia="宋体" w:cs="宋体"/>
                <w:color w:val="auto"/>
                <w:kern w:val="0"/>
                <w:sz w:val="20"/>
                <w:szCs w:val="20"/>
                <w:highlight w:val="none"/>
                <w:shd w:val="clear" w:color="auto" w:fill="auto"/>
                <w:lang w:val="en-US" w:eastAsia="zh-CN"/>
              </w:rPr>
              <w:t>乳腺癌检查人数</w:t>
            </w:r>
            <w:bookmarkEnd w:id="149"/>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4E2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0" w:name="OLE_LINK18"/>
            <w:r>
              <w:rPr>
                <w:rFonts w:hint="eastAsia" w:ascii="宋体" w:hAnsi="宋体" w:eastAsia="宋体" w:cs="宋体"/>
                <w:color w:val="auto"/>
                <w:kern w:val="0"/>
                <w:sz w:val="20"/>
                <w:szCs w:val="20"/>
                <w:highlight w:val="none"/>
                <w:shd w:val="clear" w:color="auto" w:fill="auto"/>
                <w:lang w:val="en-US" w:eastAsia="zh-CN"/>
              </w:rPr>
              <w:t>≥1200人</w:t>
            </w:r>
            <w:bookmarkEnd w:id="150"/>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DEB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E61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1200人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5F4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44267F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0CA3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B47F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7F0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1" w:name="OLE_LINK19"/>
            <w:r>
              <w:rPr>
                <w:rFonts w:hint="eastAsia" w:ascii="宋体" w:hAnsi="宋体" w:eastAsia="宋体" w:cs="宋体"/>
                <w:color w:val="auto"/>
                <w:kern w:val="0"/>
                <w:sz w:val="20"/>
                <w:szCs w:val="20"/>
                <w:highlight w:val="none"/>
                <w:shd w:val="clear" w:color="auto" w:fill="auto"/>
                <w:lang w:val="en-US" w:eastAsia="zh-CN"/>
              </w:rPr>
              <w:t>宫颈癌早诊率</w:t>
            </w:r>
            <w:bookmarkEnd w:id="151"/>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F8F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2" w:name="OLE_LINK20"/>
            <w:r>
              <w:rPr>
                <w:rFonts w:hint="eastAsia" w:ascii="宋体" w:hAnsi="宋体" w:eastAsia="宋体" w:cs="宋体"/>
                <w:color w:val="auto"/>
                <w:kern w:val="0"/>
                <w:sz w:val="20"/>
                <w:szCs w:val="20"/>
                <w:highlight w:val="none"/>
                <w:shd w:val="clear" w:color="auto" w:fill="auto"/>
                <w:lang w:val="en-US" w:eastAsia="zh-CN"/>
              </w:rPr>
              <w:t>≥90%</w:t>
            </w:r>
            <w:bookmarkEnd w:id="152"/>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C22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C9D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3" w:name="OLE_LINK21"/>
            <w:r>
              <w:rPr>
                <w:rFonts w:hint="eastAsia" w:cs="宋体"/>
                <w:color w:val="auto"/>
                <w:kern w:val="0"/>
                <w:sz w:val="20"/>
                <w:szCs w:val="20"/>
                <w:highlight w:val="none"/>
                <w:shd w:val="clear" w:color="auto" w:fill="auto"/>
                <w:lang w:val="en-US" w:eastAsia="zh-CN"/>
              </w:rPr>
              <w:t>100%</w:t>
            </w:r>
            <w:bookmarkEnd w:id="153"/>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96A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8.89</w:t>
            </w:r>
          </w:p>
        </w:tc>
      </w:tr>
      <w:tr w14:paraId="7CC92B20">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9C97C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22A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30C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4" w:name="OLE_LINK23"/>
            <w:r>
              <w:rPr>
                <w:rFonts w:hint="eastAsia" w:ascii="宋体" w:hAnsi="宋体" w:eastAsia="宋体" w:cs="宋体"/>
                <w:color w:val="auto"/>
                <w:kern w:val="0"/>
                <w:sz w:val="20"/>
                <w:szCs w:val="20"/>
                <w:highlight w:val="none"/>
                <w:shd w:val="clear" w:color="auto" w:fill="auto"/>
                <w:lang w:val="en-US" w:eastAsia="zh-CN"/>
              </w:rPr>
              <w:t>乳腺癌早诊率</w:t>
            </w:r>
            <w:bookmarkEnd w:id="154"/>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824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DC0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23E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DA2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1.67</w:t>
            </w:r>
          </w:p>
        </w:tc>
      </w:tr>
      <w:tr w14:paraId="57EB24E2">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8985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3FB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1D9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5" w:name="OLE_LINK35"/>
            <w:r>
              <w:rPr>
                <w:rFonts w:hint="eastAsia" w:ascii="宋体" w:hAnsi="宋体" w:eastAsia="宋体" w:cs="宋体"/>
                <w:color w:val="auto"/>
                <w:kern w:val="0"/>
                <w:sz w:val="20"/>
                <w:szCs w:val="20"/>
                <w:highlight w:val="none"/>
                <w:shd w:val="clear" w:color="auto" w:fill="auto"/>
                <w:lang w:val="en-US" w:eastAsia="zh-CN"/>
              </w:rPr>
              <w:t>业务指导按期完成率</w:t>
            </w:r>
            <w:bookmarkEnd w:id="155"/>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D4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279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0FF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4D2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402AF76">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95DFD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AB510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04A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两癌项目经费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1F2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6" w:name="OLE_LINK24"/>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26</w:t>
            </w:r>
            <w:r>
              <w:rPr>
                <w:rFonts w:hint="eastAsia" w:ascii="宋体" w:hAnsi="宋体" w:eastAsia="宋体" w:cs="宋体"/>
                <w:color w:val="auto"/>
                <w:kern w:val="0"/>
                <w:sz w:val="20"/>
                <w:szCs w:val="20"/>
                <w:highlight w:val="none"/>
                <w:shd w:val="clear" w:color="auto" w:fill="auto"/>
                <w:lang w:val="en-US" w:eastAsia="zh-CN"/>
              </w:rPr>
              <w:t>万元</w:t>
            </w:r>
            <w:bookmarkEnd w:id="15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168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8BB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7" w:name="OLE_LINK26"/>
            <w:r>
              <w:rPr>
                <w:rFonts w:hint="eastAsia" w:cs="宋体"/>
                <w:color w:val="auto"/>
                <w:kern w:val="0"/>
                <w:sz w:val="20"/>
                <w:szCs w:val="20"/>
                <w:highlight w:val="none"/>
                <w:shd w:val="clear" w:color="auto" w:fill="auto"/>
                <w:lang w:val="en-US" w:eastAsia="zh-CN"/>
              </w:rPr>
              <w:t>67.26万元</w:t>
            </w:r>
          </w:p>
          <w:bookmarkEnd w:id="157"/>
          <w:p w14:paraId="70FE0858">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B6B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7A6F4AC3">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F2C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BB1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A08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其他妇幼项目经费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7C0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41.26</w:t>
            </w:r>
            <w:r>
              <w:rPr>
                <w:rFonts w:hint="eastAsia" w:ascii="宋体" w:hAnsi="宋体" w:eastAsia="宋体" w:cs="宋体"/>
                <w:color w:val="auto"/>
                <w:kern w:val="0"/>
                <w:sz w:val="20"/>
                <w:szCs w:val="20"/>
                <w:highlight w:val="none"/>
                <w:shd w:val="clear" w:color="auto" w:fill="auto"/>
                <w:lang w:val="en-US" w:eastAsia="zh-CN"/>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6FB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4DD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41.26万元</w:t>
            </w:r>
          </w:p>
          <w:p w14:paraId="3AC41780">
            <w:pPr>
              <w:keepNext w:val="0"/>
              <w:keepLines w:val="0"/>
              <w:pageBreakBefore w:val="0"/>
              <w:kinsoku/>
              <w:wordWrap/>
              <w:overflowPunct/>
              <w:topLinePunct w:val="0"/>
              <w:autoSpaceDE/>
              <w:autoSpaceDN/>
              <w:bidi w:val="0"/>
              <w:adjustRightInd/>
              <w:spacing w:line="300" w:lineRule="exact"/>
              <w:textAlignment w:val="auto"/>
              <w:rPr>
                <w:rFonts w:hint="default" w:eastAsia="宋体"/>
                <w:color w:val="auto"/>
                <w:highlight w:val="none"/>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886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1FCDC9AA">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47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369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66A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C56B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35.56</w:t>
            </w:r>
          </w:p>
        </w:tc>
      </w:tr>
    </w:tbl>
    <w:p w14:paraId="020C73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58" w:name="_Toc11067"/>
      <w:bookmarkStart w:id="159" w:name="_Toc26689"/>
      <w:r>
        <w:rPr>
          <w:rFonts w:hint="eastAsia" w:ascii="仿宋_GB2312" w:hAnsi="仿宋_GB2312" w:eastAsia="仿宋_GB2312" w:cs="仿宋_GB2312"/>
          <w:b/>
          <w:bCs/>
          <w:color w:val="auto"/>
          <w:sz w:val="32"/>
          <w:szCs w:val="32"/>
          <w:highlight w:val="none"/>
          <w:lang w:val="en-US" w:eastAsia="zh-CN"/>
        </w:rPr>
        <w:t>1.数量指标完成情况</w:t>
      </w:r>
      <w:bookmarkEnd w:id="158"/>
      <w:bookmarkEnd w:id="159"/>
    </w:p>
    <w:p w14:paraId="2C6324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宫颈癌检查人数”</w:t>
      </w:r>
      <w:r>
        <w:rPr>
          <w:rFonts w:hint="eastAsia" w:ascii="仿宋_GB2312" w:hAnsi="仿宋_GB2312" w:eastAsia="仿宋_GB2312" w:cs="仿宋_GB2312"/>
          <w:color w:val="auto"/>
          <w:sz w:val="32"/>
          <w:szCs w:val="32"/>
          <w:highlight w:val="none"/>
          <w:lang w:val="en-US" w:eastAsia="zh-CN"/>
        </w:rPr>
        <w:t>指标，预期目标值为≥5000人，实际完成为5000人。实际完成率=（5000人/5000人）×100%=100%。</w:t>
      </w:r>
    </w:p>
    <w:p w14:paraId="70F66B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乳腺癌检查人数”指标，预期目标值为≥1200人，实际完成为1200人。实际完成率=（1200人/1200人）×100%=100%，。</w:t>
      </w:r>
    </w:p>
    <w:p w14:paraId="655CB3E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15A86F05">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0" w:name="_Toc31739"/>
      <w:bookmarkStart w:id="161" w:name="_Toc14255"/>
      <w:r>
        <w:rPr>
          <w:rFonts w:hint="eastAsia" w:ascii="仿宋_GB2312" w:hAnsi="仿宋_GB2312" w:eastAsia="仿宋_GB2312" w:cs="仿宋_GB2312"/>
          <w:b/>
          <w:bCs/>
          <w:color w:val="auto"/>
          <w:sz w:val="32"/>
          <w:szCs w:val="32"/>
          <w:highlight w:val="none"/>
          <w:lang w:val="en-US" w:eastAsia="zh-CN"/>
        </w:rPr>
        <w:t>2.</w:t>
      </w:r>
      <w:bookmarkEnd w:id="160"/>
      <w:r>
        <w:rPr>
          <w:rFonts w:hint="eastAsia" w:ascii="仿宋_GB2312" w:hAnsi="仿宋_GB2312" w:eastAsia="仿宋_GB2312" w:cs="仿宋_GB2312"/>
          <w:b/>
          <w:bCs/>
          <w:color w:val="auto"/>
          <w:sz w:val="32"/>
          <w:szCs w:val="32"/>
          <w:highlight w:val="none"/>
          <w:lang w:val="en-US" w:eastAsia="zh-CN"/>
        </w:rPr>
        <w:t>质量指标完成情况</w:t>
      </w:r>
      <w:bookmarkEnd w:id="161"/>
    </w:p>
    <w:p w14:paraId="05AE02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2" w:name="OLE_LINK22"/>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宫颈癌早诊率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指标，预期目标值为≥90%，实际完成为100%。实际完成率111.11%。</w:t>
      </w:r>
      <w:r>
        <w:rPr>
          <w:rFonts w:hint="eastAsia" w:ascii="仿宋_GB2312" w:hAnsi="仿宋_GB2312" w:eastAsia="仿宋_GB2312" w:cs="仿宋_GB2312"/>
          <w:color w:val="auto"/>
          <w:sz w:val="32"/>
          <w:szCs w:val="32"/>
          <w:highlight w:val="none"/>
          <w:lang w:eastAsia="zh-CN"/>
        </w:rPr>
        <w:t>偏差原因：辖区内流动人口增多</w:t>
      </w:r>
      <w:bookmarkEnd w:id="162"/>
      <w:r>
        <w:rPr>
          <w:rFonts w:hint="eastAsia" w:ascii="仿宋_GB2312" w:hAnsi="仿宋_GB2312" w:eastAsia="仿宋_GB2312" w:cs="仿宋_GB2312"/>
          <w:color w:val="auto"/>
          <w:sz w:val="32"/>
          <w:szCs w:val="32"/>
          <w:highlight w:val="none"/>
          <w:lang w:val="en-US" w:eastAsia="zh-CN"/>
        </w:rPr>
        <w:t>。</w:t>
      </w:r>
    </w:p>
    <w:p w14:paraId="55E060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乳腺癌早诊率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指标，预期目标值为≥60%，实际完成为100%。实际完成率166.67%。</w:t>
      </w:r>
      <w:r>
        <w:rPr>
          <w:rFonts w:hint="eastAsia" w:ascii="仿宋_GB2312" w:hAnsi="仿宋_GB2312" w:eastAsia="仿宋_GB2312" w:cs="仿宋_GB2312"/>
          <w:color w:val="auto"/>
          <w:sz w:val="32"/>
          <w:szCs w:val="32"/>
          <w:highlight w:val="none"/>
          <w:lang w:eastAsia="zh-CN"/>
        </w:rPr>
        <w:t>偏差原因：辖区内流动人口增多。</w:t>
      </w:r>
    </w:p>
    <w:p w14:paraId="59055E1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综上，该项指标满分15分，得分10.56分。</w:t>
      </w:r>
    </w:p>
    <w:p w14:paraId="414928E6">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3" w:name="_Toc18307"/>
      <w:bookmarkStart w:id="164" w:name="_Toc28885"/>
      <w:r>
        <w:rPr>
          <w:rFonts w:hint="eastAsia" w:ascii="仿宋_GB2312" w:hAnsi="仿宋_GB2312" w:eastAsia="仿宋_GB2312" w:cs="仿宋_GB2312"/>
          <w:b/>
          <w:bCs/>
          <w:color w:val="auto"/>
          <w:sz w:val="32"/>
          <w:szCs w:val="32"/>
          <w:highlight w:val="none"/>
          <w:lang w:val="en-US" w:eastAsia="zh-CN"/>
        </w:rPr>
        <w:t>3.</w:t>
      </w:r>
      <w:bookmarkEnd w:id="163"/>
      <w:r>
        <w:rPr>
          <w:rFonts w:hint="eastAsia" w:ascii="仿宋_GB2312" w:hAnsi="仿宋_GB2312" w:eastAsia="仿宋_GB2312" w:cs="仿宋_GB2312"/>
          <w:b/>
          <w:bCs/>
          <w:color w:val="auto"/>
          <w:sz w:val="32"/>
          <w:szCs w:val="32"/>
          <w:highlight w:val="none"/>
          <w:lang w:val="en-US" w:eastAsia="zh-CN"/>
        </w:rPr>
        <w:t>时效指标完成情况</w:t>
      </w:r>
      <w:bookmarkEnd w:id="164"/>
    </w:p>
    <w:p w14:paraId="67D142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业务指导按期完成率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7D8216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16682F5">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5" w:name="_Toc32765"/>
      <w:bookmarkStart w:id="166" w:name="_Toc20607"/>
      <w:r>
        <w:rPr>
          <w:rFonts w:hint="eastAsia" w:ascii="仿宋_GB2312" w:hAnsi="仿宋_GB2312" w:eastAsia="仿宋_GB2312" w:cs="仿宋_GB2312"/>
          <w:b/>
          <w:bCs/>
          <w:color w:val="auto"/>
          <w:sz w:val="32"/>
          <w:szCs w:val="32"/>
          <w:highlight w:val="none"/>
          <w:lang w:val="en-US" w:eastAsia="zh-CN"/>
        </w:rPr>
        <w:t>4.项目</w:t>
      </w:r>
      <w:bookmarkEnd w:id="165"/>
      <w:r>
        <w:rPr>
          <w:rFonts w:hint="eastAsia" w:ascii="仿宋_GB2312" w:hAnsi="仿宋_GB2312" w:eastAsia="仿宋_GB2312" w:cs="仿宋_GB2312"/>
          <w:b/>
          <w:bCs/>
          <w:color w:val="auto"/>
          <w:sz w:val="32"/>
          <w:szCs w:val="32"/>
          <w:highlight w:val="none"/>
          <w:lang w:val="en-US" w:eastAsia="zh-CN"/>
        </w:rPr>
        <w:t>成本情况</w:t>
      </w:r>
      <w:bookmarkEnd w:id="166"/>
    </w:p>
    <w:p w14:paraId="1EF8175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4617EA5D">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7" w:name="OLE_LINK2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两癌项目经费”指标，预期目标值为≤26万元万元，实际完成为</w:t>
      </w:r>
      <w:bookmarkStart w:id="168" w:name="OLE_LINK27"/>
      <w:r>
        <w:rPr>
          <w:rFonts w:hint="eastAsia" w:ascii="仿宋_GB2312" w:hAnsi="仿宋_GB2312" w:eastAsia="仿宋_GB2312" w:cs="仿宋_GB2312"/>
          <w:color w:val="auto"/>
          <w:sz w:val="32"/>
          <w:szCs w:val="32"/>
          <w:highlight w:val="none"/>
          <w:lang w:val="en-US" w:eastAsia="zh-CN"/>
        </w:rPr>
        <w:t>26万元</w:t>
      </w:r>
      <w:bookmarkEnd w:id="168"/>
      <w:r>
        <w:rPr>
          <w:rFonts w:hint="eastAsia" w:ascii="仿宋_GB2312" w:hAnsi="仿宋_GB2312" w:eastAsia="仿宋_GB2312" w:cs="仿宋_GB2312"/>
          <w:color w:val="auto"/>
          <w:sz w:val="32"/>
          <w:szCs w:val="32"/>
          <w:highlight w:val="none"/>
          <w:lang w:val="en-US" w:eastAsia="zh-CN"/>
        </w:rPr>
        <w:t>。实际完成率=（26万元/26万元）×100%=100%。</w:t>
      </w:r>
    </w:p>
    <w:bookmarkEnd w:id="167"/>
    <w:p w14:paraId="66FE0B07">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其他妇幼项目经费”指标，预期目标值为≤41.26万元万元，实际完成为41.26万元。实际完成率=（41.26万元/41.26万元）×100%=100%。</w:t>
      </w:r>
    </w:p>
    <w:p w14:paraId="47C455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930A4E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69" w:name="_Toc19424"/>
      <w:r>
        <w:rPr>
          <w:rFonts w:hint="eastAsia" w:ascii="Times New Roman" w:hAnsi="Times New Roman" w:eastAsia="楷体_GB2312" w:cs="Times New Roman"/>
          <w:color w:val="auto"/>
          <w:kern w:val="28"/>
          <w:sz w:val="32"/>
          <w:highlight w:val="none"/>
          <w:lang w:val="en-US" w:eastAsia="zh-CN"/>
        </w:rPr>
        <w:t>（四）项目效益情况</w:t>
      </w:r>
      <w:bookmarkEnd w:id="169"/>
    </w:p>
    <w:p w14:paraId="4BC3DC3A">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40DDB5F">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0FFB48BC">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C347DF5">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5B702B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09F66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693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76E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3FBDF0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A11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C47D8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86F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BF215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4AE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0A4EFE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DE8AC81">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5F82CA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2FF38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EDAFE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0" w:name="OLE_LINK28"/>
            <w:r>
              <w:rPr>
                <w:rFonts w:hint="eastAsia" w:ascii="宋体" w:hAnsi="宋体" w:eastAsia="宋体" w:cs="宋体"/>
                <w:color w:val="auto"/>
                <w:kern w:val="0"/>
                <w:sz w:val="20"/>
                <w:szCs w:val="20"/>
                <w:highlight w:val="none"/>
                <w:shd w:val="clear" w:color="auto" w:fill="auto"/>
                <w:lang w:val="en-US" w:eastAsia="zh-CN"/>
              </w:rPr>
              <w:t>农村妇女整体健康水平</w:t>
            </w:r>
            <w:bookmarkEnd w:id="170"/>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331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1" w:name="OLE_LINK29"/>
            <w:r>
              <w:rPr>
                <w:rFonts w:hint="eastAsia" w:ascii="宋体" w:hAnsi="宋体" w:eastAsia="宋体" w:cs="宋体"/>
                <w:color w:val="auto"/>
                <w:kern w:val="0"/>
                <w:sz w:val="20"/>
                <w:szCs w:val="20"/>
                <w:highlight w:val="none"/>
                <w:shd w:val="clear" w:color="auto" w:fill="auto"/>
                <w:lang w:val="en-US" w:eastAsia="zh-CN"/>
              </w:rPr>
              <w:t>逐步提高</w:t>
            </w:r>
            <w:bookmarkEnd w:id="171"/>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015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344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611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43D87BC">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2BFFD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096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E69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筛查对象满意度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6E0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仿宋_GB2312" w:hAnsi="仿宋_GB2312" w:eastAsia="仿宋_GB2312" w:cs="仿宋_GB2312"/>
                <w:color w:val="auto"/>
                <w:sz w:val="20"/>
                <w:szCs w:val="20"/>
                <w:highlight w:val="none"/>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511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13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23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C96C3C2">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A63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2D1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E49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E68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BB34CE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72" w:name="_Toc27006"/>
      <w:bookmarkStart w:id="173" w:name="_Toc29606"/>
      <w:r>
        <w:rPr>
          <w:rFonts w:hint="eastAsia" w:ascii="仿宋_GB2312" w:hAnsi="仿宋_GB2312" w:eastAsia="仿宋_GB2312" w:cs="仿宋_GB2312"/>
          <w:b/>
          <w:bCs/>
          <w:color w:val="auto"/>
          <w:sz w:val="32"/>
          <w:szCs w:val="32"/>
          <w:highlight w:val="none"/>
          <w:lang w:val="en-US" w:eastAsia="zh-CN"/>
        </w:rPr>
        <w:t>2.社会效益指标</w:t>
      </w:r>
      <w:bookmarkEnd w:id="172"/>
      <w:r>
        <w:rPr>
          <w:rFonts w:hint="eastAsia" w:ascii="仿宋_GB2312" w:hAnsi="仿宋_GB2312" w:eastAsia="仿宋_GB2312" w:cs="仿宋_GB2312"/>
          <w:b/>
          <w:bCs/>
          <w:color w:val="auto"/>
          <w:sz w:val="32"/>
          <w:szCs w:val="32"/>
          <w:highlight w:val="none"/>
          <w:lang w:val="en-US" w:eastAsia="zh-CN"/>
        </w:rPr>
        <w:t>完成情况</w:t>
      </w:r>
      <w:bookmarkEnd w:id="173"/>
    </w:p>
    <w:p w14:paraId="12EFA5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“农村妇女整体健康水平</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指标，预期目标值为逐步提高，实际完成为达到预期指标。</w:t>
      </w:r>
    </w:p>
    <w:p w14:paraId="2CD58AD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通过项目的实施，提高了农村妇女整体健康水平。</w:t>
      </w:r>
    </w:p>
    <w:p w14:paraId="274D9D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52602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7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74"/>
    </w:p>
    <w:p w14:paraId="39584A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bookmarkStart w:id="175" w:name="OLE_LINK37"/>
      <w:r>
        <w:rPr>
          <w:rFonts w:hint="eastAsia" w:ascii="仿宋_GB2312" w:hAnsi="仿宋_GB2312" w:eastAsia="仿宋_GB2312" w:cs="仿宋_GB2312"/>
          <w:color w:val="auto"/>
          <w:sz w:val="32"/>
          <w:szCs w:val="32"/>
          <w:highlight w:val="none"/>
          <w:lang w:val="en-US" w:eastAsia="zh-CN"/>
        </w:rPr>
        <w:t>筛查对象满意度</w:t>
      </w:r>
      <w:bookmarkEnd w:id="17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bookmarkStart w:id="176" w:name="OLE_LINK36"/>
      <w:r>
        <w:rPr>
          <w:rFonts w:hint="eastAsia" w:ascii="仿宋_GB2312" w:hAnsi="仿宋_GB2312" w:eastAsia="仿宋_GB2312" w:cs="仿宋_GB2312"/>
          <w:color w:val="auto"/>
          <w:sz w:val="32"/>
          <w:szCs w:val="32"/>
          <w:highlight w:val="none"/>
          <w:lang w:val="en-US" w:eastAsia="zh-CN"/>
        </w:rPr>
        <w:t>≥90%</w:t>
      </w:r>
      <w:bookmarkEnd w:id="176"/>
      <w:r>
        <w:rPr>
          <w:rFonts w:hint="eastAsia" w:ascii="仿宋_GB2312" w:hAnsi="仿宋_GB2312" w:eastAsia="仿宋_GB2312" w:cs="仿宋_GB2312"/>
          <w:color w:val="auto"/>
          <w:sz w:val="32"/>
          <w:szCs w:val="32"/>
          <w:highlight w:val="none"/>
          <w:lang w:val="en-US" w:eastAsia="zh-CN"/>
        </w:rPr>
        <w:t>，实际完成为90%。</w:t>
      </w:r>
    </w:p>
    <w:p w14:paraId="2EBC82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2F10CE2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7"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77"/>
    </w:p>
    <w:p w14:paraId="33A32B7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8" w:name="_Toc15449"/>
      <w:bookmarkStart w:id="179" w:name="_Toc1921"/>
      <w:bookmarkStart w:id="18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78"/>
    </w:p>
    <w:p w14:paraId="436FB5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shd w:val="clear" w:color="auto" w:fill="auto"/>
          <w:lang w:val="en-US" w:eastAsia="zh-CN"/>
        </w:rPr>
        <w:t>基本公共卫生服务项目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67.26</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67.26</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7BCA40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阜康市妇幼保健院</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阜康市妇幼保健院</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79"/>
    <w:bookmarkEnd w:id="180"/>
    <w:p w14:paraId="08472FA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8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81"/>
    </w:p>
    <w:p w14:paraId="7A4426D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各科室协作效率低下，项目推进受阻碍；宣传效果差，妇女参与积极性不高。</w:t>
      </w:r>
    </w:p>
    <w:p w14:paraId="27518F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分析：各部门职责划分不清晰，缺乏有效的沟通协作平台和明确的工作流程，导致部门间出现推诿现象；宣传方式单一，仅依赖传统的张贴海报、发放传单，没有充分利用新媒体平台，且内容专业性过强，未充分考虑受众接受程度。</w:t>
      </w:r>
    </w:p>
    <w:p w14:paraId="11BA8D4C">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 资金使用规范性不足，存在报销流程不严谨、票据管理不规范等情况。</w:t>
      </w:r>
    </w:p>
    <w:p w14:paraId="67D49E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分析：财务管理制度执行不到位，相关人员对资金使用的合规性培训不足，导致对报销标准、审批流程等要求掌握不清晰；此外，内部监督机制薄弱，缺乏对资金使用的全流程审核与复核，未能及时发现和纠正不规范操作。</w:t>
      </w:r>
    </w:p>
    <w:p w14:paraId="54C3AB03">
      <w:pPr>
        <w:pageBreakBefore w:val="0"/>
        <w:numPr>
          <w:ilvl w:val="0"/>
          <w:numId w:val="3"/>
        </w:numPr>
        <w:kinsoku/>
        <w:wordWrap/>
        <w:overflowPunct/>
        <w:topLinePunct w:val="0"/>
        <w:autoSpaceDE/>
        <w:autoSpaceDN/>
        <w:bidi w:val="0"/>
        <w:spacing w:line="560" w:lineRule="exact"/>
        <w:ind w:left="800" w:leftChars="0" w:firstLine="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数据管理混乱，信息安全有风险。</w:t>
      </w:r>
    </w:p>
    <w:p w14:paraId="5BF7FCD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原因分析：信息化建设滞后，使用的信息系统功能不完善；工作人员缺乏专业的数据管理知识和技能培训；信息安全制度不健全，安全防护技术手段落后 ，缺乏对信息安全的足够重视。</w:t>
      </w:r>
    </w:p>
    <w:p w14:paraId="27235C62">
      <w:pPr>
        <w:pageBreakBefore w:val="0"/>
        <w:kinsoku/>
        <w:wordWrap/>
        <w:overflowPunct/>
        <w:topLinePunct w:val="0"/>
        <w:autoSpaceDE/>
        <w:autoSpaceDN/>
        <w:bidi w:val="0"/>
        <w:spacing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color w:val="auto"/>
          <w:sz w:val="32"/>
          <w:szCs w:val="32"/>
          <w:highlight w:val="none"/>
          <w:lang w:val="en-US" w:eastAsia="zh-CN"/>
        </w:rPr>
        <w:t xml:space="preserve"> </w:t>
      </w:r>
      <w:bookmarkStart w:id="182" w:name="_Toc3333"/>
      <w:r>
        <w:rPr>
          <w:rFonts w:hint="eastAsia" w:ascii="黑体" w:hAnsi="黑体" w:eastAsia="黑体" w:cs="黑体"/>
          <w:b/>
          <w:bCs/>
          <w:color w:val="auto"/>
          <w:sz w:val="32"/>
          <w:szCs w:val="32"/>
          <w:highlight w:val="none"/>
          <w:shd w:val="clear" w:color="auto" w:fill="auto"/>
          <w:lang w:val="en-US" w:eastAsia="zh-CN"/>
        </w:rPr>
        <w:t>六、有关建</w:t>
      </w:r>
      <w:r>
        <w:rPr>
          <w:rFonts w:hint="eastAsia" w:ascii="黑体" w:hAnsi="黑体" w:eastAsia="黑体" w:cs="黑体"/>
          <w:b w:val="0"/>
          <w:bCs w:val="0"/>
          <w:color w:val="auto"/>
          <w:sz w:val="32"/>
          <w:szCs w:val="32"/>
          <w:highlight w:val="none"/>
          <w:shd w:val="clear" w:color="auto" w:fill="auto"/>
          <w:lang w:val="en-US" w:eastAsia="zh-CN"/>
        </w:rPr>
        <w:t>议</w:t>
      </w:r>
      <w:bookmarkEnd w:id="182"/>
    </w:p>
    <w:p w14:paraId="5B7FA43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83" w:name="_Toc3948"/>
      <w:bookmarkStart w:id="184" w:name="_Toc20454"/>
      <w:r>
        <w:rPr>
          <w:rFonts w:hint="eastAsia" w:ascii="仿宋_GB2312" w:hAnsi="仿宋_GB2312" w:eastAsia="仿宋_GB2312" w:cs="仿宋_GB2312"/>
          <w:color w:val="auto"/>
          <w:sz w:val="32"/>
          <w:szCs w:val="32"/>
          <w:highlight w:val="none"/>
          <w:lang w:val="en-US" w:eastAsia="zh-CN"/>
        </w:rPr>
        <w:t>（一）梳理工作流程，明确各科室在不同任务中的职责和权限，绘制详细的职责矩阵图，避免职责不清导致的推诿扯皮现象。例如制定两癌项目筛查流程表，清晰界定检验科、妇科、乳腺科等科室在样本采集、检测、诊断等环节的工作。</w:t>
      </w:r>
    </w:p>
    <w:p w14:paraId="50222A2A">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b w:val="0"/>
          <w:color w:val="auto"/>
          <w:kern w:val="2"/>
          <w:sz w:val="32"/>
          <w:szCs w:val="32"/>
          <w:highlight w:val="none"/>
          <w:lang w:val="en-US" w:eastAsia="zh-CN" w:bidi="ar-SA"/>
        </w:rPr>
        <w:t>完善财务制度与标准化培训：修订资金使用管理制度，明确报销标准、审批权限及票据要求，编制《项目资金使用操作手册》；定期组织财务知识培训，邀请专家解读政策法规，并通过案例分析强化人员合规意识，确保制度执行到位。</w:t>
      </w:r>
    </w:p>
    <w:p w14:paraId="77A860E0">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firstLine="643" w:firstLineChars="200"/>
        <w:jc w:val="both"/>
        <w:textAlignment w:val="auto"/>
        <w:rPr>
          <w:rFonts w:hint="default"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b w:val="0"/>
          <w:color w:val="auto"/>
          <w:kern w:val="2"/>
          <w:sz w:val="32"/>
          <w:szCs w:val="32"/>
          <w:highlight w:val="none"/>
          <w:lang w:val="en-US" w:eastAsia="zh-CN" w:bidi="ar-SA"/>
        </w:rPr>
        <w:t>优化信息系统，引入功能强大且适合两癌项目的专业数据管理系统，具备数据录入、查询、统计分析、报表生成等功能，提高数据处理效率和准确性。</w:t>
      </w:r>
    </w:p>
    <w:bookmarkEnd w:id="183"/>
    <w:bookmarkEnd w:id="184"/>
    <w:p w14:paraId="4F5DDFB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8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85"/>
    </w:p>
    <w:p w14:paraId="1B47DE6B">
      <w:pPr>
        <w:pageBreakBefore w:val="0"/>
        <w:kinsoku/>
        <w:wordWrap/>
        <w:overflowPunct/>
        <w:topLinePunct w:val="0"/>
        <w:autoSpaceDE/>
        <w:autoSpaceDN/>
        <w:bidi w:val="0"/>
        <w:spacing w:line="560" w:lineRule="exact"/>
        <w:textAlignment w:val="auto"/>
        <w:rPr>
          <w:rFonts w:hint="eastAsia" w:cs="宋体"/>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60E36DB">
      <w:pPr>
        <w:pStyle w:val="2"/>
        <w:spacing w:line="240" w:lineRule="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18F9D96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86" w:name="_Toc11349"/>
      <w:bookmarkStart w:id="187" w:name="_Toc28971"/>
      <w:r>
        <w:rPr>
          <w:rFonts w:hint="eastAsia" w:ascii="宋体" w:hAnsi="宋体" w:eastAsia="宋体" w:cs="宋体"/>
          <w:b/>
          <w:bCs/>
          <w:color w:val="auto"/>
          <w:highlight w:val="none"/>
          <w:shd w:val="clear" w:color="auto" w:fill="auto"/>
          <w:lang w:val="en-US" w:eastAsia="zh-CN"/>
        </w:rPr>
        <w:t>附件一、项目支出绩效自评表</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880"/>
        <w:gridCol w:w="880"/>
        <w:gridCol w:w="880"/>
        <w:gridCol w:w="1121"/>
        <w:gridCol w:w="1283"/>
        <w:gridCol w:w="1202"/>
        <w:gridCol w:w="1283"/>
        <w:gridCol w:w="1121"/>
        <w:gridCol w:w="880"/>
        <w:gridCol w:w="880"/>
        <w:gridCol w:w="881"/>
        <w:gridCol w:w="881"/>
        <w:gridCol w:w="1122"/>
      </w:tblGrid>
      <w:tr w14:paraId="604A0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23D15D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4FB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BA49E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B6CA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364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55B7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基本公共卫生服务项目</w:t>
            </w:r>
          </w:p>
        </w:tc>
      </w:tr>
      <w:tr w14:paraId="1055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E7F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B4C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阜康市卫生健康委员会</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D71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AFB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阜康市妇幼保健院</w:t>
            </w:r>
          </w:p>
        </w:tc>
      </w:tr>
      <w:tr w14:paraId="4CD7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D27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7A65A2">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742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DD7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7E7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35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1A2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714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4688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05BBA">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CD5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3C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FD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CB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CA9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6E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FE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664F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CFADF">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437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22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9A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44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67.26</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20D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33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4A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1428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24E7F">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046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95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A20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40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03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03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2F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4AD0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04C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8640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07CA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210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9B0C4">
            <w:pPr>
              <w:jc w:val="center"/>
              <w:rPr>
                <w:rFonts w:hint="eastAsia" w:ascii="宋体" w:hAnsi="宋体" w:eastAsia="宋体" w:cs="宋体"/>
                <w:b/>
                <w:bCs/>
                <w:i w:val="0"/>
                <w:iCs w:val="0"/>
                <w:color w:val="000000"/>
                <w:sz w:val="18"/>
                <w:szCs w:val="18"/>
                <w:u w:val="none"/>
              </w:rPr>
            </w:pP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FBC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2024年计划完成宫颈癌检查5000人，乳腺癌检查1200人；宫颈癌早诊率达到90%以上，乳腺癌早诊率达到60%以上；达到逐步提高农村妇女整体健康水平的效益。</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1D71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2024年12月31日完成宫颈癌检查5000人，乳腺癌检查1200人；宫颈癌早诊率达到100%，乳腺癌早诊率达到100%，业务指导按期完成率达到100%，两癌项目经费26.00万元，其他妇幼项目经费41.26万元。通过项目的实施达到逐步提高农村妇女整体健康水平的效益。筛查对象满意度达到90%。</w:t>
            </w:r>
          </w:p>
        </w:tc>
      </w:tr>
      <w:tr w14:paraId="1EDFF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6AB77">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29F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998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BE61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8E6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A50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006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B1F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865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78C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8EF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6BB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4EE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9E10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6218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ADDDE">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42437">
            <w:pPr>
              <w:jc w:val="center"/>
              <w:rPr>
                <w:rFonts w:hint="eastAsia" w:ascii="宋体" w:hAnsi="宋体" w:eastAsia="宋体" w:cs="宋体"/>
                <w:b/>
                <w:bCs/>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5FB27">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E3733">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F41A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CEA43">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57E6E">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D72D6">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C07CB">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E1AB2">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1FFFB">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581B1">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7053F">
            <w:pPr>
              <w:jc w:val="center"/>
              <w:rPr>
                <w:rFonts w:hint="eastAsia" w:ascii="宋体" w:hAnsi="宋体" w:eastAsia="宋体" w:cs="宋体"/>
                <w:b/>
                <w:bCs/>
                <w:i w:val="0"/>
                <w:iCs w:val="0"/>
                <w:color w:val="000000"/>
                <w:sz w:val="18"/>
                <w:szCs w:val="18"/>
                <w:u w:val="none"/>
              </w:rPr>
            </w:pP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02CC5">
            <w:pPr>
              <w:jc w:val="center"/>
              <w:rPr>
                <w:rFonts w:hint="eastAsia" w:ascii="宋体" w:hAnsi="宋体" w:eastAsia="宋体" w:cs="宋体"/>
                <w:b/>
                <w:bCs/>
                <w:i w:val="0"/>
                <w:iCs w:val="0"/>
                <w:color w:val="000000"/>
                <w:sz w:val="18"/>
                <w:szCs w:val="18"/>
                <w:u w:val="none"/>
              </w:rPr>
            </w:pPr>
          </w:p>
        </w:tc>
      </w:tr>
      <w:tr w14:paraId="0D8BE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342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92"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AC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1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5A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宫颈癌检查人数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4C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E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&gt;=5000人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10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=5000人</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25A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18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83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E2EAA">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0C2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46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C2A52">
            <w:pPr>
              <w:jc w:val="center"/>
              <w:rPr>
                <w:rFonts w:hint="eastAsia" w:ascii="宋体" w:hAnsi="宋体" w:eastAsia="宋体" w:cs="宋体"/>
                <w:i w:val="0"/>
                <w:iCs w:val="0"/>
                <w:color w:val="000000"/>
                <w:sz w:val="18"/>
                <w:szCs w:val="18"/>
                <w:u w:val="none"/>
              </w:rPr>
            </w:pPr>
          </w:p>
        </w:tc>
      </w:tr>
      <w:tr w14:paraId="5C67D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9545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CDD31">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8E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F1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乳腺癌检查人数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8B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8D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&gt;=1200人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F6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=1200人</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9F5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BD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0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2DFD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6A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4A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44364">
            <w:pPr>
              <w:jc w:val="center"/>
              <w:rPr>
                <w:rFonts w:hint="eastAsia" w:ascii="宋体" w:hAnsi="宋体" w:eastAsia="宋体" w:cs="宋体"/>
                <w:i w:val="0"/>
                <w:iCs w:val="0"/>
                <w:color w:val="000000"/>
                <w:sz w:val="18"/>
                <w:szCs w:val="18"/>
                <w:u w:val="none"/>
              </w:rPr>
            </w:pPr>
          </w:p>
        </w:tc>
      </w:tr>
      <w:tr w14:paraId="68665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F307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42EA2">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5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79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宫颈癌早诊率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1F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441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3A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3FC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5D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8F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190E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78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99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BD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因人员流动量较多，体检人员选择就近医院体检，实际检查人数已超标完成预定指标人数。</w:t>
            </w:r>
          </w:p>
        </w:tc>
      </w:tr>
      <w:tr w14:paraId="5C0BD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C553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180BD">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57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EC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乳腺癌早诊率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51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9A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F07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C5E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166.67%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86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87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1DB04">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3C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E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1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因人员流动量较多，体检人员选择就近医院体检，实际检查人数已超标完成预定指标人数。</w:t>
            </w:r>
          </w:p>
        </w:tc>
      </w:tr>
      <w:tr w14:paraId="4FC7B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F6BE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4609C">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5A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E3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业务指导按期完成率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50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C5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4D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B50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0ED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B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0D9D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3EA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11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963E">
            <w:pPr>
              <w:jc w:val="center"/>
              <w:rPr>
                <w:rFonts w:hint="eastAsia" w:ascii="宋体" w:hAnsi="宋体" w:eastAsia="宋体" w:cs="宋体"/>
                <w:i w:val="0"/>
                <w:iCs w:val="0"/>
                <w:color w:val="000000"/>
                <w:sz w:val="18"/>
                <w:szCs w:val="18"/>
                <w:u w:val="none"/>
              </w:rPr>
            </w:pPr>
          </w:p>
        </w:tc>
      </w:tr>
      <w:tr w14:paraId="4E7A7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0BD41">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14C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BF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6B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两癌项目经费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BB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A5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&lt;=26.00万元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94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6FB0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92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F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D96F4">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D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F5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7A657">
            <w:pPr>
              <w:jc w:val="center"/>
              <w:rPr>
                <w:rFonts w:hint="eastAsia" w:ascii="宋体" w:hAnsi="宋体" w:eastAsia="宋体" w:cs="宋体"/>
                <w:i w:val="0"/>
                <w:iCs w:val="0"/>
                <w:color w:val="000000"/>
                <w:sz w:val="18"/>
                <w:szCs w:val="18"/>
                <w:u w:val="none"/>
              </w:rPr>
            </w:pPr>
          </w:p>
        </w:tc>
      </w:tr>
      <w:tr w14:paraId="615F6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F833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00498">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A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F3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其他妇幼项目经费</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25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01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&lt;=41.26万元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E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=41.26万元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0E9F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E3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3D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308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7D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5D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BC96C">
            <w:pPr>
              <w:jc w:val="center"/>
              <w:rPr>
                <w:rFonts w:hint="eastAsia" w:ascii="宋体" w:hAnsi="宋体" w:eastAsia="宋体" w:cs="宋体"/>
                <w:i w:val="0"/>
                <w:iCs w:val="0"/>
                <w:color w:val="000000"/>
                <w:sz w:val="18"/>
                <w:szCs w:val="18"/>
                <w:u w:val="none"/>
              </w:rPr>
            </w:pPr>
          </w:p>
        </w:tc>
      </w:tr>
      <w:tr w14:paraId="3FAF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759B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BB16C">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DE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E44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农村妇女整体健康水平</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3B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D9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5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8BD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7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EC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F4B6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D1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3D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8F322">
            <w:pPr>
              <w:jc w:val="center"/>
              <w:rPr>
                <w:rFonts w:hint="eastAsia" w:ascii="宋体" w:hAnsi="宋体" w:eastAsia="宋体" w:cs="宋体"/>
                <w:i w:val="0"/>
                <w:iCs w:val="0"/>
                <w:color w:val="000000"/>
                <w:sz w:val="18"/>
                <w:szCs w:val="18"/>
                <w:u w:val="none"/>
              </w:rPr>
            </w:pPr>
          </w:p>
        </w:tc>
      </w:tr>
      <w:tr w14:paraId="03E04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FA6A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82375">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0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498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10B3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D348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48BF">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060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E1D0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B4C9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F520">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14B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830E">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4424">
            <w:pPr>
              <w:jc w:val="center"/>
              <w:rPr>
                <w:rFonts w:hint="eastAsia" w:ascii="宋体" w:hAnsi="宋体" w:eastAsia="宋体" w:cs="宋体"/>
                <w:i w:val="0"/>
                <w:iCs w:val="0"/>
                <w:color w:val="000000"/>
                <w:sz w:val="18"/>
                <w:szCs w:val="18"/>
                <w:u w:val="none"/>
              </w:rPr>
            </w:pPr>
          </w:p>
        </w:tc>
      </w:tr>
      <w:tr w14:paraId="00689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5C150">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0E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F0B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4FC2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7FB3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0D4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7A18E">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D6CC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4AD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EB7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F5580">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AA1AC">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1D372">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E64B">
            <w:pPr>
              <w:jc w:val="center"/>
              <w:rPr>
                <w:rFonts w:hint="eastAsia" w:ascii="宋体" w:hAnsi="宋体" w:eastAsia="宋体" w:cs="宋体"/>
                <w:i w:val="0"/>
                <w:iCs w:val="0"/>
                <w:color w:val="000000"/>
                <w:sz w:val="18"/>
                <w:szCs w:val="18"/>
                <w:u w:val="none"/>
              </w:rPr>
            </w:pPr>
          </w:p>
        </w:tc>
      </w:tr>
      <w:tr w14:paraId="7A273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3CFD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D6C96">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ED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162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090F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B79C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F154D">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88D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2B2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2F76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0ABDD">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897C">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40CA8">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0EA44">
            <w:pPr>
              <w:jc w:val="center"/>
              <w:rPr>
                <w:rFonts w:hint="eastAsia" w:ascii="宋体" w:hAnsi="宋体" w:eastAsia="宋体" w:cs="宋体"/>
                <w:i w:val="0"/>
                <w:iCs w:val="0"/>
                <w:color w:val="000000"/>
                <w:sz w:val="18"/>
                <w:szCs w:val="18"/>
                <w:u w:val="none"/>
              </w:rPr>
            </w:pPr>
          </w:p>
        </w:tc>
      </w:tr>
      <w:tr w14:paraId="0DC55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4A3E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43B7F">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1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AF09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44A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8C7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CA616">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59D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E7A1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02CD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D139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0A53">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22834">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14602">
            <w:pPr>
              <w:jc w:val="center"/>
              <w:rPr>
                <w:rFonts w:hint="eastAsia" w:ascii="宋体" w:hAnsi="宋体" w:eastAsia="宋体" w:cs="宋体"/>
                <w:i w:val="0"/>
                <w:iCs w:val="0"/>
                <w:color w:val="000000"/>
                <w:sz w:val="18"/>
                <w:szCs w:val="18"/>
                <w:u w:val="none"/>
              </w:rPr>
            </w:pPr>
          </w:p>
        </w:tc>
      </w:tr>
      <w:tr w14:paraId="3F2B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9A58C">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7D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8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78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筛查对象满意度</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BA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00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33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A4C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1E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7C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56DD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64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11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07FE1">
            <w:pPr>
              <w:jc w:val="center"/>
              <w:rPr>
                <w:rFonts w:hint="eastAsia" w:ascii="宋体" w:hAnsi="宋体" w:eastAsia="宋体" w:cs="宋体"/>
                <w:i w:val="0"/>
                <w:iCs w:val="0"/>
                <w:color w:val="000000"/>
                <w:sz w:val="18"/>
                <w:szCs w:val="18"/>
                <w:u w:val="none"/>
              </w:rPr>
            </w:pPr>
          </w:p>
        </w:tc>
      </w:tr>
      <w:bookmarkEnd w:id="192"/>
      <w:tr w14:paraId="5D44F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96" w:type="pct"/>
            <w:gridSpan w:val="4"/>
            <w:tcBorders>
              <w:top w:val="single" w:color="000000" w:sz="4" w:space="0"/>
              <w:left w:val="single" w:color="000000" w:sz="4" w:space="0"/>
              <w:bottom w:val="single" w:color="000000" w:sz="4" w:space="0"/>
              <w:right w:val="nil"/>
            </w:tcBorders>
            <w:shd w:val="clear" w:color="auto" w:fill="auto"/>
            <w:vAlign w:val="center"/>
          </w:tcPr>
          <w:p w14:paraId="3FA1DF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A2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584543A">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4674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67CC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C0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95.56分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B4A2">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C2337">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8FB2">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51465">
            <w:pP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4545">
            <w:pPr>
              <w:rPr>
                <w:rFonts w:hint="eastAsia" w:ascii="宋体" w:hAnsi="宋体" w:eastAsia="宋体" w:cs="宋体"/>
                <w:i w:val="0"/>
                <w:iCs w:val="0"/>
                <w:color w:val="000000"/>
                <w:sz w:val="18"/>
                <w:szCs w:val="18"/>
                <w:u w:val="none"/>
              </w:rPr>
            </w:pPr>
          </w:p>
        </w:tc>
      </w:tr>
    </w:tbl>
    <w:p w14:paraId="2A1787FA">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p>
    <w:p w14:paraId="03F022EF">
      <w:pPr>
        <w:rPr>
          <w:rFonts w:hint="eastAsia" w:ascii="宋体" w:hAnsi="宋体" w:eastAsia="宋体" w:cs="宋体"/>
          <w:b/>
          <w:bCs/>
          <w:color w:val="auto"/>
          <w:highlight w:val="none"/>
          <w:shd w:val="clear" w:color="auto" w:fill="auto"/>
          <w:lang w:val="en-US" w:eastAsia="zh-CN"/>
        </w:rPr>
      </w:pPr>
    </w:p>
    <w:p w14:paraId="6D33315E">
      <w:pPr>
        <w:pStyle w:val="2"/>
        <w:ind w:left="0" w:leftChars="0" w:firstLine="0" w:firstLineChars="0"/>
        <w:jc w:val="both"/>
        <w:rPr>
          <w:rFonts w:hint="eastAsia"/>
          <w:color w:val="auto"/>
          <w:highlight w:val="none"/>
          <w:lang w:val="en-US" w:eastAsia="zh-CN"/>
        </w:rPr>
      </w:pPr>
    </w:p>
    <w:bookmarkEnd w:id="186"/>
    <w:bookmarkEnd w:id="187"/>
    <w:p w14:paraId="1443CD31">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sectPr>
          <w:pgSz w:w="16838" w:h="11906" w:orient="landscape"/>
          <w:pgMar w:top="1800" w:right="1440" w:bottom="1800" w:left="1440" w:header="737" w:footer="851" w:gutter="0"/>
          <w:pgNumType w:fmt="decimal"/>
          <w:cols w:space="720" w:num="1"/>
          <w:docGrid w:type="lines" w:linePitch="408" w:charSpace="0"/>
        </w:sectPr>
      </w:pPr>
      <w:bookmarkStart w:id="188" w:name="_Toc11223"/>
      <w:bookmarkStart w:id="189" w:name="_Toc15067"/>
    </w:p>
    <w:p w14:paraId="4D550DB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88"/>
      <w:bookmarkEnd w:id="18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D1F9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72E7C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4D74C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0E153A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3FAF04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3CEE84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6729AE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09C7193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6F258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AB835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2B2DAA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2057340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FC5DAE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0E4DF1A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296680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37C0904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28E7755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D85B07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023D066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08007CE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42C1EAA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F4AFFF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F0541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112C8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5746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7E3BE4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EE1D5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0B93B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19BC5B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90E079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0F22397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ACCAD5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0FA7FCC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0C3D344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7F35A1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B5BE1A7">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6C216E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26AE3B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DC190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08CCB9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707B046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1738080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031926A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E7F359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0B8232C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4154F7C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5F9EBC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35A24E0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11B159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D38C62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9382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126758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7D39EE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B55A33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7096C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15AA375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35D9EC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0BD53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2DCBCD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733A44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262481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3192E4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82FB7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396F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33B66B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7A06D3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3BD4FBA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1F48E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6B4366C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1F90A41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7DCBD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AF38B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0E9C02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04B19A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9F75B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60A1B7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B52EF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526C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1AD67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FDCBC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ED3663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795DE3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7ECABD8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484821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5D97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5B614B0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513689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3E875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0C2E4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2509FE2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3DD347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2CEC86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155B7A0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786BBA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619A4A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48CC9C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50B95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0A7D5C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42DBC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E0F8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3800A90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88EEF4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15432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69CEDFE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3F5E7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38782BD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6AE505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2FB15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C4D6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246CF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75233B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D451C4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9B47C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66B61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7EAFA9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087FAE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BE882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728010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500AD4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2E04592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252951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F6FC0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DA7B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EA620E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AE11E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2AFA6E0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2CA8745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F2EEA3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335B8D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7CF0F1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E028E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F01D6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31EB1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67653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CF0F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73B163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B07F5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8D7ED6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60A521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084B2D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559A9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ABAA1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5AD61B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D2618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5B6E56D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5CBD4B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1D549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6FCF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D1CC3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172FC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333843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宫颈癌检查人数</w:t>
            </w:r>
          </w:p>
        </w:tc>
        <w:tc>
          <w:tcPr>
            <w:tcW w:w="2141" w:type="dxa"/>
            <w:shd w:val="clear" w:color="auto" w:fill="auto"/>
            <w:noWrap w:val="0"/>
            <w:vAlign w:val="center"/>
          </w:tcPr>
          <w:p w14:paraId="45CD9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bookmarkStart w:id="190" w:name="OLE_LINK30"/>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bookmarkEnd w:id="190"/>
          </w:p>
        </w:tc>
        <w:tc>
          <w:tcPr>
            <w:tcW w:w="7821" w:type="dxa"/>
            <w:shd w:val="clear" w:color="auto" w:fill="auto"/>
            <w:noWrap w:val="0"/>
            <w:vAlign w:val="center"/>
          </w:tcPr>
          <w:p w14:paraId="69E25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bookmarkStart w:id="191" w:name="OLE_LINK31"/>
            <w:r>
              <w:rPr>
                <w:rFonts w:hint="eastAsia" w:ascii="宋体" w:hAnsi="宋体" w:eastAsia="宋体" w:cs="宋体"/>
                <w:color w:val="auto"/>
                <w:kern w:val="0"/>
                <w:sz w:val="22"/>
                <w:szCs w:val="22"/>
                <w:highlight w:val="none"/>
              </w:rPr>
              <w:t>实际完成率=（实际产出数/计划产出数）×100%。</w:t>
            </w:r>
          </w:p>
          <w:p w14:paraId="55928A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3620DF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bookmarkEnd w:id="191"/>
          </w:p>
        </w:tc>
        <w:tc>
          <w:tcPr>
            <w:tcW w:w="785" w:type="dxa"/>
            <w:shd w:val="clear" w:color="auto" w:fill="auto"/>
            <w:noWrap w:val="0"/>
            <w:vAlign w:val="center"/>
          </w:tcPr>
          <w:p w14:paraId="2301FDA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35D3E5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D0F4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399BC53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35C228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5B160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乳腺癌检查人数</w:t>
            </w:r>
          </w:p>
        </w:tc>
        <w:tc>
          <w:tcPr>
            <w:tcW w:w="2141" w:type="dxa"/>
            <w:shd w:val="clear" w:color="auto" w:fill="auto"/>
            <w:noWrap w:val="0"/>
            <w:vAlign w:val="center"/>
          </w:tcPr>
          <w:p w14:paraId="053305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1C231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67FE8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BD152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511E4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10C82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B091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645683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81450D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72B88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宫颈癌早诊率</w:t>
            </w:r>
          </w:p>
        </w:tc>
        <w:tc>
          <w:tcPr>
            <w:tcW w:w="2141" w:type="dxa"/>
            <w:shd w:val="clear" w:color="auto" w:fill="auto"/>
            <w:noWrap w:val="0"/>
            <w:vAlign w:val="center"/>
          </w:tcPr>
          <w:p w14:paraId="4A7167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43950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0AF5F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799B3AF">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324435A">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8.89</w:t>
            </w:r>
          </w:p>
        </w:tc>
      </w:tr>
      <w:tr w14:paraId="3C001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74FC08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04050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CE30D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乳腺癌早诊率</w:t>
            </w:r>
          </w:p>
        </w:tc>
        <w:tc>
          <w:tcPr>
            <w:tcW w:w="2141" w:type="dxa"/>
            <w:shd w:val="clear" w:color="auto" w:fill="auto"/>
            <w:noWrap w:val="0"/>
            <w:vAlign w:val="center"/>
          </w:tcPr>
          <w:p w14:paraId="24EE24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4673D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550D5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74D7E41">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D74F72F">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1.97</w:t>
            </w:r>
          </w:p>
        </w:tc>
      </w:tr>
      <w:tr w14:paraId="05780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53BF3D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0D439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1A7386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两癌筛查完成时限</w:t>
            </w:r>
          </w:p>
        </w:tc>
        <w:tc>
          <w:tcPr>
            <w:tcW w:w="2141" w:type="dxa"/>
            <w:shd w:val="clear" w:color="auto" w:fill="auto"/>
            <w:noWrap w:val="0"/>
            <w:vAlign w:val="center"/>
          </w:tcPr>
          <w:p w14:paraId="5E88F1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97D84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F22FD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57EC49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2A5658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8B22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977DB4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99A2E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2AF6243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两癌项目经费</w:t>
            </w:r>
          </w:p>
        </w:tc>
        <w:tc>
          <w:tcPr>
            <w:tcW w:w="2141" w:type="dxa"/>
            <w:shd w:val="clear" w:color="auto" w:fill="auto"/>
            <w:noWrap w:val="0"/>
            <w:vAlign w:val="center"/>
          </w:tcPr>
          <w:p w14:paraId="130324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77757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BC926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B103D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4C763E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81813C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2.5</w:t>
            </w:r>
          </w:p>
        </w:tc>
        <w:tc>
          <w:tcPr>
            <w:tcW w:w="769" w:type="dxa"/>
            <w:shd w:val="clear" w:color="auto" w:fill="auto"/>
            <w:noWrap w:val="0"/>
            <w:vAlign w:val="center"/>
          </w:tcPr>
          <w:p w14:paraId="1424C68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2.5</w:t>
            </w:r>
          </w:p>
        </w:tc>
      </w:tr>
      <w:tr w14:paraId="0FC3D1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AE4EB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7EE2E4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FAA0B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其他妇幼项目经费</w:t>
            </w:r>
          </w:p>
        </w:tc>
        <w:tc>
          <w:tcPr>
            <w:tcW w:w="2141" w:type="dxa"/>
            <w:shd w:val="clear" w:color="auto" w:fill="auto"/>
            <w:noWrap w:val="0"/>
            <w:vAlign w:val="center"/>
          </w:tcPr>
          <w:p w14:paraId="21DE35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4CA03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1EFD34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2621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E8CA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40AD95D">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2.5</w:t>
            </w:r>
          </w:p>
        </w:tc>
        <w:tc>
          <w:tcPr>
            <w:tcW w:w="769" w:type="dxa"/>
            <w:shd w:val="clear" w:color="auto" w:fill="auto"/>
            <w:noWrap w:val="0"/>
            <w:vAlign w:val="center"/>
          </w:tcPr>
          <w:p w14:paraId="64BCC648">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2.5</w:t>
            </w:r>
          </w:p>
        </w:tc>
      </w:tr>
      <w:tr w14:paraId="4B414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085FE8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shd w:val="clear" w:color="auto" w:fill="auto"/>
            <w:noWrap w:val="0"/>
            <w:vAlign w:val="center"/>
          </w:tcPr>
          <w:p w14:paraId="1CAAE5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42B082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农村妇女整体健康水平</w:t>
            </w:r>
          </w:p>
        </w:tc>
        <w:tc>
          <w:tcPr>
            <w:tcW w:w="2141" w:type="dxa"/>
            <w:shd w:val="clear" w:color="auto" w:fill="auto"/>
            <w:noWrap w:val="0"/>
            <w:vAlign w:val="center"/>
          </w:tcPr>
          <w:p w14:paraId="5225854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8CCB6F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1CDAEA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5A5E3C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1BA1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3FD6C9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33E7BEE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满意度</w:t>
            </w:r>
          </w:p>
        </w:tc>
        <w:tc>
          <w:tcPr>
            <w:tcW w:w="820" w:type="dxa"/>
            <w:shd w:val="clear" w:color="auto" w:fill="auto"/>
            <w:noWrap w:val="0"/>
            <w:vAlign w:val="center"/>
          </w:tcPr>
          <w:p w14:paraId="45B7A0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筛查对象满意度</w:t>
            </w:r>
          </w:p>
        </w:tc>
        <w:tc>
          <w:tcPr>
            <w:tcW w:w="2141" w:type="dxa"/>
            <w:shd w:val="clear" w:color="auto" w:fill="auto"/>
            <w:noWrap w:val="0"/>
            <w:vAlign w:val="center"/>
          </w:tcPr>
          <w:p w14:paraId="505BE20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eastAsia="zh-CN"/>
              </w:rPr>
              <w:t>社会公众或服务对象对项目实施效果的满意程度。</w:t>
            </w:r>
          </w:p>
        </w:tc>
        <w:tc>
          <w:tcPr>
            <w:tcW w:w="7821" w:type="dxa"/>
            <w:shd w:val="clear" w:color="auto" w:fill="auto"/>
            <w:noWrap w:val="0"/>
            <w:vAlign w:val="center"/>
          </w:tcPr>
          <w:p w14:paraId="00F1F4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eastAsia="zh-CN"/>
              </w:rPr>
              <w:t>社会公众或服务对象是指因该项目实施而受到影响的部门（单位）、群体或个人。一般采取社会调查的方式。</w:t>
            </w:r>
          </w:p>
        </w:tc>
        <w:tc>
          <w:tcPr>
            <w:tcW w:w="785" w:type="dxa"/>
            <w:shd w:val="clear" w:color="auto" w:fill="auto"/>
            <w:noWrap w:val="0"/>
            <w:vAlign w:val="center"/>
          </w:tcPr>
          <w:p w14:paraId="10593699">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0BE2B31">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09CF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02CF32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30A433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5869AD2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EA8C2A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95.86</w:t>
            </w:r>
          </w:p>
        </w:tc>
      </w:tr>
    </w:tbl>
    <w:p w14:paraId="0FC921AF">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604929D4">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4F827">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A092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0A092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45C54"/>
    <w:multiLevelType w:val="singleLevel"/>
    <w:tmpl w:val="9B445C54"/>
    <w:lvl w:ilvl="0" w:tentative="0">
      <w:start w:val="1"/>
      <w:numFmt w:val="decimal"/>
      <w:suff w:val="nothing"/>
      <w:lvlText w:val="（%1）"/>
      <w:lvlJc w:val="left"/>
    </w:lvl>
  </w:abstractNum>
  <w:abstractNum w:abstractNumId="1">
    <w:nsid w:val="BEC6D977"/>
    <w:multiLevelType w:val="singleLevel"/>
    <w:tmpl w:val="BEC6D977"/>
    <w:lvl w:ilvl="0" w:tentative="0">
      <w:start w:val="3"/>
      <w:numFmt w:val="decimal"/>
      <w:lvlText w:val="%1."/>
      <w:lvlJc w:val="left"/>
      <w:pPr>
        <w:tabs>
          <w:tab w:val="left" w:pos="312"/>
        </w:tabs>
        <w:ind w:left="800" w:leftChars="0" w:firstLine="0" w:firstLineChars="0"/>
      </w:pPr>
    </w:lvl>
  </w:abstractNum>
  <w:abstractNum w:abstractNumId="2">
    <w:nsid w:val="F4CD2B0F"/>
    <w:multiLevelType w:val="singleLevel"/>
    <w:tmpl w:val="F4CD2B0F"/>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32B70"/>
    <w:rsid w:val="01470C4C"/>
    <w:rsid w:val="02200440"/>
    <w:rsid w:val="02284B43"/>
    <w:rsid w:val="02B015E2"/>
    <w:rsid w:val="02DC08FA"/>
    <w:rsid w:val="033B569D"/>
    <w:rsid w:val="03424463"/>
    <w:rsid w:val="039C3BA0"/>
    <w:rsid w:val="03A845BB"/>
    <w:rsid w:val="03B45AD1"/>
    <w:rsid w:val="04D12EE4"/>
    <w:rsid w:val="04D63993"/>
    <w:rsid w:val="0660321A"/>
    <w:rsid w:val="07890F4F"/>
    <w:rsid w:val="07AF3996"/>
    <w:rsid w:val="086177BD"/>
    <w:rsid w:val="08892439"/>
    <w:rsid w:val="08EB30F3"/>
    <w:rsid w:val="09237408"/>
    <w:rsid w:val="09781BD6"/>
    <w:rsid w:val="09F359DF"/>
    <w:rsid w:val="09FD75F9"/>
    <w:rsid w:val="0A0855DF"/>
    <w:rsid w:val="0A575E65"/>
    <w:rsid w:val="0ACA0AB6"/>
    <w:rsid w:val="0C032502"/>
    <w:rsid w:val="0C27698C"/>
    <w:rsid w:val="0CA035C5"/>
    <w:rsid w:val="0D4452F3"/>
    <w:rsid w:val="0D7F2A28"/>
    <w:rsid w:val="0DA83E9C"/>
    <w:rsid w:val="0F3F7CF5"/>
    <w:rsid w:val="0F5E5042"/>
    <w:rsid w:val="0FE95707"/>
    <w:rsid w:val="10510571"/>
    <w:rsid w:val="10787A20"/>
    <w:rsid w:val="108672DE"/>
    <w:rsid w:val="10EC685A"/>
    <w:rsid w:val="11692E07"/>
    <w:rsid w:val="11EC23EA"/>
    <w:rsid w:val="11ED60BF"/>
    <w:rsid w:val="11FA6155"/>
    <w:rsid w:val="12CF0947"/>
    <w:rsid w:val="12F1313F"/>
    <w:rsid w:val="13511BBE"/>
    <w:rsid w:val="136C678E"/>
    <w:rsid w:val="13EB2FF5"/>
    <w:rsid w:val="143E0542"/>
    <w:rsid w:val="14ED4CAC"/>
    <w:rsid w:val="15A46B04"/>
    <w:rsid w:val="15B70616"/>
    <w:rsid w:val="15D96645"/>
    <w:rsid w:val="165825BC"/>
    <w:rsid w:val="16BC5D73"/>
    <w:rsid w:val="176F36D7"/>
    <w:rsid w:val="1795226D"/>
    <w:rsid w:val="18456B1E"/>
    <w:rsid w:val="18616960"/>
    <w:rsid w:val="18F62518"/>
    <w:rsid w:val="19441605"/>
    <w:rsid w:val="19616706"/>
    <w:rsid w:val="1985188C"/>
    <w:rsid w:val="1A176963"/>
    <w:rsid w:val="1C1171C5"/>
    <w:rsid w:val="1D265138"/>
    <w:rsid w:val="1D7B6BCA"/>
    <w:rsid w:val="1DA41A79"/>
    <w:rsid w:val="1DF53469"/>
    <w:rsid w:val="1E2F24F2"/>
    <w:rsid w:val="1E58492F"/>
    <w:rsid w:val="1E5B6757"/>
    <w:rsid w:val="1E607030"/>
    <w:rsid w:val="1E7D5094"/>
    <w:rsid w:val="1ED10AC6"/>
    <w:rsid w:val="1F163F8E"/>
    <w:rsid w:val="1F89225F"/>
    <w:rsid w:val="1F900A1F"/>
    <w:rsid w:val="1FC0575D"/>
    <w:rsid w:val="1FF404A6"/>
    <w:rsid w:val="206132C7"/>
    <w:rsid w:val="20A06C94"/>
    <w:rsid w:val="21B00C1D"/>
    <w:rsid w:val="23031BEB"/>
    <w:rsid w:val="23917691"/>
    <w:rsid w:val="23A04402"/>
    <w:rsid w:val="244D65B8"/>
    <w:rsid w:val="245E1E24"/>
    <w:rsid w:val="2499461A"/>
    <w:rsid w:val="255414CA"/>
    <w:rsid w:val="25AD5E5D"/>
    <w:rsid w:val="2689497B"/>
    <w:rsid w:val="2732478D"/>
    <w:rsid w:val="27661469"/>
    <w:rsid w:val="27900EAD"/>
    <w:rsid w:val="279B538A"/>
    <w:rsid w:val="286F545C"/>
    <w:rsid w:val="292D759C"/>
    <w:rsid w:val="29314FBC"/>
    <w:rsid w:val="299E6940"/>
    <w:rsid w:val="29EF3845"/>
    <w:rsid w:val="2AA2081A"/>
    <w:rsid w:val="2AD327F4"/>
    <w:rsid w:val="2B27334F"/>
    <w:rsid w:val="2C024B86"/>
    <w:rsid w:val="2C927671"/>
    <w:rsid w:val="2CC6306F"/>
    <w:rsid w:val="2D3A4062"/>
    <w:rsid w:val="2D647822"/>
    <w:rsid w:val="2D7C5CD6"/>
    <w:rsid w:val="2DB453E7"/>
    <w:rsid w:val="2E483E7E"/>
    <w:rsid w:val="2E690493"/>
    <w:rsid w:val="2E9854BD"/>
    <w:rsid w:val="2F0D407F"/>
    <w:rsid w:val="2F454B19"/>
    <w:rsid w:val="310224D9"/>
    <w:rsid w:val="31B4621C"/>
    <w:rsid w:val="31E3230A"/>
    <w:rsid w:val="31F262B9"/>
    <w:rsid w:val="323D32CA"/>
    <w:rsid w:val="330957E0"/>
    <w:rsid w:val="33356F64"/>
    <w:rsid w:val="33944516"/>
    <w:rsid w:val="341D4E0B"/>
    <w:rsid w:val="345662BE"/>
    <w:rsid w:val="34814B30"/>
    <w:rsid w:val="34B62907"/>
    <w:rsid w:val="350360CB"/>
    <w:rsid w:val="351E2C7D"/>
    <w:rsid w:val="36BD137C"/>
    <w:rsid w:val="37A73BF3"/>
    <w:rsid w:val="38053EDF"/>
    <w:rsid w:val="380812A4"/>
    <w:rsid w:val="385D37E7"/>
    <w:rsid w:val="38782EDD"/>
    <w:rsid w:val="39542E1A"/>
    <w:rsid w:val="3B42664A"/>
    <w:rsid w:val="3BB43FA5"/>
    <w:rsid w:val="3BF62D9B"/>
    <w:rsid w:val="3C23441B"/>
    <w:rsid w:val="3CAD1E92"/>
    <w:rsid w:val="3D836A4E"/>
    <w:rsid w:val="3DB6670D"/>
    <w:rsid w:val="3EA37E97"/>
    <w:rsid w:val="3FA97081"/>
    <w:rsid w:val="3FBB4D9D"/>
    <w:rsid w:val="3FBE0BC5"/>
    <w:rsid w:val="4048103A"/>
    <w:rsid w:val="40736643"/>
    <w:rsid w:val="40A15557"/>
    <w:rsid w:val="40D24A7A"/>
    <w:rsid w:val="414F02D2"/>
    <w:rsid w:val="420F16EA"/>
    <w:rsid w:val="42621029"/>
    <w:rsid w:val="42D10A3B"/>
    <w:rsid w:val="435241E2"/>
    <w:rsid w:val="43726A5D"/>
    <w:rsid w:val="43975C51"/>
    <w:rsid w:val="439E3FA7"/>
    <w:rsid w:val="44B32266"/>
    <w:rsid w:val="44B8774F"/>
    <w:rsid w:val="44CB1108"/>
    <w:rsid w:val="44FC64F4"/>
    <w:rsid w:val="450F51EB"/>
    <w:rsid w:val="45617C4D"/>
    <w:rsid w:val="467F4585"/>
    <w:rsid w:val="46A636F7"/>
    <w:rsid w:val="470628CB"/>
    <w:rsid w:val="4729480B"/>
    <w:rsid w:val="47555BD4"/>
    <w:rsid w:val="47BC2DB1"/>
    <w:rsid w:val="47C27346"/>
    <w:rsid w:val="47E96399"/>
    <w:rsid w:val="47F76025"/>
    <w:rsid w:val="486E33F5"/>
    <w:rsid w:val="48E12B50"/>
    <w:rsid w:val="490779DE"/>
    <w:rsid w:val="49683C27"/>
    <w:rsid w:val="499441BE"/>
    <w:rsid w:val="499A6C1C"/>
    <w:rsid w:val="49E728CF"/>
    <w:rsid w:val="4A195607"/>
    <w:rsid w:val="4A2138F0"/>
    <w:rsid w:val="4A583887"/>
    <w:rsid w:val="4B3B49D2"/>
    <w:rsid w:val="4B826C70"/>
    <w:rsid w:val="4B9F6E02"/>
    <w:rsid w:val="4C89637B"/>
    <w:rsid w:val="4D4C3ECB"/>
    <w:rsid w:val="4E6E48A8"/>
    <w:rsid w:val="4E887711"/>
    <w:rsid w:val="4EEC036B"/>
    <w:rsid w:val="4F714FA1"/>
    <w:rsid w:val="501D2673"/>
    <w:rsid w:val="504428BE"/>
    <w:rsid w:val="507F724A"/>
    <w:rsid w:val="50C80BF1"/>
    <w:rsid w:val="51497F84"/>
    <w:rsid w:val="51852833"/>
    <w:rsid w:val="52BA7E5F"/>
    <w:rsid w:val="52F11AC8"/>
    <w:rsid w:val="53143EE4"/>
    <w:rsid w:val="534F49D9"/>
    <w:rsid w:val="53555F0F"/>
    <w:rsid w:val="535D23D5"/>
    <w:rsid w:val="53B060C4"/>
    <w:rsid w:val="54DB4AA8"/>
    <w:rsid w:val="55944046"/>
    <w:rsid w:val="56F4341A"/>
    <w:rsid w:val="575A7321"/>
    <w:rsid w:val="580C3AB9"/>
    <w:rsid w:val="583C7AE0"/>
    <w:rsid w:val="586C1E9A"/>
    <w:rsid w:val="586E0800"/>
    <w:rsid w:val="5897595F"/>
    <w:rsid w:val="58C6432E"/>
    <w:rsid w:val="591A2165"/>
    <w:rsid w:val="59216F96"/>
    <w:rsid w:val="59230B62"/>
    <w:rsid w:val="598C4145"/>
    <w:rsid w:val="59957D1B"/>
    <w:rsid w:val="59B854D7"/>
    <w:rsid w:val="59D4294E"/>
    <w:rsid w:val="5A451B2A"/>
    <w:rsid w:val="5B3D0A9F"/>
    <w:rsid w:val="5B524E69"/>
    <w:rsid w:val="5B634312"/>
    <w:rsid w:val="5B9D2CCD"/>
    <w:rsid w:val="5B9E71EA"/>
    <w:rsid w:val="5C7A6048"/>
    <w:rsid w:val="5CBC1BE8"/>
    <w:rsid w:val="5E226FBC"/>
    <w:rsid w:val="5E943F76"/>
    <w:rsid w:val="5FE72BD2"/>
    <w:rsid w:val="5FE73B79"/>
    <w:rsid w:val="60120613"/>
    <w:rsid w:val="60830F1F"/>
    <w:rsid w:val="60D3786A"/>
    <w:rsid w:val="618D5292"/>
    <w:rsid w:val="61BC0C77"/>
    <w:rsid w:val="622E78FA"/>
    <w:rsid w:val="62773DC1"/>
    <w:rsid w:val="63343F70"/>
    <w:rsid w:val="63673F8D"/>
    <w:rsid w:val="63711B5B"/>
    <w:rsid w:val="637569B7"/>
    <w:rsid w:val="64296E1C"/>
    <w:rsid w:val="64386FCC"/>
    <w:rsid w:val="649E64A2"/>
    <w:rsid w:val="65580853"/>
    <w:rsid w:val="657A208C"/>
    <w:rsid w:val="65E5270A"/>
    <w:rsid w:val="663D3C54"/>
    <w:rsid w:val="667A6962"/>
    <w:rsid w:val="66862C89"/>
    <w:rsid w:val="66BB486D"/>
    <w:rsid w:val="66CC2AA0"/>
    <w:rsid w:val="66DC1658"/>
    <w:rsid w:val="67336E5F"/>
    <w:rsid w:val="67394C7D"/>
    <w:rsid w:val="67FF1851"/>
    <w:rsid w:val="68126B38"/>
    <w:rsid w:val="68291A1A"/>
    <w:rsid w:val="68352BB8"/>
    <w:rsid w:val="687B3A2B"/>
    <w:rsid w:val="691327EB"/>
    <w:rsid w:val="691B1594"/>
    <w:rsid w:val="693A016B"/>
    <w:rsid w:val="69DA0037"/>
    <w:rsid w:val="6A17429C"/>
    <w:rsid w:val="6A567EA3"/>
    <w:rsid w:val="6AF479D3"/>
    <w:rsid w:val="6B2B66DF"/>
    <w:rsid w:val="6B4B4368"/>
    <w:rsid w:val="6B79100E"/>
    <w:rsid w:val="6BAD0FCB"/>
    <w:rsid w:val="6C6C00BA"/>
    <w:rsid w:val="6C844C00"/>
    <w:rsid w:val="6D167504"/>
    <w:rsid w:val="6D5118E8"/>
    <w:rsid w:val="6D6F471B"/>
    <w:rsid w:val="6D856A84"/>
    <w:rsid w:val="6E10212C"/>
    <w:rsid w:val="6E43561A"/>
    <w:rsid w:val="6E557973"/>
    <w:rsid w:val="6E9568DB"/>
    <w:rsid w:val="6F0D6C22"/>
    <w:rsid w:val="6F47657F"/>
    <w:rsid w:val="6FAF23D9"/>
    <w:rsid w:val="70451102"/>
    <w:rsid w:val="70635CF6"/>
    <w:rsid w:val="70670707"/>
    <w:rsid w:val="70C0121E"/>
    <w:rsid w:val="71456AD4"/>
    <w:rsid w:val="71D0255F"/>
    <w:rsid w:val="71FA7C7A"/>
    <w:rsid w:val="720E3691"/>
    <w:rsid w:val="7249173A"/>
    <w:rsid w:val="724E244C"/>
    <w:rsid w:val="72DA6946"/>
    <w:rsid w:val="72E36D0B"/>
    <w:rsid w:val="732764B3"/>
    <w:rsid w:val="74026044"/>
    <w:rsid w:val="74325A77"/>
    <w:rsid w:val="74645F02"/>
    <w:rsid w:val="74746410"/>
    <w:rsid w:val="75366130"/>
    <w:rsid w:val="75C8506C"/>
    <w:rsid w:val="75E5007C"/>
    <w:rsid w:val="76224BDE"/>
    <w:rsid w:val="768F16E6"/>
    <w:rsid w:val="77636B63"/>
    <w:rsid w:val="77813724"/>
    <w:rsid w:val="77861774"/>
    <w:rsid w:val="788B1CC4"/>
    <w:rsid w:val="78B72619"/>
    <w:rsid w:val="78E151F5"/>
    <w:rsid w:val="78F31435"/>
    <w:rsid w:val="79300B45"/>
    <w:rsid w:val="794D3E18"/>
    <w:rsid w:val="79700BD9"/>
    <w:rsid w:val="79F3729A"/>
    <w:rsid w:val="7A880722"/>
    <w:rsid w:val="7ABE6120"/>
    <w:rsid w:val="7ACB0498"/>
    <w:rsid w:val="7AED0B4D"/>
    <w:rsid w:val="7C1E4487"/>
    <w:rsid w:val="7C215E02"/>
    <w:rsid w:val="7C4E477F"/>
    <w:rsid w:val="7CF23764"/>
    <w:rsid w:val="7D49700C"/>
    <w:rsid w:val="7D851A94"/>
    <w:rsid w:val="7E797F74"/>
    <w:rsid w:val="7F924011"/>
    <w:rsid w:val="7FB62D8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1"/>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paragraph" w:customStyle="1" w:styleId="20">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1">
    <w:name w:val="标题 2 Char"/>
    <w:link w:val="4"/>
    <w:qFormat/>
    <w:uiPriority w:val="0"/>
    <w:rPr>
      <w:rFonts w:ascii="Arial" w:hAnsi="Arial" w:eastAsia="楷体"/>
      <w:b/>
      <w:sz w:val="32"/>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11908</Words>
  <Characters>12651</Characters>
  <Lines>0</Lines>
  <Paragraphs>0</Paragraphs>
  <TotalTime>3</TotalTime>
  <ScaleCrop>false</ScaleCrop>
  <LinksUpToDate>false</LinksUpToDate>
  <CharactersWithSpaces>12765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2025-10-23T05:26:42Z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62475066851048A5BCBF10C830B44CE3</vt:lpwstr>
  </property>
  <property fmtid="{D5CDD505-2E9C-101B-9397-08002B2CF9AE}" pid="4" name="KSOTemplateDocerSaveRecord">
    <vt:lpwstr>eyJoZGlkIjoiNTY3MmI4ODZmMjljZWZhNGFkN2U2N2Y4ODgwYjM5ZGIiLCJ1c2VySWQiOiIzNjI1MzY3NzcifQ==</vt:lpwstr>
  </property>
</Properties>
</file>