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E666B">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65C3EAC5">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A5B4461">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971659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5575"/>
      <w:bookmarkStart w:id="1" w:name="_Toc1949"/>
      <w:bookmarkStart w:id="2" w:name="_Toc15679"/>
      <w:bookmarkStart w:id="3" w:name="_Toc29123"/>
      <w:r>
        <w:rPr>
          <w:rFonts w:hint="eastAsia" w:cs="宋体"/>
          <w:b/>
          <w:bCs/>
          <w:color w:val="auto"/>
          <w:sz w:val="40"/>
          <w:szCs w:val="40"/>
          <w:highlight w:val="none"/>
          <w:shd w:val="clear" w:color="auto" w:fill="auto"/>
          <w:lang w:val="en-US" w:eastAsia="zh-CN"/>
        </w:rPr>
        <w:t>2024年清洁能源发展专项资金</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145A25E">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5AAA1F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D9934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45C0CB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98EDA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FC495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BB7426D">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0EA1C82A">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项目名称</w:t>
      </w:r>
      <w:r>
        <w:rPr>
          <w:rFonts w:hint="eastAsia" w:ascii="黑体" w:hAnsi="Times New Roman" w:eastAsia="黑体"/>
          <w:b w:val="0"/>
          <w:bCs/>
          <w:color w:val="auto"/>
          <w:sz w:val="30"/>
          <w:szCs w:val="30"/>
          <w:highlight w:val="none"/>
          <w:lang w:val="en-US" w:eastAsia="zh-CN"/>
        </w:rPr>
        <w:t>:2024年清洁能源发展专项资金</w:t>
      </w:r>
    </w:p>
    <w:p w14:paraId="15B993FA">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实施单位：阜康市发展和改革委员会</w:t>
      </w:r>
    </w:p>
    <w:p w14:paraId="733E5FEB">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主管部门：阜康市发展和改革委员会</w:t>
      </w:r>
    </w:p>
    <w:p w14:paraId="73BCB409">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项目负责人：马旭东</w:t>
      </w:r>
    </w:p>
    <w:p w14:paraId="584984C2">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7EAE7F51">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CD7A6C0">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77659547">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6959487E">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09376CB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6B7AE0C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5C7BD70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7D7568C8">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B88A99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8</w:t>
          </w:r>
          <w:r>
            <w:rPr>
              <w:color w:val="auto"/>
              <w:highlight w:val="none"/>
            </w:rPr>
            <w:fldChar w:fldCharType="end"/>
          </w:r>
          <w:r>
            <w:rPr>
              <w:rFonts w:hint="eastAsia"/>
              <w:color w:val="auto"/>
              <w:szCs w:val="28"/>
              <w:highlight w:val="none"/>
              <w:lang w:val="en-US" w:eastAsia="zh-CN"/>
            </w:rPr>
            <w:fldChar w:fldCharType="end"/>
          </w:r>
        </w:p>
        <w:p w14:paraId="3AC05D1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12</w:t>
          </w:r>
          <w:r>
            <w:rPr>
              <w:color w:val="auto"/>
              <w:highlight w:val="none"/>
            </w:rPr>
            <w:fldChar w:fldCharType="end"/>
          </w:r>
          <w:r>
            <w:rPr>
              <w:rFonts w:hint="eastAsia"/>
              <w:color w:val="auto"/>
              <w:szCs w:val="28"/>
              <w:highlight w:val="none"/>
              <w:lang w:val="en-US" w:eastAsia="zh-CN"/>
            </w:rPr>
            <w:fldChar w:fldCharType="end"/>
          </w:r>
        </w:p>
        <w:p w14:paraId="195C7E8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379181C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39D988A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3408734A">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6494E8A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19</w:t>
          </w:r>
          <w:r>
            <w:rPr>
              <w:color w:val="auto"/>
              <w:highlight w:val="none"/>
            </w:rPr>
            <w:fldChar w:fldCharType="end"/>
          </w:r>
          <w:r>
            <w:rPr>
              <w:rFonts w:hint="eastAsia"/>
              <w:color w:val="auto"/>
              <w:szCs w:val="28"/>
              <w:highlight w:val="none"/>
              <w:lang w:val="en-US" w:eastAsia="zh-CN"/>
            </w:rPr>
            <w:fldChar w:fldCharType="end"/>
          </w:r>
        </w:p>
        <w:p w14:paraId="01B4223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19</w:t>
          </w:r>
          <w:r>
            <w:rPr>
              <w:color w:val="auto"/>
              <w:highlight w:val="none"/>
            </w:rPr>
            <w:fldChar w:fldCharType="end"/>
          </w:r>
          <w:r>
            <w:rPr>
              <w:rFonts w:hint="eastAsia"/>
              <w:color w:val="auto"/>
              <w:szCs w:val="28"/>
              <w:highlight w:val="none"/>
              <w:lang w:val="en-US" w:eastAsia="zh-CN"/>
            </w:rPr>
            <w:fldChar w:fldCharType="end"/>
          </w:r>
        </w:p>
        <w:p w14:paraId="252BEDE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6923F1C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6EC9F5C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21DE5D3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0AAEE2B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5FFA3A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650E5F4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6B93F9A4">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A7842AA">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0D5A266B">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B752EAB">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31</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BCBC255">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542970F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20432"/>
      <w:bookmarkStart w:id="5" w:name="_Toc3663"/>
      <w:bookmarkStart w:id="6" w:name="_Toc22946"/>
      <w:bookmarkStart w:id="7" w:name="_Toc1194"/>
      <w:r>
        <w:rPr>
          <w:rFonts w:hint="eastAsia" w:cs="宋体"/>
          <w:b/>
          <w:bCs/>
          <w:color w:val="auto"/>
          <w:sz w:val="36"/>
          <w:szCs w:val="36"/>
          <w:highlight w:val="none"/>
          <w:shd w:val="clear" w:color="auto" w:fill="auto"/>
          <w:lang w:val="en-US" w:eastAsia="zh-CN"/>
        </w:rPr>
        <w:t>2024年清洁能源发展专项资金</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06C1F5AC">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2051D4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25DB5ECC">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2346"/>
      <w:bookmarkStart w:id="11" w:name="_Toc5043"/>
      <w:bookmarkStart w:id="12" w:name="_Toc10645"/>
      <w:bookmarkStart w:id="13" w:name="_Toc29812"/>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61554E82">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新疆科林斯德能源有限责任公司通过开采利用非常规天然气，依据《财政部关于煤层气（瓦斯）开发利用补贴的实施意见》财建[2007]114号申请</w:t>
      </w:r>
      <w:r>
        <w:rPr>
          <w:rFonts w:hint="eastAsia" w:ascii="仿宋_GB2312" w:hAnsi="仿宋_GB2312" w:eastAsia="仿宋_GB2312" w:cs="仿宋_GB2312"/>
          <w:color w:val="auto"/>
          <w:sz w:val="32"/>
          <w:szCs w:val="32"/>
          <w:highlight w:val="none"/>
          <w:lang w:eastAsia="zh-CN"/>
        </w:rPr>
        <w:t>2024年清洁能源发展专项资金</w:t>
      </w:r>
      <w:r>
        <w:rPr>
          <w:rFonts w:hint="eastAsia" w:ascii="仿宋_GB2312" w:hAnsi="仿宋_GB2312" w:eastAsia="仿宋_GB2312" w:cs="仿宋_GB2312"/>
          <w:color w:val="auto"/>
          <w:sz w:val="32"/>
          <w:szCs w:val="32"/>
          <w:highlight w:val="none"/>
        </w:rPr>
        <w:t>，项目预算资金1201.97万元，通过</w:t>
      </w:r>
      <w:bookmarkStart w:id="14" w:name="OLE_LINK2"/>
      <w:r>
        <w:rPr>
          <w:rFonts w:hint="eastAsia" w:ascii="仿宋_GB2312" w:hAnsi="仿宋_GB2312" w:eastAsia="仿宋_GB2312" w:cs="仿宋_GB2312"/>
          <w:color w:val="auto"/>
          <w:sz w:val="32"/>
          <w:szCs w:val="32"/>
          <w:highlight w:val="none"/>
        </w:rPr>
        <w:t>《关于提前下达 2024 年</w:t>
      </w:r>
      <w:r>
        <w:rPr>
          <w:rFonts w:hint="eastAsia" w:ascii="仿宋_GB2312" w:hAnsi="仿宋_GB2312" w:eastAsia="仿宋_GB2312" w:cs="仿宋_GB2312"/>
          <w:color w:val="auto"/>
          <w:sz w:val="32"/>
          <w:szCs w:val="32"/>
          <w:highlight w:val="none"/>
          <w:lang w:eastAsia="zh-CN"/>
        </w:rPr>
        <w:t>2024年清洁能源发展专项资金</w:t>
      </w:r>
      <w:r>
        <w:rPr>
          <w:rFonts w:hint="eastAsia" w:ascii="仿宋_GB2312" w:hAnsi="仿宋_GB2312" w:eastAsia="仿宋_GB2312" w:cs="仿宋_GB2312"/>
          <w:color w:val="auto"/>
          <w:sz w:val="32"/>
          <w:szCs w:val="32"/>
          <w:highlight w:val="none"/>
        </w:rPr>
        <w:t>预算的通知》昌州财建[2023]151号</w:t>
      </w:r>
      <w:bookmarkEnd w:id="14"/>
      <w:r>
        <w:rPr>
          <w:rFonts w:hint="eastAsia" w:ascii="仿宋_GB2312" w:hAnsi="仿宋_GB2312" w:eastAsia="仿宋_GB2312" w:cs="仿宋_GB2312"/>
          <w:color w:val="auto"/>
          <w:sz w:val="32"/>
          <w:szCs w:val="32"/>
          <w:highlight w:val="none"/>
        </w:rPr>
        <w:t>拨付资金，</w:t>
      </w:r>
      <w:bookmarkStart w:id="15" w:name="OLE_LINK1"/>
      <w:r>
        <w:rPr>
          <w:rFonts w:hint="eastAsia" w:ascii="仿宋_GB2312" w:hAnsi="仿宋_GB2312" w:eastAsia="仿宋_GB2312" w:cs="仿宋_GB2312"/>
          <w:color w:val="auto"/>
          <w:sz w:val="32"/>
          <w:szCs w:val="32"/>
          <w:highlight w:val="none"/>
        </w:rPr>
        <w:t>从根本上减少煤矿生产安全事故、减少温室气体排放、增加能源供应。</w:t>
      </w:r>
    </w:p>
    <w:bookmarkEnd w:id="15"/>
    <w:p w14:paraId="2AB0C909">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6" w:name="_Toc27343"/>
      <w:bookmarkStart w:id="17" w:name="_Toc17880"/>
      <w:bookmarkStart w:id="18" w:name="_Toc1630"/>
      <w:bookmarkStart w:id="19" w:name="_Toc107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6"/>
      <w:bookmarkEnd w:id="17"/>
      <w:bookmarkEnd w:id="18"/>
      <w:bookmarkEnd w:id="19"/>
    </w:p>
    <w:p w14:paraId="3F535966">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20" w:name="_Toc16592"/>
      <w:bookmarkStart w:id="21" w:name="_Toc21898"/>
      <w:bookmarkStart w:id="22" w:name="_Toc27409"/>
      <w:bookmarkStart w:id="23"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20"/>
      <w:bookmarkEnd w:id="21"/>
      <w:bookmarkEnd w:id="22"/>
      <w:bookmarkEnd w:id="23"/>
      <w:r>
        <w:rPr>
          <w:rFonts w:hint="eastAsia" w:ascii="仿宋_GB2312" w:hAnsi="仿宋_GB2312" w:eastAsia="仿宋_GB2312" w:cs="仿宋_GB2312"/>
          <w:b w:val="0"/>
          <w:bCs w:val="0"/>
          <w:color w:val="auto"/>
          <w:sz w:val="32"/>
          <w:szCs w:val="32"/>
          <w:highlight w:val="none"/>
          <w:shd w:val="clear" w:color="auto" w:fill="auto"/>
          <w:lang w:eastAsia="zh-CN"/>
        </w:rPr>
        <w:t>2024年用于开采利用非常规天然气，非常规天然气开采利用量6269万平方米，采暖季非常规天然气利用量占全年比列大于30%，非常规天然气抽采量6383万平方米，非常规天然气开采利用率大于88%。从根本上减少煤矿生产安全事故、减少温室气体排放、增加能源供应。</w:t>
      </w:r>
    </w:p>
    <w:p w14:paraId="539BD73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本项目自2023年12月28日经</w:t>
      </w:r>
      <w:r>
        <w:rPr>
          <w:rFonts w:hint="eastAsia" w:ascii="仿宋_GB2312" w:hAnsi="仿宋_GB2312" w:eastAsia="仿宋_GB2312" w:cs="仿宋_GB2312"/>
          <w:color w:val="auto"/>
          <w:sz w:val="32"/>
          <w:szCs w:val="32"/>
          <w:highlight w:val="none"/>
        </w:rPr>
        <w:t>《关于提前下达 2024 年</w:t>
      </w:r>
      <w:r>
        <w:rPr>
          <w:rFonts w:hint="eastAsia" w:ascii="仿宋_GB2312" w:hAnsi="仿宋_GB2312" w:eastAsia="仿宋_GB2312" w:cs="仿宋_GB2312"/>
          <w:color w:val="auto"/>
          <w:sz w:val="32"/>
          <w:szCs w:val="32"/>
          <w:highlight w:val="none"/>
          <w:lang w:eastAsia="zh-CN"/>
        </w:rPr>
        <w:t>2024年清洁能源发展专项资金</w:t>
      </w:r>
      <w:r>
        <w:rPr>
          <w:rFonts w:hint="eastAsia" w:ascii="仿宋_GB2312" w:hAnsi="仿宋_GB2312" w:eastAsia="仿宋_GB2312" w:cs="仿宋_GB2312"/>
          <w:color w:val="auto"/>
          <w:sz w:val="32"/>
          <w:szCs w:val="32"/>
          <w:highlight w:val="none"/>
        </w:rPr>
        <w:t>预算的通知》昌州财建[2023]151号</w:t>
      </w:r>
      <w:r>
        <w:rPr>
          <w:rFonts w:hint="eastAsia" w:ascii="仿宋_GB2312" w:hAnsi="仿宋_GB2312" w:eastAsia="仿宋_GB2312" w:cs="仿宋_GB2312"/>
          <w:color w:val="auto"/>
          <w:sz w:val="32"/>
          <w:szCs w:val="32"/>
          <w:highlight w:val="none"/>
          <w:shd w:val="clear" w:color="auto" w:fill="auto"/>
          <w:lang w:val="en-US" w:eastAsia="zh-CN"/>
        </w:rPr>
        <w:t>批复，经阜康市发展和改革委员会党组会议，确定了项目领导小组，明确了责任分工：组长为张博，副组长为董德斌，项目负责人为马旭东,组员为史敏、候宛利，其中：董德斌负责监管工作，史敏负责项目档案资料，候宛利负责资金拨付工作。</w:t>
      </w:r>
    </w:p>
    <w:p w14:paraId="0938E13A">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4" w:name="_Toc12348"/>
      <w:bookmarkStart w:id="25" w:name="_Toc569"/>
      <w:bookmarkStart w:id="26" w:name="_Toc1858"/>
      <w:bookmarkStart w:id="27" w:name="_Toc10240"/>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4"/>
      <w:bookmarkEnd w:id="25"/>
      <w:bookmarkEnd w:id="26"/>
      <w:bookmarkEnd w:id="27"/>
    </w:p>
    <w:p w14:paraId="5A7C78D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8" w:name="_Toc23509"/>
      <w:bookmarkStart w:id="29" w:name="_Toc26369"/>
      <w:bookmarkStart w:id="30" w:name="_Toc694"/>
      <w:r>
        <w:rPr>
          <w:rFonts w:hint="eastAsia" w:ascii="仿宋_GB2312" w:hAnsi="仿宋_GB2312" w:eastAsia="仿宋_GB2312" w:cs="仿宋_GB2312"/>
          <w:color w:val="auto"/>
          <w:sz w:val="32"/>
          <w:szCs w:val="32"/>
          <w:highlight w:val="none"/>
          <w:lang w:val="en-US" w:eastAsia="zh-CN"/>
        </w:rPr>
        <w:t>（1）资金投入情况</w:t>
      </w:r>
      <w:bookmarkEnd w:id="28"/>
      <w:bookmarkEnd w:id="29"/>
      <w:bookmarkEnd w:id="30"/>
    </w:p>
    <w:p w14:paraId="5FEA6E1C">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1" w:name="_Toc29190"/>
      <w:bookmarkStart w:id="32" w:name="_Toc9464"/>
      <w:bookmarkStart w:id="33" w:name="_Toc5573"/>
      <w:r>
        <w:rPr>
          <w:rFonts w:hint="eastAsia" w:ascii="仿宋_GB2312" w:hAnsi="仿宋_GB2312" w:eastAsia="仿宋_GB2312" w:cs="仿宋_GB2312"/>
          <w:color w:val="auto"/>
          <w:sz w:val="32"/>
          <w:szCs w:val="32"/>
          <w:highlight w:val="none"/>
          <w:lang w:val="en-US" w:eastAsia="zh-CN"/>
        </w:rPr>
        <w:t>该项目年初预算数1201.97万元，全年预算数1201.97万元，该项目资金已全部落实到位，资金来源为财政拨款。</w:t>
      </w:r>
      <w:bookmarkEnd w:id="31"/>
      <w:bookmarkEnd w:id="32"/>
      <w:bookmarkEnd w:id="33"/>
    </w:p>
    <w:p w14:paraId="719A418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4" w:name="_Toc28187"/>
      <w:bookmarkStart w:id="35" w:name="_Toc3409"/>
      <w:bookmarkStart w:id="36" w:name="_Toc1166"/>
      <w:r>
        <w:rPr>
          <w:rFonts w:hint="eastAsia" w:ascii="仿宋_GB2312" w:hAnsi="仿宋_GB2312" w:eastAsia="仿宋_GB2312" w:cs="仿宋_GB2312"/>
          <w:color w:val="auto"/>
          <w:sz w:val="32"/>
          <w:szCs w:val="32"/>
          <w:highlight w:val="none"/>
          <w:lang w:val="en-US" w:eastAsia="zh-CN"/>
        </w:rPr>
        <w:t>（2）资金使用情况</w:t>
      </w:r>
      <w:bookmarkEnd w:id="34"/>
      <w:bookmarkEnd w:id="35"/>
      <w:bookmarkEnd w:id="36"/>
    </w:p>
    <w:p w14:paraId="0576B4F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7" w:name="_Toc11647"/>
      <w:bookmarkStart w:id="38" w:name="_Toc29121"/>
      <w:bookmarkStart w:id="39" w:name="_Toc1430"/>
      <w:r>
        <w:rPr>
          <w:rFonts w:hint="eastAsia" w:ascii="仿宋_GB2312" w:hAnsi="仿宋_GB2312" w:eastAsia="仿宋_GB2312" w:cs="仿宋_GB2312"/>
          <w:color w:val="auto"/>
          <w:sz w:val="32"/>
          <w:szCs w:val="32"/>
          <w:highlight w:val="none"/>
          <w:lang w:val="en-US" w:eastAsia="zh-CN"/>
        </w:rPr>
        <w:t>该项目年初预算数1201.97万元，全年预算数1201.97万元，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1201.97万元，预算执行率为100%，主要用于：要求新疆科林思德新能源有限责任公司单位2024年预计完成非常规天然气开采利用量6269万m³,采暖季非常规天然气利用量占全年比例大于30%，非常规天然气开采利用率大于88%，非常规天然气抽采量6383万m³，项目的实施预计达到增加能源供应，减少温室气体排放。。</w:t>
      </w:r>
      <w:bookmarkEnd w:id="37"/>
      <w:bookmarkEnd w:id="38"/>
      <w:bookmarkEnd w:id="39"/>
    </w:p>
    <w:p w14:paraId="7258926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0" w:name="_Toc9109"/>
      <w:r>
        <w:rPr>
          <w:rFonts w:hint="eastAsia" w:ascii="Times New Roman" w:hAnsi="Times New Roman" w:eastAsia="楷体_GB2312" w:cs="Times New Roman"/>
          <w:color w:val="auto"/>
          <w:kern w:val="28"/>
          <w:sz w:val="32"/>
          <w:highlight w:val="none"/>
          <w:lang w:val="en-US" w:eastAsia="zh-CN"/>
        </w:rPr>
        <w:t>（二）项目绩效目标</w:t>
      </w:r>
      <w:bookmarkEnd w:id="40"/>
    </w:p>
    <w:p w14:paraId="02D2416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1" w:name="_Toc8528"/>
      <w:bookmarkStart w:id="42" w:name="_Toc2547"/>
      <w:bookmarkStart w:id="43" w:name="_Toc14758"/>
      <w:bookmarkStart w:id="44" w:name="_Toc100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41"/>
      <w:bookmarkEnd w:id="42"/>
      <w:bookmarkEnd w:id="43"/>
      <w:bookmarkEnd w:id="44"/>
    </w:p>
    <w:p w14:paraId="1213313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2024年清洁能源发展专项资金项目绩效总体目标为：阜康市发展和改革委员会负责研究提出能源发展战略、规划，贯彻发展能源工业的方针政策，负责能源安全监督管理及行业管理和安全生产检查监督管理工作。要求新疆科林思德新能源有限责任公司单位2024年预计完成非常规天然气开采利用量6269万m³,采暖季非常规天然气利用量占全年比例大于30%，非常规天然气开采利用率大于88%，非常规天然气抽采量6383万m³，项目的实施预计达到增加能源供应，减少温室气体排放。</w:t>
      </w:r>
    </w:p>
    <w:p w14:paraId="11D96A65">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5" w:name="_Toc3255"/>
      <w:bookmarkStart w:id="46" w:name="_Toc8990"/>
      <w:bookmarkStart w:id="47" w:name="_Toc4007"/>
      <w:bookmarkStart w:id="48" w:name="_Toc4487"/>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5"/>
      <w:bookmarkEnd w:id="46"/>
      <w:bookmarkEnd w:id="47"/>
      <w:bookmarkEnd w:id="48"/>
    </w:p>
    <w:p w14:paraId="7F92673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02FBAC3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297297A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3C7ED48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非常规天然气开采利用量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指标，预期目标值为6269万立方米；</w:t>
      </w:r>
    </w:p>
    <w:p w14:paraId="61C50FD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采暖季非常规天然气利用量占全年比例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指标，预期目标值为&gt;30%；</w:t>
      </w:r>
    </w:p>
    <w:p w14:paraId="08B183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非常规天然气开采利用率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指标，预期目标值为≥88%；</w:t>
      </w:r>
    </w:p>
    <w:p w14:paraId="6A6050D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非常规天然气抽采量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指标，预期目标值为6383万立方米；</w:t>
      </w:r>
    </w:p>
    <w:p w14:paraId="3E2E829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33A5025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非常规天然气抽采设备情况</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指标，预期目标值为质量稳定、安全可靠；</w:t>
      </w:r>
    </w:p>
    <w:p w14:paraId="4F6BD5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6E8874E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非常规天然气项目设备更新维护及时率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4F28FBB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019CDE1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616660A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是否做到增加能源供应、减少安全事故</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指标，预期目标值为是；</w:t>
      </w:r>
    </w:p>
    <w:p w14:paraId="7E6FFB0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②生态效益指标</w:t>
      </w:r>
    </w:p>
    <w:p w14:paraId="7B499A9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是否减少温室气体排放</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指标，预期目标值为是；</w:t>
      </w:r>
    </w:p>
    <w:p w14:paraId="054BE5D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③满意度指标</w:t>
      </w:r>
    </w:p>
    <w:p w14:paraId="32E5FC6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项目实施地周边群众满意度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2A7CA14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实施项目公示率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3D8F455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实施项目公示无异议率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7670292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9" w:name="_Toc26567"/>
      <w:r>
        <w:rPr>
          <w:rFonts w:hint="eastAsia" w:ascii="宋体" w:hAnsi="宋体" w:eastAsia="宋体" w:cs="宋体"/>
          <w:b/>
          <w:bCs/>
          <w:color w:val="auto"/>
          <w:highlight w:val="none"/>
          <w:shd w:val="clear" w:color="auto" w:fill="auto"/>
        </w:rPr>
        <w:t>二、绩效评价工作开展情况</w:t>
      </w:r>
      <w:bookmarkEnd w:id="49"/>
    </w:p>
    <w:p w14:paraId="21A7C81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50" w:name="_Toc12868"/>
      <w:bookmarkStart w:id="51" w:name="_Toc26632"/>
      <w:bookmarkStart w:id="52" w:name="_Toc21664"/>
      <w:bookmarkStart w:id="53" w:name="_Toc480473081"/>
      <w:bookmarkStart w:id="54" w:name="_Toc22169_WPSOffice_Level2"/>
      <w:bookmarkStart w:id="55" w:name="_Toc22922"/>
      <w:bookmarkStart w:id="56" w:name="_Toc5258"/>
      <w:bookmarkStart w:id="57" w:name="_Toc5462343"/>
      <w:bookmarkStart w:id="58" w:name="_Toc22839"/>
      <w:r>
        <w:rPr>
          <w:rFonts w:hint="eastAsia" w:ascii="Times New Roman" w:hAnsi="Times New Roman" w:eastAsia="楷体_GB2312" w:cs="Times New Roman"/>
          <w:color w:val="auto"/>
          <w:kern w:val="28"/>
          <w:sz w:val="32"/>
          <w:highlight w:val="none"/>
          <w:lang w:val="en-US" w:eastAsia="zh-CN"/>
        </w:rPr>
        <w:t>（一）绩效评价的目的</w:t>
      </w:r>
      <w:bookmarkEnd w:id="50"/>
      <w:bookmarkEnd w:id="51"/>
      <w:bookmarkEnd w:id="52"/>
      <w:bookmarkEnd w:id="53"/>
      <w:bookmarkEnd w:id="54"/>
      <w:bookmarkEnd w:id="55"/>
      <w:bookmarkEnd w:id="56"/>
      <w:bookmarkEnd w:id="57"/>
      <w:r>
        <w:rPr>
          <w:rFonts w:hint="eastAsia" w:ascii="Times New Roman" w:hAnsi="Times New Roman" w:eastAsia="楷体_GB2312" w:cs="Times New Roman"/>
          <w:color w:val="auto"/>
          <w:kern w:val="28"/>
          <w:sz w:val="32"/>
          <w:highlight w:val="none"/>
          <w:lang w:val="en-US" w:eastAsia="zh-CN"/>
        </w:rPr>
        <w:t>、对象和范围</w:t>
      </w:r>
      <w:bookmarkEnd w:id="58"/>
    </w:p>
    <w:p w14:paraId="59A1E95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9"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62DEC614">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40918B">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w:t>
      </w:r>
      <w:r>
        <w:rPr>
          <w:rFonts w:hint="eastAsia" w:eastAsia="仿宋_GB2312" w:cs="Times New Roman"/>
          <w:color w:val="auto"/>
          <w:sz w:val="32"/>
          <w:szCs w:val="32"/>
          <w:highlight w:val="none"/>
          <w:lang w:val="en-US" w:eastAsia="zh-CN"/>
        </w:rPr>
        <w:t>生态</w:t>
      </w:r>
      <w:r>
        <w:rPr>
          <w:rFonts w:hint="default" w:ascii="Times New Roman" w:hAnsi="Times New Roman" w:eastAsia="仿宋_GB2312" w:cs="Times New Roman"/>
          <w:color w:val="auto"/>
          <w:sz w:val="32"/>
          <w:szCs w:val="32"/>
          <w:highlight w:val="none"/>
          <w:lang w:val="en-US" w:eastAsia="zh-CN"/>
        </w:rPr>
        <w:t>效益等多个维度，力求全方位反映项目的绩效状况。同时，对于每个指标的评价标准和数据来源均进行了明确说明，确保评价结果的客观性和可追溯性。</w:t>
      </w:r>
    </w:p>
    <w:p w14:paraId="3C1D780B">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41F3EBB">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B231AE4">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3DE6BDB5">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0" w:name="_Toc417"/>
      <w:bookmarkStart w:id="61"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9"/>
      <w:bookmarkEnd w:id="60"/>
      <w:bookmarkEnd w:id="61"/>
    </w:p>
    <w:p w14:paraId="4C825BB6">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14:paraId="285B302F">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bookmarkStart w:id="62" w:name="_Toc30609"/>
      <w:r>
        <w:rPr>
          <w:rFonts w:hint="default" w:ascii="Times New Roman" w:hAnsi="Times New Roman" w:eastAsia="仿宋_GB2312" w:cs="Times New Roman"/>
          <w:color w:val="auto"/>
          <w:sz w:val="32"/>
          <w:szCs w:val="32"/>
          <w:highlight w:val="none"/>
          <w:lang w:val="en-US" w:eastAsia="zh-CN"/>
        </w:rPr>
        <w:t>（1）评估项目实施效果</w:t>
      </w:r>
    </w:p>
    <w:p w14:paraId="6AA1062D">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通过对项目预算执行情况及各项绩效目标达成程度的系统性分析，全面、客观地评估项目在预定周期内的实施效果，包括社会效益、</w:t>
      </w:r>
      <w:r>
        <w:rPr>
          <w:rFonts w:hint="eastAsia" w:ascii="Times New Roman" w:hAnsi="Times New Roman" w:eastAsia="仿宋_GB2312" w:cs="Times New Roman"/>
          <w:color w:val="auto"/>
          <w:sz w:val="32"/>
          <w:szCs w:val="32"/>
          <w:highlight w:val="none"/>
          <w:lang w:val="en-US" w:eastAsia="zh-CN"/>
        </w:rPr>
        <w:t>生态</w:t>
      </w:r>
      <w:r>
        <w:rPr>
          <w:rFonts w:hint="default" w:ascii="Times New Roman" w:hAnsi="Times New Roman" w:eastAsia="仿宋_GB2312" w:cs="Times New Roman"/>
          <w:color w:val="auto"/>
          <w:sz w:val="32"/>
          <w:szCs w:val="32"/>
          <w:highlight w:val="none"/>
          <w:lang w:val="en-US" w:eastAsia="zh-CN"/>
        </w:rPr>
        <w:t>效益等多维度指标，为项目后续的改进与优化提供科学依据。</w:t>
      </w:r>
    </w:p>
    <w:p w14:paraId="39366DDE">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（2）提升资源利用效率</w:t>
      </w:r>
    </w:p>
    <w:p w14:paraId="2EB1AA79">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798F496">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（3）强化项目管理责任</w:t>
      </w:r>
    </w:p>
    <w:p w14:paraId="377832AB">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149F94F">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（4）为决策提供支持</w:t>
      </w:r>
    </w:p>
    <w:p w14:paraId="17FC50A7">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05E49D5">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（5）促进项目持续改进</w:t>
      </w:r>
    </w:p>
    <w:p w14:paraId="2237DDF2">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0927252">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7E12603">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3" w:name="_Toc16346"/>
      <w:bookmarkStart w:id="64" w:name="_Toc31970"/>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2"/>
      <w:bookmarkEnd w:id="63"/>
      <w:bookmarkEnd w:id="64"/>
    </w:p>
    <w:p w14:paraId="3EDEFFB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文件要求对2024年度我单位实施的2024年清洁能源发展专项资金项目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2F3B0A8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新疆科林思德新能源有限责任公司单位</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简述项目目标或预期成果</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2024年2月1日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的全部资金投入与支出，涉及资金总额为1201.97万元。</w:t>
      </w:r>
    </w:p>
    <w:p w14:paraId="1422486E">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5" w:name="_Toc11666"/>
      <w:bookmarkStart w:id="66" w:name="_Toc21311"/>
      <w:r>
        <w:rPr>
          <w:rFonts w:hint="default" w:cs="仿宋_GB2312"/>
          <w:color w:val="auto"/>
          <w:sz w:val="32"/>
          <w:szCs w:val="32"/>
          <w:highlight w:val="none"/>
          <w:shd w:val="clear" w:color="auto" w:fill="auto"/>
          <w:lang w:val="en-US" w:eastAsia="zh-CN"/>
        </w:rPr>
        <w:t>4.绩效评价的范围</w:t>
      </w:r>
      <w:bookmarkEnd w:id="65"/>
      <w:bookmarkEnd w:id="66"/>
    </w:p>
    <w:p w14:paraId="2471D08B">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337E382A">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709F988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62C18EB5">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3FD7BE50">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生态等</w:t>
      </w:r>
      <w:r>
        <w:rPr>
          <w:rFonts w:hint="eastAsia" w:ascii="仿宋_GB2312" w:hAnsi="仿宋_GB2312" w:eastAsia="仿宋_GB2312" w:cs="仿宋_GB2312"/>
          <w:b w:val="0"/>
          <w:bCs w:val="0"/>
          <w:color w:val="auto"/>
          <w:sz w:val="32"/>
          <w:szCs w:val="32"/>
          <w:highlight w:val="none"/>
        </w:rPr>
        <w:t>影响：考察项目对社会、</w:t>
      </w:r>
      <w:r>
        <w:rPr>
          <w:rFonts w:hint="eastAsia" w:ascii="仿宋_GB2312" w:hAnsi="仿宋_GB2312" w:eastAsia="仿宋_GB2312" w:cs="仿宋_GB2312"/>
          <w:b w:val="0"/>
          <w:bCs w:val="0"/>
          <w:color w:val="auto"/>
          <w:sz w:val="32"/>
          <w:szCs w:val="32"/>
          <w:highlight w:val="none"/>
          <w:lang w:val="en-US" w:eastAsia="zh-CN"/>
        </w:rPr>
        <w:t>生态</w:t>
      </w:r>
      <w:r>
        <w:rPr>
          <w:rFonts w:hint="eastAsia" w:ascii="仿宋_GB2312" w:hAnsi="仿宋_GB2312" w:eastAsia="仿宋_GB2312" w:cs="仿宋_GB2312"/>
          <w:b w:val="0"/>
          <w:bCs w:val="0"/>
          <w:color w:val="auto"/>
          <w:sz w:val="32"/>
          <w:szCs w:val="32"/>
          <w:highlight w:val="none"/>
        </w:rPr>
        <w:t>等方面的综合影响。</w:t>
      </w:r>
    </w:p>
    <w:p w14:paraId="5CFDD17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7" w:name="_Toc1286"/>
      <w:bookmarkStart w:id="68" w:name="_Toc29785"/>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7"/>
      <w:bookmarkEnd w:id="68"/>
    </w:p>
    <w:p w14:paraId="5CC96ED4">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9" w:name="_Toc24506"/>
      <w:bookmarkStart w:id="70" w:name="_Toc5354"/>
      <w:bookmarkStart w:id="71" w:name="_Toc1369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9"/>
      <w:bookmarkEnd w:id="70"/>
      <w:bookmarkEnd w:id="71"/>
    </w:p>
    <w:p w14:paraId="6FA99C8D">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w:t>
      </w:r>
      <w:r>
        <w:rPr>
          <w:rFonts w:hint="eastAsia" w:ascii="仿宋_GB2312" w:hAnsi="仿宋_GB2312" w:eastAsia="仿宋_GB2312" w:cs="仿宋_GB2312"/>
          <w:color w:val="auto"/>
          <w:sz w:val="32"/>
          <w:szCs w:val="32"/>
          <w:highlight w:val="none"/>
          <w:shd w:val="clear" w:color="auto" w:fill="auto"/>
          <w:lang w:val="en-US" w:eastAsia="zh-CN"/>
        </w:rPr>
        <w:t>2024年清洁能源发展专项资金</w:t>
      </w:r>
      <w:r>
        <w:rPr>
          <w:rFonts w:hint="eastAsia" w:ascii="Times New Roman" w:hAnsi="Times New Roman" w:eastAsia="仿宋_GB2312" w:cs="Times New Roman"/>
          <w:color w:val="auto"/>
          <w:sz w:val="32"/>
          <w:szCs w:val="32"/>
          <w:highlight w:val="none"/>
          <w:lang w:eastAsia="zh-CN"/>
        </w:rPr>
        <w:t>项目实际开展情况，运用定量和定性分析相结合的方法，总结经验做法，反思项目实施和管理中的问题，以切实提升财政资金管理的科学化、规范化和精细化水平。</w:t>
      </w:r>
    </w:p>
    <w:p w14:paraId="69B29E60">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2999B57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5D805DED">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01685E98">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56391F75">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77E8EBF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2" w:name="_Toc428278230"/>
      <w:bookmarkStart w:id="73" w:name="_Toc24396"/>
      <w:bookmarkStart w:id="74" w:name="_Toc1913"/>
      <w:bookmarkStart w:id="75" w:name="_Toc419984722"/>
      <w:bookmarkStart w:id="76" w:name="_Toc26131"/>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2"/>
      <w:bookmarkEnd w:id="73"/>
      <w:bookmarkEnd w:id="74"/>
      <w:bookmarkEnd w:id="75"/>
      <w:bookmarkEnd w:id="76"/>
    </w:p>
    <w:p w14:paraId="75BAA39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7"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211B252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545C497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2BD3C8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4A02F9E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4E06CFE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4F81036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4421DE6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161103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37795B8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8" w:name="_Toc30114"/>
      <w:bookmarkStart w:id="79"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7"/>
      <w:bookmarkEnd w:id="78"/>
      <w:bookmarkEnd w:id="79"/>
    </w:p>
    <w:p w14:paraId="56E09DD1">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80"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3E6314D1">
      <w:pPr>
        <w:numPr>
          <w:ilvl w:val="0"/>
          <w:numId w:val="0"/>
        </w:num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27007306">
      <w:pPr>
        <w:numPr>
          <w:ilvl w:val="0"/>
          <w:numId w:val="0"/>
        </w:num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lang w:val="en-US" w:eastAsia="zh-CN"/>
        </w:rPr>
        <w:t>1</w:t>
      </w:r>
      <w:r>
        <w:rPr>
          <w:rFonts w:hint="eastAsia" w:ascii="仿宋_GB2312" w:hAnsi="仿宋_GB2312" w:eastAsia="仿宋_GB2312" w:cs="仿宋_GB2312"/>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43BA06BC">
      <w:pPr>
        <w:numPr>
          <w:ilvl w:val="0"/>
          <w:numId w:val="0"/>
        </w:numPr>
        <w:spacing w:line="560" w:lineRule="exact"/>
        <w:ind w:firstLine="708" w:firstLineChars="200"/>
        <w:rPr>
          <w:rFonts w:hint="default"/>
          <w:color w:val="auto"/>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原因：通过将项目的实际效果与预定目标、历史数据或同类项目进行对比，能直观地反映出项目的绩效情况。</w:t>
      </w:r>
    </w:p>
    <w:p w14:paraId="6813DEA3">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56AD754B">
      <w:pPr>
        <w:spacing w:line="560" w:lineRule="exact"/>
        <w:rPr>
          <w:rFonts w:hint="default"/>
          <w:color w:val="auto"/>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原因：项目涉及多个影响因素，如</w:t>
      </w:r>
      <w:r>
        <w:rPr>
          <w:rFonts w:hint="eastAsia" w:ascii="Times New Roman" w:hAnsi="Times New Roman" w:eastAsia="仿宋_GB2312" w:cs="Times New Roman"/>
          <w:b w:val="0"/>
          <w:color w:val="auto"/>
          <w:spacing w:val="17"/>
          <w:kern w:val="2"/>
          <w:sz w:val="32"/>
          <w:szCs w:val="32"/>
          <w:highlight w:val="none"/>
          <w:lang w:val="en-US" w:eastAsia="zh-CN" w:bidi="ar-SA"/>
        </w:rPr>
        <w:t>非常规天然气设备情况，天然气开采利用</w:t>
      </w:r>
      <w:r>
        <w:rPr>
          <w:rFonts w:hint="default" w:ascii="Times New Roman" w:hAnsi="Times New Roman" w:eastAsia="仿宋_GB2312" w:cs="Times New Roman"/>
          <w:b w:val="0"/>
          <w:color w:val="auto"/>
          <w:spacing w:val="17"/>
          <w:kern w:val="2"/>
          <w:sz w:val="32"/>
          <w:szCs w:val="32"/>
          <w:highlight w:val="none"/>
          <w:lang w:val="en-US" w:eastAsia="zh-CN" w:bidi="ar-SA"/>
        </w:rPr>
        <w:t>效率</w:t>
      </w:r>
      <w:r>
        <w:rPr>
          <w:rFonts w:hint="eastAsia" w:ascii="Times New Roman" w:hAnsi="Times New Roman" w:eastAsia="仿宋_GB2312" w:cs="Times New Roman"/>
          <w:b w:val="0"/>
          <w:color w:val="auto"/>
          <w:spacing w:val="17"/>
          <w:kern w:val="2"/>
          <w:sz w:val="32"/>
          <w:szCs w:val="32"/>
          <w:highlight w:val="none"/>
          <w:lang w:val="en-US" w:eastAsia="zh-CN" w:bidi="ar-SA"/>
        </w:rPr>
        <w:t>、</w:t>
      </w:r>
      <w:r>
        <w:rPr>
          <w:rFonts w:hint="default" w:ascii="Times New Roman" w:hAnsi="Times New Roman" w:eastAsia="仿宋_GB2312" w:cs="Times New Roman"/>
          <w:b w:val="0"/>
          <w:color w:val="auto"/>
          <w:spacing w:val="17"/>
          <w:kern w:val="2"/>
          <w:sz w:val="32"/>
          <w:szCs w:val="32"/>
          <w:highlight w:val="none"/>
          <w:lang w:val="en-US" w:eastAsia="zh-CN" w:bidi="ar-SA"/>
        </w:rPr>
        <w:t>政策环境的变化等。因素分析法可以将这些因素进行分解和分析，确定每个因素对项目绩效的影响程度。通过这种方法，能够找出影响项目绩效的关键因素，以便有针对性地采取措施加以改进，提高项目的绩效水平。</w:t>
      </w:r>
    </w:p>
    <w:p w14:paraId="015646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1A64D8B4">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w:t>
      </w:r>
      <w:r>
        <w:rPr>
          <w:rFonts w:hint="eastAsia" w:ascii="Times New Roman" w:hAnsi="Times New Roman" w:eastAsia="仿宋_GB2312" w:cs="Times New Roman"/>
          <w:b w:val="0"/>
          <w:color w:val="auto"/>
          <w:spacing w:val="17"/>
          <w:kern w:val="2"/>
          <w:sz w:val="32"/>
          <w:szCs w:val="32"/>
          <w:highlight w:val="none"/>
          <w:lang w:val="en-US" w:eastAsia="zh-CN" w:bidi="ar-SA"/>
        </w:rPr>
        <w:t>项目实施情况</w:t>
      </w:r>
      <w:r>
        <w:rPr>
          <w:rFonts w:hint="default" w:ascii="Times New Roman" w:hAnsi="Times New Roman" w:eastAsia="仿宋_GB2312" w:cs="Times New Roman"/>
          <w:b w:val="0"/>
          <w:color w:val="auto"/>
          <w:spacing w:val="17"/>
          <w:kern w:val="2"/>
          <w:sz w:val="32"/>
          <w:szCs w:val="32"/>
          <w:highlight w:val="none"/>
          <w:lang w:val="en-US" w:eastAsia="zh-CN" w:bidi="ar-SA"/>
        </w:rPr>
        <w:t>等相关公众对项目的实施效果有直接或间接的感受。公众评判法可以充分听取他们的意见和建议，从不同角度评价项目的绩效。比如，</w:t>
      </w:r>
      <w:r>
        <w:rPr>
          <w:rFonts w:hint="eastAsia" w:ascii="Times New Roman" w:hAnsi="Times New Roman" w:eastAsia="仿宋_GB2312" w:cs="Times New Roman"/>
          <w:b w:val="0"/>
          <w:color w:val="auto"/>
          <w:spacing w:val="17"/>
          <w:kern w:val="2"/>
          <w:sz w:val="32"/>
          <w:szCs w:val="32"/>
          <w:highlight w:val="none"/>
          <w:lang w:val="en-US" w:eastAsia="zh-CN" w:bidi="ar-SA"/>
        </w:rPr>
        <w:t>项目实施的周边群众的满意度</w:t>
      </w:r>
      <w:r>
        <w:rPr>
          <w:rFonts w:hint="default" w:ascii="Times New Roman" w:hAnsi="Times New Roman" w:eastAsia="仿宋_GB2312" w:cs="Times New Roman"/>
          <w:b w:val="0"/>
          <w:color w:val="auto"/>
          <w:spacing w:val="17"/>
          <w:kern w:val="2"/>
          <w:sz w:val="32"/>
          <w:szCs w:val="32"/>
          <w:highlight w:val="none"/>
          <w:lang w:val="en-US" w:eastAsia="zh-CN" w:bidi="ar-SA"/>
        </w:rPr>
        <w:t>角度进行评价，可以</w:t>
      </w:r>
      <w:r>
        <w:rPr>
          <w:rFonts w:hint="eastAsia" w:ascii="Times New Roman" w:hAnsi="Times New Roman" w:eastAsia="仿宋_GB2312" w:cs="Times New Roman"/>
          <w:b w:val="0"/>
          <w:color w:val="auto"/>
          <w:spacing w:val="17"/>
          <w:kern w:val="2"/>
          <w:sz w:val="32"/>
          <w:szCs w:val="32"/>
          <w:highlight w:val="none"/>
          <w:lang w:val="en-US" w:eastAsia="zh-CN" w:bidi="ar-SA"/>
        </w:rPr>
        <w:t>了解项目运行的效果</w:t>
      </w:r>
      <w:r>
        <w:rPr>
          <w:rFonts w:hint="default" w:ascii="Times New Roman" w:hAnsi="Times New Roman" w:eastAsia="仿宋_GB2312" w:cs="Times New Roman"/>
          <w:b w:val="0"/>
          <w:color w:val="auto"/>
          <w:spacing w:val="17"/>
          <w:kern w:val="2"/>
          <w:sz w:val="32"/>
          <w:szCs w:val="32"/>
          <w:highlight w:val="none"/>
          <w:lang w:val="en-US" w:eastAsia="zh-CN" w:bidi="ar-SA"/>
        </w:rPr>
        <w:t>，使绩效评价更具全面性和客观性，也能增强评价结果的可信度和社会认可度。</w:t>
      </w:r>
    </w:p>
    <w:p w14:paraId="3EDC9BC2">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1" w:name="_Toc25651"/>
      <w:bookmarkStart w:id="82" w:name="_Toc6081"/>
      <w:r>
        <w:rPr>
          <w:rFonts w:hint="eastAsia" w:ascii="仿宋_GB2312" w:hAnsi="仿宋_GB2312" w:eastAsia="仿宋_GB2312" w:cs="仿宋_GB2312"/>
          <w:color w:val="auto"/>
          <w:sz w:val="32"/>
          <w:szCs w:val="32"/>
          <w:highlight w:val="none"/>
          <w:shd w:val="clear" w:color="auto" w:fill="auto"/>
          <w:lang w:val="en-US" w:eastAsia="zh-CN"/>
        </w:rPr>
        <w:t>4.评价标准</w:t>
      </w:r>
      <w:bookmarkEnd w:id="80"/>
      <w:bookmarkEnd w:id="81"/>
      <w:bookmarkEnd w:id="82"/>
    </w:p>
    <w:p w14:paraId="534CC99F">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eastAsia="zh-CN"/>
        </w:rPr>
        <w:t>、行业标准</w:t>
      </w:r>
      <w:r>
        <w:rPr>
          <w:rFonts w:hint="default" w:ascii="Times New Roman" w:hAnsi="Times New Roman" w:eastAsia="仿宋_GB2312" w:cs="Times New Roman"/>
          <w:color w:val="auto"/>
          <w:spacing w:val="17"/>
          <w:sz w:val="32"/>
          <w:szCs w:val="32"/>
          <w:highlight w:val="none"/>
        </w:rPr>
        <w:t>。</w:t>
      </w:r>
    </w:p>
    <w:p w14:paraId="4B62A2C6">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6246677C">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48EB9A3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3" w:name="_Toc21435"/>
      <w:r>
        <w:rPr>
          <w:rFonts w:hint="eastAsia" w:ascii="Times New Roman" w:hAnsi="Times New Roman" w:eastAsia="楷体_GB2312" w:cs="Times New Roman"/>
          <w:color w:val="auto"/>
          <w:kern w:val="28"/>
          <w:sz w:val="32"/>
          <w:highlight w:val="none"/>
          <w:lang w:val="en-US" w:eastAsia="zh-CN"/>
        </w:rPr>
        <w:t>（三）绩效评价工作过程</w:t>
      </w:r>
      <w:bookmarkEnd w:id="83"/>
    </w:p>
    <w:p w14:paraId="5C6EFF0C">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4"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4"/>
    </w:p>
    <w:p w14:paraId="1349EEC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0765367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4590116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5"/>
    </w:p>
    <w:p w14:paraId="1A752D6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2024年清洁能源发展专项资金</w:t>
      </w:r>
      <w:r>
        <w:rPr>
          <w:rFonts w:hint="eastAsia" w:ascii="Times New Roman" w:hAnsi="Times New Roman" w:eastAsia="仿宋_GB2312" w:cs="Times New Roman"/>
          <w:color w:val="auto"/>
          <w:spacing w:val="17"/>
          <w:sz w:val="32"/>
          <w:szCs w:val="32"/>
          <w:highlight w:val="none"/>
          <w:lang w:val="en-US" w:eastAsia="zh-CN"/>
        </w:rPr>
        <w:t>项目实施内容、目标信息、预算信息以及其他的一些项目基本信息，有了初步了解，为制定绩效评价工作方案做好准备。</w:t>
      </w:r>
      <w:bookmarkEnd w:id="86"/>
    </w:p>
    <w:p w14:paraId="188BC92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7"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7"/>
    </w:p>
    <w:p w14:paraId="1E060A3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8"/>
    </w:p>
    <w:p w14:paraId="64E098C7">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9"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9"/>
    </w:p>
    <w:p w14:paraId="3A3FB6B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90"/>
    </w:p>
    <w:p w14:paraId="7785A4C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91"/>
    </w:p>
    <w:p w14:paraId="25F0FBD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2"/>
    </w:p>
    <w:p w14:paraId="449FAB3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3"/>
    </w:p>
    <w:p w14:paraId="35DDC10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4"/>
    </w:p>
    <w:p w14:paraId="406201A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5"/>
    </w:p>
    <w:p w14:paraId="74D6A50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6"/>
    </w:p>
    <w:p w14:paraId="75E0A64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7"/>
    </w:p>
    <w:p w14:paraId="6E47E4E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8"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8"/>
    </w:p>
    <w:p w14:paraId="4B4157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9"/>
    </w:p>
    <w:p w14:paraId="70F2B45A">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100"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100"/>
    </w:p>
    <w:p w14:paraId="111DB37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101"/>
    </w:p>
    <w:p w14:paraId="6C9C6A3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2"/>
    </w:p>
    <w:p w14:paraId="1D6CB36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3"/>
    </w:p>
    <w:p w14:paraId="072409D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4"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4"/>
    </w:p>
    <w:p w14:paraId="5B02B8D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5"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5"/>
    </w:p>
    <w:p w14:paraId="3F24D5C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6"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6"/>
    </w:p>
    <w:p w14:paraId="4E51A11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7"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7"/>
    </w:p>
    <w:p w14:paraId="3F3C1249">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2024年清洁能源发展专项资金</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726F270F">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阜康市发展和改革委员</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525075E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w:t>
      </w:r>
      <w:r>
        <w:rPr>
          <w:rFonts w:hint="eastAsia" w:eastAsia="仿宋_GB2312" w:cs="Times New Roman"/>
          <w:color w:val="auto"/>
          <w:sz w:val="32"/>
          <w:szCs w:val="32"/>
          <w:highlight w:val="none"/>
          <w:lang w:val="en-US" w:eastAsia="zh-CN"/>
        </w:rPr>
        <w:t>生态</w:t>
      </w:r>
      <w:r>
        <w:rPr>
          <w:rFonts w:hint="default" w:ascii="Times New Roman" w:hAnsi="Times New Roman" w:eastAsia="仿宋_GB2312" w:cs="Times New Roman"/>
          <w:color w:val="auto"/>
          <w:sz w:val="32"/>
          <w:szCs w:val="32"/>
          <w:highlight w:val="none"/>
        </w:rPr>
        <w:t>效益等方面产生了积极的影响。具体而言，</w:t>
      </w:r>
      <w:r>
        <w:rPr>
          <w:rFonts w:hint="eastAsia" w:ascii="Times New Roman" w:hAnsi="Times New Roman" w:eastAsia="仿宋_GB2312" w:cs="Times New Roman"/>
          <w:color w:val="auto"/>
          <w:sz w:val="32"/>
          <w:szCs w:val="32"/>
          <w:highlight w:val="none"/>
          <w:lang w:val="en-US" w:eastAsia="zh-CN"/>
        </w:rPr>
        <w:t>做到增加能源供应、减少安全事故，减少温室气体排放</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14BD19D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2024年清洁能源发展专项资金</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0BD7DB6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8" w:name="_Toc11863"/>
      <w:r>
        <w:rPr>
          <w:rFonts w:hint="eastAsia" w:ascii="Times New Roman" w:hAnsi="Times New Roman" w:eastAsia="楷体_GB2312" w:cs="Times New Roman"/>
          <w:color w:val="auto"/>
          <w:kern w:val="28"/>
          <w:sz w:val="32"/>
          <w:highlight w:val="none"/>
          <w:lang w:val="en-US" w:eastAsia="zh-CN"/>
        </w:rPr>
        <w:t>（二）相关评分表</w:t>
      </w:r>
      <w:bookmarkEnd w:id="108"/>
    </w:p>
    <w:p w14:paraId="180E364D">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2024年清洁能源发展专项资金</w:t>
      </w:r>
      <w:r>
        <w:rPr>
          <w:rFonts w:hint="eastAsia" w:ascii="Times New Roman" w:hAnsi="Times New Roman" w:eastAsia="仿宋_GB2312" w:cs="Times New Roman"/>
          <w:color w:val="auto"/>
          <w:spacing w:val="17"/>
          <w:sz w:val="32"/>
          <w:szCs w:val="32"/>
          <w:highlight w:val="none"/>
          <w:lang w:val="en-US" w:eastAsia="zh-CN"/>
        </w:rPr>
        <w:t>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95.25</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分，得分为</w:t>
      </w:r>
      <w:r>
        <w:rPr>
          <w:rFonts w:hint="eastAsia" w:ascii="Times New Roman" w:hAnsi="Times New Roman" w:eastAsia="仿宋_GB2312" w:cs="Times New Roman"/>
          <w:color w:val="auto"/>
          <w:spacing w:val="17"/>
          <w:sz w:val="32"/>
          <w:szCs w:val="32"/>
          <w:highlight w:val="none"/>
          <w:lang w:val="en-US" w:eastAsia="zh-CN"/>
        </w:rPr>
        <w:t>37.63</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94.08</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5E6DC337">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6EF725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2024年清洁能源发展专项资金</w:t>
            </w:r>
            <w:r>
              <w:rPr>
                <w:rFonts w:hint="eastAsia" w:ascii="宋体" w:hAnsi="宋体" w:eastAsia="宋体" w:cs="宋体"/>
                <w:b/>
                <w:bCs/>
                <w:color w:val="auto"/>
                <w:kern w:val="0"/>
                <w:sz w:val="28"/>
                <w:szCs w:val="28"/>
                <w:highlight w:val="none"/>
                <w:shd w:val="clear" w:color="auto" w:fill="auto"/>
                <w:lang w:val="en-US" w:eastAsia="zh-CN"/>
              </w:rPr>
              <w:t>项目得分表</w:t>
            </w:r>
          </w:p>
        </w:tc>
      </w:tr>
      <w:tr w14:paraId="1FE58FB2">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933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AFF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6BB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8C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715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E69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0FB9DC3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7DA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4A2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8DF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E77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EAD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4BA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07C1627A">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ED3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E15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DFF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AC7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37.63</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7B2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790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96.63</w:t>
            </w:r>
          </w:p>
        </w:tc>
      </w:tr>
      <w:tr w14:paraId="7C50FB0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47F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AC9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5F4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F1D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94.08</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B07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A2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96.63</w:t>
            </w:r>
            <w:r>
              <w:rPr>
                <w:rFonts w:hint="eastAsia" w:ascii="宋体" w:hAnsi="宋体" w:eastAsia="宋体" w:cs="宋体"/>
                <w:color w:val="auto"/>
                <w:kern w:val="0"/>
                <w:sz w:val="21"/>
                <w:szCs w:val="21"/>
                <w:highlight w:val="none"/>
                <w:shd w:val="clear" w:color="auto" w:fill="auto"/>
                <w:lang w:val="en-US" w:eastAsia="zh-CN"/>
              </w:rPr>
              <w:t>%</w:t>
            </w:r>
          </w:p>
        </w:tc>
      </w:tr>
    </w:tbl>
    <w:p w14:paraId="2702B86A">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9" w:name="_Toc14941"/>
      <w:r>
        <w:rPr>
          <w:rFonts w:hint="eastAsia" w:ascii="黑体" w:hAnsi="黑体" w:eastAsia="黑体" w:cs="黑体"/>
          <w:b w:val="0"/>
          <w:bCs w:val="0"/>
          <w:color w:val="auto"/>
          <w:highlight w:val="none"/>
          <w:shd w:val="clear" w:color="auto" w:fill="auto"/>
          <w:lang w:val="en-US" w:eastAsia="zh-CN"/>
        </w:rPr>
        <w:t>四、绩效评价指标分析</w:t>
      </w:r>
      <w:bookmarkEnd w:id="109"/>
    </w:p>
    <w:p w14:paraId="119A3DCB">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10" w:name="_Toc6759"/>
      <w:r>
        <w:rPr>
          <w:rFonts w:hint="eastAsia" w:ascii="Times New Roman" w:hAnsi="Times New Roman" w:eastAsia="楷体_GB2312" w:cs="Times New Roman"/>
          <w:color w:val="auto"/>
          <w:kern w:val="28"/>
          <w:sz w:val="32"/>
          <w:highlight w:val="none"/>
        </w:rPr>
        <w:t>（一）项目决策情况</w:t>
      </w:r>
      <w:bookmarkEnd w:id="110"/>
    </w:p>
    <w:p w14:paraId="495DD92B">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71431C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1089D3BD">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F6AD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15AB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5067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C8AA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ED74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B636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966A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3075FFD">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1733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53DC2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1E6D0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28263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1D5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853C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C704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7373172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35B77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D53A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78DF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0D84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ADA0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7147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E80A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A021A0F">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F8287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4B8B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14A7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257B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2875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41BB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B492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2F6C58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B3A78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05682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3AA3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B396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8FF8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637D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32C5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3EC0CA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AE14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04DFF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8560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17C78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611D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00A3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20E9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7906212D">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8477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D102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1A0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C297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4BD1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3568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F752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48CADD17">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4114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EFC2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97B9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4A3E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9056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472EC74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13522"/>
      <w:bookmarkStart w:id="112" w:name="_Toc28069"/>
      <w:r>
        <w:rPr>
          <w:rFonts w:hint="eastAsia" w:ascii="仿宋_GB2312" w:hAnsi="仿宋_GB2312" w:eastAsia="仿宋_GB2312" w:cs="仿宋_GB2312"/>
          <w:b/>
          <w:bCs/>
          <w:color w:val="auto"/>
          <w:sz w:val="32"/>
          <w:szCs w:val="32"/>
          <w:highlight w:val="none"/>
          <w:lang w:val="en-US" w:eastAsia="zh-CN"/>
        </w:rPr>
        <w:t>1.立项依据充分性</w:t>
      </w:r>
      <w:bookmarkEnd w:id="111"/>
      <w:bookmarkEnd w:id="112"/>
    </w:p>
    <w:p w14:paraId="1329675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2024年清洁能源发展专项资金管理办法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中华人民共和国预算法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事业单位财务规则</w:t>
      </w:r>
      <w:r>
        <w:rPr>
          <w:rFonts w:hint="eastAsia" w:ascii="仿宋_GB2312" w:hAnsi="仿宋_GB2312" w:eastAsia="仿宋_GB2312" w:cs="仿宋_GB2312"/>
          <w:color w:val="auto"/>
          <w:sz w:val="32"/>
          <w:szCs w:val="32"/>
          <w:highlight w:val="none"/>
          <w:lang w:eastAsia="zh-CN"/>
        </w:rPr>
        <w:t>》；</w:t>
      </w:r>
    </w:p>
    <w:p w14:paraId="70EE73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color w:val="auto"/>
          <w:sz w:val="32"/>
          <w:szCs w:val="32"/>
          <w:highlight w:val="none"/>
          <w:lang w:val="en-US" w:eastAsia="zh-CN"/>
        </w:rPr>
        <w:t>2024年清洁能源发展专项资金管理办法</w:t>
      </w:r>
      <w:r>
        <w:rPr>
          <w:rFonts w:hint="eastAsia" w:ascii="仿宋_GB2312" w:hAnsi="仿宋_GB2312" w:eastAsia="仿宋_GB2312" w:cs="仿宋_GB2312"/>
          <w:color w:val="auto"/>
          <w:sz w:val="32"/>
          <w:szCs w:val="32"/>
          <w:highlight w:val="none"/>
          <w:lang w:eastAsia="zh-CN"/>
        </w:rPr>
        <w:t>》行业发展规划和政策要求；</w:t>
      </w:r>
    </w:p>
    <w:p w14:paraId="3819FE5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en-US" w:eastAsia="zh-CN"/>
        </w:rPr>
        <w:t>负责阜康市发改委经济发展工作，研究制定阜康产业园经济发展规划、各类专项规划，并组织实施</w:t>
      </w:r>
      <w:r>
        <w:rPr>
          <w:rFonts w:hint="eastAsia" w:ascii="仿宋_GB2312" w:hAnsi="仿宋_GB2312" w:eastAsia="仿宋_GB2312" w:cs="仿宋_GB2312"/>
          <w:color w:val="auto"/>
          <w:sz w:val="32"/>
          <w:szCs w:val="32"/>
          <w:highlight w:val="none"/>
          <w:lang w:eastAsia="zh-CN"/>
        </w:rPr>
        <w:t>相符，属于部门履职所需；</w:t>
      </w:r>
    </w:p>
    <w:p w14:paraId="12C136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49B714C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1256B5C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1DE54A0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1976"/>
      <w:bookmarkStart w:id="114" w:name="_Toc23240"/>
      <w:r>
        <w:rPr>
          <w:rFonts w:hint="eastAsia" w:ascii="仿宋_GB2312" w:hAnsi="仿宋_GB2312" w:eastAsia="仿宋_GB2312" w:cs="仿宋_GB2312"/>
          <w:b/>
          <w:bCs/>
          <w:color w:val="auto"/>
          <w:sz w:val="32"/>
          <w:szCs w:val="32"/>
          <w:highlight w:val="none"/>
          <w:lang w:val="en-US" w:eastAsia="zh-CN"/>
        </w:rPr>
        <w:t>2.立项程序规范性</w:t>
      </w:r>
      <w:bookmarkEnd w:id="113"/>
      <w:bookmarkEnd w:id="114"/>
    </w:p>
    <w:p w14:paraId="21CABCE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15" w:name="_Toc23542"/>
      <w:bookmarkStart w:id="116" w:name="_Toc15382"/>
      <w:r>
        <w:rPr>
          <w:rFonts w:hint="eastAsia" w:ascii="仿宋_GB2312" w:hAnsi="仿宋_GB2312" w:eastAsia="仿宋_GB2312" w:cs="仿宋_GB2312"/>
          <w:color w:val="auto"/>
          <w:sz w:val="32"/>
          <w:szCs w:val="32"/>
          <w:highlight w:val="none"/>
          <w:lang w:eastAsia="zh-CN"/>
        </w:rPr>
        <w:t>①项目按照规定的程序申请设立；</w:t>
      </w:r>
    </w:p>
    <w:p w14:paraId="099BEF7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5B396F4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③事前经过必要的可行性研究、专家论证、风险评估、绩效评估、集体决策。</w:t>
      </w:r>
      <w:r>
        <w:rPr>
          <w:rFonts w:hint="eastAsia" w:ascii="仿宋_GB2312" w:hAnsi="仿宋_GB2312" w:eastAsia="仿宋_GB2312" w:cs="仿宋_GB2312"/>
          <w:color w:val="auto"/>
          <w:sz w:val="32"/>
          <w:szCs w:val="32"/>
          <w:highlight w:val="none"/>
          <w:lang w:val="en-US" w:eastAsia="zh-CN"/>
        </w:rPr>
        <w:t>根据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2024年清洁能源发展专项资金管理办法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。未经风险评估、绩效评估，扣除1分。</w:t>
      </w:r>
    </w:p>
    <w:p w14:paraId="201B6DF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1FF7558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3.绩效目标合理性</w:t>
      </w:r>
      <w:bookmarkEnd w:id="115"/>
      <w:bookmarkEnd w:id="116"/>
    </w:p>
    <w:p w14:paraId="4F846E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510BA2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2024年预计完成非常规天然气开采利用量6269万m³,采暖季非常规天然气利用量占全年比例大于30%，非常规天然气开采利用率大于88%，非常规天然气抽采量6383万m³。绩效目标与实际工作内容一致，两者具有相关性。</w:t>
      </w:r>
    </w:p>
    <w:p w14:paraId="38AFA8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完成非常规天然气开采利用量5967万m³,采暖季非常规天然气利用量占全年比例达到33.45%，非常规天然气开采利用率达到98.32%，非常规天然气抽采量6068.93万m³，非常规天然气抽采设备质量稳定安全可靠，非常规天然气项目设备更新维护及时率达到90%。达到增加能源供应、减少安全事故，减少温室气体排放效益，预期产出效益和效果符合正常的业绩水平。</w:t>
      </w:r>
    </w:p>
    <w:p w14:paraId="3B491D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1021.97</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35BC65E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7278133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8198"/>
      <w:bookmarkStart w:id="118" w:name="_Toc10650"/>
      <w:r>
        <w:rPr>
          <w:rFonts w:hint="eastAsia" w:ascii="仿宋_GB2312" w:hAnsi="仿宋_GB2312" w:eastAsia="仿宋_GB2312" w:cs="仿宋_GB2312"/>
          <w:b/>
          <w:bCs/>
          <w:color w:val="auto"/>
          <w:sz w:val="32"/>
          <w:szCs w:val="32"/>
          <w:highlight w:val="none"/>
          <w:lang w:val="en-US" w:eastAsia="zh-CN"/>
        </w:rPr>
        <w:t>4.绩效指标明确性</w:t>
      </w:r>
      <w:bookmarkEnd w:id="117"/>
      <w:bookmarkEnd w:id="118"/>
    </w:p>
    <w:p w14:paraId="5B80601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其中三级指标共计11个</w:t>
      </w:r>
      <w:r>
        <w:rPr>
          <w:rFonts w:hint="eastAsia" w:ascii="仿宋_GB2312" w:hAnsi="仿宋_GB2312" w:eastAsia="仿宋_GB2312" w:cs="仿宋_GB2312"/>
          <w:color w:val="auto"/>
          <w:sz w:val="32"/>
          <w:szCs w:val="32"/>
          <w:highlight w:val="none"/>
          <w:lang w:eastAsia="zh-CN"/>
        </w:rPr>
        <w:t>；</w:t>
      </w:r>
    </w:p>
    <w:p w14:paraId="4579504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量化率达到72.73%</w:t>
      </w:r>
      <w:r>
        <w:rPr>
          <w:rFonts w:hint="eastAsia" w:ascii="仿宋_GB2312" w:hAnsi="仿宋_GB2312" w:eastAsia="仿宋_GB2312" w:cs="仿宋_GB2312"/>
          <w:color w:val="auto"/>
          <w:sz w:val="32"/>
          <w:szCs w:val="32"/>
          <w:highlight w:val="none"/>
          <w:lang w:eastAsia="zh-CN"/>
        </w:rPr>
        <w:t>；</w:t>
      </w:r>
    </w:p>
    <w:p w14:paraId="57D8B9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4BF22A6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6D9096D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3E1622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8296"/>
      <w:bookmarkStart w:id="120" w:name="_Toc19401"/>
      <w:r>
        <w:rPr>
          <w:rFonts w:hint="eastAsia" w:ascii="仿宋_GB2312" w:hAnsi="仿宋_GB2312" w:eastAsia="仿宋_GB2312" w:cs="仿宋_GB2312"/>
          <w:b/>
          <w:bCs/>
          <w:color w:val="auto"/>
          <w:sz w:val="32"/>
          <w:szCs w:val="32"/>
          <w:highlight w:val="none"/>
          <w:lang w:val="en-US" w:eastAsia="zh-CN"/>
        </w:rPr>
        <w:t>5.预算编制科学性</w:t>
      </w:r>
      <w:bookmarkEnd w:id="119"/>
      <w:bookmarkEnd w:id="120"/>
    </w:p>
    <w:p w14:paraId="5A2BBCA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277A74A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2024年清洁能源发展专项资金，项目实际内容为非常规天然气开采利用量6269万m³,采暖季非常规天然气利用量占全年比例大于30%，非常规天然气开采利用率大于88%，非常规天然气抽采量6383万m³，预算申请与项目内容匹配；</w:t>
      </w:r>
    </w:p>
    <w:p w14:paraId="7A14D0E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1021.97万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元，我单位在预算申请中严格按照项目实施内容及测算标准进行核算，其中：科林思德公司清洁能源项目补贴</w:t>
      </w:r>
      <w:r>
        <w:rPr>
          <w:rFonts w:hint="eastAsia" w:ascii="仿宋_GB2312" w:hAnsi="仿宋_GB2312" w:eastAsia="仿宋_GB2312" w:cs="仿宋_GB2312"/>
          <w:color w:val="auto"/>
          <w:sz w:val="32"/>
          <w:szCs w:val="32"/>
          <w:highlight w:val="none"/>
          <w:lang w:val="en-US" w:eastAsia="zh-CN"/>
        </w:rPr>
        <w:t>1021.97</w:t>
      </w:r>
      <w:r>
        <w:rPr>
          <w:rFonts w:hint="eastAsia" w:ascii="仿宋_GB2312" w:hAnsi="仿宋_GB2312" w:eastAsia="仿宋_GB2312" w:cs="仿宋_GB2312"/>
          <w:color w:val="auto"/>
          <w:sz w:val="32"/>
          <w:szCs w:val="32"/>
          <w:highlight w:val="none"/>
          <w:lang w:eastAsia="zh-CN"/>
        </w:rPr>
        <w:t>万元。</w:t>
      </w:r>
    </w:p>
    <w:p w14:paraId="5E34B74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3207461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2941469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1" w:name="_Toc697"/>
      <w:bookmarkStart w:id="122" w:name="_Toc20556"/>
      <w:r>
        <w:rPr>
          <w:rFonts w:hint="eastAsia" w:ascii="仿宋_GB2312" w:hAnsi="仿宋_GB2312" w:eastAsia="仿宋_GB2312" w:cs="仿宋_GB2312"/>
          <w:b/>
          <w:bCs/>
          <w:color w:val="auto"/>
          <w:sz w:val="32"/>
          <w:szCs w:val="32"/>
          <w:highlight w:val="none"/>
          <w:lang w:val="en-US" w:eastAsia="zh-CN"/>
        </w:rPr>
        <w:t>6.资金分配合理性</w:t>
      </w:r>
      <w:bookmarkEnd w:id="121"/>
      <w:bookmarkEnd w:id="122"/>
    </w:p>
    <w:p w14:paraId="41A5FB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rPr>
        <w:t>关于提前下达 2024 年</w:t>
      </w:r>
      <w:r>
        <w:rPr>
          <w:rFonts w:hint="eastAsia" w:ascii="仿宋_GB2312" w:hAnsi="仿宋_GB2312" w:eastAsia="仿宋_GB2312" w:cs="仿宋_GB2312"/>
          <w:color w:val="auto"/>
          <w:sz w:val="32"/>
          <w:szCs w:val="32"/>
          <w:highlight w:val="none"/>
          <w:lang w:eastAsia="zh-CN"/>
        </w:rPr>
        <w:t>2024年清洁能源发展专项资金</w:t>
      </w:r>
      <w:r>
        <w:rPr>
          <w:rFonts w:hint="eastAsia" w:ascii="仿宋_GB2312" w:hAnsi="仿宋_GB2312" w:eastAsia="仿宋_GB2312" w:cs="仿宋_GB2312"/>
          <w:color w:val="auto"/>
          <w:sz w:val="32"/>
          <w:szCs w:val="32"/>
          <w:highlight w:val="none"/>
        </w:rPr>
        <w:t>预算的通知》昌州财建[2023]151号</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7BDF883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1021.97</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7857A67C">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074B82AA">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3"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3"/>
    </w:p>
    <w:p w14:paraId="03F7AEE7">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31592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42D3FD85">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4D58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601C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9EDB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4FEC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8ED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0D9E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F1EA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5804E8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9522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7A44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2D1D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472F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D951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313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7F2B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8D1902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6A71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E53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D4C1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5974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8520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2390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94FC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BF43329">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C7A0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91FB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8AF9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FBA0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F238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222C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A625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E8D5C2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8EDB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3544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3D97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B033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B5E6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3E91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BB8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2B84479">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8574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7954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68A8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DDEC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469A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239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E7A0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A0EF5A5">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88D2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DD96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DD9D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2CBB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7812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477C91C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20449"/>
      <w:bookmarkStart w:id="125" w:name="_Toc3886"/>
      <w:r>
        <w:rPr>
          <w:rFonts w:hint="eastAsia" w:ascii="仿宋_GB2312" w:hAnsi="仿宋_GB2312" w:eastAsia="仿宋_GB2312" w:cs="仿宋_GB2312"/>
          <w:b/>
          <w:bCs/>
          <w:color w:val="auto"/>
          <w:sz w:val="32"/>
          <w:szCs w:val="32"/>
          <w:highlight w:val="none"/>
          <w:lang w:val="en-US" w:eastAsia="zh-CN"/>
        </w:rPr>
        <w:t>1.资金到位率</w:t>
      </w:r>
      <w:bookmarkEnd w:id="124"/>
      <w:bookmarkEnd w:id="125"/>
    </w:p>
    <w:p w14:paraId="266C7E6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1021.97</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1021.97</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0F6D348A">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b w:val="0"/>
          <w:bCs w:val="0"/>
          <w:color w:val="auto"/>
          <w:sz w:val="32"/>
          <w:szCs w:val="32"/>
          <w:highlight w:val="none"/>
          <w:lang w:val="en-US" w:eastAsia="zh-CN"/>
        </w:rPr>
        <w:t>1021.97</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1021.97</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=100%</w:t>
      </w:r>
    </w:p>
    <w:p w14:paraId="0FE4E81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4384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17709"/>
      <w:bookmarkStart w:id="127" w:name="_Toc9705"/>
      <w:r>
        <w:rPr>
          <w:rFonts w:hint="eastAsia" w:ascii="仿宋_GB2312" w:hAnsi="仿宋_GB2312" w:eastAsia="仿宋_GB2312" w:cs="仿宋_GB2312"/>
          <w:b/>
          <w:bCs/>
          <w:color w:val="auto"/>
          <w:sz w:val="32"/>
          <w:szCs w:val="32"/>
          <w:highlight w:val="none"/>
          <w:lang w:val="en-US" w:eastAsia="zh-CN"/>
        </w:rPr>
        <w:t>2.预算执行率</w:t>
      </w:r>
      <w:bookmarkEnd w:id="126"/>
      <w:bookmarkEnd w:id="127"/>
    </w:p>
    <w:p w14:paraId="68FC1D6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1021.97</w:t>
      </w:r>
      <w:r>
        <w:rPr>
          <w:rFonts w:hint="eastAsia" w:ascii="仿宋_GB2312" w:hAnsi="仿宋_GB2312" w:eastAsia="仿宋_GB2312" w:cs="仿宋_GB2312"/>
          <w:color w:val="auto"/>
          <w:sz w:val="32"/>
          <w:szCs w:val="32"/>
          <w:highlight w:val="none"/>
          <w:lang w:val="en-US" w:eastAsia="zh-CN"/>
        </w:rPr>
        <w:t>万元。</w:t>
      </w:r>
    </w:p>
    <w:p w14:paraId="56B510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1021.97</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1021.97</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=100%</w:t>
      </w:r>
    </w:p>
    <w:p w14:paraId="40D08BD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43299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18691"/>
      <w:bookmarkStart w:id="129" w:name="_Toc28875"/>
      <w:r>
        <w:rPr>
          <w:rFonts w:hint="eastAsia" w:ascii="仿宋_GB2312" w:hAnsi="仿宋_GB2312" w:eastAsia="仿宋_GB2312" w:cs="仿宋_GB2312"/>
          <w:b/>
          <w:bCs/>
          <w:color w:val="auto"/>
          <w:sz w:val="32"/>
          <w:szCs w:val="32"/>
          <w:highlight w:val="none"/>
          <w:lang w:val="en-US" w:eastAsia="zh-CN"/>
        </w:rPr>
        <w:t>3.资金使用合规性</w:t>
      </w:r>
      <w:bookmarkEnd w:id="128"/>
      <w:bookmarkEnd w:id="129"/>
    </w:p>
    <w:p w14:paraId="09080AD7">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①本项目资金支出符合国家财经法规、《政府会计制度》《阜康市发改委资金管理办法》《阜康市发改委专项资金管理办法》；</w:t>
      </w:r>
    </w:p>
    <w:p w14:paraId="31029AB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52B18F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0699354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51B1ECB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68DAECF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621BBF00">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780A7FF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我单位已制定《阜康市发改委资金管理办法》《阜康市发改委收支业务管理制度》《阜康市发改委政府采购业务管理制度》《阜康市发改委合同管理制度》，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241898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18231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7DF2D9">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30" w:name="_Toc31684"/>
      <w:bookmarkStart w:id="131" w:name="_Toc13984"/>
      <w:r>
        <w:rPr>
          <w:rFonts w:hint="eastAsia" w:ascii="仿宋_GB2312" w:hAnsi="仿宋_GB2312" w:eastAsia="仿宋_GB2312" w:cs="仿宋_GB2312"/>
          <w:b/>
          <w:bCs/>
          <w:color w:val="auto"/>
          <w:sz w:val="32"/>
          <w:szCs w:val="32"/>
          <w:highlight w:val="none"/>
          <w:lang w:val="en-US" w:eastAsia="zh-CN"/>
        </w:rPr>
        <w:t>5.制度执行有效性</w:t>
      </w:r>
      <w:bookmarkEnd w:id="130"/>
      <w:bookmarkEnd w:id="131"/>
    </w:p>
    <w:p w14:paraId="2582DDF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阜康市发改委</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color w:val="auto"/>
          <w:sz w:val="32"/>
          <w:szCs w:val="32"/>
          <w:highlight w:val="none"/>
          <w:lang w:eastAsia="zh-CN"/>
        </w:rPr>
        <w:t>阜康市发改委</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eastAsia="zh-CN"/>
        </w:rPr>
        <w:t>阜康市发改委</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eastAsia="zh-CN"/>
        </w:rPr>
        <w:t>阜康市发改委</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0F4D34F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5ED95255">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30BA172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2024年清洁能源发展专项资金项目工作领导小组，由张博任组长，负责项目的组织工作；董德斌任副组长，马旭东负责项目的实施工作；组员包括：史敏和候宛利，主要负责项目监督管理、验收以及资金核拨等工作。</w:t>
      </w:r>
    </w:p>
    <w:p w14:paraId="41AD0AD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7F208B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2" w:name="_Toc2441"/>
      <w:r>
        <w:rPr>
          <w:rFonts w:hint="eastAsia" w:ascii="Times New Roman" w:hAnsi="Times New Roman" w:eastAsia="楷体_GB2312" w:cs="Times New Roman"/>
          <w:color w:val="auto"/>
          <w:kern w:val="28"/>
          <w:sz w:val="32"/>
          <w:highlight w:val="none"/>
          <w:lang w:val="en-US" w:eastAsia="zh-CN"/>
        </w:rPr>
        <w:t>（三）项目产出情况</w:t>
      </w:r>
      <w:bookmarkEnd w:id="132"/>
    </w:p>
    <w:p w14:paraId="4BE920E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37.63</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C415F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22029228">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04B0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8B8F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227F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13D5C1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A6198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19AF13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E2E371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291E5D10">
        <w:tblPrEx>
          <w:shd w:val="clear" w:color="auto" w:fill="auto"/>
          <w:tblCellMar>
            <w:top w:w="0" w:type="dxa"/>
            <w:left w:w="0" w:type="dxa"/>
            <w:bottom w:w="0" w:type="dxa"/>
            <w:right w:w="0" w:type="dxa"/>
          </w:tblCellMar>
        </w:tblPrEx>
        <w:trPr>
          <w:trHeight w:val="49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8B5EAD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588DA1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CE9820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非常规天然气开采利用量</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E03D1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6269万</w:t>
            </w:r>
            <w:r>
              <w:rPr>
                <w:rFonts w:hint="eastAsia" w:cs="宋体"/>
                <w:color w:val="auto"/>
                <w:kern w:val="0"/>
                <w:sz w:val="20"/>
                <w:szCs w:val="20"/>
                <w:highlight w:val="none"/>
                <w:shd w:val="clear" w:color="auto" w:fill="auto"/>
                <w:lang w:val="en-US" w:eastAsia="zh-CN"/>
              </w:rPr>
              <w:t>立方米</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0E77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307FF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5967万</w:t>
            </w:r>
            <w:r>
              <w:rPr>
                <w:rFonts w:hint="eastAsia" w:cs="宋体"/>
                <w:color w:val="auto"/>
                <w:kern w:val="0"/>
                <w:sz w:val="20"/>
                <w:szCs w:val="20"/>
                <w:highlight w:val="none"/>
                <w:shd w:val="clear" w:color="auto" w:fill="auto"/>
                <w:lang w:val="en-US" w:eastAsia="zh-CN"/>
              </w:rPr>
              <w:t>立方米</w:t>
            </w:r>
          </w:p>
        </w:tc>
        <w:tc>
          <w:tcPr>
            <w:tcW w:w="6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C3ED8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4.4</w:t>
            </w:r>
          </w:p>
        </w:tc>
      </w:tr>
      <w:tr w14:paraId="00F6625F">
        <w:tblPrEx>
          <w:shd w:val="clear" w:color="auto" w:fill="auto"/>
          <w:tblCellMar>
            <w:top w:w="0" w:type="dxa"/>
            <w:left w:w="0" w:type="dxa"/>
            <w:bottom w:w="0" w:type="dxa"/>
            <w:right w:w="0" w:type="dxa"/>
          </w:tblCellMar>
        </w:tblPrEx>
        <w:trPr>
          <w:trHeight w:val="55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7FFEC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BFE841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p>
        </w:tc>
        <w:tc>
          <w:tcPr>
            <w:tcW w:w="264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9CB3DC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采暖季非常规天然气利用量占全年比例</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8C6B2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&gt;30%</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25EC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9097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33.45%</w:t>
            </w:r>
          </w:p>
        </w:tc>
        <w:tc>
          <w:tcPr>
            <w:tcW w:w="6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0C1B2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4.43</w:t>
            </w:r>
          </w:p>
        </w:tc>
      </w:tr>
      <w:tr w14:paraId="04ADD0D1">
        <w:tblPrEx>
          <w:shd w:val="clear" w:color="auto" w:fill="auto"/>
          <w:tblCellMar>
            <w:top w:w="0" w:type="dxa"/>
            <w:left w:w="0" w:type="dxa"/>
            <w:bottom w:w="0" w:type="dxa"/>
            <w:right w:w="0" w:type="dxa"/>
          </w:tblCellMar>
        </w:tblPrEx>
        <w:trPr>
          <w:trHeight w:val="47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9D84D8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466230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818AB4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非常规天然气开采利用率</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7389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≥88%</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3522A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5E1F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98.32%</w:t>
            </w:r>
          </w:p>
        </w:tc>
        <w:tc>
          <w:tcPr>
            <w:tcW w:w="6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A1097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4.41</w:t>
            </w:r>
          </w:p>
        </w:tc>
      </w:tr>
      <w:tr w14:paraId="61A56186">
        <w:tblPrEx>
          <w:tblCellMar>
            <w:top w:w="0" w:type="dxa"/>
            <w:left w:w="0" w:type="dxa"/>
            <w:bottom w:w="0" w:type="dxa"/>
            <w:right w:w="0" w:type="dxa"/>
          </w:tblCellMar>
        </w:tblPrEx>
        <w:trPr>
          <w:trHeight w:val="540"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2828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EB89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2109A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非常规天然气抽采量</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A3818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6383万立方米</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00373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C1E84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6068.93万立方</w:t>
            </w:r>
            <w:r>
              <w:rPr>
                <w:rFonts w:hint="eastAsia" w:cs="宋体"/>
                <w:color w:val="auto"/>
                <w:kern w:val="0"/>
                <w:sz w:val="20"/>
                <w:szCs w:val="20"/>
                <w:highlight w:val="none"/>
                <w:shd w:val="clear" w:color="auto" w:fill="auto"/>
                <w:lang w:val="en-US" w:eastAsia="zh-CN"/>
              </w:rPr>
              <w:t>米</w:t>
            </w:r>
          </w:p>
        </w:tc>
        <w:tc>
          <w:tcPr>
            <w:tcW w:w="6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2B16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4.39</w:t>
            </w:r>
          </w:p>
        </w:tc>
      </w:tr>
      <w:tr w14:paraId="0E38A221">
        <w:tblPrEx>
          <w:shd w:val="clear" w:color="auto" w:fill="auto"/>
          <w:tblCellMar>
            <w:top w:w="0" w:type="dxa"/>
            <w:left w:w="0" w:type="dxa"/>
            <w:bottom w:w="0" w:type="dxa"/>
            <w:right w:w="0" w:type="dxa"/>
          </w:tblCellMar>
        </w:tblPrEx>
        <w:trPr>
          <w:trHeight w:val="4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4053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B6F9B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E47BCC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非常规天然气抽采设备情况</w:t>
            </w:r>
          </w:p>
        </w:tc>
        <w:tc>
          <w:tcPr>
            <w:tcW w:w="1437" w:type="dxa"/>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54C5A0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质量稳定、安全可靠</w:t>
            </w:r>
          </w:p>
        </w:tc>
        <w:tc>
          <w:tcPr>
            <w:tcW w:w="558" w:type="dxa"/>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721806C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6FE9916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3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3F9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8E5CF19">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AE1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88E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32D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非常规天然气项目设备更新维护及时率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F5F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8FF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CA3E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E242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9724D4B">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83D5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2F3A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90BD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成本控制率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1BB7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D607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8452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5625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B94235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AC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80A3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24A2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B317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37.63</w:t>
            </w:r>
          </w:p>
        </w:tc>
      </w:tr>
    </w:tbl>
    <w:p w14:paraId="256A64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3" w:name="_Toc26689"/>
      <w:bookmarkStart w:id="134" w:name="_Toc11067"/>
      <w:r>
        <w:rPr>
          <w:rFonts w:hint="eastAsia" w:ascii="仿宋_GB2312" w:hAnsi="仿宋_GB2312" w:eastAsia="仿宋_GB2312" w:cs="仿宋_GB2312"/>
          <w:b/>
          <w:bCs/>
          <w:color w:val="auto"/>
          <w:sz w:val="32"/>
          <w:szCs w:val="32"/>
          <w:highlight w:val="none"/>
          <w:lang w:val="en-US" w:eastAsia="zh-CN"/>
        </w:rPr>
        <w:t>1.数量指标完成情况</w:t>
      </w:r>
      <w:bookmarkEnd w:id="133"/>
      <w:bookmarkEnd w:id="134"/>
    </w:p>
    <w:p w14:paraId="74BB9B9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非常规天然气开采利用量”指标，预期目标值为6269万立方米，实际完成为5967万立方米。实际完成率=（5967万立方米/6269万立方米）×100%=95.18%，</w:t>
      </w:r>
      <w:r>
        <w:rPr>
          <w:rFonts w:hint="eastAsia" w:ascii="仿宋_GB2312" w:hAnsi="仿宋_GB2312" w:eastAsia="仿宋_GB2312" w:cs="仿宋_GB2312"/>
          <w:color w:val="auto"/>
          <w:sz w:val="32"/>
          <w:szCs w:val="32"/>
          <w:highlight w:val="none"/>
          <w:lang w:eastAsia="zh-CN"/>
        </w:rPr>
        <w:t>偏差原因：因新井抽采量未达预期，故导致抽采利用量未完成指标值；</w:t>
      </w:r>
    </w:p>
    <w:p w14:paraId="5C6DCF3C">
      <w:pPr>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采暖季非常规天然气利用量占全年比例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指标，预期目标值为&gt;30%，实际完成为33.45%。实际完成率=（33.45%/30%）×100%=111.5%，</w:t>
      </w:r>
      <w:r>
        <w:rPr>
          <w:rFonts w:hint="eastAsia" w:ascii="仿宋_GB2312" w:hAnsi="仿宋_GB2312" w:eastAsia="仿宋_GB2312" w:cs="仿宋_GB2312"/>
          <w:color w:val="auto"/>
          <w:sz w:val="32"/>
          <w:szCs w:val="32"/>
          <w:highlight w:val="none"/>
          <w:lang w:eastAsia="zh-CN"/>
        </w:rPr>
        <w:t>偏差原因：采暖季非常规天然气利用量占全年比例比年初计划增加</w:t>
      </w:r>
      <w:r>
        <w:rPr>
          <w:rFonts w:hint="eastAsia" w:ascii="仿宋_GB2312" w:hAnsi="仿宋_GB2312" w:eastAsia="仿宋_GB2312" w:cs="仿宋_GB2312"/>
          <w:color w:val="auto"/>
          <w:sz w:val="32"/>
          <w:szCs w:val="32"/>
          <w:highlight w:val="none"/>
          <w:lang w:val="en-US" w:eastAsia="zh-CN"/>
        </w:rPr>
        <w:t>。</w:t>
      </w:r>
    </w:p>
    <w:p w14:paraId="2F41EC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非常规天然气开采利用率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指标，预期目标值为≥88%，实际完成为98.32%。实际完成率=（98.32/88）×100%=111.72%，</w:t>
      </w:r>
      <w:r>
        <w:rPr>
          <w:rFonts w:hint="eastAsia" w:ascii="仿宋_GB2312" w:hAnsi="仿宋_GB2312" w:eastAsia="仿宋_GB2312" w:cs="仿宋_GB2312"/>
          <w:color w:val="auto"/>
          <w:sz w:val="32"/>
          <w:szCs w:val="32"/>
          <w:highlight w:val="none"/>
          <w:lang w:eastAsia="zh-CN"/>
        </w:rPr>
        <w:t>偏差原因：采暖季非常规天然气利用率提升</w:t>
      </w:r>
      <w:r>
        <w:rPr>
          <w:rFonts w:hint="eastAsia" w:ascii="仿宋_GB2312" w:hAnsi="仿宋_GB2312" w:eastAsia="仿宋_GB2312" w:cs="仿宋_GB2312"/>
          <w:color w:val="auto"/>
          <w:sz w:val="32"/>
          <w:szCs w:val="32"/>
          <w:highlight w:val="none"/>
          <w:lang w:val="en-US" w:eastAsia="zh-CN"/>
        </w:rPr>
        <w:t>。</w:t>
      </w:r>
    </w:p>
    <w:p w14:paraId="0172F040">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非常规天然气抽采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指标，预期目标值为6383万立方米，实际完成为6068.93万立方米。实际完成率=（6068.93万立方米/6383万立方米）×100%=95.08%，</w:t>
      </w:r>
      <w:r>
        <w:rPr>
          <w:rFonts w:hint="eastAsia" w:ascii="仿宋_GB2312" w:hAnsi="仿宋_GB2312" w:eastAsia="仿宋_GB2312" w:cs="仿宋_GB2312"/>
          <w:color w:val="auto"/>
          <w:sz w:val="32"/>
          <w:szCs w:val="32"/>
          <w:highlight w:val="none"/>
          <w:lang w:eastAsia="zh-CN"/>
        </w:rPr>
        <w:t>偏差原因：2024年老井产量趋于稳定，主要受新井施工过程影响抽采量，因阜康矿区地质复杂，煤层渗透性强，断层分布广，为提高煤层气采收率，本年度新井压裂施工均采用大规模压裂进行，煤层渗透面较常规压裂扩大，导致新井排采见产实效较计划延后，抽采量未达预期，但为后期增产提供有效技术支撑</w:t>
      </w:r>
      <w:r>
        <w:rPr>
          <w:rFonts w:hint="eastAsia" w:ascii="仿宋_GB2312" w:hAnsi="仿宋_GB2312" w:eastAsia="仿宋_GB2312" w:cs="仿宋_GB2312"/>
          <w:color w:val="auto"/>
          <w:sz w:val="32"/>
          <w:szCs w:val="32"/>
          <w:highlight w:val="none"/>
          <w:lang w:val="en-US" w:eastAsia="zh-CN"/>
        </w:rPr>
        <w:t>。</w:t>
      </w:r>
    </w:p>
    <w:p w14:paraId="0C49A11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综上，该项指标满分20分，得分17.63分。</w:t>
      </w:r>
    </w:p>
    <w:p w14:paraId="4B88ADEA">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31739"/>
      <w:bookmarkStart w:id="136" w:name="_Toc14255"/>
      <w:r>
        <w:rPr>
          <w:rFonts w:hint="eastAsia" w:ascii="仿宋_GB2312" w:hAnsi="仿宋_GB2312" w:eastAsia="仿宋_GB2312" w:cs="仿宋_GB2312"/>
          <w:b/>
          <w:bCs/>
          <w:color w:val="auto"/>
          <w:sz w:val="32"/>
          <w:szCs w:val="32"/>
          <w:highlight w:val="none"/>
          <w:lang w:val="en-US" w:eastAsia="zh-CN"/>
        </w:rPr>
        <w:t>2.</w:t>
      </w:r>
      <w:bookmarkEnd w:id="135"/>
      <w:r>
        <w:rPr>
          <w:rFonts w:hint="eastAsia" w:ascii="仿宋_GB2312" w:hAnsi="仿宋_GB2312" w:eastAsia="仿宋_GB2312" w:cs="仿宋_GB2312"/>
          <w:b/>
          <w:bCs/>
          <w:color w:val="auto"/>
          <w:sz w:val="32"/>
          <w:szCs w:val="32"/>
          <w:highlight w:val="none"/>
          <w:lang w:val="en-US" w:eastAsia="zh-CN"/>
        </w:rPr>
        <w:t>质量指标完成情况</w:t>
      </w:r>
      <w:bookmarkEnd w:id="136"/>
    </w:p>
    <w:p w14:paraId="06871B2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非常规天然气抽采设备情况</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指标，预期目标值为质量稳定、安全可靠，实际完成为达到预期指标。实际完成率100%。</w:t>
      </w:r>
    </w:p>
    <w:p w14:paraId="69309EC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35AC091E">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18307"/>
      <w:bookmarkStart w:id="138" w:name="_Toc28885"/>
      <w:r>
        <w:rPr>
          <w:rFonts w:hint="eastAsia" w:ascii="仿宋_GB2312" w:hAnsi="仿宋_GB2312" w:eastAsia="仿宋_GB2312" w:cs="仿宋_GB2312"/>
          <w:b/>
          <w:bCs/>
          <w:color w:val="auto"/>
          <w:sz w:val="32"/>
          <w:szCs w:val="32"/>
          <w:highlight w:val="none"/>
          <w:lang w:val="en-US" w:eastAsia="zh-CN"/>
        </w:rPr>
        <w:t>3.</w:t>
      </w:r>
      <w:bookmarkEnd w:id="137"/>
      <w:r>
        <w:rPr>
          <w:rFonts w:hint="eastAsia" w:ascii="仿宋_GB2312" w:hAnsi="仿宋_GB2312" w:eastAsia="仿宋_GB2312" w:cs="仿宋_GB2312"/>
          <w:b/>
          <w:bCs/>
          <w:color w:val="auto"/>
          <w:sz w:val="32"/>
          <w:szCs w:val="32"/>
          <w:highlight w:val="none"/>
          <w:lang w:val="en-US" w:eastAsia="zh-CN"/>
        </w:rPr>
        <w:t>时效指标完成情况</w:t>
      </w:r>
      <w:bookmarkEnd w:id="138"/>
    </w:p>
    <w:p w14:paraId="2E10D51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非常规天然气项目设备更新维护及时率”指标，预期目标值为≥90%，实际完成为90%。实际完成率100%。</w:t>
      </w:r>
    </w:p>
    <w:p w14:paraId="47BA9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FB2FAD3">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9" w:name="_Toc32765"/>
      <w:bookmarkStart w:id="140" w:name="_Toc20607"/>
      <w:r>
        <w:rPr>
          <w:rFonts w:hint="eastAsia" w:ascii="仿宋_GB2312" w:hAnsi="仿宋_GB2312" w:eastAsia="仿宋_GB2312" w:cs="仿宋_GB2312"/>
          <w:b/>
          <w:bCs/>
          <w:color w:val="auto"/>
          <w:sz w:val="32"/>
          <w:szCs w:val="32"/>
          <w:highlight w:val="none"/>
          <w:lang w:val="en-US" w:eastAsia="zh-CN"/>
        </w:rPr>
        <w:t>4.项目</w:t>
      </w:r>
      <w:bookmarkEnd w:id="139"/>
      <w:r>
        <w:rPr>
          <w:rFonts w:hint="eastAsia" w:ascii="仿宋_GB2312" w:hAnsi="仿宋_GB2312" w:eastAsia="仿宋_GB2312" w:cs="仿宋_GB2312"/>
          <w:b/>
          <w:bCs/>
          <w:color w:val="auto"/>
          <w:sz w:val="32"/>
          <w:szCs w:val="32"/>
          <w:highlight w:val="none"/>
          <w:lang w:val="en-US" w:eastAsia="zh-CN"/>
        </w:rPr>
        <w:t>成本情况</w:t>
      </w:r>
      <w:bookmarkEnd w:id="140"/>
    </w:p>
    <w:p w14:paraId="5D4199C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70A04C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成本控制率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指标，预期目标值为100%，实际完成为100%。实际完成率=（100%/100%）×100%=100%，</w:t>
      </w:r>
    </w:p>
    <w:p w14:paraId="6FC7CA1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8DBEE4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41" w:name="_Toc19424"/>
      <w:r>
        <w:rPr>
          <w:rFonts w:hint="eastAsia" w:ascii="Times New Roman" w:hAnsi="Times New Roman" w:eastAsia="楷体_GB2312" w:cs="Times New Roman"/>
          <w:color w:val="auto"/>
          <w:kern w:val="28"/>
          <w:sz w:val="32"/>
          <w:highlight w:val="none"/>
          <w:lang w:val="en-US" w:eastAsia="zh-CN"/>
        </w:rPr>
        <w:t>（四）项目效益情况</w:t>
      </w:r>
      <w:bookmarkEnd w:id="141"/>
    </w:p>
    <w:p w14:paraId="7D446FAD">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581F601">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295D8F06">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9550D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082CE8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DDCA3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FB9B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EFC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67FB793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FF7F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227FD9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C96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059C73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BA9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745D8C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7FC41844">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38FE88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E8938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B6826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是否做到增加能源供应、减少安全事故</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4EB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是</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945D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42D8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1E8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C359051">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77C81C7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7B5150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61206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是否减少温室气体排放</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8AAA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是</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205B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FB3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FEF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42CC80A">
        <w:tblPrEx>
          <w:shd w:val="clear" w:color="auto" w:fill="auto"/>
          <w:tblCellMar>
            <w:top w:w="0" w:type="dxa"/>
            <w:left w:w="0" w:type="dxa"/>
            <w:bottom w:w="0" w:type="dxa"/>
            <w:right w:w="0" w:type="dxa"/>
          </w:tblCellMar>
        </w:tblPrEx>
        <w:trPr>
          <w:trHeight w:val="439"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3F99F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576AB79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5BCBC5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项目实施地周边群众满意度</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0D137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1189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0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9DF2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6C2E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0255F80">
        <w:tblPrEx>
          <w:shd w:val="clear" w:color="auto" w:fill="auto"/>
          <w:tblCellMar>
            <w:top w:w="0" w:type="dxa"/>
            <w:left w:w="0" w:type="dxa"/>
            <w:bottom w:w="0" w:type="dxa"/>
            <w:right w:w="0" w:type="dxa"/>
          </w:tblCellMar>
        </w:tblPrEx>
        <w:trPr>
          <w:trHeight w:val="554"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2EE89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color w:val="auto"/>
                <w:highlight w:val="none"/>
              </w:rPr>
            </w:pPr>
          </w:p>
        </w:tc>
        <w:tc>
          <w:tcPr>
            <w:tcW w:w="172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0209C5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color w:val="auto"/>
                <w:highlight w:val="none"/>
              </w:rPr>
            </w:pPr>
          </w:p>
        </w:tc>
        <w:tc>
          <w:tcPr>
            <w:tcW w:w="274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E7A26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实施项目公示率</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9876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9F86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0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E87D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55811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D26937">
        <w:tblPrEx>
          <w:tblCellMar>
            <w:top w:w="0" w:type="dxa"/>
            <w:left w:w="0" w:type="dxa"/>
            <w:bottom w:w="0" w:type="dxa"/>
            <w:right w:w="0" w:type="dxa"/>
          </w:tblCellMar>
        </w:tblPrEx>
        <w:trPr>
          <w:trHeight w:val="529" w:hRule="atLeast"/>
          <w:jc w:val="center"/>
        </w:trPr>
        <w:tc>
          <w:tcPr>
            <w:tcW w:w="685" w:type="dxa"/>
            <w:vMerge w:val="continue"/>
            <w:tcBorders>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EC4251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E2D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712930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实施项目公示无异议率</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E078A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8A87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0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7B93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3A109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00ABC95">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1A4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33C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3EB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E64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r>
    </w:tbl>
    <w:p w14:paraId="242BEC6D">
      <w:pPr>
        <w:pageBreakBefore w:val="0"/>
        <w:kinsoku/>
        <w:wordWrap/>
        <w:overflowPunct/>
        <w:topLinePunct w:val="0"/>
        <w:autoSpaceDE/>
        <w:autoSpaceDN/>
        <w:bidi w:val="0"/>
        <w:spacing w:line="560" w:lineRule="exact"/>
        <w:ind w:left="0" w:leftChars="0" w:firstLine="0" w:firstLineChars="0"/>
        <w:textAlignment w:val="auto"/>
        <w:outlineLvl w:val="2"/>
        <w:rPr>
          <w:rFonts w:hint="eastAsia" w:ascii="仿宋_GB2312" w:hAnsi="仿宋_GB2312" w:eastAsia="仿宋_GB2312" w:cs="仿宋_GB2312"/>
          <w:b/>
          <w:bCs/>
          <w:color w:val="auto"/>
          <w:sz w:val="32"/>
          <w:szCs w:val="32"/>
          <w:highlight w:val="none"/>
          <w:lang w:val="en-US" w:eastAsia="zh-CN"/>
        </w:rPr>
      </w:pPr>
    </w:p>
    <w:p w14:paraId="2BEDE8D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1.社会效益指标</w:t>
      </w:r>
      <w:bookmarkEnd w:id="142"/>
      <w:r>
        <w:rPr>
          <w:rFonts w:hint="eastAsia" w:ascii="仿宋_GB2312" w:hAnsi="仿宋_GB2312" w:eastAsia="仿宋_GB2312" w:cs="仿宋_GB2312"/>
          <w:b/>
          <w:bCs/>
          <w:color w:val="auto"/>
          <w:sz w:val="32"/>
          <w:szCs w:val="32"/>
          <w:highlight w:val="none"/>
          <w:lang w:val="en-US" w:eastAsia="zh-CN"/>
        </w:rPr>
        <w:t>完成情况</w:t>
      </w:r>
      <w:bookmarkEnd w:id="143"/>
    </w:p>
    <w:p w14:paraId="13F74EE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“是</w:t>
      </w:r>
      <w:r>
        <w:rPr>
          <w:rFonts w:hint="eastAsia" w:ascii="仿宋_GB2312" w:hAnsi="仿宋_GB2312" w:eastAsia="仿宋_GB2312" w:cs="仿宋_GB2312"/>
          <w:b w:val="0"/>
          <w:bCs w:val="0"/>
          <w:color w:val="auto"/>
          <w:sz w:val="32"/>
          <w:szCs w:val="32"/>
          <w:highlight w:val="none"/>
          <w:lang w:val="en-US" w:eastAsia="zh-CN"/>
        </w:rPr>
        <w:t>否做到增加能源供应、减少安全事故”指标，预期目标值为是，实际完成为达到预期指标。</w:t>
      </w:r>
    </w:p>
    <w:p w14:paraId="5A97A3E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通过项目的实施，做到增加能源供应、减少安全事故，减少温室气体排放</w:t>
      </w:r>
      <w:r>
        <w:rPr>
          <w:rFonts w:hint="eastAsia" w:ascii="仿宋_GB2312" w:hAnsi="仿宋_GB2312" w:eastAsia="仿宋_GB2312" w:cs="仿宋_GB2312"/>
          <w:color w:val="auto"/>
          <w:sz w:val="32"/>
          <w:szCs w:val="32"/>
          <w:highlight w:val="none"/>
          <w:lang w:val="en-US" w:eastAsia="zh-CN"/>
        </w:rPr>
        <w:t>。</w:t>
      </w:r>
    </w:p>
    <w:p w14:paraId="0F676FB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FC9F71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4" w:name="_Toc23106"/>
      <w:bookmarkStart w:id="145" w:name="_Toc14320"/>
      <w:r>
        <w:rPr>
          <w:rFonts w:hint="eastAsia" w:ascii="仿宋_GB2312" w:hAnsi="仿宋_GB2312" w:eastAsia="仿宋_GB2312" w:cs="仿宋_GB2312"/>
          <w:b/>
          <w:bCs/>
          <w:color w:val="auto"/>
          <w:sz w:val="32"/>
          <w:szCs w:val="32"/>
          <w:highlight w:val="none"/>
          <w:lang w:val="en-US" w:eastAsia="zh-CN"/>
        </w:rPr>
        <w:t>2.生态效益指标</w:t>
      </w:r>
      <w:bookmarkEnd w:id="144"/>
      <w:r>
        <w:rPr>
          <w:rFonts w:hint="eastAsia" w:ascii="仿宋_GB2312" w:hAnsi="仿宋_GB2312" w:eastAsia="仿宋_GB2312" w:cs="仿宋_GB2312"/>
          <w:b/>
          <w:bCs/>
          <w:color w:val="auto"/>
          <w:sz w:val="32"/>
          <w:szCs w:val="32"/>
          <w:highlight w:val="none"/>
          <w:lang w:val="en-US" w:eastAsia="zh-CN"/>
        </w:rPr>
        <w:t>完成情况</w:t>
      </w:r>
      <w:bookmarkEnd w:id="145"/>
    </w:p>
    <w:p w14:paraId="278CDF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是否减少温室气体排放</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指标，预期目标值为是，</w:t>
      </w:r>
      <w:r>
        <w:rPr>
          <w:rFonts w:hint="eastAsia" w:ascii="仿宋_GB2312" w:hAnsi="仿宋_GB2312" w:eastAsia="仿宋_GB2312" w:cs="仿宋_GB2312"/>
          <w:b w:val="0"/>
          <w:bCs w:val="0"/>
          <w:color w:val="auto"/>
          <w:sz w:val="32"/>
          <w:szCs w:val="32"/>
          <w:highlight w:val="none"/>
          <w:lang w:val="en-US" w:eastAsia="zh-CN"/>
        </w:rPr>
        <w:t>实际完成为达到预期指标。</w:t>
      </w:r>
    </w:p>
    <w:p w14:paraId="3C5231E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通过项目的实施，做到增加能源供应、减少安全事故，减少温室气体排放</w:t>
      </w:r>
      <w:r>
        <w:rPr>
          <w:rFonts w:hint="eastAsia" w:ascii="仿宋_GB2312" w:hAnsi="仿宋_GB2312" w:eastAsia="仿宋_GB2312" w:cs="仿宋_GB2312"/>
          <w:color w:val="auto"/>
          <w:sz w:val="32"/>
          <w:szCs w:val="32"/>
          <w:highlight w:val="none"/>
          <w:lang w:val="en-US" w:eastAsia="zh-CN"/>
        </w:rPr>
        <w:t>。</w:t>
      </w:r>
    </w:p>
    <w:p w14:paraId="5C4248E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9FE163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6"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6"/>
    </w:p>
    <w:p w14:paraId="042F56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项目实施地周边群众满意度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指标，预期目标值为≥90%，实际完成为90%。</w:t>
      </w:r>
    </w:p>
    <w:p w14:paraId="50CEA9D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实施项目公示率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w:t>
      </w:r>
    </w:p>
    <w:p w14:paraId="30D5BCD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实施项目公示无异议率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w:t>
      </w:r>
    </w:p>
    <w:p w14:paraId="022732BD">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综上，该项指标满分12分，得分12分。</w:t>
      </w:r>
    </w:p>
    <w:p w14:paraId="6DFA3560">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7"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7"/>
    </w:p>
    <w:p w14:paraId="6CA5353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8" w:name="_Toc15449"/>
      <w:bookmarkStart w:id="149" w:name="_Toc1921"/>
      <w:bookmarkStart w:id="150"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8"/>
    </w:p>
    <w:p w14:paraId="1D1E4A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2024年清洁能源发展专项资金项目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1021.97</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1021.97</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1244F90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阜康市发改委</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阜康市发改委</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9"/>
    <w:bookmarkEnd w:id="150"/>
    <w:p w14:paraId="116C282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51"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51"/>
    </w:p>
    <w:p w14:paraId="687F695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52" w:name="_Toc3333"/>
      <w:r>
        <w:rPr>
          <w:rFonts w:hint="eastAsia" w:ascii="仿宋_GB2312" w:hAnsi="仿宋_GB2312" w:eastAsia="仿宋_GB2312" w:cs="仿宋_GB2312"/>
          <w:color w:val="auto"/>
          <w:sz w:val="32"/>
          <w:szCs w:val="32"/>
          <w:highlight w:val="none"/>
          <w:lang w:val="en-US" w:eastAsia="zh-CN"/>
        </w:rPr>
        <w:t>1.资金管理方面</w:t>
      </w:r>
    </w:p>
    <w:p w14:paraId="4E66DE3C">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 xml:space="preserve"> 存在问题：资金使用效率低下，</w:t>
      </w:r>
      <w:r>
        <w:rPr>
          <w:rFonts w:hint="eastAsia" w:ascii="仿宋_GB2312" w:hAnsi="仿宋_GB2312" w:eastAsia="仿宋_GB2312" w:cs="仿宋_GB2312"/>
          <w:color w:val="auto"/>
          <w:sz w:val="32"/>
          <w:szCs w:val="32"/>
          <w:highlight w:val="none"/>
          <w:lang w:val="en-US" w:eastAsia="zh-CN"/>
        </w:rPr>
        <w:t>资金未按时间节点及时有效的进行支付</w:t>
      </w:r>
      <w:r>
        <w:rPr>
          <w:rFonts w:hint="default" w:ascii="仿宋_GB2312" w:hAnsi="仿宋_GB2312" w:eastAsia="仿宋_GB2312" w:cs="仿宋_GB2312"/>
          <w:color w:val="auto"/>
          <w:sz w:val="32"/>
          <w:szCs w:val="32"/>
          <w:highlight w:val="none"/>
          <w:lang w:val="en-US" w:eastAsia="zh-CN"/>
        </w:rPr>
        <w:t>。</w:t>
      </w:r>
    </w:p>
    <w:p w14:paraId="72468EDC">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原因分析：缺乏科学的资金预算和规划机制，对资金需求和使用时间节点把握不准确；</w:t>
      </w:r>
    </w:p>
    <w:p w14:paraId="4E768B4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组织保障方面</w:t>
      </w:r>
    </w:p>
    <w:p w14:paraId="24A4E76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存在问题：因新井抽采量未达预期，故导致抽采利用量未完成指标值因新井抽采量未达预期，故导致抽采利用量未完成指标值。</w:t>
      </w:r>
    </w:p>
    <w:p w14:paraId="193CFF19">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原因分析：2024年老井产量趋于稳定，主要受新井施工过程影响抽采量，因阜康矿区地质复杂，煤层渗透性强，断层分布广，为提高煤层气采收率，本年度新井压裂施工均采用大规模压裂进行，煤层渗透面较常规压裂扩大，导致新井排采见产实效较计划延后，抽采量未达预期，但为后期增产提供有效技术支撑。</w:t>
      </w:r>
    </w:p>
    <w:p w14:paraId="1E93686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52"/>
    </w:p>
    <w:p w14:paraId="54969973">
      <w:pPr>
        <w:pStyle w:val="3"/>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color w:val="auto"/>
          <w:kern w:val="2"/>
          <w:sz w:val="32"/>
          <w:szCs w:val="32"/>
          <w:highlight w:val="none"/>
          <w:lang w:val="en-US" w:eastAsia="zh-CN" w:bidi="ar-SA"/>
        </w:rPr>
      </w:pPr>
      <w:bookmarkStart w:id="153" w:name="_Toc14256"/>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kern w:val="2"/>
          <w:sz w:val="32"/>
          <w:szCs w:val="32"/>
          <w:highlight w:val="none"/>
          <w:lang w:val="en-US" w:eastAsia="zh-CN" w:bidi="ar-SA"/>
        </w:rPr>
        <w:t>研究提出能源发展战略、规划，贯彻发展能源工业的方针政策，负责能源安全监督管理及行业管理和安全生产检查监督管理工作。该项目的实施预计达到增加能源供应，减少温室气体排放。</w:t>
      </w:r>
    </w:p>
    <w:p w14:paraId="42C2C6E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kern w:val="2"/>
          <w:sz w:val="32"/>
          <w:szCs w:val="32"/>
          <w:highlight w:val="none"/>
          <w:lang w:val="en-US" w:eastAsia="zh-CN" w:bidi="ar-SA"/>
        </w:rPr>
        <w:t>为了提高资金使用效率，我们建议项目组应积极寻求降低成本的途径。加强设备维护等方式来降低运营成本。同时，要合理分配资源，确保各项工作的顺利进行。</w:t>
      </w:r>
    </w:p>
    <w:p w14:paraId="72422161">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3"/>
    </w:p>
    <w:p w14:paraId="41C993A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7DC95A49">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18F543C7">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4" w:name="_Toc11349"/>
      <w:bookmarkStart w:id="155" w:name="_Toc28971"/>
      <w:r>
        <w:rPr>
          <w:rFonts w:hint="eastAsia" w:ascii="宋体" w:hAnsi="宋体" w:eastAsia="宋体" w:cs="宋体"/>
          <w:b/>
          <w:bCs/>
          <w:color w:val="auto"/>
          <w:highlight w:val="none"/>
          <w:shd w:val="clear" w:color="auto" w:fill="auto"/>
          <w:lang w:val="en-US" w:eastAsia="zh-CN"/>
        </w:rPr>
        <w:t>附件一、项目支出绩效自评表</w:t>
      </w:r>
      <w:bookmarkEnd w:id="154"/>
      <w:bookmarkEnd w:id="155"/>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0"/>
        <w:gridCol w:w="871"/>
        <w:gridCol w:w="871"/>
        <w:gridCol w:w="871"/>
        <w:gridCol w:w="1268"/>
        <w:gridCol w:w="1108"/>
        <w:gridCol w:w="1347"/>
        <w:gridCol w:w="1268"/>
        <w:gridCol w:w="1108"/>
        <w:gridCol w:w="871"/>
        <w:gridCol w:w="871"/>
        <w:gridCol w:w="871"/>
        <w:gridCol w:w="871"/>
        <w:gridCol w:w="1108"/>
      </w:tblGrid>
      <w:tr w14:paraId="71452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7F69BDF8">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34462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0D90B5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22F03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33837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2"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6564B5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2024年清洁能源发展专项资金</w:t>
            </w:r>
          </w:p>
        </w:tc>
      </w:tr>
      <w:tr w14:paraId="32E79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5D91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5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48E22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阜康市发展和改革委员会</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A606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A2E7A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阜康市发展和改革委员会</w:t>
            </w:r>
          </w:p>
        </w:tc>
      </w:tr>
      <w:tr w14:paraId="28E6F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550A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524C5E">
            <w:pPr>
              <w:jc w:val="cente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FD98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40E8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475C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9A4A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B2B9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595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1FA8C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C07DC">
            <w:pPr>
              <w:jc w:val="center"/>
              <w:rPr>
                <w:rFonts w:hint="eastAsia" w:ascii="宋体" w:hAnsi="宋体" w:eastAsia="宋体" w:cs="宋体"/>
                <w:b/>
                <w:bCs/>
                <w:i w:val="0"/>
                <w:iCs w:val="0"/>
                <w:color w:val="000000"/>
                <w:sz w:val="18"/>
                <w:szCs w:val="18"/>
                <w:u w:val="none"/>
              </w:rPr>
            </w:pPr>
          </w:p>
        </w:tc>
        <w:tc>
          <w:tcPr>
            <w:tcW w:w="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BE68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79D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1201.97</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9F46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1201.97</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BD0C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1201.97</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1F64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3245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DAE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4CB0A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2AC95">
            <w:pPr>
              <w:jc w:val="center"/>
              <w:rPr>
                <w:rFonts w:hint="eastAsia" w:ascii="宋体" w:hAnsi="宋体" w:eastAsia="宋体" w:cs="宋体"/>
                <w:b/>
                <w:bCs/>
                <w:i w:val="0"/>
                <w:iCs w:val="0"/>
                <w:color w:val="000000"/>
                <w:sz w:val="18"/>
                <w:szCs w:val="18"/>
                <w:u w:val="none"/>
              </w:rPr>
            </w:pPr>
          </w:p>
        </w:tc>
        <w:tc>
          <w:tcPr>
            <w:tcW w:w="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84DA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DDD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1201.97</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A072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1201.97</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E610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1201.97</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B772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56FD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99A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7751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5DD1C">
            <w:pPr>
              <w:jc w:val="center"/>
              <w:rPr>
                <w:rFonts w:hint="eastAsia" w:ascii="宋体" w:hAnsi="宋体" w:eastAsia="宋体" w:cs="宋体"/>
                <w:b/>
                <w:bCs/>
                <w:i w:val="0"/>
                <w:iCs w:val="0"/>
                <w:color w:val="000000"/>
                <w:sz w:val="18"/>
                <w:szCs w:val="18"/>
                <w:u w:val="none"/>
              </w:rPr>
            </w:pPr>
          </w:p>
        </w:tc>
        <w:tc>
          <w:tcPr>
            <w:tcW w:w="7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CE41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508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CC21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34E4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401F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C90A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9C7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4621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878D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5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EF5E3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4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EE8AD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7584F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6C30D">
            <w:pPr>
              <w:jc w:val="center"/>
              <w:rPr>
                <w:rFonts w:hint="eastAsia" w:ascii="宋体" w:hAnsi="宋体" w:eastAsia="宋体" w:cs="宋体"/>
                <w:b/>
                <w:bCs/>
                <w:i w:val="0"/>
                <w:iCs w:val="0"/>
                <w:color w:val="000000"/>
                <w:sz w:val="18"/>
                <w:szCs w:val="18"/>
                <w:u w:val="none"/>
              </w:rPr>
            </w:pPr>
          </w:p>
        </w:tc>
        <w:tc>
          <w:tcPr>
            <w:tcW w:w="195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84036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通过开采利用非常规天然气，非常规天然气开采利用量6269万平方米，采暖季非常规天然气利用量占全年比列大于30%，非常规天然气抽采量6383万平方米，非常规天然气开采利用率大于88%，达到增加能源供应，实现安全发展、清洁发展、节约发展。</w:t>
            </w:r>
          </w:p>
        </w:tc>
        <w:tc>
          <w:tcPr>
            <w:tcW w:w="284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9D418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非常规天然气开采利用量5967万m3，采暖季非常规天然气利用量占全年比例达到33.45%，非常规天然气开采利用率达到98.32%，非常规天然气抽采量6068.93万m3，非常规天然气抽采设备质量稳定安全可靠，非常规天然气项目设备更新维护及时率达到90%，该项目实施的过程中做到增加能源供应、减少安全事故，减少温室气体排放，项目实施地周边群众满意度达到90%，实施项目公示率达到100%，实施项目公示无异议率达到100%。</w:t>
            </w:r>
          </w:p>
        </w:tc>
      </w:tr>
      <w:tr w14:paraId="6A2A9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D0FA66">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15F5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3682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B12C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C67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632C2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FF05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198A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bookmarkStart w:id="158" w:name="_GoBack"/>
            <w:bookmarkEnd w:id="158"/>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C019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8157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3D35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5756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577D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8A75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042DD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C0F42">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A2D9E">
            <w:pPr>
              <w:jc w:val="center"/>
              <w:rPr>
                <w:rFonts w:hint="eastAsia" w:ascii="宋体" w:hAnsi="宋体" w:eastAsia="宋体" w:cs="宋体"/>
                <w:b/>
                <w:bCs/>
                <w:i w:val="0"/>
                <w:iCs w:val="0"/>
                <w:color w:val="000000"/>
                <w:sz w:val="18"/>
                <w:szCs w:val="18"/>
                <w:u w:val="none"/>
              </w:rPr>
            </w:pPr>
          </w:p>
        </w:tc>
        <w:tc>
          <w:tcPr>
            <w:tcW w:w="2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D1726">
            <w:pPr>
              <w:jc w:val="center"/>
              <w:rPr>
                <w:rFonts w:hint="eastAsia" w:ascii="宋体" w:hAnsi="宋体" w:eastAsia="宋体" w:cs="宋体"/>
                <w:b/>
                <w:bCs/>
                <w:i w:val="0"/>
                <w:iCs w:val="0"/>
                <w:color w:val="000000"/>
                <w:sz w:val="18"/>
                <w:szCs w:val="18"/>
                <w:u w:val="none"/>
              </w:rPr>
            </w:pPr>
          </w:p>
        </w:tc>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107E8">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5E4B0">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1E83C">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67D4F">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4F844">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C13EC">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8D963">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C53AA">
            <w:pPr>
              <w:jc w:val="center"/>
              <w:rPr>
                <w:rFonts w:hint="eastAsia" w:ascii="宋体" w:hAnsi="宋体" w:eastAsia="宋体" w:cs="宋体"/>
                <w:b/>
                <w:bCs/>
                <w:i w:val="0"/>
                <w:iCs w:val="0"/>
                <w:color w:val="000000"/>
                <w:sz w:val="18"/>
                <w:szCs w:val="18"/>
                <w:u w:val="none"/>
              </w:rPr>
            </w:pPr>
          </w:p>
        </w:tc>
        <w:tc>
          <w:tcPr>
            <w:tcW w:w="3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A9F7D">
            <w:pPr>
              <w:jc w:val="center"/>
              <w:rPr>
                <w:rFonts w:hint="eastAsia" w:ascii="宋体" w:hAnsi="宋体" w:eastAsia="宋体" w:cs="宋体"/>
                <w:b/>
                <w:bCs/>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A745D">
            <w:pPr>
              <w:jc w:val="center"/>
              <w:rPr>
                <w:rFonts w:hint="eastAsia" w:ascii="宋体" w:hAnsi="宋体" w:eastAsia="宋体" w:cs="宋体"/>
                <w:b/>
                <w:bCs/>
                <w:i w:val="0"/>
                <w:iCs w:val="0"/>
                <w:color w:val="000000"/>
                <w:sz w:val="18"/>
                <w:szCs w:val="18"/>
                <w:u w:val="none"/>
              </w:rPr>
            </w:pPr>
          </w:p>
        </w:tc>
        <w:tc>
          <w:tcPr>
            <w:tcW w:w="8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A7728">
            <w:pPr>
              <w:jc w:val="center"/>
              <w:rPr>
                <w:rFonts w:hint="eastAsia" w:ascii="宋体" w:hAnsi="宋体" w:eastAsia="宋体" w:cs="宋体"/>
                <w:b/>
                <w:bCs/>
                <w:i w:val="0"/>
                <w:iCs w:val="0"/>
                <w:color w:val="000000"/>
                <w:sz w:val="18"/>
                <w:szCs w:val="18"/>
                <w:u w:val="none"/>
              </w:rPr>
            </w:pPr>
          </w:p>
        </w:tc>
      </w:tr>
      <w:tr w14:paraId="6A5F2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A730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E502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682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C2D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非常规天然气开采利用量</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8E7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4CA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=6269万立方米</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07E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=5967万立方米</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25B9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95.18%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2E0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97A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BF772">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4D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980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062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偏差原因：因新井抽采量未达预期，故导致抽采利用量未完成指标值； 下一步改进措施：加大勘探开发，利用新开发区域增加产能贡献，确保如期完成指标值。</w:t>
            </w:r>
          </w:p>
        </w:tc>
      </w:tr>
      <w:tr w14:paraId="59EB2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40DEB">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9AC4B">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8DD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144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采暖季非常规天然气利用量占全年比例</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C74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B63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DC9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=33.45%</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A0E4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111.50%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3CE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CA5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6AE7F">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BD3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9BA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2B7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偏差原因：采暖季非常规天然气利用量占全年比例比年初计划增加；下一步改进措施：在年初设定指标值时尽量做到预算精确。</w:t>
            </w:r>
          </w:p>
        </w:tc>
      </w:tr>
      <w:tr w14:paraId="7D25F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5F7E6">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801CE">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5A2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8AC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非常规天然气开采利用率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AF3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0C1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B5D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=98.32%</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F437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111.72%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53C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8.83</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31E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62A4D">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740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7F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476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偏差原因：采暖季非常规天然气利用率提升；下一步改进措施：在年初设定指标值时尽量做到预算精确。</w:t>
            </w:r>
          </w:p>
        </w:tc>
      </w:tr>
      <w:tr w14:paraId="41F21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D7B4B">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B99C8">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ADA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308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非常规天然气抽采量</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3F6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1E1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=6383万立方米</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0C3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=6068.93万立方米</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E6E6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A98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8.77</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884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B3CA7">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945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664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C2C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2024年老井产量趋于稳定，主要受新井施工过程影响抽采量，因阜康矿区地质复杂，煤层渗透性强，断层分布广，为提高煤层气采收率，本年度新井压裂施工均采用大规模压裂进行，煤层渗透面较常规压裂扩大，导致新井排采见产实效较计划延后，抽采量未达预期，但为后期增产提供有效技术支撑。下一步措施：针对阜康区域采用大规模压裂的新井，持续优化新井排采降压制度，同时与行业专家深入交流降低新井排采达产周期。</w:t>
            </w:r>
          </w:p>
        </w:tc>
      </w:tr>
      <w:tr w14:paraId="3909F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D0CFB">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97B5B">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41D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387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非常规天然气抽采设备情况</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A03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49C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质量稳定、安全可靠</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EF1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143D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D4B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5AF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60B67">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8CD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CD3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72C1E">
            <w:pPr>
              <w:jc w:val="center"/>
              <w:rPr>
                <w:rFonts w:hint="eastAsia" w:ascii="宋体" w:hAnsi="宋体" w:eastAsia="宋体" w:cs="宋体"/>
                <w:i w:val="0"/>
                <w:iCs w:val="0"/>
                <w:color w:val="000000"/>
                <w:sz w:val="18"/>
                <w:szCs w:val="18"/>
                <w:u w:val="none"/>
              </w:rPr>
            </w:pPr>
          </w:p>
        </w:tc>
      </w:tr>
      <w:tr w14:paraId="6981D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7814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443D9">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D7A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F42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非常规天然气项目设备更新维护及时率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83A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5FA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928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D490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8C0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D75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2A08A">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9E7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AE3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48B3C">
            <w:pPr>
              <w:jc w:val="center"/>
              <w:rPr>
                <w:rFonts w:hint="eastAsia" w:ascii="宋体" w:hAnsi="宋体" w:eastAsia="宋体" w:cs="宋体"/>
                <w:i w:val="0"/>
                <w:iCs w:val="0"/>
                <w:color w:val="000000"/>
                <w:sz w:val="18"/>
                <w:szCs w:val="18"/>
                <w:u w:val="none"/>
              </w:rPr>
            </w:pPr>
          </w:p>
        </w:tc>
      </w:tr>
      <w:tr w14:paraId="2584A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991A7">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E09E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63A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D48E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7C25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AD83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C6CC1">
            <w:pPr>
              <w:jc w:val="center"/>
              <w:rPr>
                <w:rFonts w:hint="eastAsia" w:ascii="宋体" w:hAnsi="宋体" w:eastAsia="宋体" w:cs="宋体"/>
                <w:i w:val="0"/>
                <w:iCs w:val="0"/>
                <w:color w:val="000000"/>
                <w:sz w:val="18"/>
                <w:szCs w:val="18"/>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D62D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77E29">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0BF3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95545">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F4E47">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5097B">
            <w:pPr>
              <w:jc w:val="center"/>
              <w:rPr>
                <w:rFonts w:hint="eastAsia" w:ascii="宋体" w:hAnsi="宋体" w:eastAsia="宋体" w:cs="宋体"/>
                <w:i w:val="0"/>
                <w:iCs w:val="0"/>
                <w:color w:val="000000"/>
                <w:sz w:val="18"/>
                <w:szCs w:val="18"/>
                <w:u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5598D">
            <w:pPr>
              <w:jc w:val="center"/>
              <w:rPr>
                <w:rFonts w:hint="eastAsia" w:ascii="宋体" w:hAnsi="宋体" w:eastAsia="宋体" w:cs="宋体"/>
                <w:i w:val="0"/>
                <w:iCs w:val="0"/>
                <w:color w:val="000000"/>
                <w:sz w:val="18"/>
                <w:szCs w:val="18"/>
                <w:u w:val="none"/>
              </w:rPr>
            </w:pPr>
          </w:p>
        </w:tc>
      </w:tr>
      <w:tr w14:paraId="308DD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E8F35">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CD731">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A27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7C55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BA03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6504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E11A2">
            <w:pPr>
              <w:jc w:val="center"/>
              <w:rPr>
                <w:rFonts w:hint="eastAsia" w:ascii="宋体" w:hAnsi="宋体" w:eastAsia="宋体" w:cs="宋体"/>
                <w:i w:val="0"/>
                <w:iCs w:val="0"/>
                <w:color w:val="000000"/>
                <w:sz w:val="18"/>
                <w:szCs w:val="18"/>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A1F9">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005B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8971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EBF98">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D1BF7">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30D4D">
            <w:pPr>
              <w:jc w:val="center"/>
              <w:rPr>
                <w:rFonts w:hint="eastAsia" w:ascii="宋体" w:hAnsi="宋体" w:eastAsia="宋体" w:cs="宋体"/>
                <w:i w:val="0"/>
                <w:iCs w:val="0"/>
                <w:color w:val="000000"/>
                <w:sz w:val="18"/>
                <w:szCs w:val="18"/>
                <w:u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41748">
            <w:pPr>
              <w:jc w:val="center"/>
              <w:rPr>
                <w:rFonts w:hint="eastAsia" w:ascii="宋体" w:hAnsi="宋体" w:eastAsia="宋体" w:cs="宋体"/>
                <w:i w:val="0"/>
                <w:iCs w:val="0"/>
                <w:color w:val="000000"/>
                <w:sz w:val="18"/>
                <w:szCs w:val="18"/>
                <w:u w:val="none"/>
              </w:rPr>
            </w:pPr>
          </w:p>
        </w:tc>
      </w:tr>
      <w:tr w14:paraId="717E4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F702A">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87B3F">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982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87B7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5CC9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4CC4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48AB8">
            <w:pPr>
              <w:jc w:val="center"/>
              <w:rPr>
                <w:rFonts w:hint="eastAsia" w:ascii="宋体" w:hAnsi="宋体" w:eastAsia="宋体" w:cs="宋体"/>
                <w:i w:val="0"/>
                <w:iCs w:val="0"/>
                <w:color w:val="000000"/>
                <w:sz w:val="18"/>
                <w:szCs w:val="18"/>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5120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79C4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E4AD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7ACCB">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58591">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B531D">
            <w:pPr>
              <w:jc w:val="center"/>
              <w:rPr>
                <w:rFonts w:hint="eastAsia" w:ascii="宋体" w:hAnsi="宋体" w:eastAsia="宋体" w:cs="宋体"/>
                <w:i w:val="0"/>
                <w:iCs w:val="0"/>
                <w:color w:val="000000"/>
                <w:sz w:val="18"/>
                <w:szCs w:val="18"/>
                <w:u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DF77F">
            <w:pPr>
              <w:jc w:val="center"/>
              <w:rPr>
                <w:rFonts w:hint="eastAsia" w:ascii="宋体" w:hAnsi="宋体" w:eastAsia="宋体" w:cs="宋体"/>
                <w:i w:val="0"/>
                <w:iCs w:val="0"/>
                <w:color w:val="000000"/>
                <w:sz w:val="18"/>
                <w:szCs w:val="18"/>
                <w:u w:val="none"/>
              </w:rPr>
            </w:pPr>
          </w:p>
        </w:tc>
      </w:tr>
      <w:tr w14:paraId="4A866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4B374">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DFF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052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E655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686D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5CC09">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ECA1B">
            <w:pPr>
              <w:jc w:val="center"/>
              <w:rPr>
                <w:rFonts w:hint="eastAsia" w:ascii="宋体" w:hAnsi="宋体" w:eastAsia="宋体" w:cs="宋体"/>
                <w:i w:val="0"/>
                <w:iCs w:val="0"/>
                <w:color w:val="000000"/>
                <w:sz w:val="18"/>
                <w:szCs w:val="18"/>
                <w:u w:val="none"/>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10D4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6AAD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9FA4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2C6A5">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C0D0D">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5FD67">
            <w:pPr>
              <w:jc w:val="center"/>
              <w:rPr>
                <w:rFonts w:hint="eastAsia" w:ascii="宋体" w:hAnsi="宋体" w:eastAsia="宋体" w:cs="宋体"/>
                <w:i w:val="0"/>
                <w:iCs w:val="0"/>
                <w:color w:val="000000"/>
                <w:sz w:val="18"/>
                <w:szCs w:val="18"/>
                <w:u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5B603">
            <w:pPr>
              <w:jc w:val="center"/>
              <w:rPr>
                <w:rFonts w:hint="eastAsia" w:ascii="宋体" w:hAnsi="宋体" w:eastAsia="宋体" w:cs="宋体"/>
                <w:i w:val="0"/>
                <w:iCs w:val="0"/>
                <w:color w:val="000000"/>
                <w:sz w:val="18"/>
                <w:szCs w:val="18"/>
                <w:u w:val="none"/>
              </w:rPr>
            </w:pPr>
          </w:p>
        </w:tc>
      </w:tr>
      <w:tr w14:paraId="5A918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AD7EF">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FD874">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365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194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是否做到增加能源供应、减少安全事故</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061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483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8FF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E711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CA0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7C0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4B428">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FB8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028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4ECD0">
            <w:pPr>
              <w:jc w:val="center"/>
              <w:rPr>
                <w:rFonts w:hint="eastAsia" w:ascii="宋体" w:hAnsi="宋体" w:eastAsia="宋体" w:cs="宋体"/>
                <w:i w:val="0"/>
                <w:iCs w:val="0"/>
                <w:color w:val="000000"/>
                <w:sz w:val="18"/>
                <w:szCs w:val="18"/>
                <w:u w:val="none"/>
              </w:rPr>
            </w:pPr>
          </w:p>
        </w:tc>
      </w:tr>
      <w:tr w14:paraId="4645D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A727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95A38">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033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E73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是否减少温室气体排放</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B3C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E68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9AA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C9ED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CCB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A02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1A150">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C1D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C7D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9CD52">
            <w:pPr>
              <w:jc w:val="center"/>
              <w:rPr>
                <w:rFonts w:hint="eastAsia" w:ascii="宋体" w:hAnsi="宋体" w:eastAsia="宋体" w:cs="宋体"/>
                <w:i w:val="0"/>
                <w:iCs w:val="0"/>
                <w:color w:val="000000"/>
                <w:sz w:val="18"/>
                <w:szCs w:val="18"/>
                <w:u w:val="none"/>
              </w:rPr>
            </w:pPr>
          </w:p>
        </w:tc>
      </w:tr>
      <w:tr w14:paraId="2B178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90C87">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0672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DCF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413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项目实施地周边群众满意度</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70B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AE5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DD2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428F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E39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926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E45F1">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0E5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D3B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8AA59">
            <w:pPr>
              <w:jc w:val="center"/>
              <w:rPr>
                <w:rFonts w:hint="eastAsia" w:ascii="宋体" w:hAnsi="宋体" w:eastAsia="宋体" w:cs="宋体"/>
                <w:i w:val="0"/>
                <w:iCs w:val="0"/>
                <w:color w:val="000000"/>
                <w:sz w:val="18"/>
                <w:szCs w:val="18"/>
                <w:u w:val="none"/>
              </w:rPr>
            </w:pPr>
          </w:p>
        </w:tc>
      </w:tr>
      <w:tr w14:paraId="57D67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004F2">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39FFD">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773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009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实施项目公示率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109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CF6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FF1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87CE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D22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10A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236B9">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946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61E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7DA71">
            <w:pPr>
              <w:jc w:val="center"/>
              <w:rPr>
                <w:rFonts w:hint="eastAsia" w:ascii="宋体" w:hAnsi="宋体" w:eastAsia="宋体" w:cs="宋体"/>
                <w:i w:val="0"/>
                <w:iCs w:val="0"/>
                <w:color w:val="000000"/>
                <w:sz w:val="18"/>
                <w:szCs w:val="18"/>
                <w:u w:val="none"/>
              </w:rPr>
            </w:pPr>
          </w:p>
        </w:tc>
      </w:tr>
      <w:tr w14:paraId="2F685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5F948">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0A034">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799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9AF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实施项目公示无异议率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400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0B9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5D7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91AB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ACE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176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C11AA">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12D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5C5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88C2C">
            <w:pPr>
              <w:jc w:val="center"/>
              <w:rPr>
                <w:rFonts w:hint="eastAsia" w:ascii="宋体" w:hAnsi="宋体" w:eastAsia="宋体" w:cs="宋体"/>
                <w:i w:val="0"/>
                <w:iCs w:val="0"/>
                <w:color w:val="000000"/>
                <w:sz w:val="18"/>
                <w:szCs w:val="18"/>
                <w:u w:val="none"/>
              </w:rPr>
            </w:pPr>
          </w:p>
        </w:tc>
      </w:tr>
      <w:tr w14:paraId="16ADF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85" w:type="pct"/>
            <w:gridSpan w:val="4"/>
            <w:tcBorders>
              <w:top w:val="single" w:color="000000" w:sz="4" w:space="0"/>
              <w:left w:val="single" w:color="000000" w:sz="4" w:space="0"/>
              <w:bottom w:val="single" w:color="000000" w:sz="4" w:space="0"/>
              <w:right w:val="nil"/>
            </w:tcBorders>
            <w:shd w:val="clear" w:color="auto" w:fill="auto"/>
            <w:vAlign w:val="center"/>
          </w:tcPr>
          <w:p w14:paraId="6E69E3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D34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nil"/>
              <w:bottom w:val="single" w:color="000000" w:sz="4" w:space="0"/>
              <w:right w:val="single" w:color="000000" w:sz="4" w:space="0"/>
            </w:tcBorders>
            <w:shd w:val="clear" w:color="auto" w:fill="auto"/>
            <w:vAlign w:val="center"/>
          </w:tcPr>
          <w:p w14:paraId="1492A4CB">
            <w:pP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6A16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5D8E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2D5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95.25分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0E75D">
            <w:pP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5E856">
            <w:pP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C89A4">
            <w:pP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B6FA0">
            <w:pPr>
              <w:rPr>
                <w:rFonts w:hint="eastAsia" w:ascii="宋体" w:hAnsi="宋体" w:eastAsia="宋体" w:cs="宋体"/>
                <w:i w:val="0"/>
                <w:iCs w:val="0"/>
                <w:color w:val="000000"/>
                <w:sz w:val="18"/>
                <w:szCs w:val="18"/>
                <w:u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A9F4E">
            <w:pPr>
              <w:rPr>
                <w:rFonts w:hint="eastAsia" w:ascii="宋体" w:hAnsi="宋体" w:eastAsia="宋体" w:cs="宋体"/>
                <w:i w:val="0"/>
                <w:iCs w:val="0"/>
                <w:color w:val="000000"/>
                <w:sz w:val="18"/>
                <w:szCs w:val="18"/>
                <w:u w:val="none"/>
              </w:rPr>
            </w:pPr>
          </w:p>
        </w:tc>
      </w:tr>
    </w:tbl>
    <w:p w14:paraId="2363365B">
      <w:pPr>
        <w:ind w:left="0" w:leftChars="0" w:firstLine="0" w:firstLineChars="0"/>
        <w:rPr>
          <w:color w:val="auto"/>
          <w:highlight w:val="none"/>
        </w:rPr>
      </w:pPr>
      <w:r>
        <w:rPr>
          <w:color w:val="auto"/>
          <w:highlight w:val="none"/>
        </w:rPr>
        <w:br w:type="page"/>
      </w:r>
    </w:p>
    <w:p w14:paraId="1C91A12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6" w:name="_Toc11223"/>
      <w:bookmarkStart w:id="157"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156"/>
      <w:bookmarkEnd w:id="157"/>
    </w:p>
    <w:tbl>
      <w:tblPr>
        <w:tblStyle w:val="16"/>
        <w:tblW w:w="139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36857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trPr>
        <w:tc>
          <w:tcPr>
            <w:tcW w:w="861" w:type="dxa"/>
            <w:shd w:val="clear" w:color="auto" w:fill="auto"/>
            <w:noWrap w:val="0"/>
            <w:vAlign w:val="center"/>
          </w:tcPr>
          <w:p w14:paraId="46771B7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163CFED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7668C3C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75E525B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694C61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5FCA66E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7A0B608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156B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18" w:hRule="atLeast"/>
        </w:trPr>
        <w:tc>
          <w:tcPr>
            <w:tcW w:w="861" w:type="dxa"/>
            <w:vMerge w:val="restart"/>
            <w:shd w:val="clear" w:color="auto" w:fill="auto"/>
            <w:noWrap w:val="0"/>
            <w:vAlign w:val="center"/>
          </w:tcPr>
          <w:p w14:paraId="2916F6D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0D0EF31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42C769A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00A8C54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36A3D46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3F47E4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1269835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58DE5F8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07934D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6099043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79C8D3E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73E932D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30F36335">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1BC5D7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9C0117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93F5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trPr>
        <w:tc>
          <w:tcPr>
            <w:tcW w:w="861" w:type="dxa"/>
            <w:vMerge w:val="continue"/>
            <w:shd w:val="clear" w:color="auto" w:fill="auto"/>
            <w:noWrap w:val="0"/>
            <w:vAlign w:val="center"/>
          </w:tcPr>
          <w:p w14:paraId="65ABF82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BFAF76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C84A7E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78E07E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5589AA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2A403D4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6AB9E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4513E7B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78E3FB5B">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36B219C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371EEC3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4A2B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861" w:type="dxa"/>
            <w:vMerge w:val="continue"/>
            <w:shd w:val="clear" w:color="auto" w:fill="auto"/>
            <w:noWrap w:val="0"/>
            <w:vAlign w:val="center"/>
          </w:tcPr>
          <w:p w14:paraId="737E111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04C03BF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55B50F1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50C9534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7D150AF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1E9B989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DE4A06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618BF98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25F55F0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7A13B4F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2934025F">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368C20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3DAC64A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E8E8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trPr>
        <w:tc>
          <w:tcPr>
            <w:tcW w:w="861" w:type="dxa"/>
            <w:vMerge w:val="restart"/>
            <w:shd w:val="clear" w:color="auto" w:fill="auto"/>
            <w:noWrap w:val="0"/>
            <w:vAlign w:val="center"/>
          </w:tcPr>
          <w:p w14:paraId="5057ED9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7AB8132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4BA074D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2774E52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109FE06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45321EA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A8D703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537FAD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51B7E84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62A4DFB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1F80A70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2E8CE9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398C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2" w:hRule="atLeast"/>
        </w:trPr>
        <w:tc>
          <w:tcPr>
            <w:tcW w:w="861" w:type="dxa"/>
            <w:vMerge w:val="continue"/>
            <w:shd w:val="clear" w:color="auto" w:fill="auto"/>
            <w:noWrap w:val="0"/>
            <w:vAlign w:val="center"/>
          </w:tcPr>
          <w:p w14:paraId="70C48D6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41BF82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20E18F0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54088A7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656BA3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1C352D6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414B0E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C94588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252E4D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1413402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3E3D688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5120FFD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5B8433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48A2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9" w:hRule="atLeast"/>
        </w:trPr>
        <w:tc>
          <w:tcPr>
            <w:tcW w:w="861" w:type="dxa"/>
            <w:vMerge w:val="continue"/>
            <w:shd w:val="clear" w:color="auto" w:fill="auto"/>
            <w:noWrap w:val="0"/>
            <w:vAlign w:val="center"/>
          </w:tcPr>
          <w:p w14:paraId="1D66E7E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0A498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CD9323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1697F33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619D3CE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028ADE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9BF4BA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25E0119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4A0103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E2BAE5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742F7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3" w:hRule="atLeast"/>
        </w:trPr>
        <w:tc>
          <w:tcPr>
            <w:tcW w:w="861" w:type="dxa"/>
            <w:vMerge w:val="restart"/>
            <w:shd w:val="clear" w:color="auto" w:fill="auto"/>
            <w:noWrap w:val="0"/>
            <w:vAlign w:val="center"/>
          </w:tcPr>
          <w:p w14:paraId="4B89E0F7">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32CAD14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30A5E56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05D92EF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5735F9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3BDEAFA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5EFAE1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3986001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301B8B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F29594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203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861" w:type="dxa"/>
            <w:vMerge w:val="continue"/>
            <w:shd w:val="clear" w:color="auto" w:fill="auto"/>
            <w:noWrap w:val="0"/>
            <w:vAlign w:val="center"/>
          </w:tcPr>
          <w:p w14:paraId="7E466B05">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43AC2A4">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7DE2CB2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66AEAC9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19A95E4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6919C1F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143E378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D6E678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773A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0" w:hRule="atLeast"/>
        </w:trPr>
        <w:tc>
          <w:tcPr>
            <w:tcW w:w="861" w:type="dxa"/>
            <w:vMerge w:val="restart"/>
            <w:shd w:val="clear" w:color="auto" w:fill="auto"/>
            <w:noWrap w:val="0"/>
            <w:vAlign w:val="center"/>
          </w:tcPr>
          <w:p w14:paraId="40F18DB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F808F8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1552511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5F77E8F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16C4691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0CD45B9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155BA6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69127F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016EFF9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1658D23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3FCDDF8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3FB816C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D0E9A8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3B6D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7" w:hRule="atLeast"/>
        </w:trPr>
        <w:tc>
          <w:tcPr>
            <w:tcW w:w="861" w:type="dxa"/>
            <w:vMerge w:val="continue"/>
            <w:shd w:val="clear" w:color="auto" w:fill="auto"/>
            <w:noWrap w:val="0"/>
            <w:vAlign w:val="center"/>
          </w:tcPr>
          <w:p w14:paraId="72A528F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06F5704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530E0FD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1B254A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426D690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1FB419C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65929D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5AF2AF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091861B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573FD81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DDE0CD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325C8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7" w:hRule="atLeast"/>
        </w:trPr>
        <w:tc>
          <w:tcPr>
            <w:tcW w:w="861" w:type="dxa"/>
            <w:vMerge w:val="continue"/>
            <w:shd w:val="clear" w:color="auto" w:fill="auto"/>
            <w:noWrap w:val="0"/>
            <w:vAlign w:val="center"/>
          </w:tcPr>
          <w:p w14:paraId="65BCBA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C78024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53493CF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585D1B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5E27F05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0CD9352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790CA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05590A6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5F43F4A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49540E4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1700FB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37FF27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9839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34" w:hRule="atLeast"/>
        </w:trPr>
        <w:tc>
          <w:tcPr>
            <w:tcW w:w="861" w:type="dxa"/>
            <w:shd w:val="clear" w:color="auto" w:fill="auto"/>
            <w:noWrap w:val="0"/>
            <w:vAlign w:val="center"/>
          </w:tcPr>
          <w:p w14:paraId="7248954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718CF9E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0904B3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非常规天然气开采利用量</w:t>
            </w:r>
          </w:p>
        </w:tc>
        <w:tc>
          <w:tcPr>
            <w:tcW w:w="2141" w:type="dxa"/>
            <w:shd w:val="clear" w:color="auto" w:fill="auto"/>
            <w:noWrap w:val="0"/>
            <w:vAlign w:val="center"/>
          </w:tcPr>
          <w:p w14:paraId="510990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0E23F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DBC6D7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00BAE9D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7DC6409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35AB78D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4.4</w:t>
            </w:r>
          </w:p>
        </w:tc>
      </w:tr>
      <w:tr w14:paraId="31CC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4" w:hRule="atLeast"/>
        </w:trPr>
        <w:tc>
          <w:tcPr>
            <w:tcW w:w="861" w:type="dxa"/>
            <w:shd w:val="clear" w:color="auto" w:fill="auto"/>
            <w:noWrap w:val="0"/>
            <w:vAlign w:val="center"/>
          </w:tcPr>
          <w:p w14:paraId="3C4F9FC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6512A11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0DE7EA9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采暖季非常规天然气利用量占全年比例</w:t>
            </w:r>
          </w:p>
        </w:tc>
        <w:tc>
          <w:tcPr>
            <w:tcW w:w="2141" w:type="dxa"/>
            <w:shd w:val="clear" w:color="auto" w:fill="auto"/>
            <w:noWrap w:val="0"/>
            <w:vAlign w:val="center"/>
          </w:tcPr>
          <w:p w14:paraId="1BF7B0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78BCC7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50699B8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0994DA1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6F10F6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CF2449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4.43</w:t>
            </w:r>
          </w:p>
        </w:tc>
      </w:tr>
      <w:tr w14:paraId="37D07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4" w:hRule="atLeast"/>
        </w:trPr>
        <w:tc>
          <w:tcPr>
            <w:tcW w:w="861" w:type="dxa"/>
            <w:shd w:val="clear" w:color="auto" w:fill="auto"/>
            <w:noWrap w:val="0"/>
            <w:vAlign w:val="center"/>
          </w:tcPr>
          <w:p w14:paraId="745B64C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3054FC2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3ED5B72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非常规天然气开采利用率</w:t>
            </w:r>
          </w:p>
        </w:tc>
        <w:tc>
          <w:tcPr>
            <w:tcW w:w="2141" w:type="dxa"/>
            <w:shd w:val="clear" w:color="auto" w:fill="auto"/>
            <w:noWrap w:val="0"/>
            <w:vAlign w:val="center"/>
          </w:tcPr>
          <w:p w14:paraId="01391FC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2C219D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3748AF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6DB1BE9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615DF3C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11CE9A5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4.41</w:t>
            </w:r>
          </w:p>
        </w:tc>
      </w:tr>
      <w:tr w14:paraId="17354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4" w:hRule="atLeast"/>
        </w:trPr>
        <w:tc>
          <w:tcPr>
            <w:tcW w:w="861" w:type="dxa"/>
            <w:shd w:val="clear" w:color="auto" w:fill="auto"/>
            <w:noWrap w:val="0"/>
            <w:vAlign w:val="center"/>
          </w:tcPr>
          <w:p w14:paraId="014B9EA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1BFE836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531E05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非常规天然气抽采量</w:t>
            </w:r>
          </w:p>
        </w:tc>
        <w:tc>
          <w:tcPr>
            <w:tcW w:w="2141" w:type="dxa"/>
            <w:shd w:val="clear" w:color="auto" w:fill="auto"/>
            <w:noWrap w:val="0"/>
            <w:vAlign w:val="center"/>
          </w:tcPr>
          <w:p w14:paraId="1D8976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6768DA1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4AFCC59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1F189E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32E4C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41EA00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4.39</w:t>
            </w:r>
          </w:p>
        </w:tc>
      </w:tr>
      <w:tr w14:paraId="598E3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2" w:hRule="atLeast"/>
        </w:trPr>
        <w:tc>
          <w:tcPr>
            <w:tcW w:w="861" w:type="dxa"/>
            <w:vMerge w:val="restart"/>
            <w:shd w:val="clear" w:color="auto" w:fill="auto"/>
            <w:noWrap w:val="0"/>
            <w:vAlign w:val="center"/>
          </w:tcPr>
          <w:p w14:paraId="1D14A07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2E5D671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594795D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非常规天然气抽采设备情况</w:t>
            </w:r>
          </w:p>
        </w:tc>
        <w:tc>
          <w:tcPr>
            <w:tcW w:w="2141" w:type="dxa"/>
            <w:shd w:val="clear" w:color="auto" w:fill="auto"/>
            <w:noWrap w:val="0"/>
            <w:vAlign w:val="center"/>
          </w:tcPr>
          <w:p w14:paraId="4FE56A3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1B16D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7CD50B2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E3D5A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5E4DC2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B30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6" w:hRule="atLeast"/>
        </w:trPr>
        <w:tc>
          <w:tcPr>
            <w:tcW w:w="861" w:type="dxa"/>
            <w:vMerge w:val="continue"/>
            <w:shd w:val="clear" w:color="auto" w:fill="auto"/>
            <w:noWrap w:val="0"/>
            <w:vAlign w:val="center"/>
          </w:tcPr>
          <w:p w14:paraId="1009C60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07CBF39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7B4059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非常规天然气项目设备更新维护及时率</w:t>
            </w:r>
          </w:p>
        </w:tc>
        <w:tc>
          <w:tcPr>
            <w:tcW w:w="2141" w:type="dxa"/>
            <w:shd w:val="clear" w:color="auto" w:fill="auto"/>
            <w:noWrap w:val="0"/>
            <w:vAlign w:val="center"/>
          </w:tcPr>
          <w:p w14:paraId="17E5855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0DBF23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5C8D619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521E39C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391A8F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AB24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6" w:hRule="atLeast"/>
        </w:trPr>
        <w:tc>
          <w:tcPr>
            <w:tcW w:w="861" w:type="dxa"/>
            <w:vMerge w:val="continue"/>
            <w:shd w:val="clear" w:color="auto" w:fill="auto"/>
            <w:noWrap w:val="0"/>
            <w:vAlign w:val="center"/>
          </w:tcPr>
          <w:p w14:paraId="48E7B62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16E4F76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232EAB2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成本节约率</w:t>
            </w:r>
          </w:p>
        </w:tc>
        <w:tc>
          <w:tcPr>
            <w:tcW w:w="2141" w:type="dxa"/>
            <w:shd w:val="clear" w:color="auto" w:fill="auto"/>
            <w:noWrap w:val="0"/>
            <w:vAlign w:val="center"/>
          </w:tcPr>
          <w:p w14:paraId="1315F45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518786C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06E59D3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DAEE32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559BE3B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180680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75A107E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710A5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861" w:type="dxa"/>
            <w:vMerge w:val="restart"/>
            <w:shd w:val="clear" w:color="auto" w:fill="auto"/>
            <w:noWrap w:val="0"/>
            <w:vAlign w:val="center"/>
          </w:tcPr>
          <w:p w14:paraId="692DBB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51F5FFB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6A7642CE">
            <w:pPr>
              <w:pageBreakBefore w:val="0"/>
              <w:widowControl/>
              <w:tabs>
                <w:tab w:val="left" w:pos="454"/>
              </w:tabs>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eastAsia="zh-CN"/>
              </w:rPr>
              <w:tab/>
            </w:r>
            <w:r>
              <w:rPr>
                <w:rFonts w:hint="eastAsia" w:cs="宋体"/>
                <w:color w:val="auto"/>
                <w:kern w:val="0"/>
                <w:sz w:val="22"/>
                <w:szCs w:val="22"/>
                <w:highlight w:val="none"/>
                <w:lang w:eastAsia="zh-CN"/>
              </w:rPr>
              <w:t>是否做到增加能源供应、减少安全事故</w:t>
            </w:r>
          </w:p>
        </w:tc>
        <w:tc>
          <w:tcPr>
            <w:tcW w:w="2141" w:type="dxa"/>
            <w:shd w:val="clear" w:color="auto" w:fill="auto"/>
            <w:noWrap w:val="0"/>
            <w:vAlign w:val="center"/>
          </w:tcPr>
          <w:p w14:paraId="4E3400CB">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369D721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3B97DC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769" w:type="dxa"/>
            <w:shd w:val="clear" w:color="auto" w:fill="auto"/>
            <w:noWrap w:val="0"/>
            <w:vAlign w:val="center"/>
          </w:tcPr>
          <w:p w14:paraId="4FDE868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5B6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861" w:type="dxa"/>
            <w:vMerge w:val="continue"/>
            <w:shd w:val="clear" w:color="auto" w:fill="auto"/>
            <w:noWrap w:val="0"/>
            <w:vAlign w:val="center"/>
          </w:tcPr>
          <w:p w14:paraId="63981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973FD5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BCBAFD9">
            <w:pPr>
              <w:pageBreakBefore w:val="0"/>
              <w:widowControl/>
              <w:tabs>
                <w:tab w:val="left" w:pos="454"/>
              </w:tabs>
              <w:kinsoku/>
              <w:wordWrap/>
              <w:overflowPunct/>
              <w:topLinePunct w:val="0"/>
              <w:autoSpaceDE/>
              <w:autoSpaceDN/>
              <w:bidi w:val="0"/>
              <w:spacing w:line="240" w:lineRule="auto"/>
              <w:ind w:firstLine="0" w:firstLineChars="0"/>
              <w:jc w:val="left"/>
              <w:textAlignment w:val="auto"/>
              <w:rPr>
                <w:rFonts w:hint="eastAsia" w:cs="宋体"/>
                <w:color w:val="auto"/>
                <w:kern w:val="0"/>
                <w:sz w:val="22"/>
                <w:szCs w:val="22"/>
                <w:highlight w:val="none"/>
                <w:lang w:eastAsia="zh-CN"/>
              </w:rPr>
            </w:pPr>
            <w:r>
              <w:rPr>
                <w:rFonts w:hint="eastAsia" w:cs="宋体"/>
                <w:color w:val="auto"/>
                <w:kern w:val="0"/>
                <w:sz w:val="22"/>
                <w:szCs w:val="22"/>
                <w:highlight w:val="none"/>
                <w:lang w:eastAsia="zh-CN"/>
              </w:rPr>
              <w:t>是否减少温室气体排放</w:t>
            </w:r>
          </w:p>
        </w:tc>
        <w:tc>
          <w:tcPr>
            <w:tcW w:w="2141" w:type="dxa"/>
            <w:shd w:val="clear" w:color="auto" w:fill="auto"/>
            <w:noWrap w:val="0"/>
            <w:vAlign w:val="center"/>
          </w:tcPr>
          <w:p w14:paraId="5944FD6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6127CC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C457E7D">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769" w:type="dxa"/>
            <w:shd w:val="clear" w:color="auto" w:fill="auto"/>
            <w:noWrap w:val="0"/>
            <w:vAlign w:val="center"/>
          </w:tcPr>
          <w:p w14:paraId="3A5B9067">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534B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03" w:hRule="atLeast"/>
        </w:trPr>
        <w:tc>
          <w:tcPr>
            <w:tcW w:w="861" w:type="dxa"/>
            <w:vMerge w:val="continue"/>
            <w:shd w:val="clear" w:color="auto" w:fill="auto"/>
            <w:noWrap w:val="0"/>
            <w:vAlign w:val="center"/>
          </w:tcPr>
          <w:p w14:paraId="7E8ED45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970CC1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318F97A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项目实施地周边群众满意度</w:t>
            </w:r>
          </w:p>
        </w:tc>
        <w:tc>
          <w:tcPr>
            <w:tcW w:w="2141" w:type="dxa"/>
            <w:shd w:val="clear" w:color="auto" w:fill="auto"/>
            <w:noWrap w:val="0"/>
            <w:vAlign w:val="center"/>
          </w:tcPr>
          <w:p w14:paraId="1C171D5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3EB2F6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30B40B1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4</w:t>
            </w:r>
          </w:p>
        </w:tc>
        <w:tc>
          <w:tcPr>
            <w:tcW w:w="769" w:type="dxa"/>
            <w:shd w:val="clear" w:color="auto" w:fill="auto"/>
            <w:noWrap w:val="0"/>
            <w:vAlign w:val="center"/>
          </w:tcPr>
          <w:p w14:paraId="39C07F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4</w:t>
            </w:r>
          </w:p>
        </w:tc>
      </w:tr>
      <w:tr w14:paraId="03F0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861" w:type="dxa"/>
            <w:vMerge w:val="continue"/>
            <w:shd w:val="clear" w:color="auto" w:fill="auto"/>
            <w:noWrap w:val="0"/>
            <w:vAlign w:val="center"/>
          </w:tcPr>
          <w:p w14:paraId="1250C85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51686C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67F768E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实施项目公示率</w:t>
            </w:r>
          </w:p>
        </w:tc>
        <w:tc>
          <w:tcPr>
            <w:tcW w:w="2141" w:type="dxa"/>
            <w:shd w:val="clear" w:color="auto" w:fill="auto"/>
            <w:noWrap w:val="0"/>
            <w:vAlign w:val="center"/>
          </w:tcPr>
          <w:p w14:paraId="2DE5671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430F1B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0564A6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4</w:t>
            </w:r>
          </w:p>
        </w:tc>
        <w:tc>
          <w:tcPr>
            <w:tcW w:w="769" w:type="dxa"/>
            <w:shd w:val="clear" w:color="auto" w:fill="auto"/>
            <w:noWrap w:val="0"/>
            <w:vAlign w:val="center"/>
          </w:tcPr>
          <w:p w14:paraId="741E428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4</w:t>
            </w:r>
          </w:p>
        </w:tc>
      </w:tr>
      <w:tr w14:paraId="012D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861" w:type="dxa"/>
            <w:vMerge w:val="continue"/>
            <w:shd w:val="clear" w:color="auto" w:fill="auto"/>
            <w:noWrap w:val="0"/>
            <w:vAlign w:val="center"/>
          </w:tcPr>
          <w:p w14:paraId="452435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4AE1D2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D1E1AFF">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实施项目公示无异议率</w:t>
            </w:r>
          </w:p>
        </w:tc>
        <w:tc>
          <w:tcPr>
            <w:tcW w:w="2141" w:type="dxa"/>
            <w:shd w:val="clear" w:color="auto" w:fill="auto"/>
            <w:noWrap w:val="0"/>
            <w:vAlign w:val="center"/>
          </w:tcPr>
          <w:p w14:paraId="59C22E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546D8A6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2018DBD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4</w:t>
            </w:r>
          </w:p>
        </w:tc>
        <w:tc>
          <w:tcPr>
            <w:tcW w:w="769" w:type="dxa"/>
            <w:shd w:val="clear" w:color="auto" w:fill="auto"/>
            <w:noWrap w:val="0"/>
            <w:vAlign w:val="center"/>
          </w:tcPr>
          <w:p w14:paraId="459CC3B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4</w:t>
            </w:r>
          </w:p>
        </w:tc>
      </w:tr>
      <w:tr w14:paraId="2D81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4549" w:type="dxa"/>
            <w:gridSpan w:val="4"/>
            <w:shd w:val="clear" w:color="auto" w:fill="auto"/>
            <w:noWrap w:val="0"/>
            <w:vAlign w:val="center"/>
          </w:tcPr>
          <w:p w14:paraId="7DB8A40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4E95617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725F28D6">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55695F6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96.63</w:t>
            </w:r>
          </w:p>
        </w:tc>
      </w:tr>
    </w:tbl>
    <w:p w14:paraId="39DDD4F4">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color w:val="auto"/>
          <w:sz w:val="30"/>
          <w:szCs w:val="24"/>
          <w:highlight w:val="none"/>
        </w:rPr>
      </w:pPr>
    </w:p>
    <w:p w14:paraId="731CF013">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9855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49D9ED">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049D9ED">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7F1446"/>
    <w:rsid w:val="00E23C81"/>
    <w:rsid w:val="00E967E9"/>
    <w:rsid w:val="01253350"/>
    <w:rsid w:val="01282E62"/>
    <w:rsid w:val="014029CF"/>
    <w:rsid w:val="01470C4C"/>
    <w:rsid w:val="01B110AA"/>
    <w:rsid w:val="021B3FF9"/>
    <w:rsid w:val="02200440"/>
    <w:rsid w:val="02284B43"/>
    <w:rsid w:val="02B015E2"/>
    <w:rsid w:val="02DC08FA"/>
    <w:rsid w:val="033B569D"/>
    <w:rsid w:val="037A3387"/>
    <w:rsid w:val="03920E94"/>
    <w:rsid w:val="03962568"/>
    <w:rsid w:val="039C3BA0"/>
    <w:rsid w:val="03A845BB"/>
    <w:rsid w:val="03B45AD1"/>
    <w:rsid w:val="04D12EE4"/>
    <w:rsid w:val="04D63993"/>
    <w:rsid w:val="05782819"/>
    <w:rsid w:val="057963EA"/>
    <w:rsid w:val="05E034B4"/>
    <w:rsid w:val="06393324"/>
    <w:rsid w:val="06781D07"/>
    <w:rsid w:val="06CF7862"/>
    <w:rsid w:val="07890F4F"/>
    <w:rsid w:val="07EF0236"/>
    <w:rsid w:val="0869027A"/>
    <w:rsid w:val="08892439"/>
    <w:rsid w:val="08EB30F3"/>
    <w:rsid w:val="09237408"/>
    <w:rsid w:val="09781BD6"/>
    <w:rsid w:val="09F359DF"/>
    <w:rsid w:val="0A0D3D83"/>
    <w:rsid w:val="0A575E65"/>
    <w:rsid w:val="0ACA0AB6"/>
    <w:rsid w:val="0C032502"/>
    <w:rsid w:val="0C27698C"/>
    <w:rsid w:val="0C286044"/>
    <w:rsid w:val="0C3A23E7"/>
    <w:rsid w:val="0C506694"/>
    <w:rsid w:val="0D1A11CD"/>
    <w:rsid w:val="0D4452F3"/>
    <w:rsid w:val="0D9D7A29"/>
    <w:rsid w:val="0DB95C75"/>
    <w:rsid w:val="0E4946C3"/>
    <w:rsid w:val="0E96765D"/>
    <w:rsid w:val="0F536A3C"/>
    <w:rsid w:val="0F5E5042"/>
    <w:rsid w:val="0FE95707"/>
    <w:rsid w:val="0FEE067B"/>
    <w:rsid w:val="10510571"/>
    <w:rsid w:val="10787A20"/>
    <w:rsid w:val="108672DE"/>
    <w:rsid w:val="10EC685A"/>
    <w:rsid w:val="116219F4"/>
    <w:rsid w:val="11FA6155"/>
    <w:rsid w:val="12CF0947"/>
    <w:rsid w:val="12F1313F"/>
    <w:rsid w:val="12F92F5A"/>
    <w:rsid w:val="136C678E"/>
    <w:rsid w:val="13EB2FF5"/>
    <w:rsid w:val="142F15FF"/>
    <w:rsid w:val="14ED4CAC"/>
    <w:rsid w:val="155F5AB8"/>
    <w:rsid w:val="15A46B04"/>
    <w:rsid w:val="16576F55"/>
    <w:rsid w:val="165825BC"/>
    <w:rsid w:val="16BC5D73"/>
    <w:rsid w:val="176F36D7"/>
    <w:rsid w:val="1795226D"/>
    <w:rsid w:val="17C55A5A"/>
    <w:rsid w:val="183E167B"/>
    <w:rsid w:val="18456B1E"/>
    <w:rsid w:val="18E669F6"/>
    <w:rsid w:val="1A424086"/>
    <w:rsid w:val="1AF97EC5"/>
    <w:rsid w:val="1B427370"/>
    <w:rsid w:val="1C1171C5"/>
    <w:rsid w:val="1D265138"/>
    <w:rsid w:val="1D7B6BCA"/>
    <w:rsid w:val="1D882867"/>
    <w:rsid w:val="1D945499"/>
    <w:rsid w:val="1D9D7BE4"/>
    <w:rsid w:val="1DA41A79"/>
    <w:rsid w:val="1DC53254"/>
    <w:rsid w:val="1DE8585E"/>
    <w:rsid w:val="1DF53469"/>
    <w:rsid w:val="1E2F24F2"/>
    <w:rsid w:val="1E3B4DDB"/>
    <w:rsid w:val="1E476E30"/>
    <w:rsid w:val="1E58492F"/>
    <w:rsid w:val="1E5B6757"/>
    <w:rsid w:val="1E8C37B3"/>
    <w:rsid w:val="1ED10AC6"/>
    <w:rsid w:val="1F89225F"/>
    <w:rsid w:val="1F900A1F"/>
    <w:rsid w:val="1FC0575D"/>
    <w:rsid w:val="206132C7"/>
    <w:rsid w:val="214D693F"/>
    <w:rsid w:val="21B00C1D"/>
    <w:rsid w:val="21E73673"/>
    <w:rsid w:val="23031BEB"/>
    <w:rsid w:val="23917691"/>
    <w:rsid w:val="244D65B8"/>
    <w:rsid w:val="245E1E24"/>
    <w:rsid w:val="2485380F"/>
    <w:rsid w:val="24B57619"/>
    <w:rsid w:val="24F42C78"/>
    <w:rsid w:val="25064A58"/>
    <w:rsid w:val="255A4C7D"/>
    <w:rsid w:val="25A80F55"/>
    <w:rsid w:val="25AD5E5D"/>
    <w:rsid w:val="26F53D46"/>
    <w:rsid w:val="270D023B"/>
    <w:rsid w:val="2732478D"/>
    <w:rsid w:val="27661469"/>
    <w:rsid w:val="27900EAD"/>
    <w:rsid w:val="279B538A"/>
    <w:rsid w:val="286F545C"/>
    <w:rsid w:val="289C0995"/>
    <w:rsid w:val="29314FBC"/>
    <w:rsid w:val="29B11BB4"/>
    <w:rsid w:val="29BD7D3C"/>
    <w:rsid w:val="29EB2AFB"/>
    <w:rsid w:val="2A5431CF"/>
    <w:rsid w:val="2A734392"/>
    <w:rsid w:val="2AA2081A"/>
    <w:rsid w:val="2AAD39BB"/>
    <w:rsid w:val="2C024B86"/>
    <w:rsid w:val="2C927671"/>
    <w:rsid w:val="2CC6306F"/>
    <w:rsid w:val="2D7C5CD6"/>
    <w:rsid w:val="2DD62096"/>
    <w:rsid w:val="2E483E7E"/>
    <w:rsid w:val="2E690493"/>
    <w:rsid w:val="2E934E6A"/>
    <w:rsid w:val="2E9854BD"/>
    <w:rsid w:val="2EF15FA4"/>
    <w:rsid w:val="2F0D407F"/>
    <w:rsid w:val="2F454B19"/>
    <w:rsid w:val="2F5702EB"/>
    <w:rsid w:val="2F796C6C"/>
    <w:rsid w:val="2F7E7C2E"/>
    <w:rsid w:val="300852CB"/>
    <w:rsid w:val="310224D9"/>
    <w:rsid w:val="317F28DA"/>
    <w:rsid w:val="318F1172"/>
    <w:rsid w:val="31971301"/>
    <w:rsid w:val="31B4621C"/>
    <w:rsid w:val="31E3230A"/>
    <w:rsid w:val="330957E0"/>
    <w:rsid w:val="33356CD8"/>
    <w:rsid w:val="33356F64"/>
    <w:rsid w:val="33544261"/>
    <w:rsid w:val="33944516"/>
    <w:rsid w:val="34B62907"/>
    <w:rsid w:val="354C470F"/>
    <w:rsid w:val="357B25A5"/>
    <w:rsid w:val="357D5375"/>
    <w:rsid w:val="36574348"/>
    <w:rsid w:val="36BD137C"/>
    <w:rsid w:val="36D35746"/>
    <w:rsid w:val="36FD3E39"/>
    <w:rsid w:val="37142166"/>
    <w:rsid w:val="38042BD3"/>
    <w:rsid w:val="38053EDF"/>
    <w:rsid w:val="380812A4"/>
    <w:rsid w:val="385D37E7"/>
    <w:rsid w:val="38782EDD"/>
    <w:rsid w:val="3A0C6896"/>
    <w:rsid w:val="3B42664A"/>
    <w:rsid w:val="3CAD1E92"/>
    <w:rsid w:val="3D836A4E"/>
    <w:rsid w:val="3EA37E97"/>
    <w:rsid w:val="3F303B9D"/>
    <w:rsid w:val="3F4D7D20"/>
    <w:rsid w:val="3FBE0BC5"/>
    <w:rsid w:val="4048103A"/>
    <w:rsid w:val="40736643"/>
    <w:rsid w:val="40B311EC"/>
    <w:rsid w:val="40D24A7A"/>
    <w:rsid w:val="42621029"/>
    <w:rsid w:val="42E708BA"/>
    <w:rsid w:val="42E84533"/>
    <w:rsid w:val="435241E2"/>
    <w:rsid w:val="43975C51"/>
    <w:rsid w:val="439E3FA7"/>
    <w:rsid w:val="43F26433"/>
    <w:rsid w:val="44B32266"/>
    <w:rsid w:val="44C57074"/>
    <w:rsid w:val="44F42108"/>
    <w:rsid w:val="44FC64F4"/>
    <w:rsid w:val="4665268B"/>
    <w:rsid w:val="467F4585"/>
    <w:rsid w:val="46B63196"/>
    <w:rsid w:val="46D41A3D"/>
    <w:rsid w:val="470628CB"/>
    <w:rsid w:val="47174928"/>
    <w:rsid w:val="47175048"/>
    <w:rsid w:val="4729480B"/>
    <w:rsid w:val="47555BD4"/>
    <w:rsid w:val="478B7275"/>
    <w:rsid w:val="47915B30"/>
    <w:rsid w:val="47BC2DB1"/>
    <w:rsid w:val="47D71973"/>
    <w:rsid w:val="47E202C5"/>
    <w:rsid w:val="47E96399"/>
    <w:rsid w:val="47F76025"/>
    <w:rsid w:val="486E33F5"/>
    <w:rsid w:val="48E12B50"/>
    <w:rsid w:val="48EE4C57"/>
    <w:rsid w:val="48F270A0"/>
    <w:rsid w:val="499441BE"/>
    <w:rsid w:val="499A6C1C"/>
    <w:rsid w:val="4A195607"/>
    <w:rsid w:val="4A2138F0"/>
    <w:rsid w:val="4A37171A"/>
    <w:rsid w:val="4A43203F"/>
    <w:rsid w:val="4A54626C"/>
    <w:rsid w:val="4A583887"/>
    <w:rsid w:val="4AAA104B"/>
    <w:rsid w:val="4B9F6E02"/>
    <w:rsid w:val="4C743176"/>
    <w:rsid w:val="4C752D46"/>
    <w:rsid w:val="4C89637B"/>
    <w:rsid w:val="4CEC260F"/>
    <w:rsid w:val="4D027648"/>
    <w:rsid w:val="4D3B0BEF"/>
    <w:rsid w:val="4D5167B5"/>
    <w:rsid w:val="4D7A2A79"/>
    <w:rsid w:val="4DB02331"/>
    <w:rsid w:val="4E1A2172"/>
    <w:rsid w:val="4E6E48A8"/>
    <w:rsid w:val="4EEC036B"/>
    <w:rsid w:val="4F551170"/>
    <w:rsid w:val="4F714FA1"/>
    <w:rsid w:val="501D2673"/>
    <w:rsid w:val="50C80BF1"/>
    <w:rsid w:val="51760E04"/>
    <w:rsid w:val="51852833"/>
    <w:rsid w:val="51960936"/>
    <w:rsid w:val="52F11AC8"/>
    <w:rsid w:val="534F49D9"/>
    <w:rsid w:val="53555F0F"/>
    <w:rsid w:val="535D23D5"/>
    <w:rsid w:val="535F55DD"/>
    <w:rsid w:val="53CE00CF"/>
    <w:rsid w:val="557F1893"/>
    <w:rsid w:val="56F4341A"/>
    <w:rsid w:val="575A7321"/>
    <w:rsid w:val="57D15CAF"/>
    <w:rsid w:val="580C3AB9"/>
    <w:rsid w:val="58337151"/>
    <w:rsid w:val="583C7AE0"/>
    <w:rsid w:val="586C1E9A"/>
    <w:rsid w:val="586E0800"/>
    <w:rsid w:val="588B5FCD"/>
    <w:rsid w:val="59216F96"/>
    <w:rsid w:val="59253F1C"/>
    <w:rsid w:val="598C4145"/>
    <w:rsid w:val="59957D1B"/>
    <w:rsid w:val="59D4294E"/>
    <w:rsid w:val="59EC6CE8"/>
    <w:rsid w:val="5B634312"/>
    <w:rsid w:val="5B9D2CCD"/>
    <w:rsid w:val="5B9E71EA"/>
    <w:rsid w:val="5CAA52BB"/>
    <w:rsid w:val="5CD14DF3"/>
    <w:rsid w:val="5E0F6AFB"/>
    <w:rsid w:val="5E226FBC"/>
    <w:rsid w:val="5ED23EC0"/>
    <w:rsid w:val="5F2E3562"/>
    <w:rsid w:val="5F733896"/>
    <w:rsid w:val="5F905714"/>
    <w:rsid w:val="5FE72BD2"/>
    <w:rsid w:val="60120613"/>
    <w:rsid w:val="618D5292"/>
    <w:rsid w:val="61A75D38"/>
    <w:rsid w:val="622E78FA"/>
    <w:rsid w:val="63281990"/>
    <w:rsid w:val="63343F70"/>
    <w:rsid w:val="6403019E"/>
    <w:rsid w:val="6417487E"/>
    <w:rsid w:val="64296E1C"/>
    <w:rsid w:val="64386FCC"/>
    <w:rsid w:val="649E64A2"/>
    <w:rsid w:val="64C94BC5"/>
    <w:rsid w:val="65736303"/>
    <w:rsid w:val="65E5270A"/>
    <w:rsid w:val="663D3C54"/>
    <w:rsid w:val="667A6962"/>
    <w:rsid w:val="66862C89"/>
    <w:rsid w:val="66BB486D"/>
    <w:rsid w:val="66FD27F8"/>
    <w:rsid w:val="67394C7D"/>
    <w:rsid w:val="674251D8"/>
    <w:rsid w:val="67BD5F24"/>
    <w:rsid w:val="68126B38"/>
    <w:rsid w:val="681F048A"/>
    <w:rsid w:val="68291A1A"/>
    <w:rsid w:val="682F0F7B"/>
    <w:rsid w:val="68352BB8"/>
    <w:rsid w:val="68BC4075"/>
    <w:rsid w:val="691327EB"/>
    <w:rsid w:val="691B1594"/>
    <w:rsid w:val="693A016B"/>
    <w:rsid w:val="6984407F"/>
    <w:rsid w:val="69DF35F8"/>
    <w:rsid w:val="69EB087C"/>
    <w:rsid w:val="6A17429C"/>
    <w:rsid w:val="6A567EA3"/>
    <w:rsid w:val="6A641EA6"/>
    <w:rsid w:val="6A802A4F"/>
    <w:rsid w:val="6AAC25E5"/>
    <w:rsid w:val="6AF0720C"/>
    <w:rsid w:val="6B4B4368"/>
    <w:rsid w:val="6B79100E"/>
    <w:rsid w:val="6B8C20C6"/>
    <w:rsid w:val="6BAF2EB3"/>
    <w:rsid w:val="6BC943D1"/>
    <w:rsid w:val="6BF26464"/>
    <w:rsid w:val="6C4A696D"/>
    <w:rsid w:val="6C844C00"/>
    <w:rsid w:val="6CDC1894"/>
    <w:rsid w:val="6D726FB9"/>
    <w:rsid w:val="6E0D54C5"/>
    <w:rsid w:val="6E10212C"/>
    <w:rsid w:val="6E43561A"/>
    <w:rsid w:val="6E557973"/>
    <w:rsid w:val="6E7A1985"/>
    <w:rsid w:val="6E9568DB"/>
    <w:rsid w:val="6E9E6EB3"/>
    <w:rsid w:val="6EC7757D"/>
    <w:rsid w:val="6F0D6C22"/>
    <w:rsid w:val="6F47657F"/>
    <w:rsid w:val="6F8D72AF"/>
    <w:rsid w:val="6FA11A2E"/>
    <w:rsid w:val="6FAF23D9"/>
    <w:rsid w:val="6FD0352D"/>
    <w:rsid w:val="70635CF6"/>
    <w:rsid w:val="70670707"/>
    <w:rsid w:val="714A74B6"/>
    <w:rsid w:val="720E3691"/>
    <w:rsid w:val="7249173A"/>
    <w:rsid w:val="724E244C"/>
    <w:rsid w:val="729C23A8"/>
    <w:rsid w:val="72DA6946"/>
    <w:rsid w:val="7320280B"/>
    <w:rsid w:val="732764B3"/>
    <w:rsid w:val="7340073F"/>
    <w:rsid w:val="74026044"/>
    <w:rsid w:val="74312486"/>
    <w:rsid w:val="74325A77"/>
    <w:rsid w:val="745F1093"/>
    <w:rsid w:val="74746410"/>
    <w:rsid w:val="75C8506C"/>
    <w:rsid w:val="75E5007C"/>
    <w:rsid w:val="762D15B9"/>
    <w:rsid w:val="76EE10AB"/>
    <w:rsid w:val="77334767"/>
    <w:rsid w:val="774C771B"/>
    <w:rsid w:val="77636B63"/>
    <w:rsid w:val="77813724"/>
    <w:rsid w:val="77861774"/>
    <w:rsid w:val="77C53EE9"/>
    <w:rsid w:val="785A09CA"/>
    <w:rsid w:val="78CA6E20"/>
    <w:rsid w:val="78F31435"/>
    <w:rsid w:val="792912E1"/>
    <w:rsid w:val="79300B45"/>
    <w:rsid w:val="794D3E18"/>
    <w:rsid w:val="79501600"/>
    <w:rsid w:val="79F3729A"/>
    <w:rsid w:val="7A880722"/>
    <w:rsid w:val="7ABE6120"/>
    <w:rsid w:val="7ACB0498"/>
    <w:rsid w:val="7AED0B4D"/>
    <w:rsid w:val="7B5513E1"/>
    <w:rsid w:val="7C1E4487"/>
    <w:rsid w:val="7C215E02"/>
    <w:rsid w:val="7CF23764"/>
    <w:rsid w:val="7D851A94"/>
    <w:rsid w:val="7D9E0E5B"/>
    <w:rsid w:val="7E101995"/>
    <w:rsid w:val="7E4142FC"/>
    <w:rsid w:val="7E68119A"/>
    <w:rsid w:val="7E797F74"/>
    <w:rsid w:val="7E907BAB"/>
    <w:rsid w:val="7F6F5375"/>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11567</Words>
  <Characters>12421</Characters>
  <Lines>0</Lines>
  <Paragraphs>0</Paragraphs>
  <TotalTime>3</TotalTime>
  <ScaleCrop>false</ScaleCrop>
  <LinksUpToDate>false</LinksUpToDate>
  <CharactersWithSpaces>12498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2025-10-23T05:21:01Z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