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15679"/>
      <w:bookmarkStart w:id="2" w:name="_Toc25575"/>
      <w:bookmarkStart w:id="3" w:name="_Toc29123"/>
      <w:r>
        <w:rPr>
          <w:rFonts w:hint="eastAsia" w:cs="宋体"/>
          <w:b/>
          <w:bCs/>
          <w:color w:val="auto"/>
          <w:sz w:val="40"/>
          <w:szCs w:val="40"/>
          <w:highlight w:val="none"/>
          <w:shd w:val="clear" w:color="auto" w:fill="auto"/>
          <w:lang w:val="en-US" w:eastAsia="zh-CN"/>
        </w:rPr>
        <w:t>昌州财教【2023】90号2024年小学义务教育生均经费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eastAsia="zh-CN"/>
        </w:rPr>
        <w:t>昌州财教【2023】90号2024年小学义务教育生均经费</w:t>
      </w:r>
    </w:p>
    <w:p w14:paraId="7CB8A243">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阜康市第一小学</w:t>
      </w:r>
    </w:p>
    <w:p w14:paraId="1CD13478">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阜康市教育局</w:t>
      </w:r>
    </w:p>
    <w:p w14:paraId="065BEE39">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b w:val="0"/>
          <w:bCs/>
          <w:color w:val="000000"/>
          <w:sz w:val="30"/>
          <w:szCs w:val="30"/>
          <w:lang w:val="en-US" w:eastAsia="zh-CN"/>
        </w:rPr>
        <w:t>蒋煜</w:t>
      </w:r>
    </w:p>
    <w:p w14:paraId="50706B4B">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13</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28EABBB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25</w:t>
          </w:r>
          <w:r>
            <w:fldChar w:fldCharType="end"/>
          </w:r>
          <w:r>
            <w:rPr>
              <w:rFonts w:hint="eastAsia"/>
              <w:szCs w:val="28"/>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2946"/>
      <w:bookmarkStart w:id="5" w:name="_Toc1194"/>
      <w:bookmarkStart w:id="6" w:name="_Toc20432"/>
      <w:bookmarkStart w:id="7" w:name="_Toc3663"/>
      <w:r>
        <w:rPr>
          <w:rFonts w:hint="eastAsia" w:cs="宋体"/>
          <w:b/>
          <w:bCs/>
          <w:color w:val="auto"/>
          <w:sz w:val="36"/>
          <w:szCs w:val="36"/>
          <w:highlight w:val="none"/>
          <w:shd w:val="clear" w:color="auto" w:fill="auto"/>
          <w:lang w:val="en-US" w:eastAsia="zh-CN"/>
        </w:rPr>
        <w:t>昌州财教【2023】90号2024年小学义务教育生均经费</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9" w:name="_Toc23184"/>
      <w:r>
        <w:rPr>
          <w:rFonts w:hint="eastAsia" w:ascii="Times New Roman" w:hAnsi="Times New Roman" w:eastAsia="楷体_GB2312" w:cs="Times New Roman"/>
          <w:color w:val="auto"/>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5043"/>
      <w:bookmarkStart w:id="11" w:name="_Toc10645"/>
      <w:bookmarkStart w:id="12" w:name="_Toc22346"/>
      <w:bookmarkStart w:id="13" w:name="_Toc29812"/>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昌州财教【2023】90号2024年小学义务教育生均经费</w:t>
      </w:r>
      <w:r>
        <w:rPr>
          <w:rFonts w:hint="eastAsia" w:ascii="仿宋_GB2312" w:hAnsi="仿宋_GB2312" w:eastAsia="仿宋_GB2312" w:cs="仿宋_GB2312"/>
          <w:sz w:val="32"/>
          <w:szCs w:val="32"/>
        </w:rPr>
        <w:t>。资金来源为</w:t>
      </w:r>
      <w:r>
        <w:rPr>
          <w:rFonts w:hint="eastAsia" w:ascii="仿宋_GB2312" w:hAnsi="仿宋_GB2312" w:eastAsia="仿宋_GB2312" w:cs="仿宋_GB2312"/>
          <w:sz w:val="32"/>
          <w:szCs w:val="32"/>
          <w:lang w:val="en-US" w:eastAsia="zh-CN"/>
        </w:rPr>
        <w:t>上级转移</w:t>
      </w:r>
      <w:r>
        <w:rPr>
          <w:rFonts w:hint="eastAsia" w:ascii="仿宋_GB2312" w:hAnsi="仿宋_GB2312" w:eastAsia="仿宋_GB2312" w:cs="仿宋_GB2312"/>
          <w:sz w:val="32"/>
          <w:szCs w:val="32"/>
        </w:rPr>
        <w:t>资金，公用经费小学</w:t>
      </w:r>
      <w:r>
        <w:rPr>
          <w:rFonts w:hint="eastAsia" w:ascii="仿宋_GB2312" w:hAnsi="仿宋_GB2312" w:eastAsia="仿宋_GB2312" w:cs="仿宋_GB2312"/>
          <w:sz w:val="32"/>
          <w:szCs w:val="32"/>
          <w:lang w:val="en-US" w:eastAsia="zh-CN"/>
        </w:rPr>
        <w:t>161.65</w:t>
      </w:r>
      <w:r>
        <w:rPr>
          <w:rFonts w:hint="eastAsia" w:ascii="仿宋_GB2312" w:hAnsi="仿宋_GB2312" w:eastAsia="仿宋_GB2312" w:cs="仿宋_GB2312"/>
          <w:sz w:val="32"/>
          <w:szCs w:val="32"/>
        </w:rPr>
        <w:t>万元.保障学校正常运转，完成教学活动及其他日常业务的正常运转。2024年计划完成每学年以720元/生/学年的标准使用公用经费,总计在校学生人数人数2373人。进一步提高教育教学水平，促进城乡教育均衡发展.</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0730"/>
      <w:bookmarkStart w:id="15" w:name="_Toc27343"/>
      <w:bookmarkStart w:id="16" w:name="_Toc17880"/>
      <w:bookmarkStart w:id="17" w:name="_Toc16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69D307F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27245"/>
      <w:bookmarkStart w:id="19" w:name="_Toc16592"/>
      <w:bookmarkStart w:id="20" w:name="_Toc27409"/>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依据学校在校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昌州财教【2023】90号文件批复，经阜康市第一小学会议，确定了项目领导小组，明确了责任分工：组长为张蕾，副组长为孔令玲，项目负责人为蒋煜,组员为刘晓芳、任丽、潘洁，其中：蒋煜负责监管工作，潘洁负责项目档案资料，任丽负责资金拨付工作。</w:t>
      </w:r>
    </w:p>
    <w:p w14:paraId="2081218E">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本项目涉及学生人数2373人，公用经费享受比例达到100%，教师培训结业率达到100%，公用经费标准以720元/人/年完成，达到学校正常运转率提高，改善教学环境，提供良好的学生成长条件，保障学校正常运转,师生满意度达到90%。</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0240"/>
      <w:bookmarkStart w:id="23" w:name="_Toc1858"/>
      <w:bookmarkStart w:id="24" w:name="_Toc569"/>
      <w:bookmarkStart w:id="25" w:name="_Toc1234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644DF1C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5573"/>
      <w:bookmarkStart w:id="30" w:name="_Toc29190"/>
      <w:bookmarkStart w:id="31" w:name="_Toc9464"/>
      <w:r>
        <w:rPr>
          <w:rFonts w:hint="eastAsia" w:ascii="仿宋_GB2312" w:hAnsi="仿宋_GB2312" w:eastAsia="仿宋_GB2312" w:cs="仿宋_GB2312"/>
          <w:sz w:val="32"/>
          <w:szCs w:val="32"/>
          <w:highlight w:val="none"/>
          <w:lang w:val="en-US" w:eastAsia="zh-CN"/>
        </w:rPr>
        <w:t>该项目年初预算数</w:t>
      </w:r>
      <w:r>
        <w:rPr>
          <w:rFonts w:hint="eastAsia" w:ascii="仿宋_GB2312" w:hAnsi="仿宋_GB2312" w:eastAsia="仿宋_GB2312" w:cs="仿宋_GB2312"/>
          <w:sz w:val="32"/>
          <w:szCs w:val="32"/>
          <w:lang w:val="en-US" w:eastAsia="zh-CN"/>
        </w:rPr>
        <w:t>161.65</w:t>
      </w:r>
      <w:r>
        <w:rPr>
          <w:rFonts w:hint="eastAsia" w:ascii="仿宋_GB2312" w:hAnsi="仿宋_GB2312" w:eastAsia="仿宋_GB2312" w:cs="仿宋_GB2312"/>
          <w:sz w:val="32"/>
          <w:szCs w:val="32"/>
          <w:highlight w:val="none"/>
          <w:lang w:val="en-US" w:eastAsia="zh-CN"/>
        </w:rPr>
        <w:t>万元，全年预算数</w:t>
      </w:r>
      <w:r>
        <w:rPr>
          <w:rFonts w:hint="eastAsia" w:ascii="仿宋_GB2312" w:hAnsi="仿宋_GB2312" w:eastAsia="仿宋_GB2312" w:cs="仿宋_GB2312"/>
          <w:sz w:val="32"/>
          <w:szCs w:val="32"/>
          <w:lang w:val="en-US" w:eastAsia="zh-CN"/>
        </w:rPr>
        <w:t>161.65</w:t>
      </w:r>
      <w:r>
        <w:rPr>
          <w:rFonts w:hint="eastAsia" w:ascii="仿宋_GB2312" w:hAnsi="仿宋_GB2312" w:eastAsia="仿宋_GB2312" w:cs="仿宋_GB2312"/>
          <w:sz w:val="32"/>
          <w:szCs w:val="32"/>
          <w:highlight w:val="none"/>
          <w:lang w:val="en-US" w:eastAsia="zh-CN"/>
        </w:rPr>
        <w:t>万元，该项目资金已全部落实</w:t>
      </w:r>
      <w:r>
        <w:rPr>
          <w:rFonts w:hint="eastAsia" w:ascii="仿宋_GB2312" w:hAnsi="仿宋_GB2312" w:eastAsia="仿宋_GB2312" w:cs="仿宋_GB2312"/>
          <w:color w:val="auto"/>
          <w:sz w:val="32"/>
          <w:szCs w:val="32"/>
          <w:highlight w:val="none"/>
          <w:lang w:val="en-US" w:eastAsia="zh-CN"/>
        </w:rPr>
        <w:t>到位，资金来源为财政拨款。</w:t>
      </w:r>
      <w:bookmarkEnd w:id="29"/>
      <w:bookmarkEnd w:id="30"/>
      <w:bookmarkEnd w:id="31"/>
      <w:bookmarkStart w:id="32" w:name="_Toc1166"/>
      <w:bookmarkStart w:id="33" w:name="_Toc3409"/>
      <w:bookmarkStart w:id="34" w:name="_Toc2818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430"/>
      <w:bookmarkStart w:id="36" w:name="_Toc29121"/>
      <w:bookmarkStart w:id="37" w:name="_Toc11647"/>
      <w:r>
        <w:rPr>
          <w:rFonts w:hint="eastAsia" w:ascii="仿宋_GB2312" w:hAnsi="仿宋_GB2312" w:eastAsia="仿宋_GB2312" w:cs="仿宋_GB2312"/>
          <w:color w:val="auto"/>
          <w:sz w:val="32"/>
          <w:szCs w:val="32"/>
          <w:highlight w:val="none"/>
          <w:lang w:val="en-US" w:eastAsia="zh-CN"/>
        </w:rPr>
        <w:t>该项目年初预算数161.65万元，全年预算数161.65万元，，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全年执行数161.65万元，预算执行率为100%，主要用于：主要用于主要用于支付日常办公用品采购、卫生用品购置、水费、电费、邮电费、取暖费缴纳、学校设施设备维修等。</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0047"/>
      <w:bookmarkStart w:id="40" w:name="_Toc14758"/>
      <w:bookmarkStart w:id="41" w:name="_Toc8528"/>
      <w:bookmarkStart w:id="42" w:name="_Toc25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 xml:space="preserve">  昌州财教【2023】90号2024年小学义务教育生均经费项目绩效总体目标为：保障学校正常运转，完成教学活动及其他日常业务的正常运转。2024年学校在校学生人数2373人，计划完成每学年以720元/生/学年的标准使用公用经费,公用经费、教师培训结业率达到100%。通过项目实施，将有效改善教学环境，提供良好的学生成长条件，保障学校正常运转,师生满意度预计将达到90%以上。</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487"/>
      <w:bookmarkStart w:id="44" w:name="_Toc4007"/>
      <w:bookmarkStart w:id="45" w:name="_Toc3255"/>
      <w:bookmarkStart w:id="46"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071F69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“在校学生人数（人）”指标，预期目标值为=2373人；</w:t>
      </w:r>
    </w:p>
    <w:p w14:paraId="72A85A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0DA910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“公用经费享受比例”指标，预期目标值为=100%；</w:t>
      </w:r>
    </w:p>
    <w:p w14:paraId="11E54B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“教师培训结业率”指标，预期目标值为=100%；</w:t>
      </w:r>
    </w:p>
    <w:p w14:paraId="19E6EC1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422C11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“公用经费支出及时率”指标，预期目标值为=100%；</w:t>
      </w:r>
    </w:p>
    <w:p w14:paraId="406155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成本指标</w:t>
      </w:r>
    </w:p>
    <w:p w14:paraId="0ED89B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“公用经费标准”指标，预期目标值为=720元/人/年；</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w:t>
      </w:r>
    </w:p>
    <w:p w14:paraId="4DAFA4B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0B5C476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6B38276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DED924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6592D36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7FD0BD6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351F7A3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p>
    <w:p w14:paraId="2E0D9C3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yellow"/>
          <w:shd w:val="clear" w:color="auto" w:fill="auto"/>
          <w:lang w:val="en-US" w:eastAsia="zh-CN"/>
        </w:rPr>
      </w:pPr>
    </w:p>
    <w:p w14:paraId="7BD0337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0E62B23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⑤</w:t>
      </w:r>
      <w:r>
        <w:rPr>
          <w:rFonts w:hint="eastAsia" w:ascii="仿宋_GB2312" w:hAnsi="仿宋_GB2312" w:eastAsia="仿宋_GB2312" w:cs="仿宋_GB2312"/>
          <w:color w:val="auto"/>
          <w:sz w:val="32"/>
          <w:szCs w:val="32"/>
          <w:highlight w:val="none"/>
          <w:shd w:val="clear" w:color="auto" w:fill="auto"/>
          <w:lang w:val="en-US" w:eastAsia="zh-CN"/>
        </w:rPr>
        <w:t>满意度指标</w:t>
      </w:r>
    </w:p>
    <w:p w14:paraId="61D423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5462343"/>
      <w:bookmarkStart w:id="49" w:name="_Toc480473081"/>
      <w:bookmarkStart w:id="50" w:name="_Toc12868"/>
      <w:bookmarkStart w:id="51" w:name="_Toc22922"/>
      <w:bookmarkStart w:id="52" w:name="_Toc26632"/>
      <w:bookmarkStart w:id="53" w:name="_Toc21664"/>
      <w:bookmarkStart w:id="54" w:name="_Toc5258"/>
      <w:bookmarkStart w:id="55" w:name="_Toc22169_WPSOffice_Level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w:t>
      </w:r>
      <w:r>
        <w:rPr>
          <w:rFonts w:hint="eastAsia" w:ascii="仿宋_GB2312" w:hAnsi="仿宋_GB2312" w:eastAsia="仿宋_GB2312" w:cs="仿宋_GB2312"/>
          <w:color w:val="auto"/>
          <w:sz w:val="32"/>
          <w:szCs w:val="32"/>
          <w:highlight w:val="none"/>
          <w:shd w:val="clear" w:color="auto" w:fill="auto"/>
          <w:lang w:val="en-US" w:eastAsia="zh-CN"/>
        </w:rPr>
        <w:t>我单位实施的  昌州财教【2023】90号2024年小学义务教育生均经费项目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阜康市第一小学</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简述项目目标或预期成果</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161.65</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5354"/>
      <w:bookmarkStart w:id="68" w:name="_Toc24506"/>
      <w:bookmarkStart w:id="69"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w:t>
      </w:r>
      <w:r>
        <w:rPr>
          <w:rFonts w:hint="eastAsia" w:ascii="Times New Roman" w:hAnsi="Times New Roman" w:eastAsia="仿宋_GB2312" w:cs="Times New Roman"/>
          <w:color w:val="auto"/>
          <w:sz w:val="32"/>
          <w:szCs w:val="32"/>
          <w:lang w:eastAsia="zh-CN"/>
        </w:rPr>
        <w:t>，按照从投入、过程到产出效果和影响的绩效逻辑路径，结合</w:t>
      </w:r>
      <w:r>
        <w:rPr>
          <w:rFonts w:hint="eastAsia" w:ascii="Times New Roman" w:hAnsi="Times New Roman" w:eastAsia="仿宋_GB2312" w:cs="Times New Roman"/>
          <w:color w:val="auto"/>
          <w:sz w:val="32"/>
          <w:szCs w:val="32"/>
          <w:lang w:val="en-US" w:eastAsia="zh-CN"/>
        </w:rPr>
        <w:t>昌州财教【2023】90号2024年小学义务教育生均经费</w:t>
      </w:r>
      <w:r>
        <w:rPr>
          <w:rFonts w:hint="eastAsia" w:ascii="Times New Roman" w:hAnsi="Times New Roman" w:eastAsia="仿宋_GB2312" w:cs="Times New Roman"/>
          <w:color w:val="auto"/>
          <w:sz w:val="32"/>
          <w:szCs w:val="32"/>
          <w:lang w:eastAsia="zh-CN"/>
        </w:rPr>
        <w:t>实际开展情况，运用定量和定性分析相结合的方法，总结经验做法，反思项目实施和管理中的问题，</w:t>
      </w:r>
      <w:r>
        <w:rPr>
          <w:rFonts w:hint="eastAsia" w:ascii="Times New Roman" w:hAnsi="Times New Roman" w:eastAsia="仿宋_GB2312" w:cs="Times New Roman"/>
          <w:color w:val="000000"/>
          <w:sz w:val="32"/>
          <w:szCs w:val="32"/>
          <w:lang w:eastAsia="zh-CN"/>
        </w:rPr>
        <w:t>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1913"/>
      <w:bookmarkStart w:id="71" w:name="_Toc24396"/>
      <w:bookmarkStart w:id="72" w:name="_Toc428278230"/>
      <w:bookmarkStart w:id="73" w:name="_Toc26131"/>
      <w:bookmarkStart w:id="74" w:name="_Toc419984722"/>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044ECC2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BC541A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val="en-US" w:eastAsia="zh-CN"/>
        </w:rPr>
      </w:pPr>
      <w:bookmarkStart w:id="79" w:name="_Toc6081"/>
      <w:bookmarkStart w:id="80" w:name="_Toc25651"/>
      <w:r>
        <w:rPr>
          <w:rFonts w:hint="eastAsia" w:ascii="仿宋_GB2312" w:hAnsi="仿宋_GB2312" w:eastAsia="仿宋_GB2312" w:cs="仿宋_GB2312"/>
          <w:color w:val="000000"/>
          <w:spacing w:val="17"/>
          <w:sz w:val="32"/>
          <w:szCs w:val="32"/>
        </w:rPr>
        <w:t>本次绩效评价采用的方法</w:t>
      </w:r>
      <w:r>
        <w:rPr>
          <w:rFonts w:hint="eastAsia" w:ascii="仿宋_GB2312" w:hAnsi="仿宋_GB2312" w:eastAsia="仿宋_GB2312" w:cs="仿宋_GB2312"/>
          <w:color w:val="000000"/>
          <w:spacing w:val="17"/>
          <w:sz w:val="32"/>
          <w:szCs w:val="32"/>
          <w:lang w:val="en-US" w:eastAsia="zh-CN"/>
        </w:rPr>
        <w:t>为</w:t>
      </w:r>
      <w:r>
        <w:rPr>
          <w:rFonts w:hint="eastAsia" w:ascii="仿宋_GB2312" w:hAnsi="仿宋_GB2312" w:eastAsia="仿宋_GB2312" w:cs="仿宋_GB2312"/>
          <w:color w:val="000000"/>
          <w:spacing w:val="17"/>
          <w:sz w:val="32"/>
          <w:szCs w:val="32"/>
        </w:rPr>
        <w:t>比较法</w:t>
      </w:r>
      <w:r>
        <w:rPr>
          <w:rFonts w:hint="eastAsia" w:ascii="仿宋_GB2312" w:hAnsi="仿宋_GB2312" w:eastAsia="仿宋_GB2312" w:cs="仿宋_GB2312"/>
          <w:color w:val="000000"/>
          <w:spacing w:val="17"/>
          <w:sz w:val="32"/>
          <w:szCs w:val="32"/>
          <w:lang w:eastAsia="zh-CN"/>
        </w:rPr>
        <w:t>、因素分析法、</w:t>
      </w:r>
      <w:r>
        <w:rPr>
          <w:rFonts w:hint="default" w:ascii="仿宋_GB2312" w:hAnsi="仿宋_GB2312" w:eastAsia="仿宋_GB2312" w:cs="仿宋_GB2312"/>
          <w:color w:val="000000"/>
          <w:spacing w:val="17"/>
          <w:sz w:val="32"/>
          <w:szCs w:val="32"/>
        </w:rPr>
        <w:t>最低成本法</w:t>
      </w:r>
      <w:r>
        <w:rPr>
          <w:rFonts w:hint="eastAsia" w:ascii="仿宋_GB2312" w:hAnsi="仿宋_GB2312" w:eastAsia="仿宋_GB2312" w:cs="仿宋_GB2312"/>
          <w:color w:val="000000"/>
          <w:spacing w:val="17"/>
          <w:sz w:val="32"/>
          <w:szCs w:val="32"/>
          <w:lang w:val="en-US" w:eastAsia="zh-CN"/>
        </w:rPr>
        <w:t>对项目绩效目标预期目标值与实施情况进行比较，以及采取公众问卷及抽样调查等方式进行评判的方法对昌州财教【2023】90号2024年小学义务教育生均经费项目进行评价。</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w:t>
      </w:r>
      <w:r>
        <w:rPr>
          <w:rFonts w:hint="default" w:ascii="Times New Roman" w:hAnsi="Times New Roman" w:eastAsia="仿宋_GB2312" w:cs="Times New Roman"/>
          <w:color w:val="FF0000"/>
          <w:spacing w:val="17"/>
          <w:sz w:val="32"/>
          <w:szCs w:val="32"/>
          <w:highlight w:val="none"/>
        </w:rPr>
        <w:t>。</w:t>
      </w:r>
    </w:p>
    <w:p w14:paraId="6732266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42DB83E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历</w:t>
      </w:r>
      <w:r>
        <w:rPr>
          <w:rFonts w:hint="default" w:ascii="Times New Roman" w:hAnsi="Times New Roman" w:eastAsia="仿宋_GB2312" w:cs="Times New Roman"/>
          <w:color w:val="000000"/>
          <w:spacing w:val="17"/>
          <w:sz w:val="32"/>
          <w:szCs w:val="32"/>
          <w:highlight w:val="none"/>
        </w:rPr>
        <w:t>史标准。指参照历史数据制定的评价标准，为体现绩效改进的原则，在可实现的条件下应当确定相对较高的评价标准。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w:t>
      </w:r>
      <w:r>
        <w:rPr>
          <w:rFonts w:hint="eastAsia" w:ascii="Times New Roman" w:hAnsi="Times New Roman" w:eastAsia="仿宋_GB2312" w:cs="Times New Roman"/>
          <w:color w:val="auto"/>
          <w:spacing w:val="17"/>
          <w:sz w:val="32"/>
          <w:szCs w:val="32"/>
          <w:highlight w:val="none"/>
          <w:lang w:val="en-US" w:eastAsia="zh-CN"/>
        </w:rPr>
        <w:t>目实施前期调研。通过调研对昌州财教【2023】90号2024年小学义务教育生均经费实施内容、目标信息、预算信息以及其他的一些项目</w:t>
      </w:r>
      <w:r>
        <w:rPr>
          <w:rFonts w:hint="eastAsia" w:ascii="Times New Roman" w:hAnsi="Times New Roman" w:eastAsia="仿宋_GB2312" w:cs="Times New Roman"/>
          <w:color w:val="000000"/>
          <w:spacing w:val="17"/>
          <w:sz w:val="32"/>
          <w:szCs w:val="32"/>
          <w:highlight w:val="none"/>
          <w:lang w:val="en-US" w:eastAsia="zh-CN"/>
        </w:rPr>
        <w:t>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w:t>
      </w:r>
      <w:r>
        <w:rPr>
          <w:rFonts w:hint="default" w:ascii="Times New Roman" w:hAnsi="Times New Roman" w:eastAsia="仿宋_GB2312" w:cs="Times New Roman"/>
          <w:color w:val="auto"/>
          <w:sz w:val="32"/>
          <w:szCs w:val="32"/>
          <w:highlight w:val="none"/>
        </w:rPr>
        <w:t>况来看，</w:t>
      </w:r>
      <w:r>
        <w:rPr>
          <w:rFonts w:hint="eastAsia" w:ascii="Times New Roman" w:hAnsi="Times New Roman" w:eastAsia="仿宋_GB2312" w:cs="Times New Roman"/>
          <w:color w:val="auto"/>
          <w:sz w:val="32"/>
          <w:szCs w:val="32"/>
          <w:highlight w:val="none"/>
          <w:lang w:val="en-US" w:eastAsia="zh-CN"/>
        </w:rPr>
        <w:t>昌州财教【2023】90号2024年小学义务教育生均经费</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阜康市第一小学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从项目效益的角度来看，本项目不仅实现了预期的社会效益等方面产生了积极的影响。具体而言改善教学环境，提供良好的学生成长条件等方面的提升，为项目的利益相关者带来了实实在在的利益。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昌州财教【2023】90号2024年小学义务教育生均经费</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评价等级为优秀</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11863"/>
      <w:r>
        <w:rPr>
          <w:rFonts w:hint="eastAsia" w:ascii="Times New Roman" w:hAnsi="Times New Roman" w:eastAsia="楷体_GB2312" w:cs="Times New Roman"/>
          <w:color w:val="auto"/>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昌州财教【2023】90号2024年小学义务教育生均经费</w:t>
      </w:r>
      <w:r>
        <w:rPr>
          <w:rFonts w:hint="eastAsia" w:ascii="Times New Roman" w:hAnsi="Times New Roman" w:eastAsia="仿宋_GB2312" w:cs="Times New Roman"/>
          <w:color w:val="auto"/>
          <w:spacing w:val="17"/>
          <w:sz w:val="32"/>
          <w:szCs w:val="32"/>
          <w:highlight w:val="none"/>
          <w:lang w:val="zh-TW" w:eastAsia="zh-TW"/>
        </w:rPr>
        <w:t>绩效进行客观</w:t>
      </w:r>
      <w:r>
        <w:rPr>
          <w:rFonts w:hint="eastAsia" w:ascii="Times New Roman" w:hAnsi="Times New Roman" w:eastAsia="仿宋_GB2312" w:cs="Times New Roman"/>
          <w:color w:val="000000"/>
          <w:spacing w:val="17"/>
          <w:sz w:val="32"/>
          <w:szCs w:val="32"/>
          <w:highlight w:val="none"/>
          <w:lang w:val="zh-TW" w:eastAsia="zh-TW"/>
        </w:rPr>
        <w:t>评价，最终评分结果：</w:t>
      </w:r>
      <w:r>
        <w:rPr>
          <w:rFonts w:hint="default" w:ascii="Times New Roman" w:hAnsi="Times New Roman" w:eastAsia="仿宋_GB2312" w:cs="Times New Roman"/>
          <w:color w:val="000000"/>
          <w:spacing w:val="17"/>
          <w:sz w:val="32"/>
          <w:szCs w:val="32"/>
          <w:highlight w:val="none"/>
          <w:lang w:val="en-US" w:eastAsia="zh-CN"/>
        </w:rPr>
        <w:t>总</w:t>
      </w:r>
      <w:r>
        <w:rPr>
          <w:rFonts w:hint="default" w:ascii="Times New Roman" w:hAnsi="Times New Roman" w:eastAsia="仿宋_GB2312" w:cs="Times New Roman"/>
          <w:color w:val="auto"/>
          <w:spacing w:val="17"/>
          <w:sz w:val="32"/>
          <w:szCs w:val="32"/>
          <w:highlight w:val="none"/>
          <w:lang w:val="en-US" w:eastAsia="zh-CN"/>
        </w:rPr>
        <w:t>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Times New Roman" w:hAnsi="Times New Roman" w:eastAsia="仿宋_GB2312" w:cs="Times New Roman"/>
                <w:color w:val="auto"/>
                <w:sz w:val="32"/>
                <w:szCs w:val="32"/>
                <w:highlight w:val="none"/>
                <w:lang w:val="en-US" w:eastAsia="zh-CN"/>
              </w:rPr>
              <w:t>昌州财教【2023】90号2024年小学义务教育生均经费</w:t>
            </w:r>
            <w:r>
              <w:rPr>
                <w:rFonts w:hint="eastAsia" w:ascii="宋体" w:hAnsi="宋体" w:eastAsia="宋体" w:cs="宋体"/>
                <w:b/>
                <w:bCs/>
                <w:color w:val="auto"/>
                <w:kern w:val="0"/>
                <w:sz w:val="28"/>
                <w:szCs w:val="28"/>
                <w:highlight w:val="none"/>
                <w:shd w:val="clear" w:color="auto" w:fill="auto"/>
                <w:lang w:val="en-US" w:eastAsia="zh-CN"/>
              </w:rPr>
              <w:t>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13522"/>
      <w:bookmarkStart w:id="110" w:name="_Toc28069"/>
      <w:r>
        <w:rPr>
          <w:rFonts w:hint="eastAsia" w:ascii="仿宋_GB2312" w:hAnsi="仿宋_GB2312" w:eastAsia="仿宋_GB2312" w:cs="仿宋_GB2312"/>
          <w:b/>
          <w:bCs/>
          <w:sz w:val="32"/>
          <w:szCs w:val="32"/>
          <w:lang w:val="en-US" w:eastAsia="zh-CN"/>
        </w:rPr>
        <w:t>1.立项依据充分性</w:t>
      </w:r>
      <w:bookmarkEnd w:id="109"/>
      <w:bookmarkEnd w:id="110"/>
    </w:p>
    <w:p w14:paraId="3A9745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sz w:val="32"/>
          <w:szCs w:val="32"/>
          <w:lang w:val="en-US" w:eastAsia="zh-CN"/>
        </w:rPr>
        <w:t>财教【2023】64号关于下达2024年城乡义务教育补助经费预算的通知；</w:t>
      </w:r>
    </w:p>
    <w:p w14:paraId="69F8C85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sz w:val="32"/>
          <w:szCs w:val="32"/>
          <w:lang w:eastAsia="zh-CN"/>
        </w:rPr>
        <w:t>②项目立项符合项目立项符合《</w:t>
      </w:r>
      <w:r>
        <w:rPr>
          <w:rFonts w:hint="eastAsia" w:ascii="仿宋_GB2312" w:hAnsi="仿宋_GB2312" w:eastAsia="仿宋_GB2312" w:cs="仿宋_GB2312"/>
          <w:sz w:val="32"/>
          <w:szCs w:val="32"/>
          <w:lang w:val="en-US" w:eastAsia="zh-CN"/>
        </w:rPr>
        <w:t>阜康市教育扶贫惠民政策宣传手册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政策要求；</w:t>
      </w:r>
    </w:p>
    <w:p w14:paraId="216424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w:t>
      </w:r>
      <w:r>
        <w:rPr>
          <w:rFonts w:hint="eastAsia" w:ascii="仿宋_GB2312" w:hAnsi="仿宋_GB2312" w:eastAsia="仿宋_GB2312" w:cs="仿宋_GB2312"/>
          <w:sz w:val="32"/>
          <w:szCs w:val="32"/>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sz w:val="32"/>
          <w:szCs w:val="32"/>
          <w:lang w:eastAsia="zh-CN"/>
        </w:rPr>
        <w:t>部门职责范围相符，属于部门履职所需；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经过必要的可行性研究、专家论证、风险评估、绩效评估、集体决策。</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15382"/>
      <w:bookmarkStart w:id="114" w:name="_Toc23542"/>
      <w:r>
        <w:rPr>
          <w:rFonts w:hint="eastAsia" w:ascii="仿宋_GB2312" w:hAnsi="仿宋_GB2312" w:eastAsia="仿宋_GB2312" w:cs="仿宋_GB2312"/>
          <w:b/>
          <w:bCs/>
          <w:color w:val="auto"/>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②该项目实际工</w:t>
      </w:r>
      <w:r>
        <w:rPr>
          <w:rFonts w:hint="eastAsia" w:ascii="仿宋_GB2312" w:hAnsi="仿宋_GB2312" w:eastAsia="仿宋_GB2312" w:cs="仿宋_GB2312"/>
          <w:color w:val="auto"/>
          <w:sz w:val="32"/>
          <w:szCs w:val="32"/>
          <w:highlight w:val="none"/>
          <w:lang w:eastAsia="zh-CN"/>
        </w:rPr>
        <w:t>作内容为：保障学校正常运转，完成教学活动及其他日常业务的正常运转。2024年学校在校学生人数2373人，计划完成每学年以720元/生/学年的标准使用公用经费,公用经费、教师培训结业率达到100%。通过项目实施，将有效改善教学环境，提供良好的学生成长条件，保障学校正常运转。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③该项目按照绩效目标完成数量指标、质量指标、时效指标、成本指标，项目的完成达到改善教学环境，提供良好的学生成长条件</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lang w:eastAsia="zh-CN"/>
        </w:rPr>
        <w:t>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w:t>
      </w:r>
      <w:r>
        <w:rPr>
          <w:rFonts w:hint="eastAsia" w:ascii="仿宋_GB2312" w:hAnsi="仿宋_GB2312" w:eastAsia="仿宋_GB2312" w:cs="仿宋_GB2312"/>
          <w:color w:val="auto"/>
          <w:sz w:val="32"/>
          <w:szCs w:val="32"/>
          <w:highlight w:val="none"/>
          <w:lang w:eastAsia="zh-CN"/>
        </w:rPr>
        <w:t>》中预算金额为</w:t>
      </w:r>
      <w:r>
        <w:rPr>
          <w:rFonts w:hint="eastAsia" w:ascii="仿宋_GB2312" w:hAnsi="仿宋_GB2312" w:eastAsia="仿宋_GB2312" w:cs="仿宋_GB2312"/>
          <w:color w:val="auto"/>
          <w:sz w:val="32"/>
          <w:szCs w:val="32"/>
          <w:highlight w:val="none"/>
          <w:lang w:val="en-US" w:eastAsia="zh-CN"/>
        </w:rPr>
        <w:t>161.65</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r>
        <w:rPr>
          <w:rFonts w:hint="eastAsia" w:ascii="仿宋_GB2312" w:hAnsi="仿宋_GB2312" w:eastAsia="仿宋_GB2312" w:cs="仿宋_GB2312"/>
          <w:sz w:val="32"/>
          <w:szCs w:val="32"/>
          <w:highlight w:val="none"/>
          <w:lang w:eastAsia="zh-CN"/>
        </w:rPr>
        <w:t>。</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18198"/>
      <w:bookmarkStart w:id="116" w:name="_Toc10650"/>
      <w:r>
        <w:rPr>
          <w:rFonts w:hint="eastAsia" w:ascii="仿宋_GB2312" w:hAnsi="仿宋_GB2312" w:eastAsia="仿宋_GB2312" w:cs="仿宋_GB2312"/>
          <w:b/>
          <w:bCs/>
          <w:color w:val="auto"/>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其中三级指标共计8个</w:t>
      </w:r>
      <w:r>
        <w:rPr>
          <w:rFonts w:hint="eastAsia" w:ascii="仿宋_GB2312" w:hAnsi="仿宋_GB2312" w:eastAsia="仿宋_GB2312" w:cs="仿宋_GB2312"/>
          <w:color w:val="auto"/>
          <w:sz w:val="32"/>
          <w:szCs w:val="32"/>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量化率达到87.5%</w:t>
      </w:r>
      <w:r>
        <w:rPr>
          <w:rFonts w:hint="eastAsia" w:ascii="仿宋_GB2312" w:hAnsi="仿宋_GB2312" w:eastAsia="仿宋_GB2312" w:cs="仿宋_GB2312"/>
          <w:color w:val="auto"/>
          <w:sz w:val="32"/>
          <w:szCs w:val="32"/>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w:t>
      </w:r>
      <w:r>
        <w:rPr>
          <w:rFonts w:hint="eastAsia" w:ascii="仿宋_GB2312" w:hAnsi="仿宋_GB2312" w:eastAsia="仿宋_GB2312" w:cs="仿宋_GB2312"/>
          <w:sz w:val="32"/>
          <w:szCs w:val="32"/>
          <w:lang w:eastAsia="zh-CN"/>
        </w:rPr>
        <w:t>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8296"/>
      <w:bookmarkStart w:id="118" w:name="_Toc19401"/>
      <w:r>
        <w:rPr>
          <w:rFonts w:hint="eastAsia" w:ascii="仿宋_GB2312" w:hAnsi="仿宋_GB2312" w:eastAsia="仿宋_GB2312" w:cs="仿宋_GB2312"/>
          <w:b/>
          <w:bCs/>
          <w:color w:val="auto"/>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效改善教学环境，提供良好的学生成长条件，保障学校正常运转,项目实际内容为</w:t>
      </w:r>
      <w:r>
        <w:rPr>
          <w:rFonts w:hint="eastAsia" w:ascii="仿宋_GB2312" w:hAnsi="仿宋_GB2312" w:eastAsia="仿宋_GB2312" w:cs="仿宋_GB2312"/>
          <w:color w:val="auto"/>
          <w:sz w:val="32"/>
          <w:szCs w:val="32"/>
          <w:lang w:val="en-US" w:eastAsia="zh-CN"/>
        </w:rPr>
        <w:t>有</w:t>
      </w:r>
      <w:r>
        <w:rPr>
          <w:rFonts w:hint="eastAsia" w:ascii="仿宋_GB2312" w:hAnsi="仿宋_GB2312" w:eastAsia="仿宋_GB2312" w:cs="仿宋_GB2312"/>
          <w:color w:val="auto"/>
          <w:sz w:val="32"/>
          <w:szCs w:val="32"/>
          <w:lang w:eastAsia="zh-CN"/>
        </w:rPr>
        <w:t>有效改善教学环境，提供良好的学生成长条件，保障学校正常运转,预算申请与项目内容匹配；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161.65万</w:t>
      </w:r>
      <w:r>
        <w:rPr>
          <w:rFonts w:hint="eastAsia" w:ascii="仿宋_GB2312" w:hAnsi="仿宋_GB2312" w:eastAsia="仿宋_GB2312" w:cs="仿宋_GB2312"/>
          <w:color w:val="auto"/>
          <w:sz w:val="32"/>
          <w:szCs w:val="32"/>
          <w:lang w:eastAsia="zh-CN"/>
        </w:rPr>
        <w:t>元，我单</w:t>
      </w:r>
      <w:r>
        <w:rPr>
          <w:rFonts w:hint="eastAsia" w:ascii="仿宋_GB2312" w:hAnsi="仿宋_GB2312" w:eastAsia="仿宋_GB2312" w:cs="仿宋_GB2312"/>
          <w:sz w:val="32"/>
          <w:szCs w:val="32"/>
          <w:lang w:eastAsia="zh-CN"/>
        </w:rPr>
        <w:t>位在预算申请中严格按照项目实施内容及测算标准进行核算，其中</w:t>
      </w:r>
      <w:r>
        <w:rPr>
          <w:rFonts w:hint="eastAsia" w:ascii="仿宋_GB2312" w:hAnsi="仿宋_GB2312" w:eastAsia="仿宋_GB2312" w:cs="仿宋_GB2312"/>
          <w:color w:val="auto"/>
          <w:sz w:val="32"/>
          <w:szCs w:val="32"/>
          <w:lang w:eastAsia="zh-CN"/>
        </w:rPr>
        <w:t>办公费用</w:t>
      </w:r>
      <w:r>
        <w:rPr>
          <w:rFonts w:hint="eastAsia" w:ascii="仿宋_GB2312" w:hAnsi="仿宋_GB2312" w:eastAsia="仿宋_GB2312" w:cs="仿宋_GB2312"/>
          <w:color w:val="auto"/>
          <w:sz w:val="32"/>
          <w:szCs w:val="32"/>
          <w:lang w:val="en-US" w:eastAsia="zh-CN"/>
        </w:rPr>
        <w:t>11.54</w:t>
      </w:r>
      <w:r>
        <w:rPr>
          <w:rFonts w:hint="eastAsia" w:ascii="仿宋_GB2312" w:hAnsi="仿宋_GB2312" w:eastAsia="仿宋_GB2312" w:cs="仿宋_GB2312"/>
          <w:color w:val="auto"/>
          <w:sz w:val="32"/>
          <w:szCs w:val="32"/>
          <w:lang w:eastAsia="zh-CN"/>
        </w:rPr>
        <w:t>万元、印刷费用</w:t>
      </w:r>
      <w:r>
        <w:rPr>
          <w:rFonts w:hint="eastAsia" w:ascii="仿宋_GB2312" w:hAnsi="仿宋_GB2312" w:eastAsia="仿宋_GB2312" w:cs="仿宋_GB2312"/>
          <w:color w:val="auto"/>
          <w:sz w:val="32"/>
          <w:szCs w:val="32"/>
          <w:lang w:val="en-US" w:eastAsia="zh-CN"/>
        </w:rPr>
        <w:t>19.71</w:t>
      </w:r>
      <w:r>
        <w:rPr>
          <w:rFonts w:hint="eastAsia" w:ascii="仿宋_GB2312" w:hAnsi="仿宋_GB2312" w:eastAsia="仿宋_GB2312" w:cs="仿宋_GB2312"/>
          <w:color w:val="auto"/>
          <w:sz w:val="32"/>
          <w:szCs w:val="32"/>
          <w:lang w:eastAsia="zh-CN"/>
        </w:rPr>
        <w:t>万元、电费</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万元、取暖费</w:t>
      </w:r>
      <w:r>
        <w:rPr>
          <w:rFonts w:hint="eastAsia" w:ascii="仿宋_GB2312" w:hAnsi="仿宋_GB2312" w:eastAsia="仿宋_GB2312" w:cs="仿宋_GB2312"/>
          <w:color w:val="auto"/>
          <w:sz w:val="32"/>
          <w:szCs w:val="32"/>
          <w:lang w:val="en-US" w:eastAsia="zh-CN"/>
        </w:rPr>
        <w:t>25.67万元、物业管理费21.37万元、差旅费1.39万元；维修（护）费22.63万元；租赁费0.64万元；培训费8.73万元、专用材料费3.25万元；劳务费19.34万元；专用设备购置19.38万元；基他资本性支出4万元</w:t>
      </w:r>
      <w:r>
        <w:rPr>
          <w:rFonts w:hint="eastAsia" w:ascii="仿宋_GB2312" w:hAnsi="仿宋_GB2312" w:eastAsia="仿宋_GB2312" w:cs="仿宋_GB2312"/>
          <w:color w:val="auto"/>
          <w:sz w:val="32"/>
          <w:szCs w:val="32"/>
          <w:lang w:eastAsia="zh-CN"/>
        </w:rPr>
        <w:t>。</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w:t>
      </w:r>
      <w:r>
        <w:rPr>
          <w:rFonts w:hint="eastAsia" w:ascii="仿宋_GB2312" w:hAnsi="仿宋_GB2312" w:eastAsia="仿宋_GB2312" w:cs="仿宋_GB2312"/>
          <w:b/>
          <w:bCs/>
          <w:color w:val="auto"/>
          <w:sz w:val="32"/>
          <w:szCs w:val="32"/>
          <w:lang w:val="en-US" w:eastAsia="zh-CN"/>
        </w:rPr>
        <w:t>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697"/>
      <w:bookmarkStart w:id="120" w:name="_Toc20556"/>
      <w:r>
        <w:rPr>
          <w:rFonts w:hint="eastAsia" w:ascii="仿宋_GB2312" w:hAnsi="仿宋_GB2312" w:eastAsia="仿宋_GB2312" w:cs="仿宋_GB2312"/>
          <w:b/>
          <w:bCs/>
          <w:color w:val="auto"/>
          <w:sz w:val="32"/>
          <w:szCs w:val="32"/>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①项目实际分配资金以《财政支出预算管理办法》</w:t>
      </w:r>
      <w:r>
        <w:rPr>
          <w:rFonts w:hint="eastAsia" w:ascii="仿宋_GB2312" w:hAnsi="仿宋_GB2312" w:eastAsia="仿宋_GB2312" w:cs="仿宋_GB2312"/>
          <w:color w:val="auto"/>
          <w:sz w:val="32"/>
          <w:szCs w:val="32"/>
          <w:lang w:eastAsia="zh-Hans"/>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Hans"/>
        </w:rPr>
        <w:t>年公用经费收支预算表》为依据进行资金分配，预算资金分配依据充分</w:t>
      </w:r>
      <w:r>
        <w:rPr>
          <w:rFonts w:hint="eastAsia" w:ascii="仿宋_GB2312" w:hAnsi="仿宋_GB2312" w:eastAsia="仿宋_GB2312" w:cs="仿宋_GB2312"/>
          <w:color w:val="auto"/>
          <w:sz w:val="32"/>
          <w:szCs w:val="32"/>
          <w:lang w:eastAsia="zh-CN"/>
        </w:rPr>
        <w:t>。</w:t>
      </w:r>
    </w:p>
    <w:p w14:paraId="29183F3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161.65</w:t>
      </w:r>
      <w:r>
        <w:rPr>
          <w:rFonts w:hint="eastAsia" w:ascii="仿宋_GB2312" w:hAnsi="仿宋_GB2312" w:eastAsia="仿宋_GB2312" w:cs="仿宋_GB2312"/>
          <w:color w:val="auto"/>
          <w:sz w:val="32"/>
          <w:szCs w:val="32"/>
          <w:lang w:eastAsia="zh-CN"/>
        </w:rPr>
        <w:t>万元，资金分配</w:t>
      </w:r>
      <w:r>
        <w:rPr>
          <w:rFonts w:hint="eastAsia" w:ascii="仿宋_GB2312" w:hAnsi="仿宋_GB2312" w:eastAsia="仿宋_GB2312" w:cs="仿宋_GB2312"/>
          <w:sz w:val="32"/>
          <w:szCs w:val="32"/>
          <w:lang w:eastAsia="zh-CN"/>
        </w:rPr>
        <w:t>额度合理，与项目单位</w:t>
      </w:r>
      <w:r>
        <w:rPr>
          <w:rFonts w:hint="eastAsia" w:ascii="仿宋_GB2312" w:hAnsi="仿宋_GB2312" w:eastAsia="仿宋_GB2312" w:cs="仿宋_GB2312"/>
          <w:sz w:val="32"/>
          <w:szCs w:val="32"/>
          <w:lang w:val="en-US" w:eastAsia="zh-CN"/>
        </w:rPr>
        <w:t>及项目</w:t>
      </w:r>
      <w:r>
        <w:rPr>
          <w:rFonts w:hint="eastAsia" w:ascii="仿宋_GB2312" w:hAnsi="仿宋_GB2312" w:eastAsia="仿宋_GB2312" w:cs="仿宋_GB2312"/>
          <w:color w:val="auto"/>
          <w:sz w:val="32"/>
          <w:szCs w:val="32"/>
          <w:lang w:val="en-US" w:eastAsia="zh-CN"/>
        </w:rPr>
        <w:t>实际实施情况相</w:t>
      </w:r>
      <w:r>
        <w:rPr>
          <w:rFonts w:hint="eastAsia" w:ascii="仿宋_GB2312" w:hAnsi="仿宋_GB2312" w:eastAsia="仿宋_GB2312" w:cs="仿宋_GB2312"/>
          <w:color w:val="auto"/>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20449"/>
      <w:bookmarkStart w:id="123" w:name="_Toc3886"/>
      <w:r>
        <w:rPr>
          <w:rFonts w:hint="eastAsia" w:ascii="仿宋_GB2312" w:hAnsi="仿宋_GB2312" w:eastAsia="仿宋_GB2312" w:cs="仿宋_GB2312"/>
          <w:b/>
          <w:bCs/>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161.65</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161.65</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161.65万元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161.65万元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161.65</w:t>
      </w:r>
      <w:r>
        <w:rPr>
          <w:rFonts w:hint="eastAsia" w:ascii="仿宋_GB2312" w:hAnsi="仿宋_GB2312" w:eastAsia="仿宋_GB2312" w:cs="仿宋_GB2312"/>
          <w:color w:val="auto"/>
          <w:sz w:val="32"/>
          <w:szCs w:val="32"/>
          <w:highlight w:val="none"/>
          <w:lang w:val="en-US" w:eastAsia="zh-CN"/>
        </w:rPr>
        <w:t>万元。</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161.65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161.65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sz w:val="32"/>
          <w:szCs w:val="32"/>
          <w:lang w:eastAsia="zh-CN"/>
        </w:rPr>
        <w:t>①本项目资金支出符合国家财经法规、《政府会计制度》《</w:t>
      </w:r>
      <w:r>
        <w:rPr>
          <w:rFonts w:hint="eastAsia" w:ascii="仿宋_GB2312" w:hAnsi="仿宋_GB2312" w:eastAsia="仿宋_GB2312" w:cs="仿宋_GB2312"/>
          <w:sz w:val="32"/>
          <w:szCs w:val="32"/>
          <w:lang w:val="en-US" w:eastAsia="zh-CN"/>
        </w:rPr>
        <w:t>阜康市第一小学</w:t>
      </w:r>
      <w:r>
        <w:rPr>
          <w:rFonts w:hint="eastAsia" w:ascii="仿宋_GB2312" w:hAnsi="仿宋_GB2312" w:eastAsia="仿宋_GB2312" w:cs="仿宋_GB2312"/>
          <w:sz w:val="32"/>
          <w:szCs w:val="32"/>
          <w:lang w:eastAsia="zh-CN"/>
        </w:rPr>
        <w:t>单位资金管理办法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lang w:eastAsia="zh-CN"/>
        </w:rPr>
        <w:t>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w:t>
      </w:r>
      <w:r>
        <w:rPr>
          <w:rFonts w:hint="default" w:ascii="Times New Roman" w:hAnsi="Times New Roman" w:eastAsia="仿宋_GB2312" w:cs="Times New Roman"/>
          <w:color w:val="auto"/>
          <w:sz w:val="32"/>
          <w:szCs w:val="32"/>
          <w:highlight w:val="none"/>
          <w:lang w:eastAsia="zh-CN"/>
        </w:rPr>
        <w:t>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lang w:eastAsia="zh-CN"/>
        </w:rPr>
        <w:t>资金管理办法》《</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lang w:eastAsia="zh-CN"/>
        </w:rPr>
        <w:t>收支业务管理制度》《</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lang w:eastAsia="zh-CN"/>
        </w:rPr>
        <w:t>政府采购业务管理制度》《</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w:t>
      </w:r>
      <w:r>
        <w:rPr>
          <w:rFonts w:hint="eastAsia" w:ascii="仿宋_GB2312" w:hAnsi="仿宋_GB2312" w:eastAsia="仿宋_GB2312" w:cs="仿宋_GB2312"/>
          <w:sz w:val="32"/>
          <w:szCs w:val="32"/>
          <w:lang w:eastAsia="zh-CN"/>
        </w:rPr>
        <w:t>完整，本项目执行符合上述制</w:t>
      </w:r>
      <w:r>
        <w:rPr>
          <w:rFonts w:hint="eastAsia" w:ascii="仿宋_GB2312" w:hAnsi="仿宋_GB2312" w:eastAsia="仿宋_GB2312" w:cs="仿宋_GB2312"/>
          <w:color w:val="auto"/>
          <w:sz w:val="32"/>
          <w:szCs w:val="32"/>
          <w:lang w:eastAsia="zh-CN"/>
        </w:rPr>
        <w:t>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13984"/>
      <w:bookmarkStart w:id="129" w:name="_Toc316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rPr>
        <w:t>办法》《</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rPr>
        <w:t>管理制度》《</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项目存在调整，调整手续齐全</w:t>
      </w:r>
      <w:r>
        <w:rPr>
          <w:rFonts w:hint="eastAsia" w:ascii="仿宋_GB2312" w:hAnsi="仿宋_GB2312" w:eastAsia="仿宋_GB2312" w:cs="仿宋_GB2312"/>
          <w:color w:val="auto"/>
          <w:sz w:val="32"/>
          <w:szCs w:val="32"/>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昌州财教【2023】90号2024年小学义务教育生均经费项目工作领导小组，由</w:t>
      </w:r>
      <w:r>
        <w:rPr>
          <w:rFonts w:hint="eastAsia" w:ascii="仿宋_GB2312" w:hAnsi="仿宋_GB2312" w:eastAsia="仿宋_GB2312" w:cs="仿宋_GB2312"/>
          <w:color w:val="auto"/>
          <w:sz w:val="32"/>
          <w:szCs w:val="32"/>
          <w:lang w:val="en-US" w:eastAsia="zh-CN"/>
        </w:rPr>
        <w:t>张蕾</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lang w:val="en-US" w:eastAsia="zh-CN"/>
        </w:rPr>
        <w:t>孔令玲</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刘晓芳、任丽、潘洁，</w:t>
      </w:r>
      <w:r>
        <w:rPr>
          <w:rFonts w:hint="eastAsia" w:ascii="仿宋_GB2312" w:hAnsi="仿宋_GB2312" w:eastAsia="仿宋_GB2312" w:cs="仿宋_GB2312"/>
          <w:color w:val="auto"/>
          <w:sz w:val="32"/>
          <w:szCs w:val="32"/>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w:t>
      </w:r>
      <w:r>
        <w:rPr>
          <w:rFonts w:hint="default" w:ascii="Times New Roman" w:hAnsi="Times New Roman" w:eastAsia="仿宋_GB2312" w:cs="Times New Roman"/>
          <w:color w:val="auto"/>
          <w:sz w:val="32"/>
          <w:szCs w:val="32"/>
          <w:lang w:val="en-US" w:eastAsia="zh-CN"/>
        </w:rPr>
        <w:t>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=2373人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2373人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720元/人/年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rPr>
            </w:pPr>
            <w:r>
              <w:rPr>
                <w:rFonts w:hint="eastAsia" w:ascii="宋体" w:hAnsi="宋体" w:eastAsia="宋体" w:cs="宋体"/>
                <w:color w:val="auto"/>
                <w:kern w:val="0"/>
                <w:sz w:val="20"/>
                <w:szCs w:val="20"/>
                <w:highlight w:val="none"/>
                <w:shd w:val="clear" w:color="auto" w:fill="auto"/>
                <w:lang w:val="en-US" w:eastAsia="zh-CN"/>
              </w:rPr>
              <w:t>720元/人/年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6973FF0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FF0000"/>
          <w:sz w:val="32"/>
          <w:szCs w:val="32"/>
          <w:lang w:val="en-US" w:eastAsia="zh-CN"/>
        </w:rPr>
      </w:pPr>
      <w:bookmarkStart w:id="131" w:name="_Toc26689"/>
      <w:bookmarkStart w:id="132" w:name="_Toc11067"/>
      <w:r>
        <w:rPr>
          <w:rFonts w:hint="eastAsia" w:ascii="仿宋_GB2312" w:hAnsi="仿宋_GB2312" w:eastAsia="仿宋_GB2312" w:cs="仿宋_GB2312"/>
          <w:b/>
          <w:bCs/>
          <w:color w:val="auto"/>
          <w:kern w:val="2"/>
          <w:sz w:val="32"/>
          <w:szCs w:val="32"/>
          <w:lang w:val="en-US" w:eastAsia="zh-CN" w:bidi="ar-SA"/>
        </w:rPr>
        <w:t>1.</w:t>
      </w:r>
      <w:r>
        <w:rPr>
          <w:rFonts w:hint="eastAsia" w:ascii="仿宋_GB2312" w:hAnsi="仿宋_GB2312" w:eastAsia="仿宋_GB2312" w:cs="仿宋_GB2312"/>
          <w:b/>
          <w:bCs/>
          <w:color w:val="auto"/>
          <w:sz w:val="32"/>
          <w:szCs w:val="32"/>
          <w:lang w:val="en-US" w:eastAsia="zh-CN"/>
        </w:rPr>
        <w:t>数</w:t>
      </w:r>
      <w:r>
        <w:rPr>
          <w:rFonts w:hint="eastAsia" w:ascii="仿宋_GB2312" w:hAnsi="仿宋_GB2312" w:eastAsia="仿宋_GB2312" w:cs="仿宋_GB2312"/>
          <w:b/>
          <w:bCs/>
          <w:sz w:val="32"/>
          <w:szCs w:val="32"/>
          <w:lang w:val="en-US" w:eastAsia="zh-CN"/>
        </w:rPr>
        <w:t>量指标完成情况</w:t>
      </w:r>
      <w:bookmarkEnd w:id="131"/>
      <w:bookmarkEnd w:id="132"/>
    </w:p>
    <w:p w14:paraId="3725FD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“在校学生人数（人）”指标，预期目标值为2373人，实际完成为2373人。实际完成率=（2373/2373）×100%=100%，无偏差。</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综上，该项指标满分10分，得分10分。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3D438A4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公用经费享受比例”指标，预期目标值为100%，实际完成为100%。实际完成率100%，无偏差。</w:t>
      </w:r>
    </w:p>
    <w:p w14:paraId="0FAB2E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（2）“教师培训结业率”指标，预期目标值为100%，实际完成为100%。实际完成率100%，无偏差</w:t>
      </w:r>
      <w:r>
        <w:rPr>
          <w:rFonts w:hint="eastAsia" w:ascii="仿宋_GB2312" w:hAnsi="仿宋_GB2312" w:eastAsia="仿宋_GB2312" w:cs="仿宋_GB2312"/>
          <w:color w:val="auto"/>
          <w:sz w:val="32"/>
          <w:szCs w:val="32"/>
          <w:highlight w:val="none"/>
          <w:lang w:eastAsia="zh-CN"/>
        </w:rPr>
        <w:t>。</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综上，该项指标满分10分，得分10分。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00CB95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公用经费支出及时率”指标，预期目标值为100%，实际完成为100%。实际完成率100%，无偏差。</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4FD68D7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指标，预期目标值为720元/人/年，实际完成为720元/人/年。实际完成率100%，无偏差。</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6A6EF09">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237B3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62E1F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5EB19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675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4E7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482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B1F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70266F9C">
        <w:tblPrEx>
          <w:tblCellMar>
            <w:top w:w="0" w:type="dxa"/>
            <w:left w:w="0" w:type="dxa"/>
            <w:bottom w:w="0" w:type="dxa"/>
            <w:right w:w="0" w:type="dxa"/>
          </w:tblCellMar>
        </w:tblPrEx>
        <w:trPr>
          <w:trHeight w:val="436" w:hRule="atLeast"/>
          <w:jc w:val="center"/>
        </w:trPr>
        <w:tc>
          <w:tcPr>
            <w:tcW w:w="685" w:type="dxa"/>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C672E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F3DB9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52FBE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7EC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349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2D9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088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5170"/>
      <w:bookmarkStart w:id="141" w:name="_Toc8010"/>
      <w:r>
        <w:rPr>
          <w:rFonts w:hint="eastAsia" w:ascii="仿宋_GB2312" w:hAnsi="仿宋_GB2312" w:eastAsia="仿宋_GB2312" w:cs="仿宋_GB2312"/>
          <w:b/>
          <w:bCs/>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lang w:val="en-US" w:eastAsia="zh-CN"/>
        </w:rPr>
        <w:t>社会效益指标</w:t>
      </w:r>
      <w:bookmarkEnd w:id="142"/>
      <w:r>
        <w:rPr>
          <w:rFonts w:hint="eastAsia" w:ascii="仿宋_GB2312" w:hAnsi="仿宋_GB2312" w:eastAsia="仿宋_GB2312" w:cs="仿宋_GB2312"/>
          <w:b/>
          <w:bCs/>
          <w:sz w:val="32"/>
          <w:szCs w:val="32"/>
          <w:lang w:val="en-US" w:eastAsia="zh-CN"/>
        </w:rPr>
        <w:t>完成情况</w:t>
      </w:r>
      <w:bookmarkEnd w:id="143"/>
    </w:p>
    <w:p w14:paraId="0160A8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（1）“学校正常运转率”指标，预期目标值为=100%，，实际完成为100%。偏差原因：无偏差。</w:t>
      </w:r>
    </w:p>
    <w:p w14:paraId="0BAE48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通过项目的实施，学校正常运转率得到了提高。</w:t>
      </w:r>
    </w:p>
    <w:p w14:paraId="0132902E">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en-US" w:eastAsia="zh-CN"/>
        </w:rPr>
        <w:t>“改善教学环境，提供良好的学生成长条件”指标，预期目标值为改善，实际完成为达到预期目标。</w:t>
      </w:r>
    </w:p>
    <w:p w14:paraId="49C5612C">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通过项目的实施，改善了教学环境，提供良好的学生成长条件。</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满分12分，得分12分。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3DB44EAB">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“师生满意度”指标，预期目标值为≥90%，实际完成为90%。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昌州财教【2023】90号2024年小学义务教育生均经费</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161.65</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161.65</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w:t>
      </w:r>
      <w:r>
        <w:rPr>
          <w:rFonts w:hint="eastAsia" w:ascii="仿宋_GB2312" w:hAnsi="仿宋_GB2312" w:eastAsia="仿宋_GB2312" w:cs="仿宋_GB2312"/>
          <w:sz w:val="32"/>
          <w:szCs w:val="32"/>
          <w:lang w:eastAsia="zh-CN"/>
        </w:rPr>
        <w:t>，重点保障基本支出，按轻重缓急顺序原则，优先</w:t>
      </w:r>
      <w:r>
        <w:rPr>
          <w:rFonts w:hint="eastAsia" w:ascii="仿宋_GB2312" w:hAnsi="仿宋_GB2312" w:eastAsia="仿宋_GB2312" w:cs="仿宋_GB2312"/>
          <w:color w:val="auto"/>
          <w:sz w:val="32"/>
          <w:szCs w:val="32"/>
          <w:lang w:eastAsia="zh-CN"/>
        </w:rPr>
        <w:t>安排了</w:t>
      </w:r>
      <w:r>
        <w:rPr>
          <w:rFonts w:hint="eastAsia" w:ascii="仿宋_GB2312" w:hAnsi="仿宋_GB2312" w:eastAsia="仿宋_GB2312" w:cs="仿宋_GB2312"/>
          <w:color w:val="auto"/>
          <w:sz w:val="32"/>
          <w:szCs w:val="32"/>
          <w:lang w:val="en-US" w:eastAsia="zh-CN"/>
        </w:rPr>
        <w:t>阜康市第一小学</w:t>
      </w:r>
      <w:r>
        <w:rPr>
          <w:rFonts w:hint="eastAsia" w:ascii="仿宋_GB2312" w:hAnsi="仿宋_GB2312" w:eastAsia="仿宋_GB2312" w:cs="仿宋_GB2312"/>
          <w:color w:val="auto"/>
          <w:sz w:val="32"/>
          <w:szCs w:val="32"/>
          <w:lang w:eastAsia="zh-CN"/>
        </w:rPr>
        <w:t>事业发展中关系民生与稳定的项目，切实优</w:t>
      </w:r>
      <w:r>
        <w:rPr>
          <w:rFonts w:hint="eastAsia" w:ascii="仿宋_GB2312" w:hAnsi="仿宋_GB2312" w:eastAsia="仿宋_GB2312" w:cs="仿宋_GB2312"/>
          <w:sz w:val="32"/>
          <w:szCs w:val="32"/>
          <w:lang w:eastAsia="zh-CN"/>
        </w:rPr>
        <w:t>化资源配置，提高了资金使用的效率和效果。</w:t>
      </w:r>
    </w:p>
    <w:bookmarkEnd w:id="147"/>
    <w:bookmarkEnd w:id="148"/>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14:paraId="6CBF20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bookmarkStart w:id="150" w:name="_Toc3333"/>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在项目实施期间</w:t>
      </w:r>
      <w:r>
        <w:rPr>
          <w:rFonts w:hint="eastAsia" w:ascii="仿宋_GB2312" w:hAnsi="仿宋_GB2312" w:eastAsia="仿宋_GB2312" w:cs="仿宋_GB2312"/>
          <w:sz w:val="32"/>
          <w:szCs w:val="32"/>
          <w:lang w:eastAsia="zh-CN"/>
        </w:rPr>
        <w:t>部分业务人员未能全面深入认识理解</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管理工作的意义。</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管理经验不足，</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管理工作有待进一步落实。</w:t>
      </w:r>
    </w:p>
    <w:p w14:paraId="13E93E0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2.因年初预算数据不够清晰明确到明细科目，使得整个年度财务核算及审核流程不准确清晰。</w:t>
      </w:r>
    </w:p>
    <w:p w14:paraId="5CD35B9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0"/>
    </w:p>
    <w:p w14:paraId="218F71E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bookmarkStart w:id="151" w:name="_Toc20454"/>
      <w:bookmarkStart w:id="152" w:name="_Toc3948"/>
      <w:bookmarkStart w:id="153" w:name="_Toc14256"/>
      <w:r>
        <w:rPr>
          <w:rFonts w:hint="eastAsia" w:ascii="仿宋_GB2312" w:hAnsi="仿宋_GB2312" w:eastAsia="仿宋_GB2312" w:cs="仿宋_GB2312"/>
          <w:sz w:val="32"/>
          <w:szCs w:val="32"/>
          <w:lang w:val="en-US" w:eastAsia="zh-CN"/>
        </w:rPr>
        <w:t>（一）加强项目管理，健全单位项目管理制度体系。 加大项目管理人员的业务培训，确保项目能够顺利实施。</w:t>
      </w:r>
    </w:p>
    <w:p w14:paraId="4A3352A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（二）加强财务人员业务培训，在年初预算时及时与各科室联系，将年初预算数据填写清晰，确保财务支付审核程序顺利进行。</w:t>
      </w:r>
    </w:p>
    <w:bookmarkEnd w:id="151"/>
    <w:bookmarkEnd w:id="152"/>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3"/>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4" w:name="_Toc11349"/>
      <w:bookmarkStart w:id="155"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0"/>
        <w:gridCol w:w="900"/>
        <w:gridCol w:w="900"/>
        <w:gridCol w:w="900"/>
        <w:gridCol w:w="1231"/>
        <w:gridCol w:w="1148"/>
        <w:gridCol w:w="1148"/>
        <w:gridCol w:w="1065"/>
        <w:gridCol w:w="1231"/>
        <w:gridCol w:w="900"/>
        <w:gridCol w:w="900"/>
        <w:gridCol w:w="901"/>
        <w:gridCol w:w="901"/>
        <w:gridCol w:w="1149"/>
      </w:tblGrid>
      <w:tr w14:paraId="1EAAA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667CF3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6" w:name="_Toc15067"/>
            <w:bookmarkStart w:id="157" w:name="_Toc11223"/>
            <w:r>
              <w:rPr>
                <w:rFonts w:hint="eastAsia" w:ascii="宋体" w:hAnsi="宋体" w:eastAsia="宋体" w:cs="宋体"/>
                <w:b/>
                <w:bCs/>
                <w:i w:val="0"/>
                <w:iCs w:val="0"/>
                <w:color w:val="000000"/>
                <w:kern w:val="0"/>
                <w:sz w:val="32"/>
                <w:szCs w:val="32"/>
                <w:u w:val="none"/>
                <w:lang w:val="en-US" w:eastAsia="zh-CN" w:bidi="ar"/>
              </w:rPr>
              <w:t>项目支出绩效自评表</w:t>
            </w:r>
          </w:p>
        </w:tc>
      </w:tr>
      <w:tr w14:paraId="7016E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71D1B8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3741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96030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60AC8E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昌州财教【2023】90号2024年小学义务教育生均经费</w:t>
            </w:r>
          </w:p>
        </w:tc>
      </w:tr>
      <w:tr w14:paraId="61101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1F6C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29CA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A42C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7E49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阜康市第一小学</w:t>
            </w:r>
          </w:p>
        </w:tc>
      </w:tr>
      <w:tr w14:paraId="38EC7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89AA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42C43">
            <w:pPr>
              <w:jc w:val="cente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D0F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0BD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6A37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5907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283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D56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8ACC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8061B">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E4B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9B7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161.65</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17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161.65</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25E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161.65</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193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6ED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6E3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19E3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B58AF">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CB72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B20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161.65</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E3CD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161.65</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F8C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161.65</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6F0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CEC6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0BA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5D1E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C1784">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395B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49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76E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BB76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A1E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3D79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7E3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335C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1DE3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0E49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7E7FE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2559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A410A">
            <w:pPr>
              <w:jc w:val="center"/>
              <w:rPr>
                <w:rFonts w:hint="eastAsia" w:ascii="宋体" w:hAnsi="宋体" w:eastAsia="宋体" w:cs="宋体"/>
                <w:b/>
                <w:bCs/>
                <w:i w:val="0"/>
                <w:iCs w:val="0"/>
                <w:color w:val="000000"/>
                <w:sz w:val="18"/>
                <w:szCs w:val="18"/>
                <w:u w:val="none"/>
              </w:rPr>
            </w:pPr>
          </w:p>
        </w:tc>
        <w:tc>
          <w:tcPr>
            <w:tcW w:w="1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47A7D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完成教学活动及其他日常业务的正常运转。2024年学校在校学生人数2373人，计划完成每学年以720元/生/学年的标准使用公用经费，公用经费、教师培训结业率达到100%。通过项目实施，将有效改善教学环境，提供良好的学生成长条件，保障学校正常运转,师生满意度预计将达到90%以上。</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0D6F9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每学年以720元/生/学年标准的公用经费的支付。公用经费享受比例达到100%，教师培训结业率达到100%。学校正常运转率达到100%，项目的完成有效改善教学环境，提供良好的学生成长条件，师生满意度达到90%。</w:t>
            </w:r>
          </w:p>
        </w:tc>
      </w:tr>
      <w:tr w14:paraId="398AF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8E8C5">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78A7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B04E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B24C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FF5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6C9E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4EB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734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375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7A2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740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4FA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673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BB34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0F2C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B142C">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54B32">
            <w:pPr>
              <w:jc w:val="center"/>
              <w:rPr>
                <w:rFonts w:hint="eastAsia" w:ascii="宋体" w:hAnsi="宋体" w:eastAsia="宋体" w:cs="宋体"/>
                <w:b/>
                <w:bCs/>
                <w:i w:val="0"/>
                <w:iCs w:val="0"/>
                <w:color w:val="000000"/>
                <w:sz w:val="18"/>
                <w:szCs w:val="18"/>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54B47">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0A0AD">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647E8">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21D5A">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48DD9">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28B8F">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16997">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32AAB">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DF56C">
            <w:pPr>
              <w:jc w:val="center"/>
              <w:rPr>
                <w:rFonts w:hint="eastAsia" w:ascii="宋体" w:hAnsi="宋体" w:eastAsia="宋体" w:cs="宋体"/>
                <w:b/>
                <w:bCs/>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0DFEC">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79F2B">
            <w:pPr>
              <w:jc w:val="center"/>
              <w:rPr>
                <w:rFonts w:hint="eastAsia" w:ascii="宋体" w:hAnsi="宋体" w:eastAsia="宋体" w:cs="宋体"/>
                <w:b/>
                <w:bCs/>
                <w:i w:val="0"/>
                <w:iCs w:val="0"/>
                <w:color w:val="000000"/>
                <w:sz w:val="18"/>
                <w:szCs w:val="18"/>
                <w:u w:val="none"/>
              </w:rPr>
            </w:pPr>
          </w:p>
        </w:tc>
        <w:tc>
          <w:tcPr>
            <w:tcW w:w="8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3273D">
            <w:pPr>
              <w:jc w:val="center"/>
              <w:rPr>
                <w:rFonts w:hint="eastAsia" w:ascii="宋体" w:hAnsi="宋体" w:eastAsia="宋体" w:cs="宋体"/>
                <w:b/>
                <w:bCs/>
                <w:i w:val="0"/>
                <w:iCs w:val="0"/>
                <w:color w:val="000000"/>
                <w:sz w:val="18"/>
                <w:szCs w:val="18"/>
                <w:u w:val="none"/>
              </w:rPr>
            </w:pPr>
          </w:p>
        </w:tc>
      </w:tr>
      <w:tr w14:paraId="537CA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594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4F2D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FD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95D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A8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9C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=2373人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09C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=2373人</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78F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45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29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7BC4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E7F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354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FF910">
            <w:pPr>
              <w:jc w:val="center"/>
              <w:rPr>
                <w:rFonts w:hint="eastAsia" w:ascii="宋体" w:hAnsi="宋体" w:eastAsia="宋体" w:cs="宋体"/>
                <w:i w:val="0"/>
                <w:iCs w:val="0"/>
                <w:color w:val="000000"/>
                <w:sz w:val="18"/>
                <w:szCs w:val="18"/>
                <w:u w:val="none"/>
              </w:rPr>
            </w:pPr>
          </w:p>
        </w:tc>
      </w:tr>
      <w:tr w14:paraId="7C871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25BA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09A78">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22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387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9A5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54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74C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9921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DA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034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0FE7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BD2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2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3B9DF">
            <w:pPr>
              <w:jc w:val="center"/>
              <w:rPr>
                <w:rFonts w:hint="eastAsia" w:ascii="宋体" w:hAnsi="宋体" w:eastAsia="宋体" w:cs="宋体"/>
                <w:i w:val="0"/>
                <w:iCs w:val="0"/>
                <w:color w:val="000000"/>
                <w:sz w:val="18"/>
                <w:szCs w:val="18"/>
                <w:u w:val="none"/>
              </w:rPr>
            </w:pPr>
          </w:p>
        </w:tc>
      </w:tr>
      <w:tr w14:paraId="5CDB9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9FCDE">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AC454">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C6B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9E2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C37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E31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EE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0EB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114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77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7BE3F">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524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BB0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9DE6E">
            <w:pPr>
              <w:jc w:val="center"/>
              <w:rPr>
                <w:rFonts w:hint="eastAsia" w:ascii="宋体" w:hAnsi="宋体" w:eastAsia="宋体" w:cs="宋体"/>
                <w:i w:val="0"/>
                <w:iCs w:val="0"/>
                <w:color w:val="000000"/>
                <w:sz w:val="18"/>
                <w:szCs w:val="18"/>
                <w:u w:val="none"/>
              </w:rPr>
            </w:pPr>
          </w:p>
        </w:tc>
      </w:tr>
      <w:tr w14:paraId="343F9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443DC">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9918D">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69A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381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公用经费支出及时率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4A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72D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F3C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6FF1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BB0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71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3D1F4">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EDF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F3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4DCF9">
            <w:pPr>
              <w:jc w:val="center"/>
              <w:rPr>
                <w:rFonts w:hint="eastAsia" w:ascii="宋体" w:hAnsi="宋体" w:eastAsia="宋体" w:cs="宋体"/>
                <w:i w:val="0"/>
                <w:iCs w:val="0"/>
                <w:color w:val="000000"/>
                <w:sz w:val="18"/>
                <w:szCs w:val="18"/>
                <w:u w:val="none"/>
              </w:rPr>
            </w:pPr>
          </w:p>
        </w:tc>
      </w:tr>
      <w:tr w14:paraId="1EB59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601C6">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07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F1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22E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A69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EC0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=720元/人/年</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EF5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=720元/人/年</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FE30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8C6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D5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2806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ED2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1D4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539C4">
            <w:pPr>
              <w:jc w:val="center"/>
              <w:rPr>
                <w:rFonts w:hint="eastAsia" w:ascii="宋体" w:hAnsi="宋体" w:eastAsia="宋体" w:cs="宋体"/>
                <w:i w:val="0"/>
                <w:iCs w:val="0"/>
                <w:color w:val="000000"/>
                <w:sz w:val="18"/>
                <w:szCs w:val="18"/>
                <w:u w:val="none"/>
              </w:rPr>
            </w:pPr>
          </w:p>
        </w:tc>
      </w:tr>
      <w:tr w14:paraId="3C5CA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F616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FCB5F">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B4C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B658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F6FB7">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B4FC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28ED6">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33CA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81D5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C85E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41608">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9D499">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7955">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9B91A">
            <w:pPr>
              <w:jc w:val="center"/>
              <w:rPr>
                <w:rFonts w:hint="eastAsia" w:ascii="宋体" w:hAnsi="宋体" w:eastAsia="宋体" w:cs="宋体"/>
                <w:i w:val="0"/>
                <w:iCs w:val="0"/>
                <w:color w:val="000000"/>
                <w:sz w:val="18"/>
                <w:szCs w:val="18"/>
                <w:u w:val="none"/>
              </w:rPr>
            </w:pPr>
          </w:p>
        </w:tc>
      </w:tr>
      <w:tr w14:paraId="4AE31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B2C61">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1C818">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909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5F59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CDC8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C884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096C3">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9A3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EC61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9114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63ED8">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E4096">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24C93">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47145">
            <w:pPr>
              <w:jc w:val="center"/>
              <w:rPr>
                <w:rFonts w:hint="eastAsia" w:ascii="宋体" w:hAnsi="宋体" w:eastAsia="宋体" w:cs="宋体"/>
                <w:i w:val="0"/>
                <w:iCs w:val="0"/>
                <w:color w:val="000000"/>
                <w:sz w:val="18"/>
                <w:szCs w:val="18"/>
                <w:u w:val="none"/>
              </w:rPr>
            </w:pPr>
          </w:p>
        </w:tc>
      </w:tr>
      <w:tr w14:paraId="22F48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A2161">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195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080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FDDD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EDA7">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E9A3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1393B">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0585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4887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B883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5930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948B9">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D1A3D">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43671">
            <w:pPr>
              <w:jc w:val="center"/>
              <w:rPr>
                <w:rFonts w:hint="eastAsia" w:ascii="宋体" w:hAnsi="宋体" w:eastAsia="宋体" w:cs="宋体"/>
                <w:i w:val="0"/>
                <w:iCs w:val="0"/>
                <w:color w:val="000000"/>
                <w:sz w:val="18"/>
                <w:szCs w:val="18"/>
                <w:u w:val="none"/>
              </w:rPr>
            </w:pPr>
          </w:p>
        </w:tc>
      </w:tr>
      <w:tr w14:paraId="5E6C3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F283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FA79B">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2F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C64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E93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11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456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12CE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86C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85B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5EBA8">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D95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E21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2743E">
            <w:pPr>
              <w:jc w:val="center"/>
              <w:rPr>
                <w:rFonts w:hint="eastAsia" w:ascii="宋体" w:hAnsi="宋体" w:eastAsia="宋体" w:cs="宋体"/>
                <w:i w:val="0"/>
                <w:iCs w:val="0"/>
                <w:color w:val="000000"/>
                <w:sz w:val="18"/>
                <w:szCs w:val="18"/>
                <w:u w:val="none"/>
              </w:rPr>
            </w:pPr>
          </w:p>
        </w:tc>
      </w:tr>
      <w:tr w14:paraId="7BD6B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B2371">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378A3">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B9D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C11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278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E13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7B5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达到预期目标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4366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874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D50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38C7">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E83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FE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84AED">
            <w:pPr>
              <w:jc w:val="center"/>
              <w:rPr>
                <w:rFonts w:hint="eastAsia" w:ascii="宋体" w:hAnsi="宋体" w:eastAsia="宋体" w:cs="宋体"/>
                <w:i w:val="0"/>
                <w:iCs w:val="0"/>
                <w:color w:val="000000"/>
                <w:sz w:val="18"/>
                <w:szCs w:val="18"/>
                <w:u w:val="none"/>
              </w:rPr>
            </w:pPr>
          </w:p>
        </w:tc>
      </w:tr>
      <w:tr w14:paraId="33368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333C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23B35">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CEF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F739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4F32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0881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0ABF4">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05C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C21F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D1D6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E7157">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A97D1">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3BBB2">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A5935">
            <w:pPr>
              <w:jc w:val="center"/>
              <w:rPr>
                <w:rFonts w:hint="eastAsia" w:ascii="宋体" w:hAnsi="宋体" w:eastAsia="宋体" w:cs="宋体"/>
                <w:i w:val="0"/>
                <w:iCs w:val="0"/>
                <w:color w:val="000000"/>
                <w:sz w:val="18"/>
                <w:szCs w:val="18"/>
                <w:u w:val="none"/>
              </w:rPr>
            </w:pPr>
          </w:p>
        </w:tc>
      </w:tr>
      <w:tr w14:paraId="70477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6F08A">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E8E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2E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9A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6E0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3BF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2F5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C499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6A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58" w:name="_GoBack"/>
            <w:bookmarkEnd w:id="158"/>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529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7DA3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6AE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66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19489">
            <w:pPr>
              <w:jc w:val="center"/>
              <w:rPr>
                <w:rFonts w:hint="eastAsia" w:ascii="宋体" w:hAnsi="宋体" w:eastAsia="宋体" w:cs="宋体"/>
                <w:i w:val="0"/>
                <w:iCs w:val="0"/>
                <w:color w:val="000000"/>
                <w:sz w:val="18"/>
                <w:szCs w:val="18"/>
                <w:u w:val="none"/>
              </w:rPr>
            </w:pPr>
          </w:p>
        </w:tc>
      </w:tr>
      <w:tr w14:paraId="46662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96" w:type="pct"/>
            <w:gridSpan w:val="4"/>
            <w:tcBorders>
              <w:top w:val="single" w:color="000000" w:sz="4" w:space="0"/>
              <w:left w:val="single" w:color="000000" w:sz="4" w:space="0"/>
              <w:bottom w:val="single" w:color="000000" w:sz="4" w:space="0"/>
              <w:right w:val="nil"/>
            </w:tcBorders>
            <w:shd w:val="clear" w:color="auto" w:fill="auto"/>
            <w:vAlign w:val="center"/>
          </w:tcPr>
          <w:p w14:paraId="4848FC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C22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nil"/>
              <w:bottom w:val="single" w:color="000000" w:sz="4" w:space="0"/>
              <w:right w:val="single" w:color="000000" w:sz="4" w:space="0"/>
            </w:tcBorders>
            <w:shd w:val="clear" w:color="auto" w:fill="auto"/>
            <w:vAlign w:val="center"/>
          </w:tcPr>
          <w:p w14:paraId="12885E62">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4280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50C2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6ED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7DAC0">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B7A97">
            <w:pP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A515E">
            <w:pP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FCF5C">
            <w:pP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2431E">
            <w:pPr>
              <w:rPr>
                <w:rFonts w:hint="eastAsia" w:ascii="宋体" w:hAnsi="宋体" w:eastAsia="宋体" w:cs="宋体"/>
                <w:i w:val="0"/>
                <w:iCs w:val="0"/>
                <w:color w:val="000000"/>
                <w:sz w:val="18"/>
                <w:szCs w:val="18"/>
                <w:u w:val="none"/>
              </w:rPr>
            </w:pPr>
          </w:p>
        </w:tc>
      </w:tr>
    </w:tbl>
    <w:p w14:paraId="46AB3333">
      <w:pPr>
        <w:bidi w:val="0"/>
        <w:jc w:val="left"/>
        <w:rPr>
          <w:rFonts w:hint="eastAsia"/>
          <w:lang w:val="en-US" w:eastAsia="zh-CN"/>
        </w:rPr>
        <w:sectPr>
          <w:pgSz w:w="16838" w:h="11906" w:orient="landscape"/>
          <w:pgMar w:top="1800" w:right="1440" w:bottom="1800" w:left="1440" w:header="737" w:footer="851" w:gutter="0"/>
          <w:pgNumType w:fmt="decimal"/>
          <w:cols w:space="720" w:num="1"/>
          <w:docGrid w:type="lines" w:linePitch="408" w:charSpace="0"/>
        </w:sectPr>
      </w:pP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6"/>
      <w:bookmarkEnd w:id="157"/>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在校学生人数</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38E4D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4F593A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B4BE1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11C3F4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989BDE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教师培训结业率</w:t>
            </w:r>
          </w:p>
        </w:tc>
        <w:tc>
          <w:tcPr>
            <w:tcW w:w="2141"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7A98A0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2AAF51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FDBB1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C3CA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公用经费支出及时率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409F07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D3F379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23FFC2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7FAA968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64DCEA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1C40AEE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正常运转率</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4EE95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F6714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AE618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A5FBF95">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改善教学环境，提供良好的学生成长条件</w:t>
            </w:r>
          </w:p>
        </w:tc>
        <w:tc>
          <w:tcPr>
            <w:tcW w:w="2141" w:type="dxa"/>
            <w:shd w:val="clear" w:color="auto" w:fill="auto"/>
            <w:noWrap w:val="0"/>
            <w:vAlign w:val="center"/>
          </w:tcPr>
          <w:p w14:paraId="16A600A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1C1A92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2F2C6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24895C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2957EAA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99</w:t>
            </w:r>
          </w:p>
        </w:tc>
      </w:tr>
    </w:tbl>
    <w:p w14:paraId="5D0C3219">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336B3C9F">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8C3E62"/>
    <w:rsid w:val="02B015E2"/>
    <w:rsid w:val="02DC08FA"/>
    <w:rsid w:val="033B569D"/>
    <w:rsid w:val="039C3BA0"/>
    <w:rsid w:val="03A845BB"/>
    <w:rsid w:val="03B45AD1"/>
    <w:rsid w:val="04D12EE4"/>
    <w:rsid w:val="04D63993"/>
    <w:rsid w:val="063F6102"/>
    <w:rsid w:val="07890F4F"/>
    <w:rsid w:val="08892439"/>
    <w:rsid w:val="08EB30F3"/>
    <w:rsid w:val="09237408"/>
    <w:rsid w:val="09781BD6"/>
    <w:rsid w:val="09F359DF"/>
    <w:rsid w:val="0A575E65"/>
    <w:rsid w:val="0ACA0AB6"/>
    <w:rsid w:val="0B8271BF"/>
    <w:rsid w:val="0C032502"/>
    <w:rsid w:val="0C27698C"/>
    <w:rsid w:val="0CE353ED"/>
    <w:rsid w:val="0D4452F3"/>
    <w:rsid w:val="0F5E5042"/>
    <w:rsid w:val="0FE95707"/>
    <w:rsid w:val="10510571"/>
    <w:rsid w:val="10787A20"/>
    <w:rsid w:val="108672DE"/>
    <w:rsid w:val="10EC685A"/>
    <w:rsid w:val="11B00D0A"/>
    <w:rsid w:val="11FA6155"/>
    <w:rsid w:val="12CF0947"/>
    <w:rsid w:val="12F1313F"/>
    <w:rsid w:val="136C678E"/>
    <w:rsid w:val="13EB2FF5"/>
    <w:rsid w:val="14ED4CAC"/>
    <w:rsid w:val="15725168"/>
    <w:rsid w:val="15A46B04"/>
    <w:rsid w:val="165825BC"/>
    <w:rsid w:val="16BC5D73"/>
    <w:rsid w:val="176F36D7"/>
    <w:rsid w:val="1795226D"/>
    <w:rsid w:val="18456B1E"/>
    <w:rsid w:val="1C1171C5"/>
    <w:rsid w:val="1D265138"/>
    <w:rsid w:val="1D7B6BCA"/>
    <w:rsid w:val="1DA41A79"/>
    <w:rsid w:val="1DF53469"/>
    <w:rsid w:val="1E2F24F2"/>
    <w:rsid w:val="1E58492F"/>
    <w:rsid w:val="1E5B6757"/>
    <w:rsid w:val="1ED10AC6"/>
    <w:rsid w:val="1F89225F"/>
    <w:rsid w:val="1F900A1F"/>
    <w:rsid w:val="1FB07E05"/>
    <w:rsid w:val="1FC0575D"/>
    <w:rsid w:val="206132C7"/>
    <w:rsid w:val="21B00C1D"/>
    <w:rsid w:val="23031BEB"/>
    <w:rsid w:val="23917691"/>
    <w:rsid w:val="244D65B8"/>
    <w:rsid w:val="245E1E24"/>
    <w:rsid w:val="25AD5E5D"/>
    <w:rsid w:val="26AA1ACC"/>
    <w:rsid w:val="2732478D"/>
    <w:rsid w:val="27661469"/>
    <w:rsid w:val="27900EAD"/>
    <w:rsid w:val="279B538A"/>
    <w:rsid w:val="286F545C"/>
    <w:rsid w:val="29314FBC"/>
    <w:rsid w:val="2A4E789A"/>
    <w:rsid w:val="2AA2081A"/>
    <w:rsid w:val="2C024B86"/>
    <w:rsid w:val="2C927671"/>
    <w:rsid w:val="2CC6306F"/>
    <w:rsid w:val="2D355E3C"/>
    <w:rsid w:val="2D7C5CD6"/>
    <w:rsid w:val="2E483E7E"/>
    <w:rsid w:val="2E573738"/>
    <w:rsid w:val="2E690493"/>
    <w:rsid w:val="2E9854BD"/>
    <w:rsid w:val="2F0D407F"/>
    <w:rsid w:val="2F454B19"/>
    <w:rsid w:val="310224D9"/>
    <w:rsid w:val="31B4621C"/>
    <w:rsid w:val="31E3230A"/>
    <w:rsid w:val="330957E0"/>
    <w:rsid w:val="33356F64"/>
    <w:rsid w:val="33944516"/>
    <w:rsid w:val="34B62907"/>
    <w:rsid w:val="36BD137C"/>
    <w:rsid w:val="38053EDF"/>
    <w:rsid w:val="380812A4"/>
    <w:rsid w:val="385D37E7"/>
    <w:rsid w:val="38782EDD"/>
    <w:rsid w:val="3B42664A"/>
    <w:rsid w:val="3CAD1E92"/>
    <w:rsid w:val="3D836A4E"/>
    <w:rsid w:val="3EA37E97"/>
    <w:rsid w:val="3FBE0BC5"/>
    <w:rsid w:val="3FFD341B"/>
    <w:rsid w:val="4048103A"/>
    <w:rsid w:val="40736643"/>
    <w:rsid w:val="40D24A7A"/>
    <w:rsid w:val="42621029"/>
    <w:rsid w:val="43424558"/>
    <w:rsid w:val="435241E2"/>
    <w:rsid w:val="43975C51"/>
    <w:rsid w:val="439E3FA7"/>
    <w:rsid w:val="44B32266"/>
    <w:rsid w:val="44FC64F4"/>
    <w:rsid w:val="467F4585"/>
    <w:rsid w:val="470628CB"/>
    <w:rsid w:val="4729480B"/>
    <w:rsid w:val="47555BD4"/>
    <w:rsid w:val="47855E91"/>
    <w:rsid w:val="47BC2DB1"/>
    <w:rsid w:val="47E96399"/>
    <w:rsid w:val="47F76025"/>
    <w:rsid w:val="486E33F5"/>
    <w:rsid w:val="48E12B50"/>
    <w:rsid w:val="497D63FE"/>
    <w:rsid w:val="499441BE"/>
    <w:rsid w:val="499A6C1C"/>
    <w:rsid w:val="4A195607"/>
    <w:rsid w:val="4A2138F0"/>
    <w:rsid w:val="4A583887"/>
    <w:rsid w:val="4B9F6E02"/>
    <w:rsid w:val="4C89637B"/>
    <w:rsid w:val="4D3C634C"/>
    <w:rsid w:val="4E6E48A8"/>
    <w:rsid w:val="4EEC036B"/>
    <w:rsid w:val="4F714FA1"/>
    <w:rsid w:val="4F9654F7"/>
    <w:rsid w:val="501D2673"/>
    <w:rsid w:val="50C80BF1"/>
    <w:rsid w:val="51852833"/>
    <w:rsid w:val="52F11AC8"/>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E226FBC"/>
    <w:rsid w:val="5FE72BD2"/>
    <w:rsid w:val="60120613"/>
    <w:rsid w:val="618D5292"/>
    <w:rsid w:val="62143C96"/>
    <w:rsid w:val="622E78FA"/>
    <w:rsid w:val="63343F70"/>
    <w:rsid w:val="6377272F"/>
    <w:rsid w:val="63C139AA"/>
    <w:rsid w:val="64296E1C"/>
    <w:rsid w:val="64386FCC"/>
    <w:rsid w:val="649E64A2"/>
    <w:rsid w:val="64A36283"/>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D93EE7"/>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10398</Words>
  <Characters>11093</Characters>
  <Lines>0</Lines>
  <Paragraphs>0</Paragraphs>
  <TotalTime>0</TotalTime>
  <ScaleCrop>false</ScaleCrop>
  <LinksUpToDate>false</LinksUpToDate>
  <CharactersWithSpaces>11168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2025-10-23T04:52:03Z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