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44DDE">
      <w:pPr>
        <w:pageBreakBefore w:val="0"/>
        <w:kinsoku/>
        <w:wordWrap/>
        <w:overflowPunct/>
        <w:topLinePunct w:val="0"/>
        <w:autoSpaceDE/>
        <w:autoSpaceDN/>
        <w:bidi w:val="0"/>
        <w:adjustRightInd/>
        <w:spacing w:line="560" w:lineRule="exact"/>
        <w:ind w:firstLine="1142" w:firstLineChars="316"/>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2513546E">
      <w:pPr>
        <w:pageBreakBefore w:val="0"/>
        <w:kinsoku/>
        <w:wordWrap/>
        <w:overflowPunct/>
        <w:topLinePunct w:val="0"/>
        <w:autoSpaceDE/>
        <w:autoSpaceDN/>
        <w:bidi w:val="0"/>
        <w:adjustRightIn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7950540C">
      <w:pPr>
        <w:pageBreakBefore w:val="0"/>
        <w:kinsoku/>
        <w:wordWrap/>
        <w:overflowPunct/>
        <w:topLinePunct w:val="0"/>
        <w:autoSpaceDE/>
        <w:autoSpaceDN/>
        <w:bidi w:val="0"/>
        <w:adjustRightIn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014A87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auto"/>
          <w:sz w:val="40"/>
          <w:szCs w:val="40"/>
          <w:highlight w:val="none"/>
          <w:shd w:val="clear" w:color="auto" w:fill="auto"/>
        </w:rPr>
      </w:pPr>
      <w:bookmarkStart w:id="0" w:name="_Toc1949"/>
      <w:bookmarkStart w:id="1" w:name="_Toc25575"/>
      <w:bookmarkStart w:id="2" w:name="_Toc29123"/>
      <w:bookmarkStart w:id="3" w:name="_Toc15679"/>
      <w:r>
        <w:rPr>
          <w:rFonts w:hint="default" w:ascii="Times New Roman" w:hAnsi="Times New Roman" w:eastAsia="宋体" w:cs="Times New Roman"/>
          <w:b/>
          <w:bCs/>
          <w:color w:val="auto"/>
          <w:sz w:val="40"/>
          <w:szCs w:val="40"/>
          <w:highlight w:val="none"/>
          <w:shd w:val="clear" w:color="auto" w:fill="auto"/>
        </w:rPr>
        <w:t>2024年学前教育生均经费</w:t>
      </w:r>
      <w:r>
        <w:rPr>
          <w:rFonts w:hint="default" w:ascii="Times New Roman" w:hAnsi="Times New Roman" w:eastAsia="宋体" w:cs="Times New Roman"/>
          <w:b/>
          <w:bCs/>
          <w:color w:val="auto"/>
          <w:sz w:val="40"/>
          <w:szCs w:val="40"/>
          <w:highlight w:val="none"/>
          <w:shd w:val="clear" w:color="auto" w:fill="auto"/>
          <w:lang w:val="en-US" w:eastAsia="zh-CN"/>
        </w:rPr>
        <w:t>项目</w:t>
      </w:r>
      <w:r>
        <w:rPr>
          <w:rFonts w:hint="default" w:ascii="Times New Roman" w:hAnsi="Times New Roman" w:eastAsia="宋体" w:cs="Times New Roman"/>
          <w:b/>
          <w:bCs/>
          <w:color w:val="auto"/>
          <w:sz w:val="40"/>
          <w:szCs w:val="40"/>
          <w:highlight w:val="none"/>
          <w:shd w:val="clear" w:color="auto" w:fill="auto"/>
        </w:rPr>
        <w:t>支出绩效</w:t>
      </w:r>
    </w:p>
    <w:p w14:paraId="3A76AC5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auto"/>
          <w:sz w:val="40"/>
          <w:szCs w:val="40"/>
          <w:highlight w:val="none"/>
          <w:shd w:val="clear" w:color="auto" w:fill="auto"/>
        </w:rPr>
      </w:pPr>
      <w:r>
        <w:rPr>
          <w:rFonts w:hint="default" w:ascii="Times New Roman" w:hAnsi="Times New Roman" w:eastAsia="宋体" w:cs="Times New Roman"/>
          <w:b/>
          <w:bCs/>
          <w:color w:val="auto"/>
          <w:sz w:val="40"/>
          <w:szCs w:val="40"/>
          <w:highlight w:val="none"/>
          <w:shd w:val="clear" w:color="auto" w:fill="auto"/>
        </w:rPr>
        <w:t>评价报告</w:t>
      </w:r>
      <w:bookmarkEnd w:id="0"/>
      <w:bookmarkEnd w:id="1"/>
      <w:bookmarkEnd w:id="2"/>
      <w:bookmarkEnd w:id="3"/>
    </w:p>
    <w:p w14:paraId="5DA0278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65EA8D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66028E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593352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1A7CBB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13CC37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10DDD642">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5415588F">
      <w:pPr>
        <w:spacing w:line="360" w:lineRule="auto"/>
        <w:ind w:firstLine="0" w:firstLineChars="0"/>
        <w:jc w:val="left"/>
        <w:rPr>
          <w:rFonts w:hint="default" w:ascii="Times New Roman" w:hAnsi="Times New Roman" w:eastAsia="黑体" w:cs="Times New Roman"/>
          <w:b w:val="0"/>
          <w:bCs/>
          <w:color w:val="000000"/>
          <w:sz w:val="30"/>
          <w:szCs w:val="30"/>
        </w:rPr>
      </w:pPr>
      <w:r>
        <w:rPr>
          <w:rFonts w:hint="default" w:ascii="Times New Roman" w:hAnsi="Times New Roman" w:eastAsia="黑体" w:cs="Times New Roman"/>
          <w:b w:val="0"/>
          <w:bCs/>
          <w:color w:val="000000"/>
          <w:sz w:val="30"/>
          <w:szCs w:val="30"/>
        </w:rPr>
        <w:t>项目名称：2024年学前教育生均经费</w:t>
      </w:r>
    </w:p>
    <w:p w14:paraId="0585BDF6">
      <w:pPr>
        <w:spacing w:line="360" w:lineRule="auto"/>
        <w:ind w:firstLine="0" w:firstLineChars="0"/>
        <w:jc w:val="left"/>
        <w:rPr>
          <w:rFonts w:hint="default" w:ascii="Times New Roman" w:hAnsi="Times New Roman" w:eastAsia="黑体" w:cs="Times New Roman"/>
          <w:b w:val="0"/>
          <w:bCs/>
          <w:color w:val="000000"/>
          <w:sz w:val="30"/>
          <w:szCs w:val="30"/>
          <w:lang w:val="en-US" w:eastAsia="zh-CN"/>
        </w:rPr>
      </w:pPr>
      <w:r>
        <w:rPr>
          <w:rFonts w:hint="default" w:ascii="Times New Roman" w:hAnsi="Times New Roman" w:eastAsia="黑体" w:cs="Times New Roman"/>
          <w:b w:val="0"/>
          <w:bCs/>
          <w:color w:val="000000"/>
          <w:sz w:val="30"/>
          <w:szCs w:val="30"/>
        </w:rPr>
        <w:t>实施单位：</w:t>
      </w:r>
      <w:r>
        <w:rPr>
          <w:rFonts w:hint="default" w:ascii="Times New Roman" w:hAnsi="Times New Roman" w:eastAsia="黑体" w:cs="Times New Roman"/>
          <w:b w:val="0"/>
          <w:bCs/>
          <w:color w:val="000000"/>
          <w:sz w:val="30"/>
          <w:szCs w:val="30"/>
          <w:lang w:eastAsia="zh-CN"/>
        </w:rPr>
        <w:t>阜康市第</w:t>
      </w:r>
      <w:r>
        <w:rPr>
          <w:rFonts w:hint="default" w:ascii="Times New Roman" w:hAnsi="Times New Roman" w:eastAsia="黑体" w:cs="Times New Roman"/>
          <w:b w:val="0"/>
          <w:bCs/>
          <w:color w:val="000000"/>
          <w:sz w:val="30"/>
          <w:szCs w:val="30"/>
          <w:lang w:val="en-US" w:eastAsia="zh-CN"/>
        </w:rPr>
        <w:t>五</w:t>
      </w:r>
      <w:r>
        <w:rPr>
          <w:rFonts w:hint="default" w:ascii="Times New Roman" w:hAnsi="Times New Roman" w:eastAsia="黑体" w:cs="Times New Roman"/>
          <w:b w:val="0"/>
          <w:bCs/>
          <w:color w:val="000000"/>
          <w:sz w:val="30"/>
          <w:szCs w:val="30"/>
          <w:lang w:eastAsia="zh-CN"/>
        </w:rPr>
        <w:t>幼儿园</w:t>
      </w:r>
    </w:p>
    <w:p w14:paraId="705E58E8">
      <w:pPr>
        <w:spacing w:line="360" w:lineRule="auto"/>
        <w:ind w:firstLine="0" w:firstLineChars="0"/>
        <w:jc w:val="left"/>
        <w:rPr>
          <w:rFonts w:hint="default" w:ascii="Times New Roman" w:hAnsi="Times New Roman" w:eastAsia="黑体" w:cs="Times New Roman"/>
          <w:b w:val="0"/>
          <w:bCs/>
          <w:color w:val="000000"/>
          <w:sz w:val="30"/>
          <w:szCs w:val="30"/>
          <w:lang w:eastAsia="zh-CN"/>
        </w:rPr>
      </w:pPr>
      <w:r>
        <w:rPr>
          <w:rFonts w:hint="default" w:ascii="Times New Roman" w:hAnsi="Times New Roman" w:eastAsia="黑体" w:cs="Times New Roman"/>
          <w:b w:val="0"/>
          <w:bCs/>
          <w:color w:val="000000"/>
          <w:sz w:val="30"/>
          <w:szCs w:val="30"/>
        </w:rPr>
        <w:t>主管部门：</w:t>
      </w:r>
      <w:r>
        <w:rPr>
          <w:rFonts w:hint="default" w:ascii="Times New Roman" w:hAnsi="Times New Roman" w:eastAsia="黑体" w:cs="Times New Roman"/>
          <w:b w:val="0"/>
          <w:bCs/>
          <w:color w:val="000000"/>
          <w:sz w:val="30"/>
          <w:szCs w:val="30"/>
          <w:lang w:eastAsia="zh-CN"/>
        </w:rPr>
        <w:t>阜康市教育局</w:t>
      </w:r>
    </w:p>
    <w:p w14:paraId="6F71DDB5">
      <w:pPr>
        <w:spacing w:line="360" w:lineRule="auto"/>
        <w:ind w:firstLine="0" w:firstLineChars="0"/>
        <w:jc w:val="left"/>
        <w:rPr>
          <w:rFonts w:hint="default" w:ascii="Times New Roman" w:hAnsi="Times New Roman" w:eastAsia="黑体" w:cs="Times New Roman"/>
          <w:b w:val="0"/>
          <w:bCs/>
          <w:color w:val="000000"/>
          <w:sz w:val="30"/>
          <w:szCs w:val="30"/>
          <w:lang w:eastAsia="zh-CN"/>
        </w:rPr>
      </w:pPr>
      <w:r>
        <w:rPr>
          <w:rFonts w:hint="default" w:ascii="Times New Roman" w:hAnsi="Times New Roman" w:eastAsia="黑体" w:cs="Times New Roman"/>
          <w:b w:val="0"/>
          <w:bCs/>
          <w:color w:val="000000"/>
          <w:sz w:val="30"/>
          <w:szCs w:val="30"/>
          <w:lang w:eastAsia="zh-CN"/>
        </w:rPr>
        <w:t>项目负责人：</w:t>
      </w:r>
      <w:r>
        <w:rPr>
          <w:rFonts w:hint="default" w:ascii="Times New Roman" w:hAnsi="Times New Roman" w:eastAsia="黑体" w:cs="Times New Roman"/>
          <w:b w:val="0"/>
          <w:bCs/>
          <w:lang w:val="en-US" w:eastAsia="zh-CN"/>
        </w:rPr>
        <w:t>朱园园</w:t>
      </w:r>
    </w:p>
    <w:p w14:paraId="3112C1C2">
      <w:pPr>
        <w:spacing w:line="360" w:lineRule="auto"/>
        <w:ind w:firstLine="0" w:firstLineChars="0"/>
        <w:jc w:val="left"/>
        <w:rPr>
          <w:rFonts w:hint="default" w:ascii="Times New Roman" w:hAnsi="Times New Roman" w:cs="Times New Roman"/>
          <w:b w:val="0"/>
          <w:bCs/>
          <w:color w:val="auto"/>
          <w:lang w:val="en-US" w:eastAsia="zh-CN"/>
        </w:rPr>
      </w:pPr>
      <w:r>
        <w:rPr>
          <w:rFonts w:hint="default" w:ascii="Times New Roman" w:hAnsi="Times New Roman" w:eastAsia="黑体" w:cs="Times New Roman"/>
          <w:b w:val="0"/>
          <w:bCs/>
          <w:color w:val="auto"/>
          <w:sz w:val="30"/>
          <w:szCs w:val="30"/>
          <w:lang w:eastAsia="zh-CN"/>
        </w:rPr>
        <w:t>填报时间：</w:t>
      </w:r>
      <w:r>
        <w:rPr>
          <w:rFonts w:hint="default" w:ascii="Times New Roman" w:hAnsi="Times New Roman" w:eastAsia="黑体" w:cs="Times New Roman"/>
          <w:b w:val="0"/>
          <w:bCs/>
          <w:color w:val="auto"/>
          <w:sz w:val="30"/>
          <w:szCs w:val="30"/>
          <w:lang w:val="en-US" w:eastAsia="zh-CN"/>
        </w:rPr>
        <w:t>2025年3月31日</w:t>
      </w:r>
    </w:p>
    <w:p w14:paraId="5E4FC67F">
      <w:pPr>
        <w:pStyle w:val="14"/>
        <w:pageBreakBefore w:val="0"/>
        <w:kinsoku/>
        <w:wordWrap/>
        <w:overflowPunct/>
        <w:topLinePunct w:val="0"/>
        <w:autoSpaceDE/>
        <w:autoSpaceDN/>
        <w:bidi w:val="0"/>
        <w:spacing w:line="560" w:lineRule="exact"/>
        <w:textAlignment w:val="auto"/>
        <w:outlineLvl w:val="9"/>
        <w:rPr>
          <w:rFonts w:hint="default" w:ascii="Times New Roman" w:hAnsi="Times New Roman" w:eastAsia="宋体" w:cs="Times New Roman"/>
          <w:b/>
          <w:color w:val="000000" w:themeColor="text1"/>
          <w:kern w:val="2"/>
          <w:sz w:val="28"/>
          <w:szCs w:val="28"/>
          <w:highlight w:val="none"/>
          <w:shd w:val="clear" w:color="auto" w:fill="auto"/>
          <w:lang w:val="en-US" w:eastAsia="zh-CN"/>
          <w14:textFill>
            <w14:solidFill>
              <w14:schemeClr w14:val="tx1"/>
            </w14:solidFill>
          </w14:textFill>
        </w:rPr>
      </w:pPr>
    </w:p>
    <w:p w14:paraId="435703FA">
      <w:pPr>
        <w:pageBreakBefore w:val="0"/>
        <w:kinsoku/>
        <w:wordWrap/>
        <w:overflowPunct/>
        <w:topLinePunct w:val="0"/>
        <w:autoSpaceDE/>
        <w:autoSpaceDN/>
        <w:bidi w:val="0"/>
        <w:spacing w:line="5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br w:type="page"/>
      </w:r>
    </w:p>
    <w:sdt>
      <w:sdtPr>
        <w:rPr>
          <w:rFonts w:hint="default" w:ascii="Times New Roman" w:hAnsi="Times New Roman" w:eastAsia="宋体" w:cs="Times New Roman"/>
          <w:b/>
          <w:bCs/>
          <w:kern w:val="2"/>
          <w:sz w:val="28"/>
          <w:szCs w:val="40"/>
          <w:lang w:val="en-US" w:eastAsia="zh-CN" w:bidi="ar-SA"/>
        </w:rPr>
        <w:id w:val="147474046"/>
        <w15:color w:val="DBDBDB"/>
        <w:docPartObj>
          <w:docPartGallery w:val="Table of Contents"/>
          <w:docPartUnique/>
        </w:docPartObj>
      </w:sdtPr>
      <w:sdtEndPr>
        <w:rPr>
          <w:rFonts w:hint="default" w:ascii="Times New Roman" w:hAnsi="Times New Roman" w:eastAsia="宋体" w:cs="Times New Roman"/>
          <w:b/>
          <w:bCs/>
          <w:kern w:val="2"/>
          <w:sz w:val="28"/>
          <w:szCs w:val="28"/>
          <w:lang w:val="en-US" w:eastAsia="zh-CN" w:bidi="ar-SA"/>
        </w:rPr>
      </w:sdtEndPr>
      <w:sdtContent>
        <w:p w14:paraId="57EA78BE">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rFonts w:hint="default" w:ascii="Times New Roman" w:hAnsi="Times New Roman" w:cs="Times New Roman"/>
              <w:b/>
              <w:bCs/>
              <w:sz w:val="40"/>
              <w:szCs w:val="40"/>
            </w:rPr>
          </w:pPr>
          <w:r>
            <w:rPr>
              <w:rFonts w:hint="default" w:ascii="Times New Roman" w:hAnsi="Times New Roman" w:eastAsia="宋体" w:cs="Times New Roman"/>
              <w:b/>
              <w:bCs/>
              <w:sz w:val="40"/>
              <w:szCs w:val="40"/>
            </w:rPr>
            <w:t>目录</w:t>
          </w:r>
        </w:p>
        <w:p w14:paraId="54E72CE4">
          <w:pPr>
            <w:pStyle w:val="10"/>
            <w:tabs>
              <w:tab w:val="right" w:leader="dot" w:pos="8844"/>
            </w:tabs>
            <w:rPr>
              <w:rFonts w:hint="default" w:ascii="Times New Roman" w:hAnsi="Times New Roman" w:cs="Times New Roman"/>
            </w:rPr>
          </w:pPr>
          <w:r>
            <w:rPr>
              <w:rFonts w:hint="default" w:ascii="Times New Roman" w:hAnsi="Times New Roman" w:cs="Times New Roman"/>
              <w:sz w:val="28"/>
              <w:szCs w:val="28"/>
              <w:lang w:val="en-US" w:eastAsia="zh-CN"/>
            </w:rPr>
            <w:fldChar w:fldCharType="begin"/>
          </w:r>
          <w:r>
            <w:rPr>
              <w:rFonts w:hint="default" w:ascii="Times New Roman" w:hAnsi="Times New Roman" w:cs="Times New Roman"/>
              <w:sz w:val="28"/>
              <w:szCs w:val="28"/>
              <w:lang w:val="en-US" w:eastAsia="zh-CN"/>
            </w:rPr>
            <w:instrText xml:space="preserve">TOC \o "1-3" \h \u </w:instrText>
          </w:r>
          <w:r>
            <w:rPr>
              <w:rFonts w:hint="default" w:ascii="Times New Roman" w:hAnsi="Times New Roman" w:cs="Times New Roman"/>
              <w:sz w:val="28"/>
              <w:szCs w:val="28"/>
              <w:lang w:val="en-US" w:eastAsia="zh-CN"/>
            </w:rPr>
            <w:fldChar w:fldCharType="separate"/>
          </w:r>
        </w:p>
        <w:p w14:paraId="75DA189A">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_Toc18485 </w:instrText>
          </w:r>
          <w:r>
            <w:rPr>
              <w:rFonts w:hint="default" w:ascii="Times New Roman" w:hAnsi="Times New Roman" w:cs="Times New Roman"/>
              <w:szCs w:val="28"/>
              <w:lang w:val="en-US" w:eastAsia="zh-CN"/>
            </w:rPr>
            <w:fldChar w:fldCharType="separate"/>
          </w:r>
          <w:r>
            <w:rPr>
              <w:rFonts w:hint="default" w:ascii="Times New Roman" w:hAnsi="Times New Roman" w:eastAsia="黑体" w:cs="Times New Roman"/>
              <w:bCs w:val="0"/>
              <w:highlight w:val="none"/>
              <w:shd w:val="clear" w:color="auto" w:fill="auto"/>
            </w:rPr>
            <w:t>一、基本情况</w:t>
          </w:r>
          <w:r>
            <w:rPr>
              <w:rFonts w:hint="default" w:ascii="Times New Roman" w:hAnsi="Times New Roman" w:cs="Times New Roman"/>
            </w:rPr>
            <w:tab/>
          </w:r>
          <w:r>
            <w:rPr>
              <w:rFonts w:hint="default" w:ascii="Times New Roman" w:hAnsi="Times New Roman" w:cs="Times New Roman"/>
              <w:lang w:val="en-US" w:eastAsia="zh-CN"/>
            </w:rPr>
            <w:t>4</w:t>
          </w:r>
          <w:r>
            <w:rPr>
              <w:rFonts w:hint="default" w:ascii="Times New Roman" w:hAnsi="Times New Roman" w:cs="Times New Roman"/>
              <w:szCs w:val="28"/>
              <w:lang w:val="en-US" w:eastAsia="zh-CN"/>
            </w:rPr>
            <w:fldChar w:fldCharType="end"/>
          </w:r>
        </w:p>
        <w:p w14:paraId="564A8BE6">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_Toc23184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（一）项目概况</w:t>
          </w:r>
          <w:r>
            <w:rPr>
              <w:rFonts w:hint="default" w:ascii="Times New Roman" w:hAnsi="Times New Roman" w:cs="Times New Roman"/>
            </w:rPr>
            <w:tab/>
          </w:r>
          <w:r>
            <w:rPr>
              <w:rFonts w:hint="default" w:ascii="Times New Roman" w:hAnsi="Times New Roman" w:cs="Times New Roman"/>
              <w:lang w:val="en-US" w:eastAsia="zh-CN"/>
            </w:rPr>
            <w:t>4</w:t>
          </w:r>
          <w:r>
            <w:rPr>
              <w:rFonts w:hint="default" w:ascii="Times New Roman" w:hAnsi="Times New Roman" w:cs="Times New Roman"/>
              <w:szCs w:val="28"/>
              <w:lang w:val="en-US" w:eastAsia="zh-CN"/>
            </w:rPr>
            <w:fldChar w:fldCharType="end"/>
          </w:r>
        </w:p>
        <w:p w14:paraId="20ADFFAA">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_Toc9109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（二）项目绩效目标</w:t>
          </w:r>
          <w:r>
            <w:rPr>
              <w:rFonts w:hint="default" w:ascii="Times New Roman" w:hAnsi="Times New Roman" w:cs="Times New Roman"/>
            </w:rPr>
            <w:tab/>
          </w:r>
          <w:r>
            <w:rPr>
              <w:rFonts w:hint="default" w:ascii="Times New Roman" w:hAnsi="Times New Roman" w:cs="Times New Roman"/>
              <w:lang w:val="en-US" w:eastAsia="zh-CN"/>
            </w:rPr>
            <w:t>5</w:t>
          </w:r>
          <w:r>
            <w:rPr>
              <w:rFonts w:hint="default" w:ascii="Times New Roman" w:hAnsi="Times New Roman" w:cs="Times New Roman"/>
              <w:szCs w:val="28"/>
              <w:lang w:val="en-US" w:eastAsia="zh-CN"/>
            </w:rPr>
            <w:fldChar w:fldCharType="end"/>
          </w:r>
        </w:p>
        <w:p w14:paraId="02DD083B">
          <w:pPr>
            <w:pStyle w:val="10"/>
            <w:tabs>
              <w:tab w:val="right" w:leader="dot" w:pos="8844"/>
            </w:tabs>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_Toc26567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highlight w:val="none"/>
              <w:shd w:val="clear" w:color="auto" w:fill="auto"/>
            </w:rPr>
            <w:t>二、绩效评价工作开展情况</w:t>
          </w:r>
          <w:r>
            <w:rPr>
              <w:rFonts w:hint="default" w:ascii="Times New Roman" w:hAnsi="Times New Roman" w:eastAsia="黑体" w:cs="Times New Roman"/>
            </w:rPr>
            <w:tab/>
          </w:r>
          <w:r>
            <w:rPr>
              <w:rFonts w:hint="default" w:ascii="Times New Roman" w:hAnsi="Times New Roman" w:eastAsia="黑体" w:cs="Times New Roman"/>
              <w:lang w:val="en-US" w:eastAsia="zh-CN"/>
            </w:rPr>
            <w:t>6</w:t>
          </w:r>
          <w:r>
            <w:rPr>
              <w:rFonts w:hint="default" w:ascii="Times New Roman" w:hAnsi="Times New Roman" w:eastAsia="黑体" w:cs="Times New Roman"/>
              <w:szCs w:val="28"/>
              <w:lang w:val="en-US" w:eastAsia="zh-CN"/>
            </w:rPr>
            <w:fldChar w:fldCharType="end"/>
          </w:r>
        </w:p>
        <w:p w14:paraId="4A9A7277">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_Toc22839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（一）绩效评价的目的、对象和范围</w:t>
          </w:r>
          <w:r>
            <w:rPr>
              <w:rFonts w:hint="default" w:ascii="Times New Roman" w:hAnsi="Times New Roman" w:cs="Times New Roman"/>
            </w:rPr>
            <w:tab/>
          </w:r>
          <w:r>
            <w:rPr>
              <w:rFonts w:hint="default" w:ascii="Times New Roman" w:hAnsi="Times New Roman" w:cs="Times New Roman"/>
              <w:lang w:val="en-US" w:eastAsia="zh-CN"/>
            </w:rPr>
            <w:t>6</w:t>
          </w:r>
          <w:r>
            <w:rPr>
              <w:rFonts w:hint="default" w:ascii="Times New Roman" w:hAnsi="Times New Roman" w:cs="Times New Roman"/>
              <w:szCs w:val="28"/>
              <w:lang w:val="en-US" w:eastAsia="zh-CN"/>
            </w:rPr>
            <w:fldChar w:fldCharType="end"/>
          </w:r>
        </w:p>
        <w:p w14:paraId="2D59D33F">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_Toc29785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（二）绩效评价原则、评价指标体系（详情见附件二）、评价方法、评价标准</w:t>
          </w:r>
          <w:r>
            <w:rPr>
              <w:rFonts w:hint="default" w:ascii="Times New Roman" w:hAnsi="Times New Roman" w:cs="Times New Roman"/>
            </w:rPr>
            <w:tab/>
          </w:r>
          <w:r>
            <w:rPr>
              <w:rFonts w:hint="default" w:ascii="Times New Roman" w:hAnsi="Times New Roman" w:cs="Times New Roman"/>
              <w:lang w:val="en-US" w:eastAsia="zh-CN"/>
            </w:rPr>
            <w:t>1</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0</w:t>
          </w:r>
        </w:p>
        <w:p w14:paraId="05AF5F5A">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_Toc21435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（三）绩效评价工作过程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_Toc21435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3E2FE97F">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_Toc19261 </w:instrText>
          </w:r>
          <w:r>
            <w:rPr>
              <w:rFonts w:hint="default" w:ascii="Times New Roman" w:hAnsi="Times New Roman"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三、</w:t>
          </w:r>
          <w:r>
            <w:rPr>
              <w:rFonts w:hint="default" w:ascii="Times New Roman" w:hAnsi="Times New Roman" w:eastAsia="黑体" w:cs="Times New Roman"/>
              <w:bCs w:val="0"/>
              <w:highlight w:val="none"/>
              <w:shd w:val="clear" w:color="auto" w:fill="auto"/>
            </w:rPr>
            <w:t>综合评价情况及评价结论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_Toc19261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04E3B714">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_Toc23319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（一）综合评价情况及评价结论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_Toc23319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2BF35564">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_Toc11863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（二）相关评分表</w:t>
          </w:r>
          <w:r>
            <w:rPr>
              <w:rFonts w:hint="default" w:ascii="Times New Roman" w:hAnsi="Times New Roman" w:cs="Times New Roman"/>
            </w:rPr>
            <w:tab/>
          </w:r>
          <w:r>
            <w:rPr>
              <w:rFonts w:hint="default" w:ascii="Times New Roman" w:hAnsi="Times New Roman" w:cs="Times New Roman"/>
              <w:lang w:val="en-US" w:eastAsia="zh-CN"/>
            </w:rPr>
            <w:t>1</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6</w:t>
          </w:r>
        </w:p>
        <w:p w14:paraId="31569F73">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_Toc14941 </w:instrText>
          </w:r>
          <w:r>
            <w:rPr>
              <w:rFonts w:hint="default" w:ascii="Times New Roman" w:hAnsi="Times New Roman"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四、绩效评价指标分析</w:t>
          </w:r>
          <w:r>
            <w:rPr>
              <w:rFonts w:hint="default" w:ascii="Times New Roman" w:hAnsi="Times New Roman" w:cs="Times New Roman"/>
            </w:rPr>
            <w:tab/>
          </w:r>
          <w:r>
            <w:rPr>
              <w:rFonts w:hint="default" w:ascii="Times New Roman" w:hAnsi="Times New Roman" w:cs="Times New Roman"/>
              <w:lang w:val="en-US" w:eastAsia="zh-CN"/>
            </w:rPr>
            <w:t>1</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7</w:t>
          </w:r>
        </w:p>
        <w:p w14:paraId="417F5702">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_Toc6759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rPr>
            <w:t>（一）项目决策情况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_Toc6759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272C85E9">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_Toc10564 </w:instrText>
          </w:r>
          <w:r>
            <w:rPr>
              <w:rFonts w:hint="default" w:ascii="Times New Roman" w:hAnsi="Times New Roman" w:cs="Times New Roman"/>
              <w:szCs w:val="28"/>
              <w:lang w:val="en-US" w:eastAsia="zh-CN"/>
            </w:rPr>
            <w:fldChar w:fldCharType="separate"/>
          </w:r>
          <w:r>
            <w:rPr>
              <w:rFonts w:hint="default" w:ascii="Times New Roman" w:hAnsi="Times New Roman" w:eastAsia="楷体" w:cs="Times New Roman"/>
              <w:kern w:val="28"/>
              <w:lang w:eastAsia="zh-CN"/>
            </w:rPr>
            <w:t>（</w:t>
          </w:r>
          <w:r>
            <w:rPr>
              <w:rFonts w:hint="default" w:ascii="Times New Roman" w:hAnsi="Times New Roman" w:eastAsia="楷体" w:cs="Times New Roman"/>
              <w:kern w:val="28"/>
              <w:lang w:val="en-US" w:eastAsia="zh-CN"/>
            </w:rPr>
            <w:t>二</w:t>
          </w:r>
          <w:r>
            <w:rPr>
              <w:rFonts w:hint="default" w:ascii="Times New Roman" w:hAnsi="Times New Roman" w:eastAsia="楷体" w:cs="Times New Roman"/>
              <w:kern w:val="28"/>
              <w:lang w:eastAsia="zh-CN"/>
            </w:rPr>
            <w:t>）</w:t>
          </w:r>
          <w:r>
            <w:rPr>
              <w:rFonts w:hint="default" w:ascii="Times New Roman" w:hAnsi="Times New Roman" w:eastAsia="楷体" w:cs="Times New Roman"/>
              <w:kern w:val="28"/>
            </w:rPr>
            <w:t>项目过程情况</w:t>
          </w:r>
          <w:r>
            <w:rPr>
              <w:rFonts w:hint="default" w:ascii="Times New Roman" w:hAnsi="Times New Roman" w:cs="Times New Roman"/>
            </w:rPr>
            <w:tab/>
          </w:r>
          <w:r>
            <w:rPr>
              <w:rFonts w:hint="default" w:ascii="Times New Roman" w:hAnsi="Times New Roman" w:cs="Times New Roman"/>
              <w:lang w:val="en-US" w:eastAsia="zh-CN"/>
            </w:rPr>
            <w:t>2</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0</w:t>
          </w:r>
        </w:p>
        <w:p w14:paraId="51A0D307">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_Toc2441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（三）项目产出情况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_Toc2441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61AFDA0B">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_Toc19424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（四）项目效益情况</w:t>
          </w:r>
          <w:r>
            <w:rPr>
              <w:rFonts w:hint="default" w:ascii="Times New Roman" w:hAnsi="Times New Roman" w:cs="Times New Roman"/>
            </w:rPr>
            <w:tab/>
          </w:r>
          <w:r>
            <w:rPr>
              <w:rFonts w:hint="default" w:ascii="Times New Roman" w:hAnsi="Times New Roman" w:cs="Times New Roman"/>
              <w:lang w:val="en-US" w:eastAsia="zh-CN"/>
            </w:rPr>
            <w:t>2</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4</w:t>
          </w:r>
        </w:p>
        <w:p w14:paraId="4A507B5A">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_Toc23313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（五）满意度指标完成情况分析</w:t>
          </w:r>
          <w:r>
            <w:rPr>
              <w:rFonts w:hint="default" w:ascii="Times New Roman" w:hAnsi="Times New Roman" w:cs="Times New Roman"/>
            </w:rPr>
            <w:tab/>
          </w:r>
          <w:r>
            <w:rPr>
              <w:rFonts w:hint="default" w:ascii="Times New Roman" w:hAnsi="Times New Roman" w:cs="Times New Roman"/>
              <w:lang w:val="en-US" w:eastAsia="zh-CN"/>
            </w:rPr>
            <w:t>2</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5</w:t>
          </w:r>
        </w:p>
        <w:p w14:paraId="0E824106">
          <w:pPr>
            <w:pStyle w:val="10"/>
            <w:tabs>
              <w:tab w:val="right" w:leader="dot" w:pos="8844"/>
            </w:tabs>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_Toc6622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五、主要经验及做法、存在的问题及原因分析</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_Toc6622 \h </w:instrText>
          </w:r>
          <w:r>
            <w:rPr>
              <w:rFonts w:hint="default" w:ascii="Times New Roman" w:hAnsi="Times New Roman" w:eastAsia="黑体" w:cs="Times New Roman"/>
            </w:rPr>
            <w:fldChar w:fldCharType="separate"/>
          </w:r>
          <w:r>
            <w:rPr>
              <w:rFonts w:hint="default" w:ascii="Times New Roman" w:hAnsi="Times New Roman" w:eastAsia="黑体" w:cs="Times New Roman"/>
            </w:rPr>
            <w:t>25</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50AA88FA">
          <w:pPr>
            <w:pStyle w:val="10"/>
            <w:tabs>
              <w:tab w:val="right" w:leader="dot" w:pos="8844"/>
            </w:tabs>
            <w:rPr>
              <w:rFonts w:hint="default" w:ascii="Times New Roman" w:hAnsi="Times New Roman" w:cs="Times New Roman"/>
              <w:lang w:val="en-US"/>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_Toc15449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bCs/>
              <w:kern w:val="28"/>
              <w:highlight w:val="none"/>
              <w:lang w:val="en-US" w:eastAsia="zh-CN"/>
            </w:rPr>
            <w:t>（一）主要经验及做法</w:t>
          </w:r>
          <w:r>
            <w:rPr>
              <w:rFonts w:hint="default" w:ascii="Times New Roman" w:hAnsi="Times New Roman" w:cs="Times New Roman"/>
            </w:rPr>
            <w:tab/>
          </w:r>
          <w:r>
            <w:rPr>
              <w:rFonts w:hint="default" w:ascii="Times New Roman" w:hAnsi="Times New Roman" w:cs="Times New Roman"/>
              <w:lang w:val="en-US" w:eastAsia="zh-CN"/>
            </w:rPr>
            <w:t>2</w:t>
          </w:r>
          <w:r>
            <w:rPr>
              <w:rFonts w:hint="default" w:ascii="Times New Roman" w:hAnsi="Times New Roman" w:cs="Times New Roman"/>
              <w:szCs w:val="28"/>
              <w:lang w:val="en-US" w:eastAsia="zh-CN"/>
            </w:rPr>
            <w:fldChar w:fldCharType="end"/>
          </w:r>
          <w:r>
            <w:rPr>
              <w:rFonts w:hint="default" w:ascii="Times New Roman" w:hAnsi="Times New Roman" w:cs="Times New Roman"/>
              <w:szCs w:val="28"/>
              <w:lang w:val="en-US" w:eastAsia="zh-CN"/>
            </w:rPr>
            <w:t>5</w:t>
          </w:r>
        </w:p>
        <w:p w14:paraId="30CCC478">
          <w:pPr>
            <w:pStyle w:val="10"/>
            <w:tabs>
              <w:tab w:val="right" w:leader="dot" w:pos="8844"/>
            </w:tabs>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_Toc29168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bCs/>
              <w:kern w:val="28"/>
              <w:highlight w:val="none"/>
              <w:lang w:val="en-US" w:eastAsia="zh-CN"/>
            </w:rPr>
            <w:t>（二）存在的问题及原因分析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_Toc29168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5C7018CB">
          <w:pPr>
            <w:pStyle w:val="10"/>
            <w:tabs>
              <w:tab w:val="right" w:leader="dot" w:pos="8844"/>
            </w:tabs>
            <w:rPr>
              <w:rFonts w:hint="default" w:ascii="Times New Roman" w:hAnsi="Times New Roman" w:eastAsia="黑体" w:cs="Times New Roman"/>
              <w:lang w:val="en-US"/>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_Toc3333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六、有关建议</w:t>
          </w:r>
          <w:r>
            <w:rPr>
              <w:rFonts w:hint="default" w:ascii="Times New Roman" w:hAnsi="Times New Roman" w:eastAsia="黑体" w:cs="Times New Roman"/>
            </w:rPr>
            <w:tab/>
          </w:r>
          <w:r>
            <w:rPr>
              <w:rFonts w:hint="default" w:ascii="Times New Roman" w:hAnsi="Times New Roman" w:eastAsia="黑体" w:cs="Times New Roman"/>
              <w:lang w:val="en-US" w:eastAsia="zh-CN"/>
            </w:rPr>
            <w:t>2</w:t>
          </w:r>
          <w:r>
            <w:rPr>
              <w:rFonts w:hint="default" w:ascii="Times New Roman" w:hAnsi="Times New Roman" w:eastAsia="黑体" w:cs="Times New Roman"/>
              <w:szCs w:val="28"/>
              <w:lang w:val="en-US" w:eastAsia="zh-CN"/>
            </w:rPr>
            <w:fldChar w:fldCharType="end"/>
          </w:r>
          <w:r>
            <w:rPr>
              <w:rFonts w:hint="default" w:ascii="Times New Roman" w:hAnsi="Times New Roman" w:eastAsia="黑体" w:cs="Times New Roman"/>
              <w:szCs w:val="28"/>
              <w:lang w:val="en-US" w:eastAsia="zh-CN"/>
            </w:rPr>
            <w:t>6</w:t>
          </w:r>
        </w:p>
        <w:p w14:paraId="34AE6924">
          <w:pPr>
            <w:pStyle w:val="10"/>
            <w:tabs>
              <w:tab w:val="right" w:leader="dot" w:pos="8844"/>
            </w:tabs>
            <w:rPr>
              <w:rFonts w:hint="default" w:ascii="Times New Roman" w:hAnsi="Times New Roman" w:eastAsia="黑体" w:cs="Times New Roman"/>
              <w:lang w:val="en-US"/>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_Toc14256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七、其他需要说明的问题</w:t>
          </w:r>
          <w:r>
            <w:rPr>
              <w:rFonts w:hint="default" w:ascii="Times New Roman" w:hAnsi="Times New Roman" w:eastAsia="黑体" w:cs="Times New Roman"/>
            </w:rPr>
            <w:tab/>
          </w:r>
          <w:r>
            <w:rPr>
              <w:rFonts w:hint="default" w:ascii="Times New Roman" w:hAnsi="Times New Roman" w:eastAsia="黑体" w:cs="Times New Roman"/>
              <w:lang w:val="en-US" w:eastAsia="zh-CN"/>
            </w:rPr>
            <w:t>2</w:t>
          </w:r>
          <w:r>
            <w:rPr>
              <w:rFonts w:hint="default" w:ascii="Times New Roman" w:hAnsi="Times New Roman" w:eastAsia="黑体" w:cs="Times New Roman"/>
              <w:szCs w:val="28"/>
              <w:lang w:val="en-US" w:eastAsia="zh-CN"/>
            </w:rPr>
            <w:fldChar w:fldCharType="end"/>
          </w:r>
          <w:r>
            <w:rPr>
              <w:rFonts w:hint="default" w:ascii="Times New Roman" w:hAnsi="Times New Roman" w:eastAsia="黑体" w:cs="Times New Roman"/>
              <w:szCs w:val="28"/>
              <w:lang w:val="en-US" w:eastAsia="zh-CN"/>
            </w:rPr>
            <w:t>6</w:t>
          </w:r>
        </w:p>
        <w:p w14:paraId="1A3E1A6A">
          <w:pPr>
            <w:pStyle w:val="10"/>
            <w:tabs>
              <w:tab w:val="right" w:leader="dot" w:pos="8844"/>
            </w:tabs>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_Toc28971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highlight w:val="none"/>
              <w:shd w:val="clear" w:color="auto" w:fill="auto"/>
              <w:lang w:val="en-US" w:eastAsia="zh-CN"/>
            </w:rPr>
            <w:t>附件一、项目支出绩效自评表</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_Toc28971 \h </w:instrText>
          </w:r>
          <w:r>
            <w:rPr>
              <w:rFonts w:hint="default" w:ascii="Times New Roman" w:hAnsi="Times New Roman" w:eastAsia="黑体" w:cs="Times New Roman"/>
            </w:rPr>
            <w:fldChar w:fldCharType="separate"/>
          </w:r>
          <w:r>
            <w:rPr>
              <w:rFonts w:hint="default" w:ascii="Times New Roman" w:hAnsi="Times New Roman" w:eastAsia="黑体" w:cs="Times New Roman"/>
            </w:rPr>
            <w:t>27</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30C7E17D">
          <w:pPr>
            <w:pStyle w:val="10"/>
            <w:tabs>
              <w:tab w:val="right" w:leader="dot" w:pos="8844"/>
            </w:tabs>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_Toc11223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highlight w:val="none"/>
              <w:shd w:val="clear" w:color="auto" w:fill="auto"/>
              <w:lang w:val="en-US" w:eastAsia="zh-CN"/>
            </w:rPr>
            <w:t>附件二、项目支出绩效评价指标体系打分表</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_Toc11223 \h </w:instrText>
          </w:r>
          <w:r>
            <w:rPr>
              <w:rFonts w:hint="default" w:ascii="Times New Roman" w:hAnsi="Times New Roman" w:eastAsia="黑体" w:cs="Times New Roman"/>
            </w:rPr>
            <w:fldChar w:fldCharType="separate"/>
          </w:r>
          <w:r>
            <w:rPr>
              <w:rFonts w:hint="default" w:ascii="Times New Roman" w:hAnsi="Times New Roman" w:eastAsia="黑体" w:cs="Times New Roman"/>
            </w:rPr>
            <w:t>30</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01A515D5">
          <w:pPr>
            <w:keepNext w:val="0"/>
            <w:keepLines w:val="0"/>
            <w:pageBreakBefore w:val="0"/>
            <w:shd w:val="clea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lang w:val="en-US"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cs="Times New Roman"/>
              <w:szCs w:val="28"/>
              <w:lang w:val="en-US" w:eastAsia="zh-CN"/>
            </w:rPr>
            <w:fldChar w:fldCharType="end"/>
          </w:r>
        </w:p>
      </w:sdtContent>
    </w:sdt>
    <w:p w14:paraId="2D7B2E4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bookmarkStart w:id="4" w:name="_Toc1194"/>
      <w:bookmarkStart w:id="5" w:name="_Toc22946"/>
      <w:bookmarkStart w:id="6" w:name="_Toc3663"/>
      <w:bookmarkStart w:id="7" w:name="_Toc20432"/>
      <w:bookmarkStart w:id="8" w:name="_Toc18485"/>
      <w:r>
        <w:rPr>
          <w:rFonts w:hint="default" w:ascii="Times New Roman" w:hAnsi="Times New Roman" w:eastAsia="宋体" w:cs="Times New Roman"/>
          <w:b/>
          <w:bCs/>
          <w:color w:val="auto"/>
          <w:sz w:val="36"/>
          <w:szCs w:val="36"/>
          <w:highlight w:val="none"/>
          <w:shd w:val="clear" w:color="auto" w:fill="auto"/>
        </w:rPr>
        <w:t>2024年学前教育生均经费</w:t>
      </w:r>
      <w:r>
        <w:rPr>
          <w:rFonts w:hint="default" w:ascii="Times New Roman" w:hAnsi="Times New Roman" w:eastAsia="宋体" w:cs="Times New Roman"/>
          <w:b/>
          <w:bCs/>
          <w:color w:val="auto"/>
          <w:sz w:val="36"/>
          <w:szCs w:val="36"/>
          <w:highlight w:val="none"/>
          <w:shd w:val="clear" w:color="auto" w:fill="auto"/>
          <w:lang w:val="en-US" w:eastAsia="zh-CN"/>
        </w:rPr>
        <w:t>项目</w:t>
      </w:r>
      <w:r>
        <w:rPr>
          <w:rFonts w:hint="default" w:ascii="Times New Roman" w:hAnsi="Times New Roman" w:eastAsia="宋体" w:cs="Times New Roman"/>
          <w:b/>
          <w:bCs/>
          <w:color w:val="auto"/>
          <w:sz w:val="36"/>
          <w:szCs w:val="36"/>
          <w:highlight w:val="none"/>
          <w:shd w:val="clear" w:color="auto" w:fill="auto"/>
        </w:rPr>
        <w:t>支</w:t>
      </w:r>
      <w:r>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t>出绩效评价</w:t>
      </w:r>
    </w:p>
    <w:p w14:paraId="0D00750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000000" w:themeColor="text1"/>
          <w:highlight w:val="none"/>
          <w:shd w:val="clear" w:color="auto" w:fill="auto"/>
          <w14:textFill>
            <w14:solidFill>
              <w14:schemeClr w14:val="tx1"/>
            </w14:solidFill>
          </w14:textFill>
        </w:rPr>
      </w:pPr>
      <w:r>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t>报告</w:t>
      </w:r>
      <w:bookmarkEnd w:id="4"/>
      <w:bookmarkEnd w:id="5"/>
      <w:bookmarkEnd w:id="6"/>
      <w:bookmarkEnd w:id="7"/>
    </w:p>
    <w:p w14:paraId="4789EA30">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pPr>
      <w:r>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t>一、基本情况</w:t>
      </w:r>
      <w:bookmarkEnd w:id="8"/>
    </w:p>
    <w:p w14:paraId="58A11AE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9" w:name="_Toc23184"/>
      <w:r>
        <w:rPr>
          <w:rFonts w:hint="default" w:ascii="Times New Roman" w:hAnsi="Times New Roman" w:eastAsia="楷体_GB2312" w:cs="Times New Roman"/>
          <w:kern w:val="28"/>
          <w:sz w:val="32"/>
          <w:lang w:val="en-US" w:eastAsia="zh-CN"/>
        </w:rPr>
        <w:t>（一）项目概况</w:t>
      </w:r>
      <w:bookmarkEnd w:id="9"/>
    </w:p>
    <w:p w14:paraId="6D3494BD">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color w:val="000000" w:themeColor="text1"/>
          <w:kern w:val="0"/>
          <w:sz w:val="32"/>
          <w:szCs w:val="32"/>
          <w:highlight w:val="none"/>
          <w:shd w:val="clear" w:color="auto" w:fill="auto"/>
          <w:lang w:val="en-US" w:eastAsia="zh-CN" w:bidi="ar-SA"/>
          <w14:textFill>
            <w14:solidFill>
              <w14:schemeClr w14:val="tx1"/>
            </w14:solidFill>
          </w14:textFill>
        </w:rPr>
      </w:pPr>
      <w:bookmarkStart w:id="10" w:name="_Toc10645"/>
      <w:bookmarkStart w:id="11" w:name="_Toc22346"/>
      <w:bookmarkStart w:id="12" w:name="_Toc5043"/>
      <w:bookmarkStart w:id="13" w:name="_Toc29812"/>
      <w:r>
        <w:rPr>
          <w:rFonts w:hint="default" w:ascii="Times New Roman" w:hAnsi="Times New Roman" w:eastAsia="仿宋_GB2312" w:cs="Times New Roman"/>
          <w:b/>
          <w:bCs/>
          <w:color w:val="000000" w:themeColor="text1"/>
          <w:kern w:val="0"/>
          <w:sz w:val="32"/>
          <w:szCs w:val="32"/>
          <w:highlight w:val="none"/>
          <w:shd w:val="clear" w:color="auto" w:fill="auto"/>
          <w:lang w:val="en-US" w:eastAsia="zh-CN" w:bidi="ar-SA"/>
          <w14:textFill>
            <w14:solidFill>
              <w14:schemeClr w14:val="tx1"/>
            </w14:solidFill>
          </w14:textFill>
        </w:rPr>
        <w:t>1.项目背景</w:t>
      </w:r>
      <w:bookmarkEnd w:id="10"/>
      <w:bookmarkEnd w:id="11"/>
      <w:bookmarkEnd w:id="12"/>
      <w:bookmarkEnd w:id="13"/>
    </w:p>
    <w:p w14:paraId="4ABDFB4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根据新疆维吾尔自治区关于《自治区农村学前三年免费教育经费保障机制管理办法》的通知（新财教[ 2017]19号）文件要求，为3-6岁学龄前儿童提供保育与教育，落实好学前三年教育目标，改善幼儿园的办学条件，保障幼儿在园教学需求，为幼儿提供优质的保教环境，提升幼儿园教育质量，保障幼儿能接受优质、均衡的学前教育。</w:t>
      </w:r>
    </w:p>
    <w:p w14:paraId="13BDC0BA">
      <w:pPr>
        <w:pStyle w:val="5"/>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pPr>
      <w:bookmarkStart w:id="14" w:name="_Toc27343"/>
      <w:bookmarkStart w:id="15" w:name="_Toc17880"/>
      <w:bookmarkStart w:id="16" w:name="_Toc1630"/>
      <w:bookmarkStart w:id="17" w:name="_Toc10730"/>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4FADBFC5">
      <w:pPr>
        <w:pStyle w:val="5"/>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8" w:name="_Toc27409"/>
      <w:bookmarkStart w:id="19" w:name="_Toc21898"/>
      <w:bookmarkStart w:id="20" w:name="_Toc27245"/>
      <w:bookmarkStart w:id="21" w:name="_Toc16592"/>
      <w:r>
        <w:rPr>
          <w:rFonts w:hint="default" w:ascii="Times New Roman" w:hAnsi="Times New Roman" w:eastAsia="仿宋_GB2312" w:cs="Times New Roman"/>
          <w:color w:val="auto"/>
          <w:sz w:val="32"/>
          <w:szCs w:val="32"/>
          <w:highlight w:val="none"/>
          <w:shd w:val="clear" w:color="auto" w:fill="auto"/>
          <w:lang w:val="en-US" w:eastAsia="zh-CN"/>
        </w:rPr>
        <w:t>项目主要内容：</w:t>
      </w:r>
      <w:bookmarkEnd w:id="18"/>
      <w:bookmarkEnd w:id="19"/>
      <w:bookmarkEnd w:id="20"/>
      <w:bookmarkEnd w:id="2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3530851C">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bCs/>
          <w:color w:val="auto"/>
          <w:sz w:val="32"/>
          <w:szCs w:val="32"/>
          <w:highlight w:val="none"/>
          <w:shd w:val="clear" w:color="auto" w:fill="auto"/>
          <w:lang w:val="en-US" w:eastAsia="zh-CN"/>
        </w:rPr>
        <w:t>项目实施情况</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项目自2024年2月1日经阜康市财政局关于2024年部门预算的批复阜财预字[2024]7号文件，经阜康市第五幼儿园财经会议，确定了项目领导小组，明确了责任分工：组长为李雪舞，副组长为王晓雪，项目负责人为朱园园,组员为于飞、张海云，其中：张海云负责监管工作，于飞负责项目档案资料，王晓雪负责资金拨付工作。</w:t>
      </w:r>
      <w:bookmarkStart w:id="22" w:name="_Toc1858"/>
      <w:bookmarkStart w:id="23" w:name="_Toc569"/>
      <w:bookmarkStart w:id="24" w:name="_Toc10240"/>
      <w:bookmarkStart w:id="25" w:name="_Toc12348"/>
    </w:p>
    <w:p w14:paraId="6D96DAEB">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截至12月31日，本项目完成在校学生人数304人每人每年1100元标准的生均经费的发放，公用经费享受比例达到100%，教师培训结业率达到100%，公用经费支出及时率达到100%，项目实施能够保障幼儿园正常运转，有效改善教学环境，提供良好的学生成长条件，师生满意度达到90%。</w:t>
      </w:r>
    </w:p>
    <w:p w14:paraId="7BAC0FFD">
      <w:pPr>
        <w:pStyle w:val="5"/>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00C6D94A">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26" w:name="_Toc23509"/>
      <w:bookmarkStart w:id="27" w:name="_Toc26369"/>
      <w:bookmarkStart w:id="28" w:name="_Toc694"/>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（1）资金投入情况</w:t>
      </w:r>
      <w:bookmarkEnd w:id="26"/>
      <w:bookmarkEnd w:id="27"/>
      <w:bookmarkEnd w:id="28"/>
    </w:p>
    <w:p w14:paraId="73D00F7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29" w:name="_Toc5573"/>
      <w:bookmarkStart w:id="30" w:name="_Toc29190"/>
      <w:bookmarkStart w:id="31" w:name="_Toc9464"/>
      <w:bookmarkStart w:id="32" w:name="_Toc1166"/>
      <w:bookmarkStart w:id="33" w:name="_Toc28187"/>
      <w:bookmarkStart w:id="34" w:name="_Toc3409"/>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该项目年初预算数85.12万元，全年预算数62.06万元,该项目资金已全部落实到位，资金来源为财政拨款。</w:t>
      </w:r>
      <w:bookmarkEnd w:id="29"/>
      <w:bookmarkEnd w:id="30"/>
      <w:bookmarkEnd w:id="31"/>
    </w:p>
    <w:p w14:paraId="7C60607C">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（2）资金使用情况</w:t>
      </w:r>
      <w:bookmarkEnd w:id="32"/>
      <w:bookmarkEnd w:id="33"/>
      <w:bookmarkEnd w:id="34"/>
    </w:p>
    <w:p w14:paraId="04CB1B8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35" w:name="_Toc1430"/>
      <w:bookmarkStart w:id="36" w:name="_Toc29121"/>
      <w:bookmarkStart w:id="37" w:name="_Toc11647"/>
      <w:bookmarkStart w:id="38" w:name="_Toc9109"/>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该项目年初预算数85.12万元，全年预算数62.06万元，，截至2024年12月31日，全年执行数62.06万元，预算执行率为100%，主要用于：支付日常办公用品采购、卫生用品购置、水费、电费、邮电费、取暖费缴纳、幼儿园设施设备维修及幼儿伙食补助发放等。</w:t>
      </w:r>
      <w:bookmarkEnd w:id="35"/>
      <w:bookmarkEnd w:id="36"/>
      <w:bookmarkEnd w:id="37"/>
    </w:p>
    <w:p w14:paraId="36271B87">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default" w:ascii="Times New Roman" w:hAnsi="Times New Roman" w:eastAsia="楷体_GB2312" w:cs="Times New Roman"/>
          <w:kern w:val="28"/>
          <w:sz w:val="32"/>
          <w:lang w:val="en-US" w:eastAsia="zh-CN"/>
        </w:rPr>
        <w:t>项目绩效目标</w:t>
      </w:r>
      <w:bookmarkEnd w:id="38"/>
      <w:bookmarkStart w:id="39" w:name="_Toc10047"/>
      <w:bookmarkStart w:id="40" w:name="_Toc14758"/>
      <w:bookmarkStart w:id="41" w:name="_Toc8528"/>
      <w:bookmarkStart w:id="42" w:name="_Toc2547"/>
    </w:p>
    <w:p w14:paraId="52C398E2">
      <w:pPr>
        <w:pStyle w:val="14"/>
        <w:keepNext w:val="0"/>
        <w:keepLines w:val="0"/>
        <w:pageBreakBefore w:val="0"/>
        <w:widowControl/>
        <w:numPr>
          <w:ilvl w:val="0"/>
          <w:numId w:val="2"/>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总体目标</w:t>
      </w:r>
      <w:bookmarkEnd w:id="39"/>
      <w:bookmarkEnd w:id="40"/>
      <w:bookmarkEnd w:id="41"/>
      <w:bookmarkEnd w:id="42"/>
      <w:bookmarkStart w:id="43" w:name="_Toc8990"/>
      <w:bookmarkStart w:id="44" w:name="_Toc4487"/>
      <w:bookmarkStart w:id="45" w:name="_Toc4007"/>
      <w:bookmarkStart w:id="46" w:name="_Toc3255"/>
    </w:p>
    <w:p w14:paraId="213D7A5F">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2024年阜康市第五幼儿园计划保障幼儿园正常运转，教学活动及其他日常业务的正常运转。计划完成每学年以1100元每生每学年的标准使用公用经费,总计在园幼儿人数304人。通过开展各类教育教学活动，促进幼儿园各项活动有序开展，实现幼儿园年初制定的各项工作目标，进一步提高幼儿园教育教学水平。</w:t>
      </w:r>
    </w:p>
    <w:p w14:paraId="2A118016">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03D38380">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根据《预算法》《财政支出绩效评价管理暂行办法》（财预〔2020〕10号）等文件的规定，结合项目实施单位的规章制度以及财务相关资料，评价小组对项目绩效目标进行了进一步的完善，完善后绩效目标如下：</w:t>
      </w:r>
    </w:p>
    <w:p w14:paraId="1870088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（1）项目产出目标</w:t>
      </w:r>
    </w:p>
    <w:p w14:paraId="7CCB08CB">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①数量指标</w:t>
      </w:r>
    </w:p>
    <w:p w14:paraId="7293220A">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“在校学生人数”指标，预期目标值为=304人；</w:t>
      </w:r>
    </w:p>
    <w:p w14:paraId="28787F0C">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②质量指标</w:t>
      </w:r>
    </w:p>
    <w:p w14:paraId="4251BCE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“公用经费享受比例”指标，预期目标值为=100%；</w:t>
      </w:r>
    </w:p>
    <w:p w14:paraId="7089A381">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“教师培训结业率”指标，预期目标值为=100%；</w:t>
      </w:r>
    </w:p>
    <w:p w14:paraId="70BF9869">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③时效指标</w:t>
      </w:r>
    </w:p>
    <w:p w14:paraId="79557D9D">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“公用经费支出及时率”指标，预期目标值为=100%；</w:t>
      </w:r>
    </w:p>
    <w:p w14:paraId="37F8BB9F">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（2）成本指标</w:t>
      </w:r>
    </w:p>
    <w:p w14:paraId="4CC5705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“公用经费标准”指标，预期目标值为=1100元/人/年；</w:t>
      </w:r>
    </w:p>
    <w:p w14:paraId="7AAD9E79">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（3）项目效益目标</w:t>
      </w:r>
    </w:p>
    <w:p w14:paraId="65FA1940">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①社会效益指标</w:t>
      </w:r>
    </w:p>
    <w:p w14:paraId="58D2DD49">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“幼儿园正常运转率”指标，预期目标值为=100%；</w:t>
      </w:r>
    </w:p>
    <w:p w14:paraId="7AAE995E">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②社会效益指标</w:t>
      </w:r>
    </w:p>
    <w:p w14:paraId="6FB9A102">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“改善教学环境，提供良好的学生成长条件”指标，预期目标值为改善；</w:t>
      </w:r>
    </w:p>
    <w:p w14:paraId="2D00ACFF">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③满意度指标</w:t>
      </w:r>
    </w:p>
    <w:p w14:paraId="54C64095">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“师生满意度”指标，预期目标值为≥90%；</w:t>
      </w:r>
    </w:p>
    <w:p w14:paraId="1AC739A8">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pPr>
      <w:bookmarkStart w:id="47" w:name="_Toc26567"/>
      <w:r>
        <w:rPr>
          <w:rFonts w:hint="default" w:ascii="Times New Roman" w:hAnsi="Times New Roman" w:eastAsia="宋体" w:cs="Times New Roman"/>
          <w:b/>
          <w:bCs/>
          <w:color w:val="000000" w:themeColor="text1"/>
          <w:highlight w:val="none"/>
          <w:shd w:val="clear" w:color="auto" w:fill="auto"/>
          <w14:textFill>
            <w14:solidFill>
              <w14:schemeClr w14:val="tx1"/>
            </w14:solidFill>
          </w14:textFill>
        </w:rPr>
        <w:t>二、绩效评价工作开展情况</w:t>
      </w:r>
      <w:bookmarkEnd w:id="47"/>
    </w:p>
    <w:p w14:paraId="2247949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48" w:name="_Toc480473081"/>
      <w:bookmarkStart w:id="49" w:name="_Toc22169_WPSOffice_Level2"/>
      <w:bookmarkStart w:id="50" w:name="_Toc26632"/>
      <w:bookmarkStart w:id="51" w:name="_Toc5258"/>
      <w:bookmarkStart w:id="52" w:name="_Toc21664"/>
      <w:bookmarkStart w:id="53" w:name="_Toc22922"/>
      <w:bookmarkStart w:id="54" w:name="_Toc5462343"/>
      <w:bookmarkStart w:id="55" w:name="_Toc12868"/>
      <w:bookmarkStart w:id="56" w:name="_Toc22839"/>
      <w:r>
        <w:rPr>
          <w:rFonts w:hint="default"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default" w:ascii="Times New Roman" w:hAnsi="Times New Roman" w:eastAsia="楷体_GB2312" w:cs="Times New Roman"/>
          <w:kern w:val="28"/>
          <w:sz w:val="32"/>
          <w:lang w:val="en-US" w:eastAsia="zh-CN"/>
        </w:rPr>
        <w:t>、对象和范围</w:t>
      </w:r>
      <w:bookmarkEnd w:id="56"/>
    </w:p>
    <w:p w14:paraId="249EC28A">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54F2D87">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58" w:name="_Toc417"/>
      <w:bookmarkStart w:id="59" w:name="_Toc21770"/>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68C7C2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35E1C30D">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D081026">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0D22422">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10BA605">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FFAF2F8">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60" w:name="_Toc30609"/>
      <w:bookmarkStart w:id="61" w:name="_Toc31970"/>
      <w:bookmarkStart w:id="62" w:name="_Toc16346"/>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187F1B67">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（1）评估项目实施效果</w:t>
      </w:r>
    </w:p>
    <w:p w14:paraId="5C530A95">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通过对项目预算执行情况及各项绩效目标达成程度的系统性分析，全面、客观地评估项目在预定周期内的实施效果，包括社会效益维度指标，为项目后续的改进与优化提供科学依据。</w:t>
      </w:r>
    </w:p>
    <w:p w14:paraId="377EC4BD">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（2）提升资源利用效率</w:t>
      </w:r>
    </w:p>
    <w:p w14:paraId="12D0DAC3">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DBBBC02">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（3）强化项目管理责任</w:t>
      </w:r>
    </w:p>
    <w:p w14:paraId="7659C4ED">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547A7ED">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（4）为决策提供支持</w:t>
      </w:r>
    </w:p>
    <w:p w14:paraId="6AB82CBE">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C09EA73">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（5）促进项目持续改进</w:t>
      </w:r>
    </w:p>
    <w:p w14:paraId="4FB84088">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9D79EEB">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14:paraId="398F9190">
      <w:pPr>
        <w:pStyle w:val="5"/>
        <w:pageBreakBefore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4539A678">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63" w:name="_Toc21311"/>
      <w:bookmarkStart w:id="64" w:name="_Toc11666"/>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此次我单位根据《财政支出绩效评价管理暂行办法》（财预〔2020〕10号）文件要求对2024年度我单位实施的2024年学前教育生均经费项目及其预算执行情况开展部门绩效评价。</w:t>
      </w:r>
    </w:p>
    <w:p w14:paraId="4627C51B">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该项目由阜康市第五幼儿园负责实施，旨在提高幼儿园正常运转率，改善教学环境，提供良好的学生成长条件，保障幼儿园各项工作平稳进行。项目预算涵盖从2024年3月1日至2024年12月31日的全部资金投入与支出，涉及资金总额为62.06万元。</w:t>
      </w:r>
    </w:p>
    <w:p w14:paraId="10891179">
      <w:pPr>
        <w:pStyle w:val="5"/>
        <w:pageBreakBefore w:val="0"/>
        <w:kinsoku/>
        <w:wordWrap/>
        <w:overflowPunct/>
        <w:topLinePunct w:val="0"/>
        <w:autoSpaceDE/>
        <w:autoSpaceDN/>
        <w:bidi w:val="0"/>
        <w:adjustRightInd/>
        <w:spacing w:line="560" w:lineRule="exact"/>
        <w:textAlignment w:val="auto"/>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28945EAA">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65" w:name="_Toc1286"/>
      <w:bookmarkStart w:id="66" w:name="_Toc29785"/>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本项目预算绩效评价报告的评价范围广泛而全面，涵盖了从项目立项至评价时点期间的所有关键预算活动和财务流程。具体而言，评价范围包括但不限于以下几个方面：</w:t>
      </w:r>
    </w:p>
    <w:p w14:paraId="1684F1A1">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（1)项目预算编制与执行：全面审视项目预算的编制依据、合理性、科学性以及实际执行情况，包括预算调整的原因和效果。</w:t>
      </w:r>
    </w:p>
    <w:p w14:paraId="49920364">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(2)资金管理：深入分析项目资金的分配、使用和监管情况，确保资金使用的合规性、高效性和透明度。</w:t>
      </w:r>
    </w:p>
    <w:p w14:paraId="1DC9D79B">
      <w:pPr>
        <w:pStyle w:val="6"/>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(3)项目实施进度与产出：评估项目是否按照既定计划顺利推进，各项任务是否按时完成，以及项目产出的数量、质量和时效性是否符合预期。</w:t>
      </w:r>
    </w:p>
    <w:p w14:paraId="2D217ABA">
      <w:pPr>
        <w:pStyle w:val="6"/>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(4)社会影响：考察项目对社会方面的综合影响。</w:t>
      </w:r>
    </w:p>
    <w:p w14:paraId="73D640F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default" w:ascii="Times New Roman" w:hAnsi="Times New Roman" w:eastAsia="楷体_GB2312" w:cs="Times New Roman"/>
          <w:kern w:val="28"/>
          <w:sz w:val="32"/>
          <w:lang w:val="en-US" w:eastAsia="zh-CN"/>
        </w:rPr>
        <w:t>（二）绩效评价原则、评价指标体系（详情见附件二）、评价方法、评价标准</w:t>
      </w:r>
      <w:bookmarkEnd w:id="65"/>
      <w:bookmarkEnd w:id="66"/>
    </w:p>
    <w:p w14:paraId="1EDFFC49">
      <w:pPr>
        <w:pStyle w:val="5"/>
        <w:pageBreakBefore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color w:val="000000"/>
          <w:kern w:val="2"/>
          <w:sz w:val="32"/>
          <w:szCs w:val="32"/>
          <w:lang w:val="en-US" w:eastAsia="zh-CN" w:bidi="ar-SA"/>
        </w:rPr>
      </w:pPr>
      <w:bookmarkStart w:id="67" w:name="_Toc13694"/>
      <w:bookmarkStart w:id="68" w:name="_Toc24506"/>
      <w:bookmarkStart w:id="69" w:name="_Toc5354"/>
      <w:r>
        <w:rPr>
          <w:rFonts w:hint="default"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35CC39A0">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70" w:name="_Toc428278230"/>
      <w:bookmarkStart w:id="71" w:name="_Toc419984722"/>
      <w:bookmarkStart w:id="72" w:name="_Toc26131"/>
      <w:bookmarkStart w:id="73" w:name="_Toc1913"/>
      <w:bookmarkStart w:id="74" w:name="_Toc24396"/>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依据《财政支出绩效评价管理暂行办法》（财预〔2020〕10号）本次绩效评价秉承科学规范、公正公开、分级分类、绩效相关等原则，按照从投入、过程到产出效果和影响的绩效逻辑路径，结合2024年学前教育生均经费项目实际开展情况，运用定量和定性分析相结合的方法，总结经验做法，反思项目实施和管理中的问题，以切实提升财政资金管理的科学化、规范化和精细化水平。</w:t>
      </w:r>
    </w:p>
    <w:p w14:paraId="46EB3BC2">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根据以上原则，绩效评价应遵循如下要求：</w:t>
      </w:r>
    </w:p>
    <w:p w14:paraId="7CD2468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（1）科学公正。绩效评价应当运用科学合理的方法，按照规范的程序，对项目绩效进行客观、公正的反映。</w:t>
      </w:r>
    </w:p>
    <w:p w14:paraId="7137988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（2）统筹兼顾。单位自评、部门评价和财政评价应职责明确，各有侧重，相互衔接。单位自评应由项目单位自主实施，即“谁支出、谁自评”。</w:t>
      </w:r>
    </w:p>
    <w:p w14:paraId="3EE85511">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（3）激励约束。绩效评价结果应与预算安排、政策调整、改进管理实质性挂钩，体现奖优罚劣和激励相容导向，有效要安排、低效要压减、无效要问责。</w:t>
      </w:r>
    </w:p>
    <w:p w14:paraId="16822D98">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（4）公开透明。绩效评价结果应依法依规公开，并自觉接受社会监督。</w:t>
      </w:r>
    </w:p>
    <w:p w14:paraId="3793BBA2">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000000"/>
          <w:sz w:val="32"/>
          <w:szCs w:val="32"/>
          <w:lang w:eastAsia="zh-CN"/>
        </w:rPr>
      </w:pPr>
      <w:r>
        <w:rPr>
          <w:rFonts w:hint="default" w:ascii="Times New Roman" w:hAnsi="Times New Roman" w:eastAsia="仿宋_GB2312" w:cs="Times New Roman"/>
          <w:b/>
          <w:bCs/>
          <w:color w:val="000000"/>
          <w:sz w:val="32"/>
          <w:szCs w:val="32"/>
          <w:lang w:val="en-US" w:eastAsia="zh-CN"/>
        </w:rPr>
        <w:t>2.</w:t>
      </w:r>
      <w:r>
        <w:rPr>
          <w:rFonts w:hint="default" w:ascii="Times New Roman" w:hAnsi="Times New Roman" w:eastAsia="仿宋_GB2312" w:cs="Times New Roman"/>
          <w:b/>
          <w:bCs/>
          <w:color w:val="000000"/>
          <w:sz w:val="32"/>
          <w:szCs w:val="32"/>
          <w:lang w:eastAsia="zh-CN"/>
        </w:rPr>
        <w:t>绩效评价指标体系</w:t>
      </w:r>
      <w:bookmarkEnd w:id="70"/>
      <w:bookmarkEnd w:id="71"/>
      <w:bookmarkEnd w:id="72"/>
      <w:bookmarkEnd w:id="73"/>
      <w:bookmarkEnd w:id="74"/>
    </w:p>
    <w:p w14:paraId="6CC50283">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75" w:name="_Toc994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绩效评价框架是开展绩效评价的核心。绩效评价框架包括评价准则、关键评价问题、评价指标、数据来源、数据收集方法等。指标体系建立过程如下：</w:t>
      </w:r>
    </w:p>
    <w:p w14:paraId="28A72436">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（1）确定评价指标</w:t>
      </w:r>
    </w:p>
    <w:p w14:paraId="317D1E3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529742E0">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（2）确定权重</w:t>
      </w:r>
    </w:p>
    <w:p w14:paraId="51A7BCF8">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确定各个指标相对于项目总体绩效的权重分值。在绩效评价指标体系中，项目决策权重为20分，项目过程权重为20分，项目产出权重为40分，项目效益权重为20分。</w:t>
      </w:r>
    </w:p>
    <w:p w14:paraId="6A127FD3">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（3）确定指标标准值</w:t>
      </w:r>
    </w:p>
    <w:p w14:paraId="4DA85D4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指标标准值是绩效评价指标的尺度，既要反映同类项目的先进水平，又要符合项目的实际绩效水平。具体采用计划标准等确定此次绩效评价指标标准值。</w:t>
      </w:r>
    </w:p>
    <w:p w14:paraId="7139758D">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绩效评价总分值100分，根据综合评分结果，90（含）-100分为优、80（含）-90分为良、60（含）-80分为中、60分以下为差。</w:t>
      </w:r>
    </w:p>
    <w:p w14:paraId="0F909A3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我单位</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根据项目的</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实施</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资料研读及前期调研，结合项目的实际开展情况，最终形成了项目绩效评价指标体系</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详见上传的附件二。</w:t>
      </w:r>
    </w:p>
    <w:p w14:paraId="2C568BC5">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评价</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6BB1C3EE">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78" w:name="_Toc25391"/>
      <w:bookmarkStart w:id="79" w:name="_Toc25651"/>
      <w:bookmarkStart w:id="80" w:name="_Toc608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绩效评价从项目决策、项目过程、项目产出、项目效益四个维度进行评价。评价对象为项目目标实施情况，评价核心为资金的支出完成情况和项目的产出效益。</w:t>
      </w:r>
    </w:p>
    <w:p w14:paraId="17A65062">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本次评价指标中，既有定性指标又有定量指标，各类指标因考核内容不同和客观标准不同存在较大差异，因此核定具体指标时采用了不同方法，具体评价方法如下：</w:t>
      </w:r>
    </w:p>
    <w:p w14:paraId="29AA7F53">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（1）成本效益分析法。是指将投入与产出、效益进行关联性分析的方法。原因：为了提升经费使用的科学性和合理性，确保资源发挥最大效用。</w:t>
      </w:r>
    </w:p>
    <w:p w14:paraId="5339349E">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（2）比较法。是指将实施情况与绩效目标、历史情况、不同部门和地区同类支出情况进行比较的方法。原因：为了通过多维度的对照分析，更全面、客观评估幼儿园的成效和发展水平。</w:t>
      </w:r>
    </w:p>
    <w:p w14:paraId="2CF4D03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（3）因素分析法。是指综合分析影响绩效目标实现、实施效果的内外部因素的方法。原因：为了系统识别影响办园质量的关键变量，厘清各要素间的相互作用关系，从而为精确改进提供科学依据。</w:t>
      </w:r>
    </w:p>
    <w:p w14:paraId="11D1C3F9">
      <w:pPr>
        <w:pStyle w:val="5"/>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11517A6A">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1" w:name="_Toc21435"/>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绩效评价标准通常包括计划标准、行业标准、历史标准等，用于对绩效指标完成情况进行比较、分析、评价。本次评价主要采用了计划标准、历史标准。</w:t>
      </w:r>
    </w:p>
    <w:p w14:paraId="7BE056DF">
      <w:pPr>
        <w:spacing w:line="560" w:lineRule="exact"/>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(1)计划标准。指以预先制定的目标、计划、预算、定额等作为评价标准。</w:t>
      </w:r>
    </w:p>
    <w:p w14:paraId="56C53BF3">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（2）历史标准。指参照历史数据制定的评价标准，为体现绩效改进的原则，在可实现的条件下应当确定相对较高的评价标准。</w:t>
      </w:r>
    </w:p>
    <w:p w14:paraId="3BE0243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default" w:ascii="Times New Roman" w:hAnsi="Times New Roman" w:eastAsia="楷体_GB2312" w:cs="Times New Roman"/>
          <w:kern w:val="28"/>
          <w:sz w:val="32"/>
          <w:lang w:val="en-US" w:eastAsia="zh-CN"/>
        </w:rPr>
        <w:t>（三）绩效评价工作过程</w:t>
      </w:r>
      <w:bookmarkEnd w:id="81"/>
    </w:p>
    <w:p w14:paraId="402C7F58">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82" w:name="_Toc12862"/>
      <w:r>
        <w:rPr>
          <w:rFonts w:hint="default" w:ascii="Times New Roman" w:hAnsi="Times New Roman" w:eastAsia="仿宋_GB2312" w:cs="Times New Roman"/>
          <w:b/>
          <w:bCs/>
          <w:color w:val="000000"/>
          <w:spacing w:val="17"/>
          <w:sz w:val="32"/>
          <w:szCs w:val="32"/>
          <w:highlight w:val="none"/>
          <w:lang w:val="en-US" w:eastAsia="zh-CN"/>
        </w:rPr>
        <w:t>1.前期准备</w:t>
      </w:r>
      <w:bookmarkEnd w:id="82"/>
    </w:p>
    <w:p w14:paraId="4EB6B244">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（1）成立绩效评价项目小组</w:t>
      </w:r>
    </w:p>
    <w:p w14:paraId="4506CAB0">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为确保该项目绩效评价的顺利实施，评价机构组建了绩效评价项目小组。项目小组负责建立联络制度、明确评价责任人、制定评价方案、实施具体评价等工作。</w:t>
      </w:r>
    </w:p>
    <w:p w14:paraId="1C1FAE3E">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3" w:name="_Toc3157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（2）开展前期调研</w:t>
      </w:r>
      <w:bookmarkEnd w:id="83"/>
    </w:p>
    <w:p w14:paraId="0E04BF9F">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4" w:name="_Toc21240"/>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项目小组依据此次绩效评价受委托内容，对拟评价的项目实施前期调研。通过调研对2024年学前教育生均经费项目实施内容、目标信息、预算信息以及其他的一些项目基本信息，有了初步了解，为制定绩效评价工作方案做好准备。</w:t>
      </w:r>
      <w:bookmarkEnd w:id="84"/>
    </w:p>
    <w:p w14:paraId="4EDED175">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5" w:name="_Toc27977"/>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（3）制订绩效评价工作方案</w:t>
      </w:r>
      <w:bookmarkEnd w:id="85"/>
    </w:p>
    <w:p w14:paraId="485EF90E">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6" w:name="_Toc19659"/>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绩效评价项目小组根据有关规定和评价对象的特点以及前期调研收集的一些信息，拟定详细的绩效评价工作方案。</w:t>
      </w:r>
      <w:bookmarkEnd w:id="86"/>
    </w:p>
    <w:p w14:paraId="1E31D364">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87" w:name="_Toc11353"/>
      <w:r>
        <w:rPr>
          <w:rFonts w:hint="default" w:ascii="Times New Roman" w:hAnsi="Times New Roman" w:eastAsia="仿宋_GB2312" w:cs="Times New Roman"/>
          <w:b/>
          <w:bCs/>
          <w:color w:val="000000"/>
          <w:spacing w:val="17"/>
          <w:sz w:val="32"/>
          <w:szCs w:val="32"/>
          <w:highlight w:val="none"/>
          <w:lang w:val="en-US" w:eastAsia="zh-CN"/>
        </w:rPr>
        <w:t>2.具体实施</w:t>
      </w:r>
      <w:bookmarkEnd w:id="87"/>
    </w:p>
    <w:p w14:paraId="37A48F82">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8" w:name="_Toc1411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（1）收集基础资料</w:t>
      </w:r>
      <w:bookmarkEnd w:id="88"/>
    </w:p>
    <w:p w14:paraId="1106160D">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89" w:name="_Toc28524"/>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根据评价工作的需要和要求，在前期调研的基础上，通过多种渠道全面收集项目基础信息资料，主要包括：</w:t>
      </w:r>
      <w:bookmarkEnd w:id="89"/>
    </w:p>
    <w:p w14:paraId="58670E91">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0" w:name="_Toc32216"/>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①被评价单位基本概况，如单位职能、事业发展规划、预决算情况、项目立项依据等；</w:t>
      </w:r>
      <w:bookmarkEnd w:id="90"/>
    </w:p>
    <w:p w14:paraId="6BB361F5">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1" w:name="_Toc10505"/>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②绩效目标及其设立依据和调整情况；</w:t>
      </w:r>
      <w:bookmarkEnd w:id="91"/>
    </w:p>
    <w:p w14:paraId="403C6A3E">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2" w:name="_Toc28365"/>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③管理措施及组织实施情况；</w:t>
      </w:r>
      <w:bookmarkEnd w:id="92"/>
    </w:p>
    <w:p w14:paraId="2C42F602">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3" w:name="_Toc1009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④被评价单位总结分析的绩效目标完成情况及绩效报告；</w:t>
      </w:r>
      <w:bookmarkEnd w:id="93"/>
    </w:p>
    <w:p w14:paraId="39FD662A">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4" w:name="_Toc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⑤与绩效评价相关的计划标准、行业标准、历史标准等；</w:t>
      </w:r>
      <w:bookmarkEnd w:id="94"/>
    </w:p>
    <w:p w14:paraId="7008E5D1">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5" w:name="_Toc20059"/>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⑥其他必要的相关资料等。</w:t>
      </w:r>
      <w:bookmarkEnd w:id="95"/>
    </w:p>
    <w:p w14:paraId="6A336457">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6" w:name="_Toc3191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（2）整理、研读基础资料</w:t>
      </w:r>
      <w:bookmarkEnd w:id="96"/>
    </w:p>
    <w:p w14:paraId="5ADCD783">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97" w:name="_Toc167"/>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24D0F03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default" w:ascii="Times New Roman" w:hAnsi="Times New Roman" w:eastAsia="仿宋_GB2312" w:cs="Times New Roman"/>
          <w:b/>
          <w:bCs/>
          <w:color w:val="000000"/>
          <w:spacing w:val="17"/>
          <w:sz w:val="32"/>
          <w:szCs w:val="32"/>
          <w:highlight w:val="none"/>
          <w:lang w:val="en-US" w:eastAsia="zh-CN"/>
        </w:rPr>
        <w:t>3.分析评价和撰写报告</w:t>
      </w:r>
      <w:bookmarkEnd w:id="98"/>
    </w:p>
    <w:p w14:paraId="47575F12">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99" w:name="_Toc15974"/>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（1）综合分析评价</w:t>
      </w:r>
      <w:bookmarkEnd w:id="99"/>
    </w:p>
    <w:p w14:paraId="5297BAD5">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00" w:name="_Toc4352"/>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①根据所收集的基础资料，结合现场核查的有关情况，整理出绩效评价所需的项目材料和基础数据。</w:t>
      </w:r>
      <w:bookmarkEnd w:id="100"/>
    </w:p>
    <w:p w14:paraId="450604B7">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01" w:name="_Toc2623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②将初步评价结论、调整事项、专家咨询意见和有关说明等提交单位内部讨论并征求意见。之后，对所征求的意见及时地进行收集和整理。</w:t>
      </w:r>
      <w:bookmarkEnd w:id="101"/>
    </w:p>
    <w:p w14:paraId="71158DD3">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02" w:name="_Toc27759"/>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（2）撰写报告</w:t>
      </w:r>
      <w:bookmarkEnd w:id="102"/>
    </w:p>
    <w:p w14:paraId="490AD901">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03" w:name="_Toc15579"/>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绩效评价项目小组依照整理、分析后的项目材料、数据资料，依据评价形成的初步结论，按照既定的格式和内容要求撰写绩效评价初步报告，最终形成评价结果。</w:t>
      </w:r>
      <w:bookmarkEnd w:id="103"/>
    </w:p>
    <w:p w14:paraId="6B2EF485">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pPr>
      <w:bookmarkStart w:id="104" w:name="_Toc19261"/>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三、</w:t>
      </w:r>
      <w:r>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t>综合评价情况及评价结论</w:t>
      </w:r>
      <w:bookmarkEnd w:id="104"/>
    </w:p>
    <w:p w14:paraId="068FF51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05" w:name="_Toc23319"/>
      <w:r>
        <w:rPr>
          <w:rFonts w:hint="default" w:ascii="Times New Roman" w:hAnsi="Times New Roman" w:eastAsia="楷体_GB2312" w:cs="Times New Roman"/>
          <w:kern w:val="28"/>
          <w:sz w:val="32"/>
          <w:lang w:val="en-US" w:eastAsia="zh-CN"/>
        </w:rPr>
        <w:t>（一）综合评价情况及评价结论</w:t>
      </w:r>
      <w:bookmarkEnd w:id="105"/>
    </w:p>
    <w:p w14:paraId="50DBDA19">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本项目的综合评价基于对项目各方面绩效的深入分析与评估。从项目目标的达成情况来看，2024年学前教育生均经费项目在项目产出方面完成较好，达到了预期的标准与要求。</w:t>
      </w:r>
    </w:p>
    <w:p w14:paraId="3325017C">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在项目管理方面，阜康市第五幼儿园通过有效的规划、组织与协调，项目得以顺利实施，并在预算与时间上保持了良好的控制。</w:t>
      </w:r>
    </w:p>
    <w:p w14:paraId="7CA87A1B">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06" w:name="_Toc11863"/>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从项目效益的角度来看，本项目不仅实现了预期的社会效益方面产生了积极的影响。具体而言，幼儿园正常运转率、改善教学环境，提供良好的学生成长条件等方面的提升，为项目的利益相关者带来了实实在在的利益。</w:t>
      </w:r>
    </w:p>
    <w:p w14:paraId="27CDE36E">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综上所述，2024年学前教育生均经费项目在绩效评价中表现出色，达到了项目的预期目标，并在多个方面取得了显著的成效，评价等级为优。</w:t>
      </w:r>
    </w:p>
    <w:p w14:paraId="29BC999C">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560" w:lineRule="exact"/>
        <w:ind w:left="0" w:leftChars="0" w:firstLine="643" w:firstLineChars="200"/>
        <w:jc w:val="both"/>
        <w:textAlignment w:val="auto"/>
        <w:rPr>
          <w:rFonts w:hint="default" w:ascii="Times New Roman" w:hAnsi="Times New Roman" w:eastAsia="楷体_GB2312" w:cs="Times New Roman"/>
          <w:kern w:val="28"/>
          <w:sz w:val="32"/>
          <w:lang w:val="en-US" w:eastAsia="zh-CN"/>
        </w:rPr>
      </w:pPr>
      <w:r>
        <w:rPr>
          <w:rFonts w:hint="default" w:ascii="Times New Roman" w:hAnsi="Times New Roman" w:eastAsia="楷体_GB2312" w:cs="Times New Roman"/>
          <w:kern w:val="28"/>
          <w:sz w:val="32"/>
          <w:lang w:val="en-US" w:eastAsia="zh-CN"/>
        </w:rPr>
        <w:t>相关评分表</w:t>
      </w:r>
      <w:bookmarkEnd w:id="106"/>
    </w:p>
    <w:p w14:paraId="14738795">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此次绩效评价</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通过组论证的评价指标体系及评分标准，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采用的方法成本效益分析法、因素分析法、比较法，</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对</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2024年学前教育生均经费项目</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绩效进行客观评价，最终评分结果：</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总得分为</w:t>
      </w:r>
      <w:r>
        <w:rPr>
          <w:rFonts w:hint="eastAsia" w:ascii="Times New Roman" w:hAnsi="Times New Roman" w:eastAsia="仿宋_GB2312" w:cs="Times New Roman"/>
          <w:b w:val="0"/>
          <w:bCs w:val="0"/>
          <w:color w:val="auto"/>
          <w:kern w:val="2"/>
          <w:sz w:val="32"/>
          <w:szCs w:val="32"/>
          <w:highlight w:val="none"/>
          <w:shd w:val="clear" w:color="auto" w:fill="auto"/>
          <w:lang w:val="en-US" w:eastAsia="zh-CN" w:bidi="ar-SA"/>
        </w:rPr>
        <w:t>100</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分，属于“优”。其中，项目决策类指标权重为20分，得分为19.2分，得分率为96%。项目过程类指标权重为20分，得分为20分，得分率为100%。项目产出类指标权重为40分，得分为40分，得分率为100%。项目效益类指标权重为20分，得分为20分，得分率为100%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各部分权重和绩效</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汇总</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分值如下表</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3-1</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所示</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详见上传的附件</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5A64597F">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30AE9B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4"/>
                <w:szCs w:val="24"/>
                <w:highlight w:val="none"/>
                <w:shd w:val="clear" w:color="auto" w:fill="auto"/>
                <w14:textFill>
                  <w14:solidFill>
                    <w14:schemeClr w14:val="tx1"/>
                  </w14:solidFill>
                </w14:textFill>
              </w:rPr>
            </w:pP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表3-1</w:t>
            </w:r>
            <w:r>
              <w:rPr>
                <w:rFonts w:hint="default" w:ascii="Times New Roman" w:hAnsi="Times New Roman" w:eastAsia="宋体" w:cs="Times New Roman"/>
                <w:b/>
                <w:bCs/>
                <w:color w:val="auto"/>
                <w:kern w:val="0"/>
                <w:sz w:val="28"/>
                <w:szCs w:val="28"/>
                <w:highlight w:val="none"/>
                <w:shd w:val="clear" w:color="auto" w:fill="auto"/>
                <w:lang w:val="en-US" w:eastAsia="zh-CN"/>
              </w:rPr>
              <w:t>：2024年学前教育生均经费项目得分</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表</w:t>
            </w:r>
          </w:p>
        </w:tc>
      </w:tr>
      <w:tr w14:paraId="24033D7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A73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C3A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B5E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78C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705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79E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616EC93F">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D75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F3B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6EF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30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cs="Times New Roman"/>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056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cs="Times New Roman"/>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110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shd w:val="clear" w:color="auto" w:fill="auto"/>
                <w:lang w:val="en-US" w:eastAsia="zh-CN"/>
                <w14:textFill>
                  <w14:solidFill>
                    <w14:schemeClr w14:val="tx1"/>
                  </w14:solidFill>
                </w14:textFill>
              </w:rPr>
              <w:t>100</w:t>
            </w:r>
          </w:p>
        </w:tc>
      </w:tr>
      <w:tr w14:paraId="2DF47AB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A8E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FA8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9D5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7FA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FF0000"/>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515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FF0000"/>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8C1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FF0000"/>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99.2</w:t>
            </w:r>
          </w:p>
        </w:tc>
      </w:tr>
      <w:tr w14:paraId="62CEF9A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EF0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418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96</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0B5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CA4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FF0000"/>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2D7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FF0000"/>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13E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FF0000"/>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99.2</w:t>
            </w:r>
            <w:r>
              <w:rPr>
                <w:rFonts w:hint="default" w:ascii="Times New Roman" w:hAnsi="Times New Roman" w:eastAsia="宋体" w:cs="Times New Roman"/>
                <w:color w:val="auto"/>
                <w:kern w:val="0"/>
                <w:sz w:val="21"/>
                <w:szCs w:val="21"/>
                <w:highlight w:val="none"/>
                <w:shd w:val="clear" w:color="auto" w:fill="auto"/>
                <w:lang w:val="en-US" w:eastAsia="zh-CN"/>
              </w:rPr>
              <w:t>%</w:t>
            </w:r>
          </w:p>
        </w:tc>
      </w:tr>
    </w:tbl>
    <w:p w14:paraId="26BFD426">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7EF6ECA2">
      <w:pPr>
        <w:pStyle w:val="14"/>
        <w:widowControl/>
        <w:spacing w:before="0" w:beforeLines="-2147483648" w:after="0" w:afterLines="-2147483648" w:line="560" w:lineRule="exact"/>
        <w:ind w:firstLine="643" w:firstLineChars="200"/>
        <w:jc w:val="both"/>
        <w:rPr>
          <w:rFonts w:hint="default" w:ascii="Times New Roman" w:hAnsi="Times New Roman" w:eastAsia="楷体_GB2312" w:cs="Times New Roman"/>
          <w:kern w:val="28"/>
          <w:sz w:val="32"/>
        </w:rPr>
      </w:pPr>
      <w:bookmarkStart w:id="108" w:name="_Toc6759"/>
      <w:r>
        <w:rPr>
          <w:rFonts w:hint="default" w:ascii="Times New Roman" w:hAnsi="Times New Roman" w:eastAsia="楷体_GB2312" w:cs="Times New Roman"/>
          <w:kern w:val="28"/>
          <w:sz w:val="32"/>
        </w:rPr>
        <w:t>（一）项目决策情况</w:t>
      </w:r>
      <w:bookmarkEnd w:id="108"/>
    </w:p>
    <w:p w14:paraId="6108147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项目决策由3个二级指标和6个三级指标构成，权重分20分，实际得分19.2分，</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各指标业绩值和绩效分值如表</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4-1</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所示</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b/>
          <w:bCs/>
          <w:color w:val="auto"/>
          <w:sz w:val="32"/>
          <w:szCs w:val="32"/>
          <w:highlight w:val="none"/>
          <w:shd w:val="clear" w:color="auto" w:fill="auto"/>
          <w:lang w:val="en-US" w:eastAsia="zh-CN"/>
        </w:rPr>
        <w:t>详见上传的附件二</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color w:val="auto"/>
          <w:sz w:val="32"/>
          <w:szCs w:val="32"/>
          <w:highlight w:val="none"/>
          <w:shd w:val="clear" w:color="auto" w:fill="auto"/>
          <w:lang w:val="en-US" w:eastAsia="zh-CN"/>
        </w:rPr>
        <w:t>：</w:t>
      </w:r>
    </w:p>
    <w:p w14:paraId="280C1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b/>
          <w:bCs/>
          <w:color w:val="000000" w:themeColor="text1"/>
          <w:kern w:val="0"/>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shd w:val="clear" w:color="auto" w:fill="auto"/>
          <w:lang w:val="zh-TW" w:eastAsia="zh-TW"/>
          <w14:textFill>
            <w14:solidFill>
              <w14:schemeClr w14:val="tx1"/>
            </w14:solidFill>
          </w14:textFill>
        </w:rPr>
        <w:t>表</w:t>
      </w:r>
      <w:r>
        <w:rPr>
          <w:rFonts w:hint="default" w:ascii="Times New Roman" w:hAnsi="Times New Roman" w:eastAsia="仿宋_GB2312" w:cs="Times New Roman"/>
          <w:b/>
          <w:bCs/>
          <w:color w:val="000000" w:themeColor="text1"/>
          <w:kern w:val="0"/>
          <w:sz w:val="32"/>
          <w:szCs w:val="32"/>
          <w:highlight w:val="none"/>
          <w:shd w:val="clear" w:color="auto" w:fill="auto"/>
          <w:lang w:val="en-US" w:eastAsia="zh-CN"/>
          <w14:textFill>
            <w14:solidFill>
              <w14:schemeClr w14:val="tx1"/>
            </w14:solidFill>
          </w14:textFill>
        </w:rPr>
        <w:t>4-1</w:t>
      </w:r>
      <w:r>
        <w:rPr>
          <w:rFonts w:hint="default" w:ascii="Times New Roman" w:hAnsi="Times New Roman" w:eastAsia="仿宋_GB2312" w:cs="Times New Roman"/>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0B1C9F8C">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C8C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D3B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B72C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5F53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5E1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FD3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EBE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FBF25B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4F759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DEFF6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2A838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4739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04C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473F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C3E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6F96F7F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58CD2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40BB4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21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D74F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A6EA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B11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6EC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2.2</w:t>
            </w:r>
          </w:p>
        </w:tc>
      </w:tr>
      <w:tr w14:paraId="6E7CEAA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3A0F2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79242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2AA4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6D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4F8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82E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ED0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44AE726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674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7A9FF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6E1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FFB6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34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E5D9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7CF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320793F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C4A90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F5107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434B1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1036B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F5FC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445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E61F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16A311D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7D3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A2F8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8973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8845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1C0E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271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AB6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3</w:t>
            </w:r>
          </w:p>
        </w:tc>
      </w:tr>
      <w:tr w14:paraId="5BB47B50">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BA5D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CF2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4E45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EC38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21E9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19.2</w:t>
            </w:r>
          </w:p>
        </w:tc>
      </w:tr>
    </w:tbl>
    <w:p w14:paraId="16B0BCD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09" w:name="_Toc15382"/>
      <w:bookmarkStart w:id="110" w:name="_Toc23542"/>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①项目立项符合新疆维吾尔自治区关于《自治区农村学前三年免费教育经费保障机制管理办法》的通知（新财教[ 2017]19号）文件；</w:t>
      </w:r>
    </w:p>
    <w:p w14:paraId="43400A5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②项目立项符合项目立项符合《阜康市教育扶贫惠民政策宣传手册》相关政策要求；</w:t>
      </w:r>
    </w:p>
    <w:p w14:paraId="39B29AF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③项目立项与宣传贯彻党和国家的教育方针、教育政策、教育法律法规、贯彻执行上级教育行政部门的各项规章制度的部门职责范围相符，属于部门履职所需；</w:t>
      </w:r>
    </w:p>
    <w:p w14:paraId="77015BC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④项目属于公共财政支持范围，符合中央、地方事权支出责任划分原则；</w:t>
      </w:r>
    </w:p>
    <w:p w14:paraId="2127815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⑤项目与相关部门同类项目、部门内部相关项目不重复。</w:t>
      </w:r>
    </w:p>
    <w:p w14:paraId="0B67156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lang w:val="en-US" w:eastAsia="zh-CN"/>
        </w:rPr>
        <w:t>综上，该项指标满分2分，得分2分。</w:t>
      </w:r>
    </w:p>
    <w:p w14:paraId="79A563F8">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11" w:name="_Toc21976"/>
      <w:bookmarkStart w:id="112" w:name="_Toc23240"/>
      <w:r>
        <w:rPr>
          <w:rFonts w:hint="default" w:ascii="Times New Roman" w:hAnsi="Times New Roman" w:eastAsia="仿宋_GB2312" w:cs="Times New Roman"/>
          <w:b/>
          <w:bCs/>
          <w:color w:val="auto"/>
          <w:sz w:val="32"/>
          <w:szCs w:val="32"/>
          <w:lang w:val="en-US" w:eastAsia="zh-CN"/>
        </w:rPr>
        <w:t>2.立项程序规范性</w:t>
      </w:r>
      <w:bookmarkEnd w:id="111"/>
      <w:bookmarkEnd w:id="112"/>
    </w:p>
    <w:p w14:paraId="1C6BCA2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①项目按照规定的程序申请设立；</w:t>
      </w:r>
    </w:p>
    <w:p w14:paraId="7DFE89B5">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②审批文件、材料符合相关要求；</w:t>
      </w:r>
    </w:p>
    <w:p w14:paraId="0192E14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③事前经过必要的集体决策。但未经过可行性研究、专家论证、风险评估、绩效评估扣0.8分</w:t>
      </w:r>
    </w:p>
    <w:p w14:paraId="0127FE7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综上，该项指标满分3分，得分2.2分。</w:t>
      </w:r>
    </w:p>
    <w:p w14:paraId="0F393515">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3.绩效目标合理性</w:t>
      </w:r>
      <w:bookmarkEnd w:id="109"/>
      <w:bookmarkEnd w:id="110"/>
    </w:p>
    <w:p w14:paraId="20CD0A08">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13" w:name="_Toc10650"/>
      <w:bookmarkStart w:id="114" w:name="_Toc18198"/>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①该项目已设置年度绩效目标。</w:t>
      </w:r>
    </w:p>
    <w:p w14:paraId="2F46145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该项目实际工作内容为：保障幼儿园正常运转，教学活动及其他日常业务的正常运转，完成每学年以1100元每生每学年的标准使用公用经费,总计在园幼儿人数304人。通过开展各类教育教学活动，促进幼儿园各项活动有序开展，实现幼儿园年初制定的各项工作目标，进一步提高幼儿园教育教学水平。绩效目标与实际工作内容一致，两者具有相关性。</w:t>
      </w:r>
    </w:p>
    <w:p w14:paraId="610302E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该项目按照绩效目标完成数量指标、质量指标、时效指标、成本指标，完成了完成涉及学生人数304人，公用经费享受比例达到100%，教师培训结业率达到100%，公用经费标准以1100元/人/年使用经费，达到幼儿园正常运转率提高、改善教学环境，提供良好的学生成长条件效益，预期产出效益和效果符合正常的业绩水平。</w:t>
      </w:r>
    </w:p>
    <w:p w14:paraId="594305CC">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④《项目支出绩效目标表》中预算金额为62.06万元，预算确定的项目资金与预算确定的项目投资额相匹配。</w:t>
      </w:r>
    </w:p>
    <w:p w14:paraId="7BE7514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综上，该项指标满分5分，得分5分。</w:t>
      </w:r>
    </w:p>
    <w:p w14:paraId="6265155E">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4.绩效指标明确性</w:t>
      </w:r>
      <w:bookmarkEnd w:id="113"/>
      <w:bookmarkEnd w:id="114"/>
    </w:p>
    <w:p w14:paraId="4EADF576">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15" w:name="_Toc8296"/>
      <w:bookmarkStart w:id="116" w:name="_Toc19401"/>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①将项目绩效目标细化分解为具体的绩效指标，其中三级指标共计8个；</w:t>
      </w:r>
    </w:p>
    <w:p w14:paraId="0EB0E70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②通过清晰、可衡量的指标值予以体现，量化率达到87.5%；</w:t>
      </w:r>
    </w:p>
    <w:p w14:paraId="28CAF55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③《项目绩效目标申报表》中，三级指标的年度指标值与年度绩效目标中任务数一致。</w:t>
      </w:r>
    </w:p>
    <w:p w14:paraId="7FE58733">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已设置的绩效目标具备明确性、可衡量性、可实现性、相关性、时限性。</w:t>
      </w:r>
    </w:p>
    <w:p w14:paraId="1A92CA0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综上，该项指标满分5分，得分5分。</w:t>
      </w:r>
    </w:p>
    <w:p w14:paraId="530AD82E">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5.预算编制科学性</w:t>
      </w:r>
      <w:bookmarkEnd w:id="115"/>
      <w:bookmarkEnd w:id="116"/>
    </w:p>
    <w:p w14:paraId="795A3FE0">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①根据项目预算批复，项目的预算编制经过科学论证；</w:t>
      </w:r>
    </w:p>
    <w:p w14:paraId="12EFDEE0">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②预算申请内容为提高幼儿园正常运转率，改善教学环境，提供良好的学生成长条件，保障幼儿园各项工作平稳进行，项目实际内容为改善教学环境，提供良好的学生成长条件，预算申请与项目内容匹配；</w:t>
      </w:r>
    </w:p>
    <w:p w14:paraId="0EBFFA20">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项目预算申请资金62.06万元，我单位在预算申请中严格按照项目实施内容及测算标准进行核算，其中：办公费用15.1万元、印刷费用3万元、维修费6.55万元、水费1.3万元、邮电费1.42万元、取暖费3.65万元、物业管理费0.3万元、培训费3.05万元、交通费0.25万元、助学金21.32万元、专用设备购置6.12万元。</w:t>
      </w:r>
    </w:p>
    <w:p w14:paraId="09F072A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④预算确定资金量与实际工作任务相匹配。项目预算额度测算依据充分，严格按照标准编制，项目资金量与项目实施内容相匹配。</w:t>
      </w:r>
    </w:p>
    <w:p w14:paraId="0CA28FC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color w:val="auto"/>
          <w:sz w:val="32"/>
          <w:szCs w:val="32"/>
          <w:lang w:val="en-US" w:eastAsia="zh-CN"/>
        </w:rPr>
        <w:t>综上，该项指标满分2分，得分2分。</w:t>
      </w:r>
    </w:p>
    <w:p w14:paraId="7B9EDE7E">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sz w:val="32"/>
          <w:szCs w:val="32"/>
          <w:lang w:val="en-US" w:eastAsia="zh-CN"/>
        </w:rPr>
      </w:pPr>
      <w:bookmarkStart w:id="117" w:name="_Toc697"/>
      <w:bookmarkStart w:id="118" w:name="_Toc20556"/>
      <w:r>
        <w:rPr>
          <w:rFonts w:hint="default" w:ascii="Times New Roman" w:hAnsi="Times New Roman" w:eastAsia="仿宋_GB2312" w:cs="Times New Roman"/>
          <w:b/>
          <w:bCs/>
          <w:sz w:val="32"/>
          <w:szCs w:val="32"/>
          <w:lang w:val="en-US" w:eastAsia="zh-CN"/>
        </w:rPr>
        <w:t>6.资金分配合理性</w:t>
      </w:r>
      <w:bookmarkEnd w:id="117"/>
      <w:bookmarkEnd w:id="118"/>
    </w:p>
    <w:p w14:paraId="03E6463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19" w:name="_Toc10564"/>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①项目实际分配资金以《财政支出预算管理办法》</w:t>
      </w:r>
      <w:r>
        <w:rPr>
          <w:rFonts w:hint="default" w:ascii="Times New Roman" w:hAnsi="Times New Roman" w:eastAsia="仿宋_GB2312" w:cs="Times New Roman"/>
          <w:b w:val="0"/>
          <w:bCs w:val="0"/>
          <w:color w:val="auto"/>
          <w:kern w:val="2"/>
          <w:sz w:val="32"/>
          <w:szCs w:val="32"/>
          <w:highlight w:val="none"/>
          <w:shd w:val="clear" w:color="auto" w:fill="auto"/>
          <w:lang w:val="en-US" w:eastAsia="zh-Hans" w:bidi="ar-SA"/>
        </w:rPr>
        <w:t>《202</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w:t>
      </w:r>
      <w:r>
        <w:rPr>
          <w:rFonts w:hint="default" w:ascii="Times New Roman" w:hAnsi="Times New Roman" w:eastAsia="仿宋_GB2312" w:cs="Times New Roman"/>
          <w:b w:val="0"/>
          <w:bCs w:val="0"/>
          <w:color w:val="auto"/>
          <w:kern w:val="2"/>
          <w:sz w:val="32"/>
          <w:szCs w:val="32"/>
          <w:highlight w:val="none"/>
          <w:shd w:val="clear" w:color="auto" w:fill="auto"/>
          <w:lang w:val="en-US" w:eastAsia="zh-Hans" w:bidi="ar-SA"/>
        </w:rPr>
        <w:t>年公用经费收支预算表》为依据进行资金分配，预算资金分配依据充分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w:t>
      </w:r>
    </w:p>
    <w:p w14:paraId="26A7E5C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②项目实际到位资金62.06万元，资金分配额度合理，与项目单位及项目实际实施情况相适应。</w:t>
      </w:r>
    </w:p>
    <w:p w14:paraId="76D7EC92">
      <w:pPr>
        <w:pageBreakBefore w:val="0"/>
        <w:kinsoku/>
        <w:wordWrap/>
        <w:overflowPunct/>
        <w:topLinePunct w:val="0"/>
        <w:autoSpaceDE/>
        <w:autoSpaceDN/>
        <w:bidi w:val="0"/>
        <w:spacing w:line="560" w:lineRule="exact"/>
        <w:textAlignment w:val="auto"/>
        <w:rPr>
          <w:rFonts w:hint="default" w:ascii="Times New Roman" w:hAnsi="Times New Roman" w:cs="Times New Roman"/>
          <w:color w:val="auto"/>
          <w:lang w:eastAsia="zh-CN"/>
        </w:rPr>
      </w:pPr>
      <w:r>
        <w:rPr>
          <w:rFonts w:hint="default" w:ascii="Times New Roman" w:hAnsi="Times New Roman" w:eastAsia="仿宋_GB2312" w:cs="Times New Roman"/>
          <w:b/>
          <w:bCs/>
          <w:color w:val="auto"/>
          <w:sz w:val="32"/>
          <w:szCs w:val="32"/>
          <w:lang w:val="en-US" w:eastAsia="zh-CN"/>
        </w:rPr>
        <w:t>综上，该项指标满分3分，得分3分。</w:t>
      </w:r>
    </w:p>
    <w:p w14:paraId="27E626E6">
      <w:pPr>
        <w:pStyle w:val="14"/>
        <w:widowControl/>
        <w:numPr>
          <w:ilvl w:val="0"/>
          <w:numId w:val="0"/>
        </w:numPr>
        <w:spacing w:before="0" w:beforeLines="-2147483648" w:after="0" w:afterLines="-2147483648" w:line="560" w:lineRule="exact"/>
        <w:ind w:firstLine="643" w:firstLineChars="200"/>
        <w:jc w:val="both"/>
        <w:rPr>
          <w:rFonts w:hint="default" w:ascii="Times New Roman" w:hAnsi="Times New Roman" w:eastAsia="楷体" w:cs="Times New Roman"/>
          <w:kern w:val="28"/>
          <w:sz w:val="32"/>
        </w:rPr>
      </w:pPr>
      <w:r>
        <w:rPr>
          <w:rFonts w:hint="default" w:ascii="Times New Roman" w:hAnsi="Times New Roman" w:eastAsia="楷体" w:cs="Times New Roman"/>
          <w:kern w:val="28"/>
          <w:sz w:val="32"/>
          <w:lang w:eastAsia="zh-CN"/>
        </w:rPr>
        <w:t>（</w:t>
      </w:r>
      <w:r>
        <w:rPr>
          <w:rFonts w:hint="default" w:ascii="Times New Roman" w:hAnsi="Times New Roman" w:eastAsia="楷体" w:cs="Times New Roman"/>
          <w:kern w:val="28"/>
          <w:sz w:val="32"/>
          <w:lang w:val="en-US" w:eastAsia="zh-CN"/>
        </w:rPr>
        <w:t>二</w:t>
      </w:r>
      <w:r>
        <w:rPr>
          <w:rFonts w:hint="default" w:ascii="Times New Roman" w:hAnsi="Times New Roman" w:eastAsia="楷体" w:cs="Times New Roman"/>
          <w:kern w:val="28"/>
          <w:sz w:val="32"/>
          <w:lang w:eastAsia="zh-CN"/>
        </w:rPr>
        <w:t>）</w:t>
      </w:r>
      <w:r>
        <w:rPr>
          <w:rFonts w:hint="default" w:ascii="Times New Roman" w:hAnsi="Times New Roman" w:eastAsia="楷体" w:cs="Times New Roman"/>
          <w:kern w:val="28"/>
          <w:sz w:val="32"/>
        </w:rPr>
        <w:t>项目过程情况</w:t>
      </w:r>
      <w:bookmarkEnd w:id="119"/>
    </w:p>
    <w:p w14:paraId="4AF08710">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bookmarkStart w:id="120" w:name="_Toc20449"/>
      <w:bookmarkStart w:id="121" w:name="_Toc3886"/>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项目</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过程管理</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类指标由</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个</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二</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级指标和</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5</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个</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三</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级指标构成，权重分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分，实际得分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各指标业绩值和绩效分值如表</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4-2</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详见上传的附件二</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33F101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4-2</w:t>
      </w: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项目</w:t>
      </w:r>
      <w:r>
        <w:rPr>
          <w:rFonts w:hint="default" w:ascii="Times New Roman" w:hAnsi="Times New Roman" w:cs="Times New Roman"/>
          <w:b/>
          <w:bCs/>
          <w:color w:val="000000" w:themeColor="text1"/>
          <w:kern w:val="0"/>
          <w:sz w:val="28"/>
          <w:szCs w:val="28"/>
          <w:highlight w:val="none"/>
          <w:shd w:val="clear" w:color="auto" w:fill="auto"/>
          <w:lang w:val="en-US" w:eastAsia="zh-CN"/>
          <w14:textFill>
            <w14:solidFill>
              <w14:schemeClr w14:val="tx1"/>
            </w14:solidFill>
          </w14:textFill>
        </w:rPr>
        <w:t>过程</w:t>
      </w: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31DEAB45">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905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E8D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51F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1DEE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CF1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C41D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1A50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5319992">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2924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6DB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47D7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AA2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53B3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DD2B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2A4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r>
      <w:tr w14:paraId="7CD4A26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436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E5B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8578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52A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FB8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432D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DCC7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r>
      <w:tr w14:paraId="6F7E6D1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C58F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0C6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871C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E4BB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72CC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7AF6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77E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r>
      <w:tr w14:paraId="79152CF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44D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44EC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058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FE0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11D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2A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891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r>
      <w:tr w14:paraId="0914C7B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9C1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3D4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7D80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632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2ACD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FCFF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492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r>
      <w:tr w14:paraId="3947617A">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21B9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F77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3013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D8B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95C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r>
      <w:bookmarkEnd w:id="120"/>
      <w:bookmarkEnd w:id="121"/>
    </w:tbl>
    <w:p w14:paraId="50AB0AD7">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FF0000"/>
          <w:sz w:val="32"/>
          <w:szCs w:val="32"/>
          <w:lang w:val="en-US" w:eastAsia="zh-CN"/>
        </w:rPr>
      </w:pPr>
      <w:r>
        <w:rPr>
          <w:rFonts w:hint="default" w:ascii="Times New Roman" w:hAnsi="Times New Roman" w:eastAsia="仿宋_GB2312" w:cs="Times New Roman"/>
          <w:b/>
          <w:bCs/>
          <w:sz w:val="32"/>
          <w:szCs w:val="32"/>
          <w:lang w:val="en-US" w:eastAsia="zh-CN"/>
        </w:rPr>
        <w:t>1.资金到位率</w:t>
      </w:r>
    </w:p>
    <w:p w14:paraId="56FCD55C">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项目预算资金为</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62.06</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万元，其中：财政安排资金</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62.06</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万元，其他资金</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万元</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p>
    <w:p w14:paraId="25082BD0">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资金到位率=（</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62.06</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62.06</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）×100%。</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=100%</w:t>
      </w:r>
    </w:p>
    <w:p w14:paraId="7DE35BE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6774CB73">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22" w:name="_Toc17709"/>
      <w:bookmarkStart w:id="123" w:name="_Toc9705"/>
      <w:r>
        <w:rPr>
          <w:rFonts w:hint="default" w:ascii="Times New Roman" w:hAnsi="Times New Roman" w:eastAsia="仿宋_GB2312" w:cs="Times New Roman"/>
          <w:b/>
          <w:bCs/>
          <w:color w:val="auto"/>
          <w:sz w:val="32"/>
          <w:szCs w:val="32"/>
          <w:lang w:val="en-US" w:eastAsia="zh-CN"/>
        </w:rPr>
        <w:t>2.预算执行率</w:t>
      </w:r>
      <w:bookmarkEnd w:id="122"/>
      <w:bookmarkEnd w:id="123"/>
    </w:p>
    <w:p w14:paraId="5672C70D">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截至2024年12月31日，项目实际支出62.06万元。</w:t>
      </w:r>
    </w:p>
    <w:p w14:paraId="363D9B84">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预算执行率=（</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62.06</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62.06</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）×100%。</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=100%</w:t>
      </w:r>
    </w:p>
    <w:p w14:paraId="6E74EDB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0793A846">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24" w:name="_Toc18691"/>
      <w:bookmarkStart w:id="125" w:name="_Toc28875"/>
      <w:r>
        <w:rPr>
          <w:rFonts w:hint="default" w:ascii="Times New Roman" w:hAnsi="Times New Roman" w:eastAsia="仿宋_GB2312" w:cs="Times New Roman"/>
          <w:b/>
          <w:bCs/>
          <w:color w:val="auto"/>
          <w:sz w:val="32"/>
          <w:szCs w:val="32"/>
          <w:lang w:val="en-US" w:eastAsia="zh-CN"/>
        </w:rPr>
        <w:t>3.资金使用合规性</w:t>
      </w:r>
      <w:bookmarkEnd w:id="124"/>
      <w:bookmarkEnd w:id="125"/>
    </w:p>
    <w:p w14:paraId="17E6B675">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①本项目资金支出符合国家财经法规、《政府会计制度》《阜康市第五幼儿园单位资金管理办法》《阜康市第五幼儿园专项资金管理办法》；</w:t>
      </w:r>
    </w:p>
    <w:p w14:paraId="45BEC0B8">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②资金的拨付有完整的审批程序和手续；</w:t>
      </w:r>
    </w:p>
    <w:p w14:paraId="737EDF30">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③符合项目预算批复或合同规定的用途；</w:t>
      </w:r>
    </w:p>
    <w:p w14:paraId="6A915D49">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④不存在截留、挤占、挪用、虚列支出等情况。</w:t>
      </w:r>
    </w:p>
    <w:p w14:paraId="17D2BB46">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 xml:space="preserve">本项目的资金使用是合规的、安全的，既符合国家相关法律法规与财务制度的要求，又满足了项目实施的实际需要。资金使用的合规性为项目的成功实施提供了有力的保障，也为项目的绩效评价奠定了坚实的基础。 </w:t>
      </w:r>
    </w:p>
    <w:p w14:paraId="65EE3E8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22C9C04A">
      <w:pPr>
        <w:pageBreakBefore w:val="0"/>
        <w:numPr>
          <w:ilvl w:val="0"/>
          <w:numId w:val="0"/>
        </w:numPr>
        <w:kinsoku/>
        <w:wordWrap/>
        <w:overflowPunct/>
        <w:topLinePunct w:val="0"/>
        <w:autoSpaceDE/>
        <w:autoSpaceDN/>
        <w:bidi w:val="0"/>
        <w:spacing w:line="560" w:lineRule="exact"/>
        <w:ind w:firstLine="643" w:firstLineChars="200"/>
        <w:textAlignment w:val="auto"/>
        <w:rPr>
          <w:rFonts w:hint="default" w:ascii="Times New Roman" w:hAnsi="Times New Roman" w:eastAsia="仿宋_GB2312" w:cs="Times New Roman"/>
          <w:b/>
          <w:bCs/>
          <w:color w:val="auto"/>
          <w:sz w:val="32"/>
          <w:szCs w:val="32"/>
          <w:lang w:val="en-US" w:eastAsia="zh-CN"/>
        </w:rPr>
      </w:pPr>
      <w:bookmarkStart w:id="126" w:name="_Toc31684"/>
      <w:bookmarkStart w:id="127" w:name="_Toc13984"/>
      <w:r>
        <w:rPr>
          <w:rFonts w:hint="default" w:ascii="Times New Roman" w:hAnsi="Times New Roman" w:eastAsia="仿宋_GB2312" w:cs="Times New Roman"/>
          <w:b/>
          <w:bCs/>
          <w:color w:val="auto"/>
          <w:kern w:val="2"/>
          <w:sz w:val="32"/>
          <w:szCs w:val="32"/>
          <w:lang w:val="en-US" w:eastAsia="zh-CN" w:bidi="ar-SA"/>
        </w:rPr>
        <w:t>4.</w:t>
      </w:r>
      <w:r>
        <w:rPr>
          <w:rFonts w:hint="default" w:ascii="Times New Roman" w:hAnsi="Times New Roman" w:eastAsia="仿宋_GB2312" w:cs="Times New Roman"/>
          <w:b/>
          <w:bCs/>
          <w:color w:val="auto"/>
          <w:sz w:val="32"/>
          <w:szCs w:val="32"/>
          <w:lang w:val="en-US" w:eastAsia="zh-CN"/>
        </w:rPr>
        <w:t>管理制度健全性</w:t>
      </w:r>
    </w:p>
    <w:p w14:paraId="7719DA86">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我单位已制定《阜康市第五幼儿园资金管理办法》《阜康市第五幼儿园收支业务管理制度》《阜康市第五幼儿园政府采购业务管理制度》《阜康市第五幼儿园合同管理制度》，相关制度均符合行政事业单位内控管理要求；</w:t>
      </w:r>
    </w:p>
    <w:p w14:paraId="58CFACD6">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②已制定的财务和业务管理制度合法、合规、完整，本项目执行符合上述制度规定。</w:t>
      </w:r>
    </w:p>
    <w:p w14:paraId="7A3DC68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bookmarkEnd w:id="126"/>
    <w:bookmarkEnd w:id="127"/>
    <w:p w14:paraId="4436CCFD">
      <w:pPr>
        <w:pageBreakBefore w:val="0"/>
        <w:kinsoku/>
        <w:wordWrap/>
        <w:overflowPunct/>
        <w:topLinePunct w:val="0"/>
        <w:autoSpaceDE/>
        <w:autoSpaceDN/>
        <w:bidi w:val="0"/>
        <w:spacing w:line="560" w:lineRule="exact"/>
        <w:ind w:left="1524" w:leftChars="200" w:hanging="964" w:hangingChars="300"/>
        <w:textAlignment w:val="auto"/>
        <w:outlineLvl w:val="2"/>
        <w:rPr>
          <w:rFonts w:hint="default" w:ascii="Times New Roman" w:hAnsi="Times New Roman" w:eastAsia="仿宋_GB2312" w:cs="Times New Roman"/>
          <w:b/>
          <w:bCs/>
          <w:color w:val="auto"/>
          <w:sz w:val="32"/>
          <w:szCs w:val="32"/>
          <w:lang w:val="en-US" w:eastAsia="zh-CN"/>
        </w:rPr>
      </w:pPr>
      <w:bookmarkStart w:id="128" w:name="_Toc2441"/>
      <w:r>
        <w:rPr>
          <w:rFonts w:hint="default" w:ascii="Times New Roman" w:hAnsi="Times New Roman" w:eastAsia="仿宋_GB2312" w:cs="Times New Roman"/>
          <w:b/>
          <w:bCs/>
          <w:color w:val="auto"/>
          <w:sz w:val="32"/>
          <w:szCs w:val="32"/>
          <w:lang w:val="en-US" w:eastAsia="zh-CN"/>
        </w:rPr>
        <w:t>5.制度执行有效性</w:t>
      </w:r>
    </w:p>
    <w:p w14:paraId="7D14D320">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①项目的实施遵守相关法律法规及相关管理规定，符合《阜康市第五幼儿园单位资金管理办法》《阜康市第五幼儿园财务管理制度》《阜康市第五幼儿园采购业务管理制度》《阜康市第五幼儿园合同管理制度》等管理规定；</w:t>
      </w:r>
    </w:p>
    <w:p w14:paraId="68A90C26">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②项目存在调整，调整手续齐全。</w:t>
      </w:r>
    </w:p>
    <w:p w14:paraId="26EC3296">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③项目合同书、验收评审表、财务支付凭证等资料齐全并及时归档。</w:t>
      </w:r>
    </w:p>
    <w:p w14:paraId="52B99549">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④项目实施所需要的项目人员和场地设备均已落实到位，具体涉及内容包括：项目资金支出严格按照自治区、地区以及本单位资金管理办法执行，项目启动实施后，为了加快本项目的实施，成立了2024年学前教育生均经费项目工作领导小组，由李雪舞任组长，负责项目的组织工作；朱园园任副组长，负责项目的实施工作；组员包括：王晓雪、于飞，主要负责项目监督管理、验收以及资金核拨等工作。</w:t>
      </w:r>
    </w:p>
    <w:p w14:paraId="18AC00E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61B5743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default" w:ascii="Times New Roman" w:hAnsi="Times New Roman" w:eastAsia="楷体_GB2312" w:cs="Times New Roman"/>
          <w:kern w:val="28"/>
          <w:sz w:val="32"/>
          <w:lang w:val="en-US" w:eastAsia="zh-CN"/>
        </w:rPr>
        <w:t>（三）项目产出情况</w:t>
      </w:r>
      <w:bookmarkEnd w:id="128"/>
    </w:p>
    <w:p w14:paraId="4D1154CD">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bookmarkStart w:id="129" w:name="_Toc19424"/>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项目</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产出</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类指标</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包括产出数量、产出质量、产出时效、产出成本四方面的内容，共4</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个</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二</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级指标和</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5</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个</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三</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级指标构成，权重分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分，实际得分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各指标业绩值和绩效分值如表</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4-3</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所示</w:t>
      </w:r>
      <w:r>
        <w:rPr>
          <w:rFonts w:hint="default" w:ascii="Times New Roman" w:hAnsi="Times New Roman" w:eastAsia="仿宋_GB2312" w:cs="Times New Roman"/>
          <w:b/>
          <w:bCs/>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415AF7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DC64C7D">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38C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FFB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9D3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6F1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500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FB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756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E3634C">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186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32F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488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在校学生人数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4D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w:t>
            </w:r>
            <w:r>
              <w:rPr>
                <w:rFonts w:hint="default" w:ascii="Times New Roman" w:hAnsi="Times New Roman" w:cs="Times New Roman"/>
                <w:color w:val="auto"/>
                <w:kern w:val="0"/>
                <w:sz w:val="20"/>
                <w:szCs w:val="20"/>
                <w:highlight w:val="none"/>
                <w:shd w:val="clear" w:color="auto" w:fill="auto"/>
                <w:lang w:val="en-US" w:eastAsia="zh-CN"/>
              </w:rPr>
              <w:t>304</w:t>
            </w:r>
            <w:r>
              <w:rPr>
                <w:rFonts w:hint="default" w:ascii="Times New Roman" w:hAnsi="Times New Roman" w:eastAsia="宋体" w:cs="Times New Roman"/>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1DE6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804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304</w:t>
            </w:r>
            <w:r>
              <w:rPr>
                <w:rFonts w:hint="default" w:ascii="Times New Roman" w:hAnsi="Times New Roman" w:eastAsia="宋体" w:cs="Times New Roman"/>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AB7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r>
      <w:tr w14:paraId="6BD1727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DFB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D123D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FCE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9F3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191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33F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ACF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3A0D3314">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7C6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773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97D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F80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1BC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4777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86F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0C2323B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DAE8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812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BB1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7A7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5FD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4C1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DDA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r>
      <w:tr w14:paraId="3125B599">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B99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2B6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F8D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FFF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FD3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9D0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1100元/人/年</w:t>
            </w:r>
          </w:p>
          <w:p w14:paraId="303127F9">
            <w:pPr>
              <w:keepNext w:val="0"/>
              <w:keepLines w:val="0"/>
              <w:pageBreakBefore w:val="0"/>
              <w:kinsoku/>
              <w:wordWrap/>
              <w:overflowPunct/>
              <w:topLinePunct w:val="0"/>
              <w:autoSpaceDE/>
              <w:autoSpaceDN/>
              <w:bidi w:val="0"/>
              <w:adjustRightInd/>
              <w:spacing w:line="300" w:lineRule="exact"/>
              <w:textAlignment w:val="auto"/>
              <w:rPr>
                <w:rFonts w:hint="default" w:ascii="Times New Roman" w:hAnsi="Times New Roman" w:cs="Times New Roman"/>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DEEA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r>
      <w:tr w14:paraId="2A4E55D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6E1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1B9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r>
              <w:rPr>
                <w:rFonts w:hint="default" w:ascii="Times New Roman" w:hAnsi="Times New Roman" w:eastAsia="宋体" w:cs="Times New Roman"/>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632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AD2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40</w:t>
            </w:r>
          </w:p>
        </w:tc>
      </w:tr>
    </w:tbl>
    <w:p w14:paraId="04F499E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FF0000"/>
          <w:sz w:val="32"/>
          <w:szCs w:val="32"/>
          <w:lang w:val="en-US" w:eastAsia="zh-CN"/>
        </w:rPr>
      </w:pPr>
      <w:bookmarkStart w:id="130" w:name="_Toc11067"/>
      <w:bookmarkStart w:id="131" w:name="_Toc26689"/>
      <w:r>
        <w:rPr>
          <w:rFonts w:hint="default" w:ascii="Times New Roman" w:hAnsi="Times New Roman" w:eastAsia="仿宋_GB2312" w:cs="Times New Roman"/>
          <w:b/>
          <w:bCs/>
          <w:sz w:val="32"/>
          <w:szCs w:val="32"/>
          <w:lang w:val="en-US" w:eastAsia="zh-CN"/>
        </w:rPr>
        <w:t>1.数量指标完成情况</w:t>
      </w:r>
      <w:bookmarkEnd w:id="130"/>
      <w:bookmarkEnd w:id="131"/>
    </w:p>
    <w:p w14:paraId="360BF89F">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在校学生人数</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指标，预期目标值为=304人，实际完成为304人。实际完成率=（304/304）×100%=100%</w:t>
      </w:r>
    </w:p>
    <w:p w14:paraId="6717204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综上，该项指标满分10分，得分10分。</w:t>
      </w:r>
    </w:p>
    <w:p w14:paraId="114568E8">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32" w:name="_Toc31739"/>
      <w:bookmarkStart w:id="133" w:name="_Toc14255"/>
      <w:r>
        <w:rPr>
          <w:rFonts w:hint="default" w:ascii="Times New Roman" w:hAnsi="Times New Roman" w:eastAsia="仿宋_GB2312" w:cs="Times New Roman"/>
          <w:b/>
          <w:bCs/>
          <w:color w:val="auto"/>
          <w:sz w:val="32"/>
          <w:szCs w:val="32"/>
          <w:lang w:val="en-US" w:eastAsia="zh-CN"/>
        </w:rPr>
        <w:t>2.</w:t>
      </w:r>
      <w:bookmarkEnd w:id="132"/>
      <w:r>
        <w:rPr>
          <w:rFonts w:hint="default" w:ascii="Times New Roman" w:hAnsi="Times New Roman" w:eastAsia="仿宋_GB2312" w:cs="Times New Roman"/>
          <w:b/>
          <w:bCs/>
          <w:color w:val="auto"/>
          <w:sz w:val="32"/>
          <w:szCs w:val="32"/>
          <w:lang w:val="en-US" w:eastAsia="zh-CN"/>
        </w:rPr>
        <w:t>质量指标完成情况</w:t>
      </w:r>
      <w:bookmarkEnd w:id="133"/>
    </w:p>
    <w:p w14:paraId="7059CFD1">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公用经费享受比例</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指标，预期目标值为=100%，实际完成为100%。实际完成率=（100%/100%）×100%=100%。</w:t>
      </w:r>
    </w:p>
    <w:p w14:paraId="6C58E13B">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教师培训结业率</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指标，预期目标值为=100%，实际完成为100%，实际完成率=（100%/100%）×100%=100%。</w:t>
      </w:r>
    </w:p>
    <w:p w14:paraId="5E99DCF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综上，该项指标满分10分，得分10分。</w:t>
      </w:r>
    </w:p>
    <w:p w14:paraId="72A0A199">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34" w:name="_Toc18307"/>
      <w:bookmarkStart w:id="135" w:name="_Toc28885"/>
      <w:r>
        <w:rPr>
          <w:rFonts w:hint="default" w:ascii="Times New Roman" w:hAnsi="Times New Roman" w:eastAsia="仿宋_GB2312" w:cs="Times New Roman"/>
          <w:b/>
          <w:bCs/>
          <w:color w:val="auto"/>
          <w:sz w:val="32"/>
          <w:szCs w:val="32"/>
          <w:lang w:val="en-US" w:eastAsia="zh-CN"/>
        </w:rPr>
        <w:t>3.</w:t>
      </w:r>
      <w:bookmarkEnd w:id="134"/>
      <w:r>
        <w:rPr>
          <w:rFonts w:hint="default" w:ascii="Times New Roman" w:hAnsi="Times New Roman" w:eastAsia="仿宋_GB2312" w:cs="Times New Roman"/>
          <w:b/>
          <w:bCs/>
          <w:color w:val="auto"/>
          <w:sz w:val="32"/>
          <w:szCs w:val="32"/>
          <w:lang w:val="en-US" w:eastAsia="zh-CN"/>
        </w:rPr>
        <w:t>时效指标完成情况</w:t>
      </w:r>
      <w:bookmarkEnd w:id="135"/>
    </w:p>
    <w:p w14:paraId="0BBCB139">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公用经费支出及时率</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指标，预期目标值为=100%，实际完成为100%。实际完成率=（100%/100%）×100%=100%。</w:t>
      </w:r>
    </w:p>
    <w:p w14:paraId="50AC44D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综上，该项指标满分10分，得分10分。</w:t>
      </w:r>
    </w:p>
    <w:p w14:paraId="29CBCC33">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36" w:name="_Toc32765"/>
      <w:bookmarkStart w:id="137" w:name="_Toc20607"/>
      <w:r>
        <w:rPr>
          <w:rFonts w:hint="default" w:ascii="Times New Roman" w:hAnsi="Times New Roman" w:eastAsia="仿宋_GB2312" w:cs="Times New Roman"/>
          <w:b/>
          <w:bCs/>
          <w:color w:val="auto"/>
          <w:sz w:val="32"/>
          <w:szCs w:val="32"/>
          <w:lang w:val="en-US" w:eastAsia="zh-CN"/>
        </w:rPr>
        <w:t>4.项目</w:t>
      </w:r>
      <w:bookmarkEnd w:id="136"/>
      <w:r>
        <w:rPr>
          <w:rFonts w:hint="default" w:ascii="Times New Roman" w:hAnsi="Times New Roman" w:eastAsia="仿宋_GB2312" w:cs="Times New Roman"/>
          <w:b/>
          <w:bCs/>
          <w:color w:val="auto"/>
          <w:sz w:val="32"/>
          <w:szCs w:val="32"/>
          <w:lang w:val="en-US" w:eastAsia="zh-CN"/>
        </w:rPr>
        <w:t>成本情况</w:t>
      </w:r>
      <w:bookmarkEnd w:id="137"/>
    </w:p>
    <w:p w14:paraId="359A413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val="en-US" w:eastAsia="zh-CN"/>
        </w:rPr>
        <w:t>经济</w:t>
      </w:r>
      <w:r>
        <w:rPr>
          <w:rFonts w:hint="default" w:ascii="Times New Roman" w:hAnsi="Times New Roman" w:eastAsia="仿宋_GB2312" w:cs="Times New Roman"/>
          <w:b/>
          <w:bCs/>
          <w:color w:val="auto"/>
          <w:sz w:val="32"/>
          <w:szCs w:val="32"/>
          <w:lang w:eastAsia="zh-CN"/>
        </w:rPr>
        <w:t>成本指标完成情况</w:t>
      </w:r>
    </w:p>
    <w:p w14:paraId="7FBC22D1">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公用经费标准</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指标，预期目标值为=1100元/人/年，实际完成为1100元/人/年。实际完成率=（1100元/人/年/1100元/人/年）×100%=100%。</w:t>
      </w:r>
    </w:p>
    <w:p w14:paraId="08390FD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综上，该项指标满分10分，得分10分。</w:t>
      </w:r>
    </w:p>
    <w:p w14:paraId="48F8487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lang w:val="en-US" w:eastAsia="zh-CN"/>
        </w:rPr>
      </w:pPr>
      <w:r>
        <w:rPr>
          <w:rFonts w:hint="default" w:ascii="Times New Roman" w:hAnsi="Times New Roman" w:eastAsia="楷体_GB2312" w:cs="Times New Roman"/>
          <w:color w:val="auto"/>
          <w:kern w:val="28"/>
          <w:sz w:val="32"/>
          <w:lang w:val="en-US" w:eastAsia="zh-CN"/>
        </w:rPr>
        <w:t>（四）项目效益情况</w:t>
      </w:r>
    </w:p>
    <w:p w14:paraId="130072FA">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项目</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效益</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类指标</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包括项目实施效益和满意度两方面的内容，</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由</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个</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二</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级指标和</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个</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三</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级指标构成，权重分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分，实际得分</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分</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各指标业绩值和绩效分值如表</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4</w:t>
      </w:r>
      <w:r>
        <w:rPr>
          <w:rFonts w:hint="default" w:ascii="Times New Roman" w:hAnsi="Times New Roman" w:eastAsia="仿宋_GB2312" w:cs="Times New Roman"/>
          <w:b w:val="0"/>
          <w:bCs w:val="0"/>
          <w:color w:val="auto"/>
          <w:kern w:val="2"/>
          <w:sz w:val="32"/>
          <w:szCs w:val="32"/>
          <w:highlight w:val="none"/>
          <w:shd w:val="clear" w:color="auto" w:fill="auto"/>
          <w:lang w:val="zh-TW" w:eastAsia="zh-TW" w:bidi="ar-SA"/>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6E672D86">
      <w:pPr>
        <w:pageBreakBefore w:val="0"/>
        <w:widowControl w:val="0"/>
        <w:kinsoku/>
        <w:wordWrap/>
        <w:overflowPunct/>
        <w:topLinePunct w:val="0"/>
        <w:autoSpaceDE/>
        <w:autoSpaceDN/>
        <w:bidi w:val="0"/>
        <w:adjustRightInd/>
        <w:spacing w:line="560" w:lineRule="exact"/>
        <w:ind w:firstLine="560"/>
        <w:jc w:val="center"/>
        <w:textAlignment w:val="auto"/>
        <w:rPr>
          <w:rFonts w:hint="default" w:ascii="Times New Roman" w:hAnsi="Times New Roman" w:eastAsia="宋体" w:cs="Times New Roman"/>
          <w:b/>
          <w:bCs/>
          <w:color w:val="auto"/>
          <w:kern w:val="0"/>
          <w:sz w:val="28"/>
          <w:szCs w:val="28"/>
          <w:highlight w:val="none"/>
          <w:shd w:val="clear" w:color="auto" w:fill="auto"/>
          <w:lang w:val="en-US" w:eastAsia="zh-CN"/>
        </w:rPr>
      </w:pPr>
      <w:r>
        <w:rPr>
          <w:rFonts w:hint="default" w:ascii="Times New Roman" w:hAnsi="Times New Roman" w:eastAsia="宋体" w:cs="Times New Roman"/>
          <w:b/>
          <w:bCs/>
          <w:color w:val="auto"/>
          <w:kern w:val="0"/>
          <w:sz w:val="28"/>
          <w:szCs w:val="28"/>
          <w:highlight w:val="none"/>
          <w:shd w:val="clear" w:color="auto" w:fill="auto"/>
          <w:lang w:val="zh-TW" w:eastAsia="zh-TW"/>
        </w:rPr>
        <w:t>表</w:t>
      </w:r>
      <w:r>
        <w:rPr>
          <w:rFonts w:hint="default" w:ascii="Times New Roman" w:hAnsi="Times New Roman" w:eastAsia="宋体" w:cs="Times New Roman"/>
          <w:b/>
          <w:bCs/>
          <w:color w:val="auto"/>
          <w:kern w:val="0"/>
          <w:sz w:val="28"/>
          <w:szCs w:val="28"/>
          <w:highlight w:val="none"/>
          <w:shd w:val="clear" w:color="auto" w:fill="auto"/>
          <w:lang w:val="en-US" w:eastAsia="zh-CN"/>
        </w:rPr>
        <w:t>4-4项目效益</w:t>
      </w:r>
      <w:r>
        <w:rPr>
          <w:rFonts w:hint="default" w:ascii="Times New Roman" w:hAnsi="Times New Roman" w:eastAsia="宋体" w:cs="Times New Roman"/>
          <w:b/>
          <w:bCs/>
          <w:color w:val="auto"/>
          <w:kern w:val="0"/>
          <w:sz w:val="28"/>
          <w:szCs w:val="28"/>
          <w:highlight w:val="none"/>
          <w:shd w:val="clear" w:color="auto" w:fill="auto"/>
          <w:lang w:val="zh-TW" w:eastAsia="zh-TW"/>
        </w:rPr>
        <w:t>指标及分值</w:t>
      </w:r>
      <w:r>
        <w:rPr>
          <w:rFonts w:hint="default" w:ascii="Times New Roman" w:hAnsi="Times New Roman" w:eastAsia="宋体" w:cs="Times New Roman"/>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3062F48">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F4950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一级</w:t>
            </w:r>
          </w:p>
          <w:p w14:paraId="3A093E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FC1DC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C97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D91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年度指</w:t>
            </w:r>
          </w:p>
          <w:p w14:paraId="37254C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D7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标杆</w:t>
            </w:r>
          </w:p>
          <w:p w14:paraId="4A860D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DA7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全年实</w:t>
            </w:r>
          </w:p>
          <w:p w14:paraId="7CAD0B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F6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指标</w:t>
            </w:r>
          </w:p>
          <w:p w14:paraId="496035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0"/>
                <w:szCs w:val="20"/>
                <w:highlight w:val="none"/>
                <w:shd w:val="clear" w:color="auto" w:fill="auto"/>
                <w:lang w:val="en-US" w:eastAsia="zh-CN"/>
              </w:rPr>
            </w:pPr>
            <w:r>
              <w:rPr>
                <w:rFonts w:hint="default" w:ascii="Times New Roman" w:hAnsi="Times New Roman" w:eastAsia="宋体" w:cs="Times New Roman"/>
                <w:b/>
                <w:bCs/>
                <w:color w:val="auto"/>
                <w:kern w:val="0"/>
                <w:sz w:val="20"/>
                <w:szCs w:val="20"/>
                <w:highlight w:val="none"/>
                <w:shd w:val="clear" w:color="auto" w:fill="auto"/>
                <w:lang w:val="en-US" w:eastAsia="zh-CN"/>
              </w:rPr>
              <w:t>得分</w:t>
            </w:r>
          </w:p>
        </w:tc>
      </w:tr>
      <w:tr w14:paraId="6C7F74F9">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400928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5856CC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7C4BE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3AC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927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E86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D40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73630629">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15260F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17118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C5A89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C21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27A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F7C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E70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7</w:t>
            </w:r>
          </w:p>
        </w:tc>
      </w:tr>
      <w:tr w14:paraId="7C1661C6">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64063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321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E28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852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493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D7C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C4F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8</w:t>
            </w:r>
          </w:p>
        </w:tc>
      </w:tr>
      <w:tr w14:paraId="48878E92">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59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81F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r>
              <w:rPr>
                <w:rFonts w:hint="default" w:ascii="Times New Roman" w:hAnsi="Times New Roman" w:eastAsia="宋体" w:cs="Times New Roman"/>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1B4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04C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r>
              <w:rPr>
                <w:rFonts w:hint="default" w:ascii="Times New Roman" w:hAnsi="Times New Roman" w:eastAsia="宋体" w:cs="Times New Roman"/>
                <w:color w:val="auto"/>
                <w:kern w:val="0"/>
                <w:sz w:val="20"/>
                <w:szCs w:val="20"/>
                <w:highlight w:val="none"/>
                <w:shd w:val="clear" w:color="auto" w:fill="auto"/>
                <w:lang w:val="en-US" w:eastAsia="zh-CN"/>
              </w:rPr>
              <w:t>0</w:t>
            </w:r>
          </w:p>
        </w:tc>
      </w:tr>
    </w:tbl>
    <w:p w14:paraId="1852AAD3">
      <w:pPr>
        <w:pageBreakBefore w:val="0"/>
        <w:kinsoku/>
        <w:wordWrap/>
        <w:overflowPunct/>
        <w:topLinePunct w:val="0"/>
        <w:autoSpaceDE/>
        <w:autoSpaceDN/>
        <w:bidi w:val="0"/>
        <w:spacing w:line="560" w:lineRule="exact"/>
        <w:textAlignment w:val="auto"/>
        <w:outlineLvl w:val="2"/>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1.社会效益指标完成情况</w:t>
      </w:r>
    </w:p>
    <w:p w14:paraId="45347767">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幼儿园正常运转率</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指标，预期目标值为=100%，实际完成为100%。</w:t>
      </w:r>
    </w:p>
    <w:p w14:paraId="122ECDB7">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通过项目的实施，幼儿园正常运转率得到了提高。</w:t>
      </w:r>
    </w:p>
    <w:p w14:paraId="61A4BB3F">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改善教学环境，提供良好的学生成长条件</w:t>
      </w:r>
      <w:r>
        <w:rPr>
          <w:rFonts w:hint="default" w:ascii="Times New Roman" w:hAnsi="Times New Roman" w:eastAsia="仿宋_GB2312" w:cs="Times New Roman"/>
          <w:b w:val="0"/>
          <w:bCs w:val="0"/>
          <w:color w:val="auto"/>
          <w:kern w:val="2"/>
          <w:sz w:val="32"/>
          <w:szCs w:val="32"/>
          <w:highlight w:val="none"/>
          <w:shd w:val="clear" w:color="auto" w:fill="auto"/>
          <w:lang w:val="zh-TW" w:eastAsia="zh-CN" w:bidi="ar-SA"/>
        </w:rPr>
        <w:t>”</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指标，预期目标值为改善，实际完成为达到预期指标。</w:t>
      </w:r>
    </w:p>
    <w:p w14:paraId="10912907">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通过项目的实施，改善了幼儿园的环境，为幼儿提供了良好的成长条件。</w:t>
      </w:r>
    </w:p>
    <w:p w14:paraId="31A59F4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综上，该项指标满分12分，得分12分。</w:t>
      </w:r>
    </w:p>
    <w:p w14:paraId="0858505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r>
        <w:rPr>
          <w:rFonts w:hint="default" w:ascii="Times New Roman" w:hAnsi="Times New Roman" w:eastAsia="楷体_GB2312" w:cs="Times New Roman"/>
          <w:b/>
          <w:bCs/>
          <w:color w:val="auto"/>
          <w:kern w:val="28"/>
          <w:sz w:val="32"/>
          <w:highlight w:val="none"/>
          <w:lang w:val="en-US" w:eastAsia="zh-CN"/>
        </w:rPr>
        <w:t>（五）满意度指标完成情况分析</w:t>
      </w:r>
    </w:p>
    <w:p w14:paraId="53AAB73A">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“师生满意度指标”指标，预期目标值为≥90%，实际完成为90%。</w:t>
      </w:r>
    </w:p>
    <w:p w14:paraId="089BFEB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综上，该项指标满分8分，得分8分。</w:t>
      </w:r>
    </w:p>
    <w:bookmarkEnd w:id="129"/>
    <w:p w14:paraId="5D26AC5E">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pPr>
      <w:bookmarkStart w:id="138" w:name="_Toc6622"/>
      <w:r>
        <w:rPr>
          <w:rFonts w:hint="default" w:ascii="Times New Roman" w:hAnsi="Times New Roman" w:cs="Times New Roman"/>
          <w:b w:val="0"/>
          <w:bCs w:val="0"/>
          <w:color w:val="000000" w:themeColor="text1"/>
          <w:highlight w:val="none"/>
          <w:shd w:val="clear" w:color="auto" w:fill="auto"/>
          <w:lang w:val="en-US" w:eastAsia="zh-CN"/>
          <w14:textFill>
            <w14:solidFill>
              <w14:schemeClr w14:val="tx1"/>
            </w14:solidFill>
          </w14:textFill>
        </w:rPr>
        <w:t>五</w:t>
      </w:r>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38"/>
    </w:p>
    <w:p w14:paraId="6F8E457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39" w:name="_Toc15449"/>
      <w:bookmarkStart w:id="140" w:name="_Toc1921"/>
      <w:bookmarkStart w:id="141" w:name="_Toc28290"/>
      <w:bookmarkStart w:id="142" w:name="_Toc3333"/>
      <w:r>
        <w:rPr>
          <w:rFonts w:hint="default" w:ascii="Times New Roman" w:hAnsi="Times New Roman" w:eastAsia="楷体_GB2312" w:cs="Times New Roman"/>
          <w:b/>
          <w:bCs/>
          <w:kern w:val="28"/>
          <w:sz w:val="32"/>
          <w:highlight w:val="none"/>
          <w:lang w:val="en-US" w:eastAsia="zh-CN"/>
        </w:rPr>
        <w:t>（一）主要经验及做法</w:t>
      </w:r>
      <w:bookmarkEnd w:id="139"/>
    </w:p>
    <w:p w14:paraId="129BCDC0">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2024年学前教育生均经费项目2024年预算数为41.83万元，截至2024年12月31日共支出41.83万元，预算执行率为100%。</w:t>
      </w:r>
    </w:p>
    <w:p w14:paraId="7C671A48">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阜康市第五幼儿园建立健全了预算管理规章制度，各部门严格按照预算编制的原则和要求做好当年预算编制工作，在预算绩效管理工作中，做到合理安排各项资金，重点保障基本支出，按轻重缓急顺序原则，优先安排了阜康市第五幼儿园事业发展中关系民生与稳定的项目，切实优化资源配置，提高了资金使用的效率和效果。</w:t>
      </w:r>
    </w:p>
    <w:bookmarkEnd w:id="140"/>
    <w:bookmarkEnd w:id="141"/>
    <w:p w14:paraId="3344B46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3" w:name="_Toc29168"/>
      <w:r>
        <w:rPr>
          <w:rFonts w:hint="default" w:ascii="Times New Roman" w:hAnsi="Times New Roman" w:eastAsia="楷体_GB2312" w:cs="Times New Roman"/>
          <w:b/>
          <w:bCs/>
          <w:color w:val="auto"/>
          <w:kern w:val="28"/>
          <w:sz w:val="32"/>
          <w:highlight w:val="none"/>
          <w:lang w:val="en-US" w:eastAsia="zh-CN"/>
        </w:rPr>
        <w:t>（二）存在的问题及原因分析</w:t>
      </w:r>
      <w:bookmarkEnd w:id="143"/>
    </w:p>
    <w:p w14:paraId="096A24E5">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1.在项目实施期间部分业务人员未能全面深入认识理解项目管理工作的意义。项目管理经验不足，项目管理工作有待进一步落实。</w:t>
      </w:r>
    </w:p>
    <w:p w14:paraId="0EDFD535">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2.因年初预算数据不够清晰明确到明细科目，使得整个年度财务核算及审核流程不准确清晰。</w:t>
      </w:r>
    </w:p>
    <w:p w14:paraId="2557A0E8">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3.技术支撑不足，信息化水平低，无法横向对比同类幼儿园的经费使用效益，难以发现差距。</w:t>
      </w:r>
    </w:p>
    <w:p w14:paraId="12B744D7">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pPr>
      <w:r>
        <w:rPr>
          <w:rFonts w:hint="default" w:ascii="Times New Roman" w:hAnsi="Times New Roman" w:cs="Times New Roman"/>
          <w:b w:val="0"/>
          <w:bCs w:val="0"/>
          <w:color w:val="000000" w:themeColor="text1"/>
          <w:highlight w:val="none"/>
          <w:shd w:val="clear" w:color="auto" w:fill="auto"/>
          <w:lang w:val="en-US" w:eastAsia="zh-CN"/>
          <w14:textFill>
            <w14:solidFill>
              <w14:schemeClr w14:val="tx1"/>
            </w14:solidFill>
          </w14:textFill>
        </w:rPr>
        <w:t>六</w:t>
      </w:r>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、有关建议</w:t>
      </w:r>
      <w:bookmarkEnd w:id="142"/>
    </w:p>
    <w:p w14:paraId="5CA8D2D5">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bookmarkStart w:id="144" w:name="_Toc3948"/>
      <w:bookmarkStart w:id="145" w:name="_Toc20454"/>
      <w:bookmarkStart w:id="146" w:name="_Toc14256"/>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（一）加强项目管理，健全单位项目管理制度体系。 加大项目管理人员的业务培训，确保项目能够顺利实施。</w:t>
      </w:r>
    </w:p>
    <w:p w14:paraId="52738AE4">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（二）加强财务人员业务培训，在年初预算时及时与各科室联系，将年初预算数据填写清晰，确保财务支付审核程序顺利进行。</w:t>
      </w:r>
    </w:p>
    <w:p w14:paraId="2922CEB4">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 xml:space="preserve">（三）加强能力建设，引入信息化工具，提高各项经费的使用，规范各项数据采集与分析。  </w:t>
      </w:r>
    </w:p>
    <w:bookmarkEnd w:id="144"/>
    <w:bookmarkEnd w:id="145"/>
    <w:p w14:paraId="7C9344E0">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pPr>
      <w:r>
        <w:rPr>
          <w:rFonts w:hint="default" w:ascii="Times New Roman" w:hAnsi="Times New Roman" w:cs="Times New Roman"/>
          <w:b w:val="0"/>
          <w:bCs w:val="0"/>
          <w:color w:val="000000" w:themeColor="text1"/>
          <w:highlight w:val="none"/>
          <w:shd w:val="clear" w:color="auto" w:fill="auto"/>
          <w:lang w:val="en-US" w:eastAsia="zh-CN"/>
          <w14:textFill>
            <w14:solidFill>
              <w14:schemeClr w14:val="tx1"/>
            </w14:solidFill>
          </w14:textFill>
        </w:rPr>
        <w:t>七</w:t>
      </w:r>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、其他需要说明的问题</w:t>
      </w:r>
      <w:bookmarkEnd w:id="146"/>
    </w:p>
    <w:p w14:paraId="285F3058">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无其他需要说明的问题。</w:t>
      </w:r>
    </w:p>
    <w:p w14:paraId="3F18429A">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sectPr>
          <w:footerReference r:id="rId5" w:type="default"/>
          <w:pgSz w:w="11906" w:h="16838"/>
          <w:pgMar w:top="1440" w:right="1800" w:bottom="1440" w:left="1800" w:header="737" w:footer="851" w:gutter="0"/>
          <w:pgNumType w:fmt="decimal"/>
          <w:cols w:space="720" w:num="1"/>
          <w:docGrid w:type="lines" w:linePitch="408" w:charSpace="0"/>
        </w:sectPr>
      </w:pPr>
    </w:p>
    <w:p w14:paraId="294C7741">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rPr>
      </w:pPr>
      <w:bookmarkStart w:id="147" w:name="_Toc11349"/>
      <w:bookmarkStart w:id="148" w:name="_Toc28971"/>
      <w:r>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t>附件一、项目支出绩效自评表</w:t>
      </w:r>
      <w:bookmarkEnd w:id="147"/>
      <w:bookmarkEnd w:id="148"/>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142"/>
        <w:gridCol w:w="1142"/>
        <w:gridCol w:w="1142"/>
        <w:gridCol w:w="1059"/>
        <w:gridCol w:w="1224"/>
        <w:gridCol w:w="895"/>
        <w:gridCol w:w="1059"/>
        <w:gridCol w:w="895"/>
        <w:gridCol w:w="895"/>
        <w:gridCol w:w="1142"/>
      </w:tblGrid>
      <w:tr w14:paraId="505FF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47BE92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D725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5D93C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2F48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8CF3A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DF5A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w:t>
            </w:r>
          </w:p>
        </w:tc>
      </w:tr>
      <w:tr w14:paraId="469FB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7D5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26F1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8E7E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AAE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阜康市第五幼儿园</w:t>
            </w:r>
          </w:p>
        </w:tc>
      </w:tr>
      <w:tr w14:paraId="4258B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B2F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B7978">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12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A646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303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564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CCE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BA3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BE49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9B5F2">
            <w:pPr>
              <w:jc w:val="center"/>
              <w:rPr>
                <w:rFonts w:hint="eastAsia" w:ascii="宋体" w:hAnsi="宋体" w:eastAsia="宋体" w:cs="宋体"/>
                <w:b/>
                <w:bCs/>
                <w:i w:val="0"/>
                <w:iCs w:val="0"/>
                <w:color w:val="000000"/>
                <w:sz w:val="18"/>
                <w:szCs w:val="18"/>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D5B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EB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85.12</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1B3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62.06</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F4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62.06</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44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37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BA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BB4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6F9CD">
            <w:pPr>
              <w:jc w:val="center"/>
              <w:rPr>
                <w:rFonts w:hint="eastAsia" w:ascii="宋体" w:hAnsi="宋体" w:eastAsia="宋体" w:cs="宋体"/>
                <w:b/>
                <w:bCs/>
                <w:i w:val="0"/>
                <w:iCs w:val="0"/>
                <w:color w:val="000000"/>
                <w:sz w:val="18"/>
                <w:szCs w:val="18"/>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ADC3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876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85.12</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78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62.06</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752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62.06</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87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724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8B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2080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C2710">
            <w:pPr>
              <w:jc w:val="center"/>
              <w:rPr>
                <w:rFonts w:hint="eastAsia" w:ascii="宋体" w:hAnsi="宋体" w:eastAsia="宋体" w:cs="宋体"/>
                <w:b/>
                <w:bCs/>
                <w:i w:val="0"/>
                <w:iCs w:val="0"/>
                <w:color w:val="000000"/>
                <w:sz w:val="18"/>
                <w:szCs w:val="18"/>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46A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B1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61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A8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CFE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E9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75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B380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A95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3F7F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D49F8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0E46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54338">
            <w:pPr>
              <w:jc w:val="center"/>
              <w:rPr>
                <w:rFonts w:hint="eastAsia" w:ascii="宋体" w:hAnsi="宋体" w:eastAsia="宋体" w:cs="宋体"/>
                <w:b/>
                <w:bCs/>
                <w:i w:val="0"/>
                <w:iCs w:val="0"/>
                <w:color w:val="000000"/>
                <w:sz w:val="18"/>
                <w:szCs w:val="18"/>
                <w:u w:val="none"/>
              </w:rPr>
            </w:pPr>
          </w:p>
        </w:tc>
        <w:tc>
          <w:tcPr>
            <w:tcW w:w="19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E34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第五幼儿园计划保障幼儿园正常运转，教学活动及其他日常业务的正常运转。计划完成每学年以1100元每生每学年的标准使用公用经费，总计在园幼儿人数304人。通过开展各类教育教学活动，促进幼儿园各项活动有序开展，实现幼儿园年初制定的各项工作目标，进一步提高幼儿园教育教学水平。</w:t>
            </w:r>
          </w:p>
        </w:tc>
        <w:tc>
          <w:tcPr>
            <w:tcW w:w="282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CDF4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12月31日，本项目完成在校学生人数304人每人每年1100元标准的生均经费的发放，公用经费享受比例达到100%，教师培训结业率达到100%，公用经费支出及时率达到100%，项目实施能够保障幼儿园正常运转，有效改善教学环境，提供良好的学生成长条件，师生满意度达到90%。</w:t>
            </w:r>
          </w:p>
        </w:tc>
      </w:tr>
      <w:tr w14:paraId="44659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79BBC">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A2F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E3D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6F8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566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AC8D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545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1E1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14D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E8D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2E2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02B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722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06D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6A0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95D11">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465AA">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7D136">
            <w:pPr>
              <w:jc w:val="center"/>
              <w:rPr>
                <w:rFonts w:hint="eastAsia" w:ascii="宋体" w:hAnsi="宋体" w:eastAsia="宋体" w:cs="宋体"/>
                <w:b/>
                <w:bCs/>
                <w:i w:val="0"/>
                <w:iCs w:val="0"/>
                <w:color w:val="000000"/>
                <w:sz w:val="18"/>
                <w:szCs w:val="18"/>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1A7C0">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8764F">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3E5CE">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C8B59">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98E6A">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DDC5B">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77B49">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90CFF">
            <w:pPr>
              <w:jc w:val="center"/>
              <w:rPr>
                <w:rFonts w:hint="eastAsia" w:ascii="宋体" w:hAnsi="宋体" w:eastAsia="宋体" w:cs="宋体"/>
                <w:b/>
                <w:bCs/>
                <w:i w:val="0"/>
                <w:iCs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02A8F">
            <w:pPr>
              <w:jc w:val="center"/>
              <w:rPr>
                <w:rFonts w:hint="eastAsia" w:ascii="宋体" w:hAnsi="宋体" w:eastAsia="宋体" w:cs="宋体"/>
                <w:b/>
                <w:bCs/>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341E8">
            <w:pPr>
              <w:jc w:val="center"/>
              <w:rPr>
                <w:rFonts w:hint="eastAsia" w:ascii="宋体" w:hAnsi="宋体" w:eastAsia="宋体" w:cs="宋体"/>
                <w:b/>
                <w:bCs/>
                <w:i w:val="0"/>
                <w:iCs w:val="0"/>
                <w:color w:val="000000"/>
                <w:sz w:val="18"/>
                <w:szCs w:val="18"/>
                <w:u w:val="none"/>
              </w:rPr>
            </w:pP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C12C6">
            <w:pPr>
              <w:jc w:val="center"/>
              <w:rPr>
                <w:rFonts w:hint="eastAsia" w:ascii="宋体" w:hAnsi="宋体" w:eastAsia="宋体" w:cs="宋体"/>
                <w:b/>
                <w:bCs/>
                <w:i w:val="0"/>
                <w:iCs w:val="0"/>
                <w:color w:val="000000"/>
                <w:sz w:val="18"/>
                <w:szCs w:val="18"/>
                <w:u w:val="none"/>
              </w:rPr>
            </w:pPr>
          </w:p>
        </w:tc>
      </w:tr>
      <w:tr w14:paraId="1BE43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F76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1"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82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B6C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82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3B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CD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=304人</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DC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F5A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F1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AE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D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353人</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D60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C1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DF8AD">
            <w:pPr>
              <w:jc w:val="center"/>
              <w:rPr>
                <w:rFonts w:hint="eastAsia" w:ascii="宋体" w:hAnsi="宋体" w:eastAsia="宋体" w:cs="宋体"/>
                <w:i w:val="0"/>
                <w:iCs w:val="0"/>
                <w:color w:val="000000"/>
                <w:sz w:val="18"/>
                <w:szCs w:val="18"/>
                <w:u w:val="none"/>
              </w:rPr>
            </w:pPr>
          </w:p>
        </w:tc>
      </w:tr>
      <w:tr w14:paraId="3601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2473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6D629">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E4A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81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EB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52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0A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CA6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3DE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E7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D2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C6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C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CAAB4">
            <w:pPr>
              <w:jc w:val="center"/>
              <w:rPr>
                <w:rFonts w:hint="eastAsia" w:ascii="宋体" w:hAnsi="宋体" w:eastAsia="宋体" w:cs="宋体"/>
                <w:i w:val="0"/>
                <w:iCs w:val="0"/>
                <w:color w:val="000000"/>
                <w:sz w:val="18"/>
                <w:szCs w:val="18"/>
                <w:u w:val="none"/>
              </w:rPr>
            </w:pPr>
          </w:p>
        </w:tc>
      </w:tr>
      <w:tr w14:paraId="1158A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215E5">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BBC44">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6F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D3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C2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0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7A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F3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7A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A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2C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F1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A0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D3C63">
            <w:pPr>
              <w:jc w:val="center"/>
              <w:rPr>
                <w:rFonts w:hint="eastAsia" w:ascii="宋体" w:hAnsi="宋体" w:eastAsia="宋体" w:cs="宋体"/>
                <w:i w:val="0"/>
                <w:iCs w:val="0"/>
                <w:color w:val="000000"/>
                <w:sz w:val="18"/>
                <w:szCs w:val="18"/>
                <w:u w:val="none"/>
              </w:rPr>
            </w:pPr>
          </w:p>
        </w:tc>
      </w:tr>
      <w:tr w14:paraId="6538E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D23A3">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4CE1E">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795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F5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F0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83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724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C70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02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DA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53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6D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783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E0F3">
            <w:pPr>
              <w:jc w:val="center"/>
              <w:rPr>
                <w:rFonts w:hint="eastAsia" w:ascii="宋体" w:hAnsi="宋体" w:eastAsia="宋体" w:cs="宋体"/>
                <w:i w:val="0"/>
                <w:iCs w:val="0"/>
                <w:color w:val="000000"/>
                <w:sz w:val="18"/>
                <w:szCs w:val="18"/>
                <w:u w:val="none"/>
              </w:rPr>
            </w:pPr>
          </w:p>
        </w:tc>
      </w:tr>
      <w:tr w14:paraId="76AD0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1DE82">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1C4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750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41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DC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2A1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D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082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16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1C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BB3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1100元/生/年</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A6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6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9C031">
            <w:pPr>
              <w:jc w:val="center"/>
              <w:rPr>
                <w:rFonts w:hint="eastAsia" w:ascii="宋体" w:hAnsi="宋体" w:eastAsia="宋体" w:cs="宋体"/>
                <w:i w:val="0"/>
                <w:iCs w:val="0"/>
                <w:color w:val="000000"/>
                <w:sz w:val="18"/>
                <w:szCs w:val="18"/>
                <w:u w:val="none"/>
              </w:rPr>
            </w:pPr>
          </w:p>
        </w:tc>
      </w:tr>
      <w:tr w14:paraId="2A5CB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614D4">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CEA0A">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23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A9AF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D379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D003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75DD2">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673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8280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8E74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6FCD2">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BD669">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BA2DC">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B186">
            <w:pPr>
              <w:jc w:val="center"/>
              <w:rPr>
                <w:rFonts w:hint="eastAsia" w:ascii="宋体" w:hAnsi="宋体" w:eastAsia="宋体" w:cs="宋体"/>
                <w:i w:val="0"/>
                <w:iCs w:val="0"/>
                <w:color w:val="000000"/>
                <w:sz w:val="18"/>
                <w:szCs w:val="18"/>
                <w:u w:val="none"/>
              </w:rPr>
            </w:pPr>
          </w:p>
        </w:tc>
      </w:tr>
      <w:tr w14:paraId="458A3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5019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6201A">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035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E8AC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6F78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8E34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8866">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F7A4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6F3C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EE22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507A1">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D3107">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BCF8B">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5DF5A">
            <w:pPr>
              <w:jc w:val="center"/>
              <w:rPr>
                <w:rFonts w:hint="eastAsia" w:ascii="宋体" w:hAnsi="宋体" w:eastAsia="宋体" w:cs="宋体"/>
                <w:i w:val="0"/>
                <w:iCs w:val="0"/>
                <w:color w:val="000000"/>
                <w:sz w:val="18"/>
                <w:szCs w:val="18"/>
                <w:u w:val="none"/>
              </w:rPr>
            </w:pPr>
          </w:p>
        </w:tc>
      </w:tr>
      <w:tr w14:paraId="1A57E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F7D2B">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B8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0C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4E4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C3050">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8AC7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7C6F0">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0E3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573B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9780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AE61">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3936C">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766C4">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D88A">
            <w:pPr>
              <w:jc w:val="center"/>
              <w:rPr>
                <w:rFonts w:hint="eastAsia" w:ascii="宋体" w:hAnsi="宋体" w:eastAsia="宋体" w:cs="宋体"/>
                <w:i w:val="0"/>
                <w:iCs w:val="0"/>
                <w:color w:val="000000"/>
                <w:sz w:val="18"/>
                <w:szCs w:val="18"/>
                <w:u w:val="none"/>
              </w:rPr>
            </w:pPr>
          </w:p>
        </w:tc>
      </w:tr>
      <w:tr w14:paraId="601C6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E601A">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4A044">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D5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C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11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0A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431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00B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03B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AB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A3B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E5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384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E941D">
            <w:pPr>
              <w:jc w:val="center"/>
              <w:rPr>
                <w:rFonts w:hint="eastAsia" w:ascii="宋体" w:hAnsi="宋体" w:eastAsia="宋体" w:cs="宋体"/>
                <w:i w:val="0"/>
                <w:iCs w:val="0"/>
                <w:color w:val="000000"/>
                <w:sz w:val="18"/>
                <w:szCs w:val="18"/>
                <w:u w:val="none"/>
              </w:rPr>
            </w:pPr>
          </w:p>
        </w:tc>
      </w:tr>
      <w:tr w14:paraId="74978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4FF54">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4F6B6">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6D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CC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83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ADE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20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612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41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673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6B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B0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DE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6576D">
            <w:pPr>
              <w:jc w:val="center"/>
              <w:rPr>
                <w:rFonts w:hint="eastAsia" w:ascii="宋体" w:hAnsi="宋体" w:eastAsia="宋体" w:cs="宋体"/>
                <w:i w:val="0"/>
                <w:iCs w:val="0"/>
                <w:color w:val="000000"/>
                <w:sz w:val="18"/>
                <w:szCs w:val="18"/>
                <w:u w:val="none"/>
              </w:rPr>
            </w:pPr>
          </w:p>
        </w:tc>
      </w:tr>
      <w:tr w14:paraId="4DDB8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573FF">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B1DBD">
            <w:pPr>
              <w:jc w:val="cente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5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93E0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A2C3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FC11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053D3">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95BA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F341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F661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42E3C">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51AC5">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00B67">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B7674">
            <w:pPr>
              <w:jc w:val="center"/>
              <w:rPr>
                <w:rFonts w:hint="eastAsia" w:ascii="宋体" w:hAnsi="宋体" w:eastAsia="宋体" w:cs="宋体"/>
                <w:i w:val="0"/>
                <w:iCs w:val="0"/>
                <w:color w:val="000000"/>
                <w:sz w:val="18"/>
                <w:szCs w:val="18"/>
                <w:u w:val="none"/>
              </w:rPr>
            </w:pPr>
          </w:p>
        </w:tc>
      </w:tr>
      <w:tr w14:paraId="0CCC7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4B12D">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17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8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C6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EA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DC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59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02D4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27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F8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E4C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90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BF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387A9">
            <w:pPr>
              <w:jc w:val="center"/>
              <w:rPr>
                <w:rFonts w:hint="eastAsia" w:ascii="宋体" w:hAnsi="宋体" w:eastAsia="宋体" w:cs="宋体"/>
                <w:i w:val="0"/>
                <w:iCs w:val="0"/>
                <w:color w:val="000000"/>
                <w:sz w:val="18"/>
                <w:szCs w:val="18"/>
                <w:u w:val="none"/>
              </w:rPr>
            </w:pPr>
          </w:p>
        </w:tc>
      </w:tr>
      <w:bookmarkEnd w:id="151"/>
      <w:tr w14:paraId="698B9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12" w:type="pct"/>
            <w:gridSpan w:val="4"/>
            <w:tcBorders>
              <w:top w:val="single" w:color="000000" w:sz="4" w:space="0"/>
              <w:left w:val="single" w:color="000000" w:sz="4" w:space="0"/>
              <w:bottom w:val="single" w:color="000000" w:sz="4" w:space="0"/>
              <w:right w:val="nil"/>
            </w:tcBorders>
            <w:shd w:val="clear" w:color="auto" w:fill="auto"/>
            <w:vAlign w:val="center"/>
          </w:tcPr>
          <w:p w14:paraId="3CC9EE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D8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26C6E68D">
            <w:pP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B8F9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0C76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E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CA65E">
            <w:pP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5C50">
            <w:pP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2276">
            <w:pP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9CE4A">
            <w:pP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AB3B5">
            <w:pPr>
              <w:rPr>
                <w:rFonts w:hint="eastAsia" w:ascii="宋体" w:hAnsi="宋体" w:eastAsia="宋体" w:cs="宋体"/>
                <w:i w:val="0"/>
                <w:iCs w:val="0"/>
                <w:color w:val="000000"/>
                <w:sz w:val="18"/>
                <w:szCs w:val="18"/>
                <w:u w:val="none"/>
              </w:rPr>
            </w:pPr>
          </w:p>
        </w:tc>
      </w:tr>
    </w:tbl>
    <w:p w14:paraId="77A632DC">
      <w:pPr>
        <w:ind w:left="0" w:leftChars="0" w:firstLine="0" w:firstLineChars="0"/>
        <w:rPr>
          <w:rFonts w:hint="default" w:ascii="Times New Roman" w:hAnsi="Times New Roman" w:cs="Times New Roman"/>
        </w:rPr>
      </w:pPr>
      <w:r>
        <w:rPr>
          <w:rFonts w:hint="default" w:ascii="Times New Roman" w:hAnsi="Times New Roman" w:cs="Times New Roman"/>
        </w:rPr>
        <w:br w:type="page"/>
      </w:r>
    </w:p>
    <w:p w14:paraId="17B809C4">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pPr>
      <w:bookmarkStart w:id="149" w:name="_Toc11223"/>
      <w:bookmarkStart w:id="150" w:name="_Toc15067"/>
      <w:r>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49"/>
      <w:bookmarkEnd w:id="150"/>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0FA2E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791069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一级指标</w:t>
            </w:r>
          </w:p>
        </w:tc>
        <w:tc>
          <w:tcPr>
            <w:tcW w:w="727" w:type="dxa"/>
            <w:shd w:val="clear" w:color="auto" w:fill="auto"/>
            <w:noWrap w:val="0"/>
            <w:vAlign w:val="center"/>
          </w:tcPr>
          <w:p w14:paraId="574F70A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二级指标</w:t>
            </w:r>
          </w:p>
        </w:tc>
        <w:tc>
          <w:tcPr>
            <w:tcW w:w="820" w:type="dxa"/>
            <w:shd w:val="clear" w:color="auto" w:fill="auto"/>
            <w:noWrap w:val="0"/>
            <w:vAlign w:val="center"/>
          </w:tcPr>
          <w:p w14:paraId="2E9CB21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三级指标</w:t>
            </w:r>
          </w:p>
        </w:tc>
        <w:tc>
          <w:tcPr>
            <w:tcW w:w="2141" w:type="dxa"/>
            <w:shd w:val="clear" w:color="auto" w:fill="auto"/>
            <w:noWrap w:val="0"/>
            <w:vAlign w:val="center"/>
          </w:tcPr>
          <w:p w14:paraId="16C04AF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指标解释</w:t>
            </w:r>
          </w:p>
        </w:tc>
        <w:tc>
          <w:tcPr>
            <w:tcW w:w="7821" w:type="dxa"/>
            <w:shd w:val="clear" w:color="auto" w:fill="auto"/>
            <w:noWrap w:val="0"/>
            <w:vAlign w:val="center"/>
          </w:tcPr>
          <w:p w14:paraId="39E8406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指标说明</w:t>
            </w:r>
          </w:p>
        </w:tc>
        <w:tc>
          <w:tcPr>
            <w:tcW w:w="785" w:type="dxa"/>
            <w:shd w:val="clear" w:color="auto" w:fill="auto"/>
            <w:noWrap w:val="0"/>
            <w:vAlign w:val="center"/>
          </w:tcPr>
          <w:p w14:paraId="543E83D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eastAsia="宋体" w:cs="Times New Roman"/>
                <w:b/>
                <w:bCs/>
                <w:color w:val="auto"/>
                <w:kern w:val="0"/>
                <w:sz w:val="22"/>
                <w:szCs w:val="22"/>
                <w:highlight w:val="none"/>
                <w:lang w:val="en-US" w:eastAsia="zh-CN"/>
              </w:rPr>
              <w:t>分值</w:t>
            </w:r>
          </w:p>
        </w:tc>
        <w:tc>
          <w:tcPr>
            <w:tcW w:w="769" w:type="dxa"/>
            <w:shd w:val="clear" w:color="auto" w:fill="auto"/>
            <w:noWrap w:val="0"/>
            <w:vAlign w:val="center"/>
          </w:tcPr>
          <w:p w14:paraId="7D44FAB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eastAsia="宋体" w:cs="Times New Roman"/>
                <w:b/>
                <w:bCs/>
                <w:color w:val="auto"/>
                <w:kern w:val="0"/>
                <w:sz w:val="22"/>
                <w:szCs w:val="22"/>
                <w:highlight w:val="none"/>
                <w:lang w:val="en-US" w:eastAsia="zh-CN"/>
              </w:rPr>
              <w:t>得分</w:t>
            </w:r>
          </w:p>
        </w:tc>
      </w:tr>
      <w:tr w14:paraId="2C391D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6FB76F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决策　</w:t>
            </w:r>
          </w:p>
          <w:p w14:paraId="72C18994">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p w14:paraId="56CB1DE5">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tc>
        <w:tc>
          <w:tcPr>
            <w:tcW w:w="727" w:type="dxa"/>
            <w:vMerge w:val="restart"/>
            <w:shd w:val="clear" w:color="auto" w:fill="auto"/>
            <w:noWrap w:val="0"/>
            <w:vAlign w:val="center"/>
          </w:tcPr>
          <w:p w14:paraId="2DC2D8C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项目立项　</w:t>
            </w:r>
          </w:p>
        </w:tc>
        <w:tc>
          <w:tcPr>
            <w:tcW w:w="820" w:type="dxa"/>
            <w:shd w:val="clear" w:color="auto" w:fill="auto"/>
            <w:noWrap w:val="0"/>
            <w:vAlign w:val="center"/>
          </w:tcPr>
          <w:p w14:paraId="5A33AD74">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立项依据</w:t>
            </w:r>
          </w:p>
          <w:p w14:paraId="38CF664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充分性</w:t>
            </w:r>
          </w:p>
        </w:tc>
        <w:tc>
          <w:tcPr>
            <w:tcW w:w="2141" w:type="dxa"/>
            <w:shd w:val="clear" w:color="auto" w:fill="auto"/>
            <w:noWrap w:val="0"/>
            <w:vAlign w:val="center"/>
          </w:tcPr>
          <w:p w14:paraId="676C527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0AC7DF7A">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4C536067">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①项目立项是否符合国家法律法规、国民经济发展规划和相关政策；</w:t>
            </w:r>
          </w:p>
          <w:p w14:paraId="56BE88E9">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②项目立项是否符合行业发展规划和政策要求；</w:t>
            </w:r>
          </w:p>
          <w:p w14:paraId="74428623">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③项目立项是否与部门职责范围相符，属于部门履职所需；</w:t>
            </w:r>
          </w:p>
          <w:p w14:paraId="67C4B1F7">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④项目是否属于公共财政支持范围，是否符合中央、地方事权支出责任划分原则；</w:t>
            </w:r>
          </w:p>
          <w:p w14:paraId="47AF4599">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B230B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769" w:type="dxa"/>
            <w:shd w:val="clear" w:color="auto" w:fill="auto"/>
            <w:noWrap w:val="0"/>
            <w:vAlign w:val="center"/>
          </w:tcPr>
          <w:p w14:paraId="00DFD45F">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w:t>
            </w:r>
          </w:p>
        </w:tc>
      </w:tr>
      <w:tr w14:paraId="1EBFF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023DC8BF">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1BD6E36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6F937AB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立项程序</w:t>
            </w:r>
          </w:p>
          <w:p w14:paraId="5DBBD2B1">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规范性</w:t>
            </w:r>
          </w:p>
        </w:tc>
        <w:tc>
          <w:tcPr>
            <w:tcW w:w="2141" w:type="dxa"/>
            <w:shd w:val="clear" w:color="auto" w:fill="auto"/>
            <w:noWrap w:val="0"/>
            <w:vAlign w:val="center"/>
          </w:tcPr>
          <w:p w14:paraId="1209B8F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0B1E94D0">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58A62179">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①项目是否按照规定的程序申请设立；</w:t>
            </w:r>
          </w:p>
          <w:p w14:paraId="7D6528B3">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②审批文件、材料是否符合相关要求；</w:t>
            </w:r>
          </w:p>
          <w:p w14:paraId="2D8624B7">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60B55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769" w:type="dxa"/>
            <w:shd w:val="clear" w:color="auto" w:fill="auto"/>
            <w:noWrap w:val="0"/>
            <w:vAlign w:val="center"/>
          </w:tcPr>
          <w:p w14:paraId="0BD42966">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2.2</w:t>
            </w:r>
          </w:p>
        </w:tc>
      </w:tr>
      <w:tr w14:paraId="7F16F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9B1BD11">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182579A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绩效目标　</w:t>
            </w:r>
          </w:p>
        </w:tc>
        <w:tc>
          <w:tcPr>
            <w:tcW w:w="820" w:type="dxa"/>
            <w:shd w:val="clear" w:color="auto" w:fill="auto"/>
            <w:noWrap w:val="0"/>
            <w:vAlign w:val="center"/>
          </w:tcPr>
          <w:p w14:paraId="1003DA0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绩效目标</w:t>
            </w:r>
          </w:p>
          <w:p w14:paraId="7415706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合理性</w:t>
            </w:r>
          </w:p>
        </w:tc>
        <w:tc>
          <w:tcPr>
            <w:tcW w:w="2141" w:type="dxa"/>
            <w:shd w:val="clear" w:color="auto" w:fill="auto"/>
            <w:noWrap w:val="0"/>
            <w:vAlign w:val="center"/>
          </w:tcPr>
          <w:p w14:paraId="15B63C8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9A2B06F">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02CEC807">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（如未设定预算绩效目标，也可考核其他工作任务目标）</w:t>
            </w:r>
          </w:p>
          <w:p w14:paraId="650FAE2E">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①项目是否有绩效目标；</w:t>
            </w:r>
          </w:p>
          <w:p w14:paraId="78B6D2E9">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②项目绩效目标与实际工作内容是否具有相关性；</w:t>
            </w:r>
          </w:p>
          <w:p w14:paraId="6C8EABF9">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③项目预期产出效益和效果是否符合正常的业绩水平；</w:t>
            </w:r>
          </w:p>
          <w:p w14:paraId="7190ACE5">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④是否与预算确定的项目投资额或资金量相匹配。</w:t>
            </w:r>
          </w:p>
        </w:tc>
        <w:tc>
          <w:tcPr>
            <w:tcW w:w="785" w:type="dxa"/>
            <w:shd w:val="clear" w:color="auto" w:fill="auto"/>
            <w:noWrap w:val="0"/>
            <w:vAlign w:val="center"/>
          </w:tcPr>
          <w:p w14:paraId="543D72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769" w:type="dxa"/>
            <w:shd w:val="clear" w:color="auto" w:fill="auto"/>
            <w:noWrap w:val="0"/>
            <w:vAlign w:val="center"/>
          </w:tcPr>
          <w:p w14:paraId="6AD3037F">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75CCB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0A0161E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决策　</w:t>
            </w:r>
          </w:p>
        </w:tc>
        <w:tc>
          <w:tcPr>
            <w:tcW w:w="727" w:type="dxa"/>
            <w:shd w:val="clear" w:color="auto" w:fill="auto"/>
            <w:noWrap w:val="0"/>
            <w:vAlign w:val="center"/>
          </w:tcPr>
          <w:p w14:paraId="23348FA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绩效目标</w:t>
            </w:r>
          </w:p>
        </w:tc>
        <w:tc>
          <w:tcPr>
            <w:tcW w:w="820" w:type="dxa"/>
            <w:shd w:val="clear" w:color="auto" w:fill="auto"/>
            <w:noWrap w:val="0"/>
            <w:vAlign w:val="center"/>
          </w:tcPr>
          <w:p w14:paraId="08F39A2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绩效指标</w:t>
            </w:r>
          </w:p>
          <w:p w14:paraId="6E01244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明确性</w:t>
            </w:r>
          </w:p>
        </w:tc>
        <w:tc>
          <w:tcPr>
            <w:tcW w:w="2141" w:type="dxa"/>
            <w:shd w:val="clear" w:color="auto" w:fill="auto"/>
            <w:noWrap w:val="0"/>
            <w:vAlign w:val="center"/>
          </w:tcPr>
          <w:p w14:paraId="3BC4D27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729A6CE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05B8A06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①是否将项目绩效目标细化分解为具体的绩效指标；</w:t>
            </w:r>
          </w:p>
          <w:p w14:paraId="7294AFE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②是否通过清晰、可衡量的指标值予以体现；</w:t>
            </w:r>
          </w:p>
          <w:p w14:paraId="5B77FE9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③是否与项目目标任务数或计划数相对应。</w:t>
            </w:r>
          </w:p>
          <w:p w14:paraId="58D8A6E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tc>
        <w:tc>
          <w:tcPr>
            <w:tcW w:w="785" w:type="dxa"/>
            <w:shd w:val="clear" w:color="auto" w:fill="auto"/>
            <w:noWrap w:val="0"/>
            <w:vAlign w:val="center"/>
          </w:tcPr>
          <w:p w14:paraId="7F5A6C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769" w:type="dxa"/>
            <w:shd w:val="clear" w:color="auto" w:fill="auto"/>
            <w:noWrap w:val="0"/>
            <w:vAlign w:val="center"/>
          </w:tcPr>
          <w:p w14:paraId="27A5991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325C5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72A7A4BC">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restart"/>
            <w:shd w:val="clear" w:color="auto" w:fill="auto"/>
            <w:noWrap w:val="0"/>
            <w:vAlign w:val="center"/>
          </w:tcPr>
          <w:p w14:paraId="0DB8AE9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资金投入</w:t>
            </w:r>
          </w:p>
          <w:p w14:paraId="60AC80B4">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tc>
        <w:tc>
          <w:tcPr>
            <w:tcW w:w="820" w:type="dxa"/>
            <w:shd w:val="clear" w:color="auto" w:fill="auto"/>
            <w:noWrap w:val="0"/>
            <w:vAlign w:val="center"/>
          </w:tcPr>
          <w:p w14:paraId="0474349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预算编制</w:t>
            </w:r>
          </w:p>
          <w:p w14:paraId="2477414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科学性</w:t>
            </w:r>
          </w:p>
        </w:tc>
        <w:tc>
          <w:tcPr>
            <w:tcW w:w="2141" w:type="dxa"/>
            <w:shd w:val="clear" w:color="auto" w:fill="auto"/>
            <w:noWrap w:val="0"/>
            <w:vAlign w:val="center"/>
          </w:tcPr>
          <w:p w14:paraId="7D6C4F4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7751E10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5D7024A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①预算编制是否经过科学论证；</w:t>
            </w:r>
          </w:p>
          <w:p w14:paraId="24AA2E5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②预算内容与项目内容是否匹配；</w:t>
            </w:r>
          </w:p>
          <w:p w14:paraId="391C3B0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③预算额度测算依据是否充分，是否按照标准编制；</w:t>
            </w:r>
          </w:p>
          <w:p w14:paraId="336102E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EA2E2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769" w:type="dxa"/>
            <w:shd w:val="clear" w:color="auto" w:fill="auto"/>
            <w:noWrap w:val="0"/>
            <w:vAlign w:val="center"/>
          </w:tcPr>
          <w:p w14:paraId="59ACBD3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2</w:t>
            </w:r>
          </w:p>
        </w:tc>
      </w:tr>
      <w:tr w14:paraId="0DE7D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ED0139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43EC6CF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5205027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资金分配</w:t>
            </w:r>
          </w:p>
          <w:p w14:paraId="22F79CB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合理性</w:t>
            </w:r>
          </w:p>
        </w:tc>
        <w:tc>
          <w:tcPr>
            <w:tcW w:w="2141" w:type="dxa"/>
            <w:shd w:val="clear" w:color="auto" w:fill="auto"/>
            <w:noWrap w:val="0"/>
            <w:vAlign w:val="center"/>
          </w:tcPr>
          <w:p w14:paraId="3127968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2C6A7B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4450115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①预算资金分配依据是否充分；</w:t>
            </w:r>
          </w:p>
          <w:p w14:paraId="1461A6F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571E47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769" w:type="dxa"/>
            <w:shd w:val="clear" w:color="auto" w:fill="auto"/>
            <w:noWrap w:val="0"/>
            <w:vAlign w:val="center"/>
          </w:tcPr>
          <w:p w14:paraId="1A0758D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3</w:t>
            </w:r>
          </w:p>
        </w:tc>
      </w:tr>
      <w:tr w14:paraId="53891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21C2651">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过程</w:t>
            </w:r>
          </w:p>
        </w:tc>
        <w:tc>
          <w:tcPr>
            <w:tcW w:w="727" w:type="dxa"/>
            <w:vMerge w:val="restart"/>
            <w:shd w:val="clear" w:color="auto" w:fill="auto"/>
            <w:noWrap w:val="0"/>
            <w:vAlign w:val="center"/>
          </w:tcPr>
          <w:p w14:paraId="340127D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资金管理</w:t>
            </w:r>
          </w:p>
        </w:tc>
        <w:tc>
          <w:tcPr>
            <w:tcW w:w="820" w:type="dxa"/>
            <w:shd w:val="clear" w:color="auto" w:fill="auto"/>
            <w:noWrap w:val="0"/>
            <w:vAlign w:val="center"/>
          </w:tcPr>
          <w:p w14:paraId="2A7A0B4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资金到位率</w:t>
            </w:r>
          </w:p>
        </w:tc>
        <w:tc>
          <w:tcPr>
            <w:tcW w:w="2141" w:type="dxa"/>
            <w:shd w:val="clear" w:color="auto" w:fill="auto"/>
            <w:noWrap w:val="0"/>
            <w:vAlign w:val="center"/>
          </w:tcPr>
          <w:p w14:paraId="14AF30A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12C52CC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资金到位率=（</w:t>
            </w:r>
          </w:p>
          <w:p w14:paraId="28C1DF6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实际到位资金/预算资金）×100%。</w:t>
            </w:r>
          </w:p>
          <w:p w14:paraId="51D144A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实际到位资金：一定时期（本年度或项目期）内落实到具体项目的资金。</w:t>
            </w:r>
          </w:p>
          <w:p w14:paraId="6FF1762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B3F6F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4ADE925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6873E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2DDD17B6">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346884ED">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4C5AB58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预算执行率</w:t>
            </w:r>
          </w:p>
        </w:tc>
        <w:tc>
          <w:tcPr>
            <w:tcW w:w="2141" w:type="dxa"/>
            <w:shd w:val="clear" w:color="auto" w:fill="auto"/>
            <w:noWrap w:val="0"/>
            <w:vAlign w:val="center"/>
          </w:tcPr>
          <w:p w14:paraId="6F31E1F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4ABDBAD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预算执行率=（实际支出资金/实际到位资金）×100%。</w:t>
            </w:r>
          </w:p>
          <w:p w14:paraId="3056BD4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27435E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0B40F11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45A15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E2BE464">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p w14:paraId="5E47C0AF">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过程　</w:t>
            </w:r>
          </w:p>
        </w:tc>
        <w:tc>
          <w:tcPr>
            <w:tcW w:w="727" w:type="dxa"/>
            <w:shd w:val="clear" w:color="auto" w:fill="auto"/>
            <w:noWrap w:val="0"/>
            <w:vAlign w:val="center"/>
          </w:tcPr>
          <w:p w14:paraId="5310472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资金管理</w:t>
            </w:r>
          </w:p>
        </w:tc>
        <w:tc>
          <w:tcPr>
            <w:tcW w:w="820" w:type="dxa"/>
            <w:shd w:val="clear" w:color="auto" w:fill="auto"/>
            <w:noWrap w:val="0"/>
            <w:vAlign w:val="center"/>
          </w:tcPr>
          <w:p w14:paraId="112421E2">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资金使用</w:t>
            </w:r>
          </w:p>
          <w:p w14:paraId="5622A50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合规性</w:t>
            </w:r>
          </w:p>
        </w:tc>
        <w:tc>
          <w:tcPr>
            <w:tcW w:w="2141" w:type="dxa"/>
            <w:shd w:val="clear" w:color="auto" w:fill="auto"/>
            <w:noWrap w:val="0"/>
            <w:vAlign w:val="center"/>
          </w:tcPr>
          <w:p w14:paraId="49446DF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738317C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3B44E9D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①是否符合国家财经法规和财务管理制度以及有关专项资金管理办法的规定；</w:t>
            </w:r>
          </w:p>
          <w:p w14:paraId="52015E2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②资金的拨付是否有完整的审批程序和手续；</w:t>
            </w:r>
          </w:p>
          <w:p w14:paraId="08A4A90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③是否符合项目预算批复或合同规定的用途；</w:t>
            </w:r>
          </w:p>
          <w:p w14:paraId="3E8125F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④是否存在截留、挤占、挪用、虚列支出等情况。</w:t>
            </w:r>
          </w:p>
        </w:tc>
        <w:tc>
          <w:tcPr>
            <w:tcW w:w="785" w:type="dxa"/>
            <w:shd w:val="clear" w:color="auto" w:fill="auto"/>
            <w:noWrap w:val="0"/>
            <w:vAlign w:val="center"/>
          </w:tcPr>
          <w:p w14:paraId="764A3D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329D999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6BEB6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A7961D8">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restart"/>
            <w:shd w:val="clear" w:color="auto" w:fill="auto"/>
            <w:noWrap w:val="0"/>
            <w:vAlign w:val="center"/>
          </w:tcPr>
          <w:p w14:paraId="167A598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组织实施</w:t>
            </w:r>
          </w:p>
          <w:p w14:paraId="3B0CD7F4">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　</w:t>
            </w:r>
          </w:p>
        </w:tc>
        <w:tc>
          <w:tcPr>
            <w:tcW w:w="820" w:type="dxa"/>
            <w:shd w:val="clear" w:color="auto" w:fill="auto"/>
            <w:noWrap w:val="0"/>
            <w:vAlign w:val="center"/>
          </w:tcPr>
          <w:p w14:paraId="1E20754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管理制度</w:t>
            </w:r>
          </w:p>
          <w:p w14:paraId="0904801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健全性</w:t>
            </w:r>
          </w:p>
        </w:tc>
        <w:tc>
          <w:tcPr>
            <w:tcW w:w="2141" w:type="dxa"/>
            <w:shd w:val="clear" w:color="auto" w:fill="auto"/>
            <w:noWrap w:val="0"/>
            <w:vAlign w:val="center"/>
          </w:tcPr>
          <w:p w14:paraId="64709CC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C27BE0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464A73F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①是否已制定或具有相应的财务和业务管理制度；</w:t>
            </w:r>
          </w:p>
          <w:p w14:paraId="11BE39A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②财务和业务管理制度是否合法、合规、完整。</w:t>
            </w:r>
          </w:p>
        </w:tc>
        <w:tc>
          <w:tcPr>
            <w:tcW w:w="785" w:type="dxa"/>
            <w:shd w:val="clear" w:color="auto" w:fill="auto"/>
            <w:noWrap w:val="0"/>
            <w:vAlign w:val="center"/>
          </w:tcPr>
          <w:p w14:paraId="6C4C09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0A9A7D2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2FFAF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C91C2B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11238E5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7345920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制度执行</w:t>
            </w:r>
          </w:p>
          <w:p w14:paraId="18C36C8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有效性</w:t>
            </w:r>
          </w:p>
        </w:tc>
        <w:tc>
          <w:tcPr>
            <w:tcW w:w="2141" w:type="dxa"/>
            <w:shd w:val="clear" w:color="auto" w:fill="auto"/>
            <w:noWrap w:val="0"/>
            <w:vAlign w:val="center"/>
          </w:tcPr>
          <w:p w14:paraId="44465DE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2F417B0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评价要点：</w:t>
            </w:r>
          </w:p>
          <w:p w14:paraId="16F131F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①是否遵守相关法律法规和相关管理规定；</w:t>
            </w:r>
          </w:p>
          <w:p w14:paraId="738626D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②项目调整及支出调整手续是否完备；</w:t>
            </w:r>
          </w:p>
          <w:p w14:paraId="71F8ED0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③项目合同书、验收报告、技术鉴定等资料是否齐全并及时归档；</w:t>
            </w:r>
          </w:p>
          <w:p w14:paraId="730CF56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52B6C7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6B25929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4</w:t>
            </w:r>
          </w:p>
        </w:tc>
      </w:tr>
      <w:tr w14:paraId="2E3B14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5F9F84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w:t>
            </w:r>
          </w:p>
        </w:tc>
        <w:tc>
          <w:tcPr>
            <w:tcW w:w="727" w:type="dxa"/>
            <w:shd w:val="clear" w:color="auto" w:fill="auto"/>
            <w:noWrap w:val="0"/>
            <w:vAlign w:val="center"/>
          </w:tcPr>
          <w:p w14:paraId="2F9A1E1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产出数量</w:t>
            </w:r>
          </w:p>
        </w:tc>
        <w:tc>
          <w:tcPr>
            <w:tcW w:w="820" w:type="dxa"/>
            <w:shd w:val="clear" w:color="auto" w:fill="auto"/>
            <w:noWrap w:val="0"/>
            <w:vAlign w:val="center"/>
          </w:tcPr>
          <w:p w14:paraId="1C5A1D8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在校学生人数</w:t>
            </w:r>
          </w:p>
        </w:tc>
        <w:tc>
          <w:tcPr>
            <w:tcW w:w="2141" w:type="dxa"/>
            <w:shd w:val="clear" w:color="auto" w:fill="auto"/>
            <w:noWrap w:val="0"/>
            <w:vAlign w:val="center"/>
          </w:tcPr>
          <w:p w14:paraId="030C746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F9A9C6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实际完成率=（实际产出数/计划产出数）×100%。</w:t>
            </w:r>
          </w:p>
          <w:p w14:paraId="1C7E5E7C">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实际产出数：一定时期（本年度或项目期）内项目实际产出的产品或提供的服务数量。</w:t>
            </w:r>
          </w:p>
          <w:p w14:paraId="7CA669B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5261C6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c>
          <w:tcPr>
            <w:tcW w:w="769" w:type="dxa"/>
            <w:shd w:val="clear" w:color="auto" w:fill="auto"/>
            <w:noWrap w:val="0"/>
            <w:vAlign w:val="center"/>
          </w:tcPr>
          <w:p w14:paraId="6C7A8AF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14:paraId="39B13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4B15503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w:t>
            </w:r>
          </w:p>
        </w:tc>
        <w:tc>
          <w:tcPr>
            <w:tcW w:w="727" w:type="dxa"/>
            <w:vMerge w:val="restart"/>
            <w:shd w:val="clear" w:color="auto" w:fill="auto"/>
            <w:noWrap w:val="0"/>
            <w:vAlign w:val="center"/>
          </w:tcPr>
          <w:p w14:paraId="39F1CF3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产出质量</w:t>
            </w:r>
          </w:p>
        </w:tc>
        <w:tc>
          <w:tcPr>
            <w:tcW w:w="820" w:type="dxa"/>
            <w:shd w:val="clear" w:color="auto" w:fill="auto"/>
            <w:noWrap w:val="0"/>
            <w:vAlign w:val="center"/>
          </w:tcPr>
          <w:p w14:paraId="7997F070">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公用经费享受比例</w:t>
            </w:r>
          </w:p>
        </w:tc>
        <w:tc>
          <w:tcPr>
            <w:tcW w:w="2141" w:type="dxa"/>
            <w:shd w:val="clear" w:color="auto" w:fill="auto"/>
            <w:noWrap w:val="0"/>
            <w:vAlign w:val="center"/>
          </w:tcPr>
          <w:p w14:paraId="1990F4F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3A48D3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质量达标率=（质量达标产出数/实际产出数）×100%。</w:t>
            </w:r>
          </w:p>
          <w:p w14:paraId="5D856DE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EAB51D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160FCD50">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1249C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294A83F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55E9216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68F677D4">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教师培训结业率</w:t>
            </w:r>
          </w:p>
        </w:tc>
        <w:tc>
          <w:tcPr>
            <w:tcW w:w="2141" w:type="dxa"/>
            <w:shd w:val="clear" w:color="auto" w:fill="auto"/>
            <w:noWrap w:val="0"/>
            <w:vAlign w:val="center"/>
          </w:tcPr>
          <w:p w14:paraId="00EB72B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16E7C7E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质量达标率=（质量达标产出数/实际产出数）×100%。</w:t>
            </w:r>
          </w:p>
          <w:p w14:paraId="0368028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265953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276CCDDB">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0726F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93A4E63">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16A54328">
            <w:pPr>
              <w:pageBreakBefore w:val="0"/>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产出时效</w:t>
            </w:r>
          </w:p>
        </w:tc>
        <w:tc>
          <w:tcPr>
            <w:tcW w:w="820" w:type="dxa"/>
            <w:shd w:val="clear" w:color="auto" w:fill="auto"/>
            <w:noWrap w:val="0"/>
            <w:vAlign w:val="center"/>
          </w:tcPr>
          <w:p w14:paraId="11640886">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公用经费支出及时率</w:t>
            </w:r>
          </w:p>
        </w:tc>
        <w:tc>
          <w:tcPr>
            <w:tcW w:w="2141" w:type="dxa"/>
            <w:shd w:val="clear" w:color="auto" w:fill="auto"/>
            <w:noWrap w:val="0"/>
            <w:vAlign w:val="center"/>
          </w:tcPr>
          <w:p w14:paraId="0848BEE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2C5340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实际完成时间：项目实施单位完成该项目实际所耗用的时间。</w:t>
            </w:r>
          </w:p>
          <w:p w14:paraId="51F86475">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CAA507F">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c>
          <w:tcPr>
            <w:tcW w:w="769" w:type="dxa"/>
            <w:shd w:val="clear" w:color="auto" w:fill="auto"/>
            <w:noWrap w:val="0"/>
            <w:vAlign w:val="center"/>
          </w:tcPr>
          <w:p w14:paraId="78F7A85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14:paraId="36823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6" w:hRule="atLeast"/>
          <w:jc w:val="center"/>
        </w:trPr>
        <w:tc>
          <w:tcPr>
            <w:tcW w:w="861" w:type="dxa"/>
            <w:vMerge w:val="continue"/>
            <w:shd w:val="clear" w:color="auto" w:fill="auto"/>
            <w:noWrap w:val="0"/>
            <w:vAlign w:val="center"/>
          </w:tcPr>
          <w:p w14:paraId="144826B5">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shd w:val="clear" w:color="auto" w:fill="auto"/>
            <w:noWrap w:val="0"/>
            <w:vAlign w:val="center"/>
          </w:tcPr>
          <w:p w14:paraId="27F68E1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产出成本</w:t>
            </w:r>
          </w:p>
        </w:tc>
        <w:tc>
          <w:tcPr>
            <w:tcW w:w="820" w:type="dxa"/>
            <w:shd w:val="clear" w:color="auto" w:fill="auto"/>
            <w:noWrap w:val="0"/>
            <w:vAlign w:val="center"/>
          </w:tcPr>
          <w:p w14:paraId="59C0ADCF">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公用经费标准</w:t>
            </w:r>
          </w:p>
        </w:tc>
        <w:tc>
          <w:tcPr>
            <w:tcW w:w="2141" w:type="dxa"/>
            <w:shd w:val="clear" w:color="auto" w:fill="auto"/>
            <w:noWrap w:val="0"/>
            <w:vAlign w:val="center"/>
          </w:tcPr>
          <w:p w14:paraId="65473E32">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FFBC9D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p>
          <w:p w14:paraId="31538B33">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成本节约率=[（计划成本-实际成本）/计划成本]×100%。</w:t>
            </w:r>
          </w:p>
          <w:p w14:paraId="4D30130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eastAsia="宋体" w:cs="Times New Roman"/>
                <w:color w:val="auto"/>
                <w:kern w:val="0"/>
                <w:sz w:val="22"/>
                <w:szCs w:val="22"/>
                <w:highlight w:val="none"/>
              </w:rPr>
              <w:t>实际成本：项目实施单位如期、保质、保量完成既定工作目标实际所耗费的支出。</w:t>
            </w:r>
          </w:p>
          <w:p w14:paraId="3F00554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EFCDF96">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c>
          <w:tcPr>
            <w:tcW w:w="769" w:type="dxa"/>
            <w:shd w:val="clear" w:color="auto" w:fill="auto"/>
            <w:noWrap w:val="0"/>
            <w:vAlign w:val="center"/>
          </w:tcPr>
          <w:p w14:paraId="3135CD88">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14:paraId="57D30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00C1005D">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效益　</w:t>
            </w:r>
          </w:p>
        </w:tc>
        <w:tc>
          <w:tcPr>
            <w:tcW w:w="727" w:type="dxa"/>
            <w:vMerge w:val="restart"/>
            <w:shd w:val="clear" w:color="auto" w:fill="auto"/>
            <w:noWrap w:val="0"/>
            <w:vAlign w:val="center"/>
          </w:tcPr>
          <w:p w14:paraId="30F740A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项目效益　</w:t>
            </w:r>
          </w:p>
        </w:tc>
        <w:tc>
          <w:tcPr>
            <w:tcW w:w="820" w:type="dxa"/>
            <w:shd w:val="clear" w:color="auto" w:fill="auto"/>
            <w:noWrap w:val="0"/>
            <w:vAlign w:val="center"/>
          </w:tcPr>
          <w:p w14:paraId="00BE1857">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幼儿园正常运转率</w:t>
            </w:r>
          </w:p>
        </w:tc>
        <w:tc>
          <w:tcPr>
            <w:tcW w:w="2141" w:type="dxa"/>
            <w:shd w:val="clear" w:color="auto" w:fill="auto"/>
            <w:noWrap w:val="0"/>
            <w:vAlign w:val="center"/>
          </w:tcPr>
          <w:p w14:paraId="6E28BEB6">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项目实施所产生的效益。</w:t>
            </w:r>
          </w:p>
        </w:tc>
        <w:tc>
          <w:tcPr>
            <w:tcW w:w="7821" w:type="dxa"/>
            <w:shd w:val="clear" w:color="auto" w:fill="auto"/>
            <w:noWrap w:val="0"/>
            <w:vAlign w:val="center"/>
          </w:tcPr>
          <w:p w14:paraId="6497EF44">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0447C411">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c>
          <w:tcPr>
            <w:tcW w:w="769" w:type="dxa"/>
            <w:shd w:val="clear" w:color="auto" w:fill="auto"/>
            <w:noWrap w:val="0"/>
            <w:vAlign w:val="center"/>
          </w:tcPr>
          <w:p w14:paraId="2A277A5A">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5</w:t>
            </w:r>
          </w:p>
        </w:tc>
      </w:tr>
      <w:tr w14:paraId="2681A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162E498B">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758E713C">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2F5CB11E">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改善教学环境，提供良好的学生成长条件</w:t>
            </w:r>
          </w:p>
        </w:tc>
        <w:tc>
          <w:tcPr>
            <w:tcW w:w="2141" w:type="dxa"/>
            <w:shd w:val="clear" w:color="auto" w:fill="auto"/>
            <w:noWrap w:val="0"/>
            <w:vAlign w:val="center"/>
          </w:tcPr>
          <w:p w14:paraId="4BCF8606">
            <w:pPr>
              <w:pageBreakBefore w:val="0"/>
              <w:widowControl/>
              <w:kinsoku/>
              <w:wordWrap/>
              <w:overflowPunct/>
              <w:topLinePunct w:val="0"/>
              <w:autoSpaceDE/>
              <w:autoSpaceDN/>
              <w:bidi w:val="0"/>
              <w:spacing w:line="240" w:lineRule="auto"/>
              <w:ind w:firstLine="0" w:firstLineChars="0"/>
              <w:jc w:val="left"/>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项目实施所产生的效益。</w:t>
            </w:r>
          </w:p>
        </w:tc>
        <w:tc>
          <w:tcPr>
            <w:tcW w:w="7821" w:type="dxa"/>
            <w:shd w:val="clear" w:color="auto" w:fill="auto"/>
            <w:noWrap w:val="0"/>
            <w:vAlign w:val="center"/>
          </w:tcPr>
          <w:p w14:paraId="05249B5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0A5E89E">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7</w:t>
            </w:r>
          </w:p>
        </w:tc>
        <w:tc>
          <w:tcPr>
            <w:tcW w:w="769" w:type="dxa"/>
            <w:shd w:val="clear" w:color="auto" w:fill="auto"/>
            <w:noWrap w:val="0"/>
            <w:vAlign w:val="center"/>
          </w:tcPr>
          <w:p w14:paraId="2C1438E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7</w:t>
            </w:r>
          </w:p>
        </w:tc>
      </w:tr>
      <w:tr w14:paraId="48029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110055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27" w:type="dxa"/>
            <w:vMerge w:val="continue"/>
            <w:shd w:val="clear" w:color="auto" w:fill="auto"/>
            <w:noWrap w:val="0"/>
            <w:vAlign w:val="center"/>
          </w:tcPr>
          <w:p w14:paraId="16E6C16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820" w:type="dxa"/>
            <w:shd w:val="clear" w:color="auto" w:fill="auto"/>
            <w:noWrap w:val="0"/>
            <w:vAlign w:val="center"/>
          </w:tcPr>
          <w:p w14:paraId="7F4DD96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师生满意度</w:t>
            </w:r>
          </w:p>
        </w:tc>
        <w:tc>
          <w:tcPr>
            <w:tcW w:w="2141" w:type="dxa"/>
            <w:shd w:val="clear" w:color="auto" w:fill="auto"/>
            <w:noWrap w:val="0"/>
            <w:vAlign w:val="center"/>
          </w:tcPr>
          <w:p w14:paraId="11FC258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社会公众或服务对象对项目实施效果的满意程度。</w:t>
            </w:r>
          </w:p>
        </w:tc>
        <w:tc>
          <w:tcPr>
            <w:tcW w:w="7821" w:type="dxa"/>
            <w:shd w:val="clear" w:color="auto" w:fill="auto"/>
            <w:noWrap w:val="0"/>
            <w:vAlign w:val="center"/>
          </w:tcPr>
          <w:p w14:paraId="3FCA4197">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rPr>
            </w:pPr>
            <w:r>
              <w:rPr>
                <w:rFonts w:hint="default" w:ascii="Times New Roman" w:hAnsi="Times New Roman" w:eastAsia="宋体" w:cs="Times New Roman"/>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528CC4F9">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8</w:t>
            </w:r>
          </w:p>
        </w:tc>
        <w:tc>
          <w:tcPr>
            <w:tcW w:w="769" w:type="dxa"/>
            <w:shd w:val="clear" w:color="auto" w:fill="auto"/>
            <w:noWrap w:val="0"/>
            <w:vAlign w:val="center"/>
          </w:tcPr>
          <w:p w14:paraId="3D083F9D">
            <w:pPr>
              <w:pageBreakBefore w:val="0"/>
              <w:widowControl/>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8</w:t>
            </w:r>
          </w:p>
        </w:tc>
      </w:tr>
      <w:tr w14:paraId="6B133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53682E98">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eastAsia="宋体" w:cs="Times New Roman"/>
                <w:color w:val="auto"/>
                <w:kern w:val="0"/>
                <w:sz w:val="22"/>
                <w:szCs w:val="22"/>
                <w:highlight w:val="none"/>
                <w:lang w:val="en-US" w:eastAsia="zh-CN"/>
              </w:rPr>
              <w:t>合计</w:t>
            </w:r>
          </w:p>
        </w:tc>
        <w:tc>
          <w:tcPr>
            <w:tcW w:w="7821" w:type="dxa"/>
            <w:shd w:val="clear" w:color="auto" w:fill="auto"/>
            <w:noWrap w:val="0"/>
            <w:vAlign w:val="center"/>
          </w:tcPr>
          <w:p w14:paraId="6EC48AA3">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rPr>
            </w:pPr>
          </w:p>
        </w:tc>
        <w:tc>
          <w:tcPr>
            <w:tcW w:w="785" w:type="dxa"/>
            <w:shd w:val="clear" w:color="auto" w:fill="auto"/>
            <w:noWrap w:val="0"/>
            <w:vAlign w:val="center"/>
          </w:tcPr>
          <w:p w14:paraId="4B132309">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100</w:t>
            </w:r>
          </w:p>
        </w:tc>
        <w:tc>
          <w:tcPr>
            <w:tcW w:w="769" w:type="dxa"/>
            <w:shd w:val="clear" w:color="auto" w:fill="auto"/>
            <w:noWrap w:val="0"/>
            <w:vAlign w:val="center"/>
          </w:tcPr>
          <w:p w14:paraId="6BB9FCEA">
            <w:pPr>
              <w:pageBreakBefore w:val="0"/>
              <w:widowControl/>
              <w:kinsoku/>
              <w:wordWrap/>
              <w:overflowPunct/>
              <w:topLinePunct w:val="0"/>
              <w:autoSpaceDE/>
              <w:autoSpaceDN/>
              <w:bidi w:val="0"/>
              <w:spacing w:line="240" w:lineRule="auto"/>
              <w:ind w:firstLine="0" w:firstLineChars="0"/>
              <w:jc w:val="center"/>
              <w:textAlignment w:val="auto"/>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99.2</w:t>
            </w:r>
          </w:p>
        </w:tc>
      </w:tr>
    </w:tbl>
    <w:p w14:paraId="65CE3AA8">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sz w:val="30"/>
          <w:szCs w:val="24"/>
        </w:rPr>
      </w:pPr>
    </w:p>
    <w:p w14:paraId="25E6ACFD">
      <w:pPr>
        <w:pageBreakBefore w:val="0"/>
        <w:kinsoku/>
        <w:wordWrap/>
        <w:overflowPunct/>
        <w:topLinePunct w:val="0"/>
        <w:autoSpaceDE/>
        <w:autoSpaceDN/>
        <w:bidi w:val="0"/>
        <w:spacing w:line="560" w:lineRule="exact"/>
        <w:textAlignment w:val="auto"/>
        <w:rPr>
          <w:rFonts w:hint="default" w:ascii="Times New Roman" w:hAnsi="Times New Roman" w:cs="Times New Roman"/>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565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53CC82">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53CC82">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10694"/>
    <w:multiLevelType w:val="singleLevel"/>
    <w:tmpl w:val="03510694"/>
    <w:lvl w:ilvl="0" w:tentative="0">
      <w:start w:val="1"/>
      <w:numFmt w:val="decimal"/>
      <w:lvlText w:val="%1."/>
      <w:lvlJc w:val="left"/>
      <w:pPr>
        <w:tabs>
          <w:tab w:val="left" w:pos="312"/>
        </w:tabs>
      </w:pPr>
    </w:lvl>
  </w:abstractNum>
  <w:abstractNum w:abstractNumId="1">
    <w:nsid w:val="68E0B8C0"/>
    <w:multiLevelType w:val="singleLevel"/>
    <w:tmpl w:val="68E0B8C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4E32E5"/>
    <w:rsid w:val="04D12EE4"/>
    <w:rsid w:val="04D63993"/>
    <w:rsid w:val="07890F4F"/>
    <w:rsid w:val="08892439"/>
    <w:rsid w:val="08EB30F3"/>
    <w:rsid w:val="09237408"/>
    <w:rsid w:val="09781BD6"/>
    <w:rsid w:val="09F359DF"/>
    <w:rsid w:val="0A575E65"/>
    <w:rsid w:val="0AAB49BB"/>
    <w:rsid w:val="0ACA0AB6"/>
    <w:rsid w:val="0C032502"/>
    <w:rsid w:val="0C27698C"/>
    <w:rsid w:val="0D0518B5"/>
    <w:rsid w:val="0D4452F3"/>
    <w:rsid w:val="0E17176E"/>
    <w:rsid w:val="0F3E5AF1"/>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BD137C"/>
    <w:rsid w:val="38053EDF"/>
    <w:rsid w:val="380812A4"/>
    <w:rsid w:val="385D37E7"/>
    <w:rsid w:val="38782EDD"/>
    <w:rsid w:val="3B42664A"/>
    <w:rsid w:val="3BAC7960"/>
    <w:rsid w:val="3CAD1E92"/>
    <w:rsid w:val="3D836A4E"/>
    <w:rsid w:val="3EA37E97"/>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0B41CB"/>
    <w:rsid w:val="4B9F6E02"/>
    <w:rsid w:val="4C89637B"/>
    <w:rsid w:val="4E6E48A8"/>
    <w:rsid w:val="4EEC036B"/>
    <w:rsid w:val="4F714FA1"/>
    <w:rsid w:val="501D2673"/>
    <w:rsid w:val="50C80BF1"/>
    <w:rsid w:val="51852833"/>
    <w:rsid w:val="52F11AC8"/>
    <w:rsid w:val="534F49D9"/>
    <w:rsid w:val="53555F0F"/>
    <w:rsid w:val="535D23D5"/>
    <w:rsid w:val="54457F5D"/>
    <w:rsid w:val="56F4341A"/>
    <w:rsid w:val="575A7321"/>
    <w:rsid w:val="579B226C"/>
    <w:rsid w:val="580C3AB9"/>
    <w:rsid w:val="583C7AE0"/>
    <w:rsid w:val="586C1E9A"/>
    <w:rsid w:val="586E0800"/>
    <w:rsid w:val="59216F96"/>
    <w:rsid w:val="598C4145"/>
    <w:rsid w:val="59957D1B"/>
    <w:rsid w:val="59AB4FCA"/>
    <w:rsid w:val="59D4294E"/>
    <w:rsid w:val="5B634312"/>
    <w:rsid w:val="5B9D2CCD"/>
    <w:rsid w:val="5B9E71EA"/>
    <w:rsid w:val="5E226FBC"/>
    <w:rsid w:val="5E9767C7"/>
    <w:rsid w:val="5FE72BD2"/>
    <w:rsid w:val="60120613"/>
    <w:rsid w:val="618D5292"/>
    <w:rsid w:val="622E78FA"/>
    <w:rsid w:val="63343F70"/>
    <w:rsid w:val="64296E1C"/>
    <w:rsid w:val="64386FCC"/>
    <w:rsid w:val="649E64A2"/>
    <w:rsid w:val="64F45414"/>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941A16"/>
    <w:rsid w:val="78F31435"/>
    <w:rsid w:val="79300B45"/>
    <w:rsid w:val="794D3E18"/>
    <w:rsid w:val="79F3729A"/>
    <w:rsid w:val="7A880722"/>
    <w:rsid w:val="7ABE6120"/>
    <w:rsid w:val="7ACB0498"/>
    <w:rsid w:val="7AED0B4D"/>
    <w:rsid w:val="7C1E4487"/>
    <w:rsid w:val="7C215E02"/>
    <w:rsid w:val="7CF23764"/>
    <w:rsid w:val="7D851A94"/>
    <w:rsid w:val="7DBD4540"/>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10520</Words>
  <Characters>11210</Characters>
  <Lines>0</Lines>
  <Paragraphs>0</Paragraphs>
  <TotalTime>0</TotalTime>
  <ScaleCrop>false</ScaleCrop>
  <LinksUpToDate>false</LinksUpToDate>
  <CharactersWithSpaces>11285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