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72BC46">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D918899">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446499B2">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5C6707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15679"/>
      <w:bookmarkStart w:id="1" w:name="_Toc1949"/>
      <w:bookmarkStart w:id="2" w:name="_Toc29123"/>
      <w:bookmarkStart w:id="3" w:name="_Toc25575"/>
      <w:r>
        <w:rPr>
          <w:rFonts w:hint="eastAsia" w:cs="宋体"/>
          <w:b/>
          <w:bCs/>
          <w:color w:val="auto"/>
          <w:sz w:val="40"/>
          <w:szCs w:val="40"/>
          <w:highlight w:val="none"/>
          <w:shd w:val="clear" w:color="auto" w:fill="auto"/>
          <w:lang w:eastAsia="zh-CN"/>
        </w:rPr>
        <w:t>2024年学前教育生均经费（保基本民生）</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支出绩效评价报告</w:t>
      </w:r>
      <w:bookmarkEnd w:id="0"/>
      <w:bookmarkEnd w:id="1"/>
      <w:bookmarkEnd w:id="2"/>
      <w:bookmarkEnd w:id="3"/>
    </w:p>
    <w:p w14:paraId="5E7D3F1E">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6525AEC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13202B0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5E0B51E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23F8760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279C13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185707F1">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290FFC4E">
      <w:pPr>
        <w:spacing w:line="360" w:lineRule="auto"/>
        <w:ind w:firstLine="0" w:firstLineChars="0"/>
        <w:jc w:val="left"/>
        <w:rPr>
          <w:rFonts w:hint="eastAsia" w:ascii="黑体" w:hAnsi="Times New Roman" w:eastAsia="黑体"/>
          <w:b w:val="0"/>
          <w:bCs/>
          <w:color w:val="auto"/>
          <w:sz w:val="30"/>
          <w:szCs w:val="30"/>
          <w:highlight w:val="none"/>
          <w:lang w:eastAsia="zh-CN"/>
        </w:rPr>
      </w:pPr>
      <w:r>
        <w:rPr>
          <w:rFonts w:hint="eastAsia" w:ascii="黑体" w:hAnsi="Times New Roman" w:eastAsia="黑体"/>
          <w:b w:val="0"/>
          <w:bCs/>
          <w:color w:val="auto"/>
          <w:sz w:val="30"/>
          <w:szCs w:val="30"/>
          <w:highlight w:val="none"/>
        </w:rPr>
        <w:t>项目名称：</w:t>
      </w:r>
      <w:r>
        <w:rPr>
          <w:rFonts w:hint="eastAsia" w:ascii="黑体" w:hAnsi="Times New Roman" w:eastAsia="黑体"/>
          <w:b w:val="0"/>
          <w:bCs/>
          <w:color w:val="auto"/>
          <w:sz w:val="30"/>
          <w:szCs w:val="30"/>
          <w:highlight w:val="none"/>
          <w:lang w:eastAsia="zh-CN"/>
        </w:rPr>
        <w:t>2024年学前教育生均经费（保基本民生）</w:t>
      </w:r>
    </w:p>
    <w:p w14:paraId="0FDCD6FD">
      <w:pPr>
        <w:spacing w:line="360" w:lineRule="auto"/>
        <w:ind w:firstLine="0" w:firstLineChars="0"/>
        <w:jc w:val="left"/>
        <w:rPr>
          <w:rFonts w:hint="default"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rPr>
        <w:t>实施单位：</w:t>
      </w:r>
      <w:r>
        <w:rPr>
          <w:rFonts w:hint="eastAsia" w:ascii="黑体" w:hAnsi="Times New Roman" w:eastAsia="黑体"/>
          <w:b w:val="0"/>
          <w:bCs/>
          <w:color w:val="auto"/>
          <w:sz w:val="30"/>
          <w:szCs w:val="30"/>
          <w:highlight w:val="none"/>
          <w:lang w:eastAsia="zh-CN"/>
        </w:rPr>
        <w:t>阜康市第</w:t>
      </w:r>
      <w:r>
        <w:rPr>
          <w:rFonts w:hint="eastAsia" w:ascii="黑体" w:hAnsi="Times New Roman" w:eastAsia="黑体"/>
          <w:b w:val="0"/>
          <w:bCs/>
          <w:color w:val="auto"/>
          <w:sz w:val="30"/>
          <w:szCs w:val="30"/>
          <w:highlight w:val="none"/>
          <w:lang w:val="en-US" w:eastAsia="zh-CN"/>
        </w:rPr>
        <w:t>四</w:t>
      </w:r>
      <w:r>
        <w:rPr>
          <w:rFonts w:hint="eastAsia" w:ascii="黑体" w:hAnsi="Times New Roman" w:eastAsia="黑体"/>
          <w:b w:val="0"/>
          <w:bCs/>
          <w:color w:val="auto"/>
          <w:sz w:val="30"/>
          <w:szCs w:val="30"/>
          <w:highlight w:val="none"/>
          <w:lang w:eastAsia="zh-CN"/>
        </w:rPr>
        <w:t>幼儿园</w:t>
      </w:r>
    </w:p>
    <w:p w14:paraId="04736E55">
      <w:pPr>
        <w:spacing w:line="360" w:lineRule="auto"/>
        <w:ind w:firstLine="0" w:firstLineChars="0"/>
        <w:jc w:val="left"/>
        <w:rPr>
          <w:rFonts w:hint="eastAsia" w:ascii="黑体" w:hAnsi="Times New Roman" w:eastAsia="黑体"/>
          <w:b w:val="0"/>
          <w:bCs/>
          <w:color w:val="auto"/>
          <w:sz w:val="30"/>
          <w:szCs w:val="30"/>
          <w:highlight w:val="none"/>
          <w:lang w:eastAsia="zh-CN"/>
        </w:rPr>
      </w:pPr>
      <w:r>
        <w:rPr>
          <w:rFonts w:hint="eastAsia" w:ascii="黑体" w:hAnsi="Times New Roman" w:eastAsia="黑体"/>
          <w:b w:val="0"/>
          <w:bCs/>
          <w:color w:val="auto"/>
          <w:sz w:val="30"/>
          <w:szCs w:val="30"/>
          <w:highlight w:val="none"/>
        </w:rPr>
        <w:t>主管部门：</w:t>
      </w:r>
      <w:r>
        <w:rPr>
          <w:rFonts w:hint="eastAsia" w:ascii="黑体" w:hAnsi="Times New Roman" w:eastAsia="黑体"/>
          <w:b w:val="0"/>
          <w:bCs/>
          <w:color w:val="auto"/>
          <w:sz w:val="30"/>
          <w:szCs w:val="30"/>
          <w:highlight w:val="none"/>
          <w:lang w:eastAsia="zh-CN"/>
        </w:rPr>
        <w:t>阜康市教育局</w:t>
      </w:r>
    </w:p>
    <w:p w14:paraId="7A8779AF">
      <w:pPr>
        <w:spacing w:line="360" w:lineRule="auto"/>
        <w:ind w:firstLine="0" w:firstLineChars="0"/>
        <w:jc w:val="left"/>
        <w:rPr>
          <w:rFonts w:hint="eastAsia"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lang w:eastAsia="zh-CN"/>
        </w:rPr>
        <w:t>项目负责人：</w:t>
      </w:r>
      <w:r>
        <w:rPr>
          <w:rFonts w:hint="eastAsia" w:ascii="黑体" w:hAnsi="Times New Roman" w:eastAsia="黑体"/>
          <w:b w:val="0"/>
          <w:bCs/>
          <w:color w:val="auto"/>
          <w:sz w:val="30"/>
          <w:szCs w:val="30"/>
          <w:highlight w:val="none"/>
          <w:lang w:val="en-US" w:eastAsia="zh-CN"/>
        </w:rPr>
        <w:t>谷金霞</w:t>
      </w:r>
    </w:p>
    <w:p w14:paraId="7D9E0711">
      <w:pPr>
        <w:spacing w:line="360" w:lineRule="auto"/>
        <w:ind w:firstLine="0" w:firstLineChars="0"/>
        <w:jc w:val="left"/>
        <w:rPr>
          <w:rFonts w:hint="default"/>
          <w:b w:val="0"/>
          <w:bCs/>
          <w:color w:val="auto"/>
          <w:highlight w:val="none"/>
          <w:lang w:val="en-US" w:eastAsia="zh-CN"/>
        </w:rPr>
      </w:pPr>
      <w:r>
        <w:rPr>
          <w:rFonts w:hint="eastAsia" w:ascii="黑体" w:hAnsi="Times New Roman" w:eastAsia="黑体"/>
          <w:b w:val="0"/>
          <w:bCs/>
          <w:color w:val="auto"/>
          <w:sz w:val="30"/>
          <w:szCs w:val="30"/>
          <w:highlight w:val="none"/>
          <w:lang w:eastAsia="zh-CN"/>
        </w:rPr>
        <w:t>填报时间：</w:t>
      </w:r>
      <w:r>
        <w:rPr>
          <w:rFonts w:hint="eastAsia" w:ascii="黑体" w:hAnsi="Times New Roman" w:eastAsia="黑体"/>
          <w:b w:val="0"/>
          <w:bCs/>
          <w:color w:val="auto"/>
          <w:sz w:val="30"/>
          <w:szCs w:val="30"/>
          <w:highlight w:val="none"/>
          <w:lang w:val="en-US" w:eastAsia="zh-CN"/>
        </w:rPr>
        <w:t>2025年4月30日</w:t>
      </w:r>
    </w:p>
    <w:p w14:paraId="2256D326">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auto"/>
          <w:kern w:val="2"/>
          <w:sz w:val="28"/>
          <w:szCs w:val="28"/>
          <w:highlight w:val="none"/>
          <w:shd w:val="clear" w:color="auto" w:fill="auto"/>
          <w:lang w:val="en-US" w:eastAsia="zh-CN"/>
        </w:rPr>
      </w:pPr>
    </w:p>
    <w:p w14:paraId="34D44A9F">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br w:type="page"/>
      </w:r>
    </w:p>
    <w:p w14:paraId="51528DBC">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p>
    <w:sdt>
      <w:sdtPr>
        <w:rPr>
          <w:rFonts w:ascii="宋体" w:hAnsi="宋体" w:eastAsia="宋体" w:cs="宋体"/>
          <w:b/>
          <w:bCs/>
          <w:color w:val="auto"/>
          <w:kern w:val="2"/>
          <w:sz w:val="28"/>
          <w:szCs w:val="40"/>
          <w:highlight w:val="none"/>
          <w:lang w:val="en-US" w:eastAsia="zh-CN" w:bidi="ar-SA"/>
        </w:rPr>
        <w:id w:val="147474046"/>
        <w15:color w:val="DBDBDB"/>
        <w:docPartObj>
          <w:docPartGallery w:val="Table of Contents"/>
          <w:docPartUnique/>
        </w:docPartObj>
      </w:sdtPr>
      <w:sdtEndPr>
        <w:rPr>
          <w:rFonts w:hint="eastAsia" w:ascii="宋体" w:hAnsi="宋体" w:eastAsia="宋体" w:cs="宋体"/>
          <w:b/>
          <w:bCs/>
          <w:color w:val="auto"/>
          <w:kern w:val="2"/>
          <w:sz w:val="28"/>
          <w:szCs w:val="28"/>
          <w:highlight w:val="none"/>
          <w:lang w:val="en-US" w:eastAsia="zh-CN" w:bidi="ar-SA"/>
        </w:rPr>
      </w:sdtEndPr>
      <w:sdtContent>
        <w:p w14:paraId="2ACA354F">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color w:val="auto"/>
              <w:sz w:val="40"/>
              <w:szCs w:val="40"/>
              <w:highlight w:val="none"/>
            </w:rPr>
          </w:pPr>
          <w:r>
            <w:rPr>
              <w:rFonts w:ascii="宋体" w:hAnsi="宋体" w:eastAsia="宋体"/>
              <w:b/>
              <w:bCs/>
              <w:color w:val="auto"/>
              <w:sz w:val="40"/>
              <w:szCs w:val="40"/>
              <w:highlight w:val="none"/>
            </w:rPr>
            <w:t>目录</w:t>
          </w:r>
        </w:p>
        <w:p w14:paraId="1B76AC71">
          <w:pPr>
            <w:pStyle w:val="10"/>
            <w:tabs>
              <w:tab w:val="right" w:leader="dot" w:pos="8844"/>
            </w:tabs>
            <w:rPr>
              <w:color w:val="auto"/>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TOC \o "1-3" \h \u </w:instrText>
          </w:r>
          <w:r>
            <w:rPr>
              <w:rFonts w:hint="eastAsia"/>
              <w:color w:val="auto"/>
              <w:sz w:val="28"/>
              <w:szCs w:val="28"/>
              <w:highlight w:val="none"/>
              <w:lang w:val="en-US" w:eastAsia="zh-CN"/>
            </w:rPr>
            <w:fldChar w:fldCharType="separate"/>
          </w:r>
        </w:p>
        <w:p w14:paraId="7DACBAC3">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_Toc18485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rPr>
            <w:t>一、基本情况</w:t>
          </w:r>
          <w:r>
            <w:rPr>
              <w:color w:val="auto"/>
              <w:highlight w:val="none"/>
            </w:rPr>
            <w:tab/>
          </w:r>
          <w:r>
            <w:rPr>
              <w:color w:val="auto"/>
              <w:highlight w:val="none"/>
            </w:rPr>
            <w:fldChar w:fldCharType="begin"/>
          </w:r>
          <w:r>
            <w:rPr>
              <w:color w:val="auto"/>
              <w:highlight w:val="none"/>
            </w:rPr>
            <w:instrText xml:space="preserve"> PAGEREF _Toc18485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2EEAC069">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_Toc23184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（一）项目概况</w:t>
          </w:r>
          <w:r>
            <w:rPr>
              <w:color w:val="auto"/>
              <w:highlight w:val="none"/>
            </w:rPr>
            <w:tab/>
          </w:r>
          <w:r>
            <w:rPr>
              <w:color w:val="auto"/>
              <w:highlight w:val="none"/>
            </w:rPr>
            <w:fldChar w:fldCharType="begin"/>
          </w:r>
          <w:r>
            <w:rPr>
              <w:color w:val="auto"/>
              <w:highlight w:val="none"/>
            </w:rPr>
            <w:instrText xml:space="preserve"> PAGEREF _Toc23184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28761831">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_Toc9109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（二）项目绩效目标</w:t>
          </w:r>
          <w:r>
            <w:rPr>
              <w:color w:val="auto"/>
              <w:highlight w:val="none"/>
            </w:rPr>
            <w:tab/>
          </w:r>
          <w:r>
            <w:rPr>
              <w:color w:val="auto"/>
              <w:highlight w:val="none"/>
            </w:rPr>
            <w:fldChar w:fldCharType="begin"/>
          </w:r>
          <w:r>
            <w:rPr>
              <w:color w:val="auto"/>
              <w:highlight w:val="none"/>
            </w:rPr>
            <w:instrText xml:space="preserve"> PAGEREF _Toc9109 \h </w:instrText>
          </w:r>
          <w:r>
            <w:rPr>
              <w:color w:val="auto"/>
              <w:highlight w:val="none"/>
            </w:rPr>
            <w:fldChar w:fldCharType="separate"/>
          </w:r>
          <w:r>
            <w:rPr>
              <w:color w:val="auto"/>
              <w:highlight w:val="none"/>
            </w:rPr>
            <w:t>5</w:t>
          </w:r>
          <w:r>
            <w:rPr>
              <w:color w:val="auto"/>
              <w:highlight w:val="none"/>
            </w:rPr>
            <w:fldChar w:fldCharType="end"/>
          </w:r>
          <w:r>
            <w:rPr>
              <w:rFonts w:hint="eastAsia"/>
              <w:color w:val="auto"/>
              <w:szCs w:val="28"/>
              <w:highlight w:val="none"/>
              <w:lang w:val="en-US" w:eastAsia="zh-CN"/>
            </w:rPr>
            <w:fldChar w:fldCharType="end"/>
          </w:r>
        </w:p>
        <w:p w14:paraId="3D916C93">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_Toc26567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rPr>
            <w:t>二、绩效评价工作开展情况</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_Toc26567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4ACF7598">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_Toc22839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（一）绩效评价的目的、对象和范围</w:t>
          </w:r>
          <w:r>
            <w:rPr>
              <w:color w:val="auto"/>
              <w:highlight w:val="none"/>
            </w:rPr>
            <w:tab/>
          </w:r>
          <w:r>
            <w:rPr>
              <w:color w:val="auto"/>
              <w:highlight w:val="none"/>
            </w:rPr>
            <w:fldChar w:fldCharType="begin"/>
          </w:r>
          <w:r>
            <w:rPr>
              <w:color w:val="auto"/>
              <w:highlight w:val="none"/>
            </w:rPr>
            <w:instrText xml:space="preserve"> PAGEREF _Toc22839 \h </w:instrText>
          </w:r>
          <w:r>
            <w:rPr>
              <w:color w:val="auto"/>
              <w:highlight w:val="none"/>
            </w:rPr>
            <w:fldChar w:fldCharType="separate"/>
          </w:r>
          <w:r>
            <w:rPr>
              <w:color w:val="auto"/>
              <w:highlight w:val="none"/>
            </w:rPr>
            <w:t>6</w:t>
          </w:r>
          <w:r>
            <w:rPr>
              <w:color w:val="auto"/>
              <w:highlight w:val="none"/>
            </w:rPr>
            <w:fldChar w:fldCharType="end"/>
          </w:r>
          <w:r>
            <w:rPr>
              <w:rFonts w:hint="eastAsia"/>
              <w:color w:val="auto"/>
              <w:szCs w:val="28"/>
              <w:highlight w:val="none"/>
              <w:lang w:val="en-US" w:eastAsia="zh-CN"/>
            </w:rPr>
            <w:fldChar w:fldCharType="end"/>
          </w:r>
        </w:p>
        <w:p w14:paraId="5DC39DA7">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_Toc29785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（二）绩效评价原则、评价指标体系（</w:t>
          </w:r>
          <w:r>
            <w:rPr>
              <w:rFonts w:hint="default" w:ascii="Times New Roman" w:hAnsi="Times New Roman" w:eastAsia="楷体_GB2312" w:cs="Times New Roman"/>
              <w:color w:val="auto"/>
              <w:kern w:val="28"/>
              <w:highlight w:val="none"/>
              <w:lang w:val="en-US" w:eastAsia="zh-CN"/>
            </w:rPr>
            <w:t>详情见</w:t>
          </w:r>
          <w:r>
            <w:rPr>
              <w:rFonts w:hint="eastAsia" w:ascii="Times New Roman" w:hAnsi="Times New Roman" w:eastAsia="楷体_GB2312" w:cs="Times New Roman"/>
              <w:color w:val="auto"/>
              <w:kern w:val="28"/>
              <w:highlight w:val="none"/>
              <w:lang w:val="en-US" w:eastAsia="zh-CN"/>
            </w:rPr>
            <w:t>附件二）、评价方法、评价标准</w:t>
          </w:r>
          <w:r>
            <w:rPr>
              <w:color w:val="auto"/>
              <w:highlight w:val="none"/>
            </w:rPr>
            <w:tab/>
          </w:r>
          <w:r>
            <w:rPr>
              <w:color w:val="auto"/>
              <w:highlight w:val="none"/>
            </w:rPr>
            <w:fldChar w:fldCharType="begin"/>
          </w:r>
          <w:r>
            <w:rPr>
              <w:color w:val="auto"/>
              <w:highlight w:val="none"/>
            </w:rPr>
            <w:instrText xml:space="preserve"> PAGEREF _Toc29785 \h </w:instrText>
          </w:r>
          <w:r>
            <w:rPr>
              <w:color w:val="auto"/>
              <w:highlight w:val="none"/>
            </w:rPr>
            <w:fldChar w:fldCharType="separate"/>
          </w:r>
          <w:r>
            <w:rPr>
              <w:color w:val="auto"/>
              <w:highlight w:val="none"/>
            </w:rPr>
            <w:t>10</w:t>
          </w:r>
          <w:r>
            <w:rPr>
              <w:color w:val="auto"/>
              <w:highlight w:val="none"/>
            </w:rPr>
            <w:fldChar w:fldCharType="end"/>
          </w:r>
          <w:r>
            <w:rPr>
              <w:rFonts w:hint="eastAsia"/>
              <w:color w:val="auto"/>
              <w:szCs w:val="28"/>
              <w:highlight w:val="none"/>
              <w:lang w:val="en-US" w:eastAsia="zh-CN"/>
            </w:rPr>
            <w:fldChar w:fldCharType="end"/>
          </w:r>
        </w:p>
        <w:p w14:paraId="6CB32D23">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_Toc21435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（三）绩效评价工作过程</w:t>
          </w:r>
          <w:r>
            <w:rPr>
              <w:color w:val="auto"/>
              <w:highlight w:val="none"/>
            </w:rPr>
            <w:tab/>
          </w:r>
          <w:r>
            <w:rPr>
              <w:color w:val="auto"/>
              <w:highlight w:val="none"/>
            </w:rPr>
            <w:fldChar w:fldCharType="begin"/>
          </w:r>
          <w:r>
            <w:rPr>
              <w:color w:val="auto"/>
              <w:highlight w:val="none"/>
            </w:rPr>
            <w:instrText xml:space="preserve"> PAGEREF _Toc21435 \h </w:instrText>
          </w:r>
          <w:r>
            <w:rPr>
              <w:color w:val="auto"/>
              <w:highlight w:val="none"/>
            </w:rPr>
            <w:fldChar w:fldCharType="separate"/>
          </w:r>
          <w:r>
            <w:rPr>
              <w:color w:val="auto"/>
              <w:highlight w:val="none"/>
            </w:rPr>
            <w:t>13</w:t>
          </w:r>
          <w:r>
            <w:rPr>
              <w:color w:val="auto"/>
              <w:highlight w:val="none"/>
            </w:rPr>
            <w:fldChar w:fldCharType="end"/>
          </w:r>
          <w:r>
            <w:rPr>
              <w:rFonts w:hint="eastAsia"/>
              <w:color w:val="auto"/>
              <w:szCs w:val="28"/>
              <w:highlight w:val="none"/>
              <w:lang w:val="en-US" w:eastAsia="zh-CN"/>
            </w:rPr>
            <w:fldChar w:fldCharType="end"/>
          </w:r>
        </w:p>
        <w:p w14:paraId="06B63615">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_Toc19261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三、</w:t>
          </w:r>
          <w:r>
            <w:rPr>
              <w:rFonts w:hint="eastAsia" w:ascii="黑体" w:hAnsi="黑体" w:eastAsia="黑体" w:cs="黑体"/>
              <w:bCs w:val="0"/>
              <w:color w:val="auto"/>
              <w:highlight w:val="none"/>
              <w:shd w:val="clear" w:color="auto" w:fill="auto"/>
            </w:rPr>
            <w:t>综合评价情况及评价结论</w:t>
          </w:r>
          <w:r>
            <w:rPr>
              <w:color w:val="auto"/>
              <w:highlight w:val="none"/>
            </w:rPr>
            <w:tab/>
          </w:r>
          <w:r>
            <w:rPr>
              <w:color w:val="auto"/>
              <w:highlight w:val="none"/>
            </w:rPr>
            <w:fldChar w:fldCharType="begin"/>
          </w:r>
          <w:r>
            <w:rPr>
              <w:color w:val="auto"/>
              <w:highlight w:val="none"/>
            </w:rPr>
            <w:instrText xml:space="preserve"> PAGEREF _Toc19261 \h </w:instrText>
          </w:r>
          <w:r>
            <w:rPr>
              <w:color w:val="auto"/>
              <w:highlight w:val="none"/>
            </w:rPr>
            <w:fldChar w:fldCharType="separate"/>
          </w:r>
          <w:r>
            <w:rPr>
              <w:color w:val="auto"/>
              <w:highlight w:val="none"/>
            </w:rPr>
            <w:t>15</w:t>
          </w:r>
          <w:r>
            <w:rPr>
              <w:color w:val="auto"/>
              <w:highlight w:val="none"/>
            </w:rPr>
            <w:fldChar w:fldCharType="end"/>
          </w:r>
          <w:r>
            <w:rPr>
              <w:rFonts w:hint="eastAsia"/>
              <w:color w:val="auto"/>
              <w:szCs w:val="28"/>
              <w:highlight w:val="none"/>
              <w:lang w:val="en-US" w:eastAsia="zh-CN"/>
            </w:rPr>
            <w:fldChar w:fldCharType="end"/>
          </w:r>
        </w:p>
        <w:p w14:paraId="062FF473">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（一）综合评价情况及评价结论</w:t>
          </w:r>
          <w:r>
            <w:rPr>
              <w:color w:val="auto"/>
              <w:highlight w:val="none"/>
            </w:rPr>
            <w:tab/>
          </w:r>
          <w:r>
            <w:rPr>
              <w:color w:val="auto"/>
              <w:highlight w:val="none"/>
            </w:rPr>
            <w:fldChar w:fldCharType="begin"/>
          </w:r>
          <w:r>
            <w:rPr>
              <w:color w:val="auto"/>
              <w:highlight w:val="none"/>
            </w:rPr>
            <w:instrText xml:space="preserve"> PAGEREF _Toc23319 \h </w:instrText>
          </w:r>
          <w:r>
            <w:rPr>
              <w:color w:val="auto"/>
              <w:highlight w:val="none"/>
            </w:rPr>
            <w:fldChar w:fldCharType="separate"/>
          </w:r>
          <w:r>
            <w:rPr>
              <w:color w:val="auto"/>
              <w:highlight w:val="none"/>
            </w:rPr>
            <w:t>15</w:t>
          </w:r>
          <w:r>
            <w:rPr>
              <w:color w:val="auto"/>
              <w:highlight w:val="none"/>
            </w:rPr>
            <w:fldChar w:fldCharType="end"/>
          </w:r>
          <w:r>
            <w:rPr>
              <w:rFonts w:hint="eastAsia"/>
              <w:color w:val="auto"/>
              <w:szCs w:val="28"/>
              <w:highlight w:val="none"/>
              <w:lang w:val="en-US" w:eastAsia="zh-CN"/>
            </w:rPr>
            <w:fldChar w:fldCharType="end"/>
          </w:r>
        </w:p>
        <w:p w14:paraId="14EA947E">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_Toc11863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（二）相关评分表</w:t>
          </w:r>
          <w:r>
            <w:rPr>
              <w:color w:val="auto"/>
              <w:highlight w:val="none"/>
            </w:rPr>
            <w:tab/>
          </w:r>
          <w:r>
            <w:rPr>
              <w:color w:val="auto"/>
              <w:highlight w:val="none"/>
            </w:rPr>
            <w:fldChar w:fldCharType="begin"/>
          </w:r>
          <w:r>
            <w:rPr>
              <w:color w:val="auto"/>
              <w:highlight w:val="none"/>
            </w:rPr>
            <w:instrText xml:space="preserve"> PAGEREF _Toc11863 \h </w:instrText>
          </w:r>
          <w:r>
            <w:rPr>
              <w:color w:val="auto"/>
              <w:highlight w:val="none"/>
            </w:rPr>
            <w:fldChar w:fldCharType="separate"/>
          </w:r>
          <w:r>
            <w:rPr>
              <w:color w:val="auto"/>
              <w:highlight w:val="none"/>
            </w:rPr>
            <w:t>16</w:t>
          </w:r>
          <w:r>
            <w:rPr>
              <w:color w:val="auto"/>
              <w:highlight w:val="none"/>
            </w:rPr>
            <w:fldChar w:fldCharType="end"/>
          </w:r>
          <w:r>
            <w:rPr>
              <w:rFonts w:hint="eastAsia"/>
              <w:color w:val="auto"/>
              <w:szCs w:val="28"/>
              <w:highlight w:val="none"/>
              <w:lang w:val="en-US" w:eastAsia="zh-CN"/>
            </w:rPr>
            <w:fldChar w:fldCharType="end"/>
          </w:r>
        </w:p>
        <w:p w14:paraId="78EF00C0">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_Toc14941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四、绩效评价指标分析</w:t>
          </w:r>
          <w:r>
            <w:rPr>
              <w:color w:val="auto"/>
              <w:highlight w:val="none"/>
            </w:rPr>
            <w:tab/>
          </w:r>
          <w:r>
            <w:rPr>
              <w:color w:val="auto"/>
              <w:highlight w:val="none"/>
            </w:rPr>
            <w:fldChar w:fldCharType="begin"/>
          </w:r>
          <w:r>
            <w:rPr>
              <w:color w:val="auto"/>
              <w:highlight w:val="none"/>
            </w:rPr>
            <w:instrText xml:space="preserve"> PAGEREF _Toc14941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208C852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_Toc6759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rPr>
            <w:t>（一）项目决策情况</w:t>
          </w:r>
          <w:r>
            <w:rPr>
              <w:color w:val="auto"/>
              <w:highlight w:val="none"/>
            </w:rPr>
            <w:tab/>
          </w:r>
          <w:r>
            <w:rPr>
              <w:color w:val="auto"/>
              <w:highlight w:val="none"/>
            </w:rPr>
            <w:fldChar w:fldCharType="begin"/>
          </w:r>
          <w:r>
            <w:rPr>
              <w:color w:val="auto"/>
              <w:highlight w:val="none"/>
            </w:rPr>
            <w:instrText xml:space="preserve"> PAGEREF _Toc6759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11291384">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_Toc10564 </w:instrText>
          </w:r>
          <w:r>
            <w:rPr>
              <w:rFonts w:hint="eastAsia"/>
              <w:color w:val="auto"/>
              <w:szCs w:val="28"/>
              <w:highlight w:val="none"/>
              <w:lang w:val="en-US" w:eastAsia="zh-CN"/>
            </w:rPr>
            <w:fldChar w:fldCharType="separate"/>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lang w:val="en-US" w:eastAsia="zh-CN"/>
            </w:rPr>
            <w:t>二</w:t>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rPr>
            <w:t>项目过程情况</w:t>
          </w:r>
          <w:r>
            <w:rPr>
              <w:color w:val="auto"/>
              <w:highlight w:val="none"/>
            </w:rPr>
            <w:tab/>
          </w:r>
          <w:r>
            <w:rPr>
              <w:color w:val="auto"/>
              <w:highlight w:val="none"/>
            </w:rPr>
            <w:fldChar w:fldCharType="begin"/>
          </w:r>
          <w:r>
            <w:rPr>
              <w:color w:val="auto"/>
              <w:highlight w:val="none"/>
            </w:rPr>
            <w:instrText xml:space="preserve"> PAGEREF _Toc10564 \h </w:instrText>
          </w:r>
          <w:r>
            <w:rPr>
              <w:color w:val="auto"/>
              <w:highlight w:val="none"/>
            </w:rPr>
            <w:fldChar w:fldCharType="separate"/>
          </w:r>
          <w:r>
            <w:rPr>
              <w:color w:val="auto"/>
              <w:highlight w:val="none"/>
            </w:rPr>
            <w:t>20</w:t>
          </w:r>
          <w:r>
            <w:rPr>
              <w:color w:val="auto"/>
              <w:highlight w:val="none"/>
            </w:rPr>
            <w:fldChar w:fldCharType="end"/>
          </w:r>
          <w:r>
            <w:rPr>
              <w:rFonts w:hint="eastAsia"/>
              <w:color w:val="auto"/>
              <w:szCs w:val="28"/>
              <w:highlight w:val="none"/>
              <w:lang w:val="en-US" w:eastAsia="zh-CN"/>
            </w:rPr>
            <w:fldChar w:fldCharType="end"/>
          </w:r>
        </w:p>
        <w:p w14:paraId="204C5CB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_Toc2441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（三）项目产出情况</w:t>
          </w:r>
          <w:r>
            <w:rPr>
              <w:color w:val="auto"/>
              <w:highlight w:val="none"/>
            </w:rPr>
            <w:tab/>
          </w:r>
          <w:r>
            <w:rPr>
              <w:color w:val="auto"/>
              <w:highlight w:val="none"/>
            </w:rPr>
            <w:fldChar w:fldCharType="begin"/>
          </w:r>
          <w:r>
            <w:rPr>
              <w:color w:val="auto"/>
              <w:highlight w:val="none"/>
            </w:rPr>
            <w:instrText xml:space="preserve"> PAGEREF _Toc2441 \h </w:instrText>
          </w:r>
          <w:r>
            <w:rPr>
              <w:color w:val="auto"/>
              <w:highlight w:val="none"/>
            </w:rPr>
            <w:fldChar w:fldCharType="separate"/>
          </w:r>
          <w:r>
            <w:rPr>
              <w:color w:val="auto"/>
              <w:highlight w:val="none"/>
            </w:rPr>
            <w:t>23</w:t>
          </w:r>
          <w:r>
            <w:rPr>
              <w:color w:val="auto"/>
              <w:highlight w:val="none"/>
            </w:rPr>
            <w:fldChar w:fldCharType="end"/>
          </w:r>
          <w:r>
            <w:rPr>
              <w:rFonts w:hint="eastAsia"/>
              <w:color w:val="auto"/>
              <w:szCs w:val="28"/>
              <w:highlight w:val="none"/>
              <w:lang w:val="en-US" w:eastAsia="zh-CN"/>
            </w:rPr>
            <w:fldChar w:fldCharType="end"/>
          </w:r>
        </w:p>
        <w:p w14:paraId="30616DA9">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_Toc19424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（四）项目效益情况</w:t>
          </w:r>
          <w:r>
            <w:rPr>
              <w:color w:val="auto"/>
              <w:highlight w:val="none"/>
            </w:rPr>
            <w:tab/>
          </w:r>
          <w:r>
            <w:rPr>
              <w:color w:val="auto"/>
              <w:highlight w:val="none"/>
            </w:rPr>
            <w:fldChar w:fldCharType="begin"/>
          </w:r>
          <w:r>
            <w:rPr>
              <w:color w:val="auto"/>
              <w:highlight w:val="none"/>
            </w:rPr>
            <w:instrText xml:space="preserve"> PAGEREF _Toc19424 \h </w:instrText>
          </w:r>
          <w:r>
            <w:rPr>
              <w:color w:val="auto"/>
              <w:highlight w:val="none"/>
            </w:rPr>
            <w:fldChar w:fldCharType="separate"/>
          </w:r>
          <w:r>
            <w:rPr>
              <w:color w:val="auto"/>
              <w:highlight w:val="none"/>
            </w:rPr>
            <w:t>24</w:t>
          </w:r>
          <w:r>
            <w:rPr>
              <w:color w:val="auto"/>
              <w:highlight w:val="none"/>
            </w:rPr>
            <w:fldChar w:fldCharType="end"/>
          </w:r>
          <w:r>
            <w:rPr>
              <w:rFonts w:hint="eastAsia"/>
              <w:color w:val="auto"/>
              <w:szCs w:val="28"/>
              <w:highlight w:val="none"/>
              <w:lang w:val="en-US" w:eastAsia="zh-CN"/>
            </w:rPr>
            <w:fldChar w:fldCharType="end"/>
          </w:r>
        </w:p>
        <w:p w14:paraId="2367AFDA">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_Toc23313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（五）满意度指标完成情况分析</w:t>
          </w:r>
          <w:r>
            <w:rPr>
              <w:color w:val="auto"/>
              <w:highlight w:val="none"/>
            </w:rPr>
            <w:tab/>
          </w:r>
          <w:r>
            <w:rPr>
              <w:color w:val="auto"/>
              <w:highlight w:val="none"/>
            </w:rPr>
            <w:fldChar w:fldCharType="begin"/>
          </w:r>
          <w:r>
            <w:rPr>
              <w:color w:val="auto"/>
              <w:highlight w:val="none"/>
            </w:rPr>
            <w:instrText xml:space="preserve"> PAGEREF _Toc23313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szCs w:val="28"/>
              <w:highlight w:val="none"/>
              <w:lang w:val="en-US" w:eastAsia="zh-CN"/>
            </w:rPr>
            <w:fldChar w:fldCharType="end"/>
          </w:r>
        </w:p>
        <w:p w14:paraId="3239EF2F">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_Toc6622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五、主要经验及做法、存在的问题及原因分析</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_Toc6622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25</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25F05A5B">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_Toc15449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（一）主要经验及做法</w:t>
          </w:r>
          <w:r>
            <w:rPr>
              <w:color w:val="auto"/>
              <w:highlight w:val="none"/>
            </w:rPr>
            <w:tab/>
          </w:r>
          <w:r>
            <w:rPr>
              <w:color w:val="auto"/>
              <w:highlight w:val="none"/>
            </w:rPr>
            <w:fldChar w:fldCharType="begin"/>
          </w:r>
          <w:r>
            <w:rPr>
              <w:color w:val="auto"/>
              <w:highlight w:val="none"/>
            </w:rPr>
            <w:instrText xml:space="preserve"> PAGEREF _Toc15449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szCs w:val="28"/>
              <w:highlight w:val="none"/>
              <w:lang w:val="en-US" w:eastAsia="zh-CN"/>
            </w:rPr>
            <w:fldChar w:fldCharType="end"/>
          </w:r>
        </w:p>
        <w:p w14:paraId="667F9AFB">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_Toc29168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（二）存在的问题及原因分析</w:t>
          </w:r>
          <w:r>
            <w:rPr>
              <w:color w:val="auto"/>
              <w:highlight w:val="none"/>
            </w:rPr>
            <w:tab/>
          </w:r>
          <w:r>
            <w:rPr>
              <w:color w:val="auto"/>
              <w:highlight w:val="none"/>
            </w:rPr>
            <w:fldChar w:fldCharType="begin"/>
          </w:r>
          <w:r>
            <w:rPr>
              <w:color w:val="auto"/>
              <w:highlight w:val="none"/>
            </w:rPr>
            <w:instrText xml:space="preserve"> PAGEREF _Toc29168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szCs w:val="28"/>
              <w:highlight w:val="none"/>
              <w:lang w:val="en-US" w:eastAsia="zh-CN"/>
            </w:rPr>
            <w:fldChar w:fldCharType="end"/>
          </w:r>
        </w:p>
        <w:p w14:paraId="5B51131E">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_Toc3333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六、有关建议</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_Toc3333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0B7C5809">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_Toc14256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七、其他需要说明的问题</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_Toc14256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150B930B">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_Toc28971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附件一、项目支出绩效自评表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_Toc28971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53A9CB3A">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_Toc11223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附件二、项目支出绩效评价指标体系打分表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_Toc11223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31</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2DDD73CC">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color w:val="auto"/>
              <w:highlight w:val="none"/>
              <w:lang w:val="en-US" w:eastAsia="zh-CN"/>
            </w:rPr>
            <w:sectPr>
              <w:pgSz w:w="11906" w:h="16838"/>
              <w:pgMar w:top="1928" w:right="1531" w:bottom="1701" w:left="1531" w:header="737" w:footer="851" w:gutter="0"/>
              <w:cols w:space="720" w:num="1"/>
              <w:docGrid w:type="lines" w:linePitch="408" w:charSpace="0"/>
            </w:sectPr>
          </w:pPr>
          <w:r>
            <w:rPr>
              <w:rFonts w:hint="eastAsia"/>
              <w:color w:val="auto"/>
              <w:szCs w:val="28"/>
              <w:highlight w:val="none"/>
              <w:lang w:val="en-US" w:eastAsia="zh-CN"/>
            </w:rPr>
            <w:fldChar w:fldCharType="end"/>
          </w:r>
        </w:p>
      </w:sdtContent>
    </w:sdt>
    <w:p w14:paraId="2A1EEE0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36"/>
          <w:szCs w:val="36"/>
          <w:highlight w:val="none"/>
          <w:shd w:val="clear" w:color="auto" w:fill="auto"/>
        </w:rPr>
      </w:pPr>
      <w:bookmarkStart w:id="4" w:name="_Toc1194"/>
      <w:bookmarkStart w:id="5" w:name="_Toc22946"/>
      <w:bookmarkStart w:id="6" w:name="_Toc3663"/>
      <w:bookmarkStart w:id="7" w:name="_Toc20432"/>
      <w:r>
        <w:rPr>
          <w:rFonts w:hint="eastAsia" w:cs="宋体"/>
          <w:b/>
          <w:bCs/>
          <w:color w:val="auto"/>
          <w:sz w:val="36"/>
          <w:szCs w:val="36"/>
          <w:highlight w:val="none"/>
          <w:shd w:val="clear" w:color="auto" w:fill="auto"/>
          <w:lang w:eastAsia="zh-CN"/>
        </w:rPr>
        <w:t>2024年学前教育生均经费（保基本民生）</w:t>
      </w:r>
      <w:r>
        <w:rPr>
          <w:rFonts w:hint="eastAsia" w:ascii="宋体" w:hAnsi="宋体" w:eastAsia="宋体" w:cs="宋体"/>
          <w:b/>
          <w:bCs/>
          <w:color w:val="auto"/>
          <w:sz w:val="36"/>
          <w:szCs w:val="36"/>
          <w:highlight w:val="none"/>
          <w:shd w:val="clear" w:color="auto" w:fill="auto"/>
          <w:lang w:val="en-US" w:eastAsia="zh-CN"/>
        </w:rPr>
        <w:t>项目</w:t>
      </w:r>
      <w:r>
        <w:rPr>
          <w:rFonts w:hint="eastAsia" w:ascii="宋体" w:hAnsi="宋体" w:eastAsia="宋体" w:cs="宋体"/>
          <w:b/>
          <w:bCs/>
          <w:color w:val="auto"/>
          <w:sz w:val="36"/>
          <w:szCs w:val="36"/>
          <w:highlight w:val="none"/>
          <w:shd w:val="clear" w:color="auto" w:fill="auto"/>
        </w:rPr>
        <w:t>支出绩效评价</w:t>
      </w:r>
    </w:p>
    <w:p w14:paraId="0989762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highlight w:val="none"/>
          <w:shd w:val="clear" w:color="auto" w:fill="auto"/>
        </w:rPr>
      </w:pPr>
      <w:r>
        <w:rPr>
          <w:rFonts w:hint="eastAsia" w:ascii="宋体" w:hAnsi="宋体" w:eastAsia="宋体" w:cs="宋体"/>
          <w:b/>
          <w:bCs/>
          <w:color w:val="auto"/>
          <w:sz w:val="36"/>
          <w:szCs w:val="36"/>
          <w:highlight w:val="none"/>
          <w:shd w:val="clear" w:color="auto" w:fill="auto"/>
        </w:rPr>
        <w:t>报告</w:t>
      </w:r>
      <w:bookmarkEnd w:id="4"/>
      <w:bookmarkEnd w:id="5"/>
      <w:bookmarkEnd w:id="6"/>
      <w:bookmarkEnd w:id="7"/>
    </w:p>
    <w:p w14:paraId="7F9DB1AC">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8" w:name="_Toc18485"/>
      <w:r>
        <w:rPr>
          <w:rFonts w:hint="eastAsia" w:ascii="黑体" w:hAnsi="黑体" w:eastAsia="黑体" w:cs="黑体"/>
          <w:b w:val="0"/>
          <w:bCs w:val="0"/>
          <w:color w:val="auto"/>
          <w:highlight w:val="none"/>
          <w:shd w:val="clear" w:color="auto" w:fill="auto"/>
        </w:rPr>
        <w:t>一、基本情况</w:t>
      </w:r>
      <w:bookmarkEnd w:id="8"/>
    </w:p>
    <w:p w14:paraId="343DB1A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9" w:name="_Toc23184"/>
      <w:r>
        <w:rPr>
          <w:rFonts w:hint="eastAsia" w:ascii="Times New Roman" w:hAnsi="Times New Roman" w:eastAsia="楷体_GB2312" w:cs="Times New Roman"/>
          <w:color w:val="auto"/>
          <w:kern w:val="28"/>
          <w:sz w:val="32"/>
          <w:highlight w:val="none"/>
          <w:lang w:val="en-US" w:eastAsia="zh-CN"/>
        </w:rPr>
        <w:t>（一）项目概况</w:t>
      </w:r>
      <w:bookmarkEnd w:id="9"/>
    </w:p>
    <w:p w14:paraId="6DD32146">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bookmarkStart w:id="10" w:name="_Toc29812"/>
      <w:bookmarkStart w:id="11" w:name="_Toc22346"/>
      <w:bookmarkStart w:id="12" w:name="_Toc5043"/>
      <w:bookmarkStart w:id="13" w:name="_Toc10645"/>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rPr>
        <w:t>项目背景</w:t>
      </w:r>
      <w:bookmarkEnd w:id="10"/>
      <w:bookmarkEnd w:id="11"/>
      <w:bookmarkEnd w:id="12"/>
      <w:bookmarkEnd w:id="13"/>
    </w:p>
    <w:p w14:paraId="6D8FA2B9">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根据新疆维吾尔自治区关于《自治区农村学前三年免费教育经费保障机制管理办法》的通知（新财教[ 2017]19号）文件</w:t>
      </w:r>
      <w:r>
        <w:rPr>
          <w:rFonts w:hint="eastAsia" w:ascii="仿宋_GB2312" w:hAnsi="仿宋_GB2312" w:eastAsia="仿宋_GB2312" w:cs="仿宋_GB2312"/>
          <w:color w:val="auto"/>
          <w:sz w:val="32"/>
          <w:szCs w:val="32"/>
          <w:highlight w:val="none"/>
        </w:rPr>
        <w:t>要求，</w:t>
      </w:r>
      <w:r>
        <w:rPr>
          <w:rFonts w:hint="eastAsia" w:ascii="仿宋_GB2312" w:eastAsia="仿宋_GB2312"/>
          <w:color w:val="auto"/>
          <w:sz w:val="32"/>
          <w:szCs w:val="32"/>
          <w:highlight w:val="none"/>
          <w:lang w:eastAsia="zh-CN"/>
        </w:rPr>
        <w:t>为3-6岁学龄前儿童提供保育与教育，落实好学前三年教育目标，改善幼儿园的办学条件，保障幼儿在园教学需求，为幼儿提供优质的保教环境，</w:t>
      </w:r>
      <w:r>
        <w:rPr>
          <w:rFonts w:hint="eastAsia" w:ascii="仿宋_GB2312" w:hAnsi="仿宋_GB2312" w:eastAsia="仿宋_GB2312" w:cs="仿宋_GB2312"/>
          <w:color w:val="auto"/>
          <w:sz w:val="32"/>
          <w:szCs w:val="32"/>
          <w:highlight w:val="none"/>
        </w:rPr>
        <w:t>提升幼儿园教育质量，保障幼儿能接受优质、均衡的学前教育</w:t>
      </w:r>
      <w:r>
        <w:rPr>
          <w:rFonts w:hint="eastAsia" w:ascii="仿宋_GB2312" w:hAnsi="仿宋_GB2312" w:eastAsia="仿宋_GB2312" w:cs="仿宋_GB2312"/>
          <w:color w:val="auto"/>
          <w:sz w:val="32"/>
          <w:szCs w:val="32"/>
          <w:highlight w:val="none"/>
          <w:lang w:eastAsia="zh-CN"/>
        </w:rPr>
        <w:t>。</w:t>
      </w:r>
    </w:p>
    <w:p w14:paraId="272A233C">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rPr>
      </w:pPr>
      <w:bookmarkStart w:id="14" w:name="_Toc1630"/>
      <w:bookmarkStart w:id="15" w:name="_Toc27343"/>
      <w:bookmarkStart w:id="16" w:name="_Toc10730"/>
      <w:bookmarkStart w:id="17" w:name="_Toc17880"/>
      <w:r>
        <w:rPr>
          <w:rFonts w:hint="eastAsia" w:ascii="仿宋_GB2312" w:hAnsi="仿宋_GB2312" w:eastAsia="仿宋_GB2312"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rPr>
        <w:t>主要内容及实施情况</w:t>
      </w:r>
      <w:bookmarkEnd w:id="14"/>
      <w:bookmarkEnd w:id="15"/>
      <w:bookmarkEnd w:id="16"/>
      <w:bookmarkEnd w:id="17"/>
    </w:p>
    <w:p w14:paraId="06F1F5EC">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bookmarkStart w:id="18" w:name="_Toc21898"/>
      <w:bookmarkStart w:id="19" w:name="_Toc27409"/>
      <w:bookmarkStart w:id="20" w:name="_Toc27245"/>
      <w:bookmarkStart w:id="21" w:name="_Toc16592"/>
      <w:r>
        <w:rPr>
          <w:rFonts w:hint="eastAsia" w:ascii="仿宋_GB2312" w:hAnsi="仿宋_GB2312" w:eastAsia="仿宋_GB2312" w:cs="仿宋_GB2312"/>
          <w:color w:val="auto"/>
          <w:sz w:val="32"/>
          <w:szCs w:val="32"/>
          <w:highlight w:val="none"/>
          <w:shd w:val="clear" w:color="auto" w:fill="auto"/>
          <w:lang w:val="en-US" w:eastAsia="zh-CN"/>
        </w:rPr>
        <w:t>项目主要内容：</w:t>
      </w:r>
      <w:bookmarkEnd w:id="18"/>
      <w:bookmarkEnd w:id="19"/>
      <w:bookmarkEnd w:id="20"/>
      <w:bookmarkEnd w:id="21"/>
      <w:r>
        <w:rPr>
          <w:rFonts w:hint="eastAsia" w:ascii="仿宋_GB2312" w:hAnsi="仿宋_GB2312" w:eastAsia="仿宋_GB2312" w:cs="仿宋_GB2312"/>
          <w:b w:val="0"/>
          <w:bCs w:val="0"/>
          <w:color w:val="auto"/>
          <w:kern w:val="2"/>
          <w:sz w:val="32"/>
          <w:szCs w:val="32"/>
          <w:highlight w:val="none"/>
          <w:lang w:val="en-US" w:eastAsia="zh-CN" w:bidi="ar-SA"/>
        </w:rPr>
        <w:t>依据幼儿园在园幼儿人数，按一定标准核算并下发生均经费。经费主要用于教师工资待遇提升，吸引和留住优秀师资；购置先进的教学设备，如多媒体教学工具、益智玩具等；开发适合幼儿的特色课程，丰富教学内容；完善幼儿园的安全防护设施，包括门禁系统、监控设备等。</w:t>
      </w:r>
    </w:p>
    <w:p w14:paraId="5AF90CE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2024年2月1日经阜康市财政局关于部门预算的文件批复，经阜康市第四幼儿园财经会议，确定了项目领导小组，明确了责任分工：组长为刘婷，副组长为谷金霞，项目负责人为汤燕,组员为许红运、李月，苏利华其中：汤燕负责监管工作，许红运负责项目档案资料，李月负责资金拨付工作。</w:t>
      </w:r>
    </w:p>
    <w:p w14:paraId="0F7EE35B">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本项目涉及学生人数557人，公用经费享受比例达到100%，教师培训结业率达到100%，公用经费标准以1100元/人/年完成，达到幼儿园正常运转率提高，改善教学环境，提供良好的学生成长条件，保障幼儿园各项工作平稳进行的效益，师生满意度达100%以上。</w:t>
      </w:r>
    </w:p>
    <w:p w14:paraId="641701A4">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22" w:name="_Toc569"/>
      <w:bookmarkStart w:id="23" w:name="_Toc10240"/>
      <w:bookmarkStart w:id="24" w:name="_Toc1858"/>
      <w:bookmarkStart w:id="25" w:name="_Toc12348"/>
      <w:r>
        <w:rPr>
          <w:rFonts w:hint="eastAsia" w:ascii="仿宋_GB2312" w:hAnsi="仿宋_GB2312" w:eastAsia="仿宋_GB2312" w:cs="仿宋_GB2312"/>
          <w:color w:val="auto"/>
          <w:sz w:val="32"/>
          <w:szCs w:val="32"/>
          <w:highlight w:val="none"/>
          <w:shd w:val="clear" w:color="auto" w:fill="auto"/>
          <w:lang w:val="en-US" w:eastAsia="zh-CN"/>
        </w:rPr>
        <w:t>3.资金投入和使用情况</w:t>
      </w:r>
      <w:bookmarkEnd w:id="22"/>
      <w:bookmarkEnd w:id="23"/>
      <w:bookmarkEnd w:id="24"/>
      <w:bookmarkEnd w:id="25"/>
    </w:p>
    <w:p w14:paraId="2DFC655F">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6" w:name="_Toc694"/>
      <w:bookmarkStart w:id="27" w:name="_Toc23509"/>
      <w:bookmarkStart w:id="28" w:name="_Toc26369"/>
      <w:r>
        <w:rPr>
          <w:rFonts w:hint="eastAsia" w:ascii="仿宋_GB2312" w:hAnsi="仿宋_GB2312" w:eastAsia="仿宋_GB2312" w:cs="仿宋_GB2312"/>
          <w:color w:val="auto"/>
          <w:sz w:val="32"/>
          <w:szCs w:val="32"/>
          <w:highlight w:val="none"/>
          <w:lang w:val="en-US" w:eastAsia="zh-CN"/>
        </w:rPr>
        <w:t>（1）资金投入情况</w:t>
      </w:r>
      <w:bookmarkEnd w:id="26"/>
      <w:bookmarkEnd w:id="27"/>
      <w:bookmarkEnd w:id="28"/>
    </w:p>
    <w:p w14:paraId="0FE4D0FF">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9" w:name="_Toc29190"/>
      <w:bookmarkStart w:id="30" w:name="_Toc5573"/>
      <w:bookmarkStart w:id="31" w:name="_Toc9464"/>
      <w:r>
        <w:rPr>
          <w:rFonts w:hint="eastAsia" w:ascii="仿宋_GB2312" w:hAnsi="仿宋_GB2312" w:eastAsia="仿宋_GB2312" w:cs="仿宋_GB2312"/>
          <w:color w:val="auto"/>
          <w:sz w:val="32"/>
          <w:szCs w:val="32"/>
          <w:highlight w:val="none"/>
          <w:lang w:val="en-US" w:eastAsia="zh-CN"/>
        </w:rPr>
        <w:t>该项目年初预算数155.96万元，全年预算数104.30万元。该项目资金已全部落实到位，资金来源为财政拨款。</w:t>
      </w:r>
      <w:bookmarkEnd w:id="29"/>
      <w:bookmarkEnd w:id="30"/>
      <w:bookmarkEnd w:id="31"/>
      <w:bookmarkStart w:id="32" w:name="_Toc3409"/>
      <w:bookmarkStart w:id="33" w:name="_Toc1166"/>
      <w:bookmarkStart w:id="34" w:name="_Toc28187"/>
    </w:p>
    <w:p w14:paraId="0AC77385">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（2）资金使用情况</w:t>
      </w:r>
      <w:bookmarkEnd w:id="32"/>
      <w:bookmarkEnd w:id="33"/>
      <w:bookmarkEnd w:id="34"/>
    </w:p>
    <w:p w14:paraId="525ACB98">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5" w:name="_Toc11647"/>
      <w:bookmarkStart w:id="36" w:name="_Toc29121"/>
      <w:bookmarkStart w:id="37" w:name="_Toc1430"/>
      <w:r>
        <w:rPr>
          <w:rFonts w:hint="eastAsia" w:ascii="仿宋_GB2312" w:hAnsi="仿宋_GB2312" w:eastAsia="仿宋_GB2312" w:cs="仿宋_GB2312"/>
          <w:color w:val="auto"/>
          <w:sz w:val="32"/>
          <w:szCs w:val="32"/>
          <w:highlight w:val="none"/>
          <w:lang w:val="en-US" w:eastAsia="zh-CN"/>
        </w:rPr>
        <w:t>该项目年初预算数155.96万元，全年预算数104.30万元。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全年执行数104.30万元，预算执行率为100%，主要用于：主要用于主要用于支付日常办公用品采购、卫生用品购置、水费、电费、邮电费、取暖费缴纳、幼儿园设施设备维修及幼儿伙食补助发放等。</w:t>
      </w:r>
      <w:bookmarkEnd w:id="35"/>
      <w:bookmarkEnd w:id="36"/>
      <w:bookmarkEnd w:id="37"/>
    </w:p>
    <w:p w14:paraId="2EE38070">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38" w:name="_Toc9109"/>
      <w:r>
        <w:rPr>
          <w:rFonts w:hint="eastAsia" w:ascii="Times New Roman" w:hAnsi="Times New Roman" w:eastAsia="楷体_GB2312" w:cs="Times New Roman"/>
          <w:color w:val="auto"/>
          <w:kern w:val="28"/>
          <w:sz w:val="32"/>
          <w:highlight w:val="none"/>
          <w:lang w:val="en-US" w:eastAsia="zh-CN"/>
        </w:rPr>
        <w:t>（二）项目绩效目标</w:t>
      </w:r>
      <w:bookmarkEnd w:id="38"/>
    </w:p>
    <w:p w14:paraId="68A420BC">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39" w:name="_Toc10047"/>
      <w:bookmarkStart w:id="40" w:name="_Toc8528"/>
      <w:bookmarkStart w:id="41" w:name="_Toc2547"/>
      <w:bookmarkStart w:id="42" w:name="_Toc14758"/>
      <w:r>
        <w:rPr>
          <w:rFonts w:hint="eastAsia" w:ascii="仿宋_GB2312" w:hAnsi="仿宋_GB2312" w:eastAsia="仿宋_GB2312" w:cs="仿宋_GB2312"/>
          <w:color w:val="auto"/>
          <w:sz w:val="32"/>
          <w:szCs w:val="32"/>
          <w:highlight w:val="none"/>
          <w:shd w:val="clear" w:color="auto" w:fill="auto"/>
          <w:lang w:val="en-US" w:eastAsia="zh-CN"/>
        </w:rPr>
        <w:t>1.总体目标</w:t>
      </w:r>
      <w:bookmarkEnd w:id="39"/>
      <w:bookmarkEnd w:id="40"/>
      <w:bookmarkEnd w:id="41"/>
      <w:bookmarkEnd w:id="42"/>
    </w:p>
    <w:p w14:paraId="519FB5A3">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2024年学前教育生均经费（保基本民生）项目绩效总体目标为：2024年阜康市第四幼儿园计划保障幼儿园正常运转，教学活动及其他日常业务的正常运转。计划完成每学年以1100元每生每学年的标准使用公用经费,总计在园幼儿人数557人。通过开展各类教育教学活动，促进幼儿园各项活动有序开展，实现幼儿园年初制定的各项工作目标，进一步提高幼儿园教育教学水平。</w:t>
      </w:r>
    </w:p>
    <w:p w14:paraId="10925270">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43" w:name="_Toc3255"/>
      <w:bookmarkStart w:id="44" w:name="_Toc4007"/>
      <w:bookmarkStart w:id="45" w:name="_Toc4487"/>
      <w:bookmarkStart w:id="46" w:name="_Toc8990"/>
      <w:r>
        <w:rPr>
          <w:rFonts w:hint="eastAsia" w:ascii="仿宋_GB2312" w:hAnsi="仿宋_GB2312" w:eastAsia="仿宋_GB2312" w:cs="仿宋_GB2312"/>
          <w:color w:val="auto"/>
          <w:sz w:val="32"/>
          <w:szCs w:val="32"/>
          <w:highlight w:val="none"/>
          <w:shd w:val="clear" w:color="auto" w:fill="auto"/>
          <w:lang w:val="en-US" w:eastAsia="zh-CN"/>
        </w:rPr>
        <w:t>2.阶段性目标</w:t>
      </w:r>
      <w:bookmarkEnd w:id="43"/>
      <w:bookmarkEnd w:id="44"/>
      <w:bookmarkEnd w:id="45"/>
      <w:bookmarkEnd w:id="46"/>
    </w:p>
    <w:p w14:paraId="3F3E3367">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eastAsia="zh-CN"/>
        </w:rPr>
      </w:pPr>
      <w:r>
        <w:rPr>
          <w:rFonts w:hint="eastAsia" w:ascii="仿宋_GB2312" w:hAnsi="仿宋_GB2312" w:eastAsia="仿宋_GB2312" w:cs="仿宋_GB2312"/>
          <w:bCs/>
          <w:color w:val="auto"/>
          <w:sz w:val="32"/>
          <w:szCs w:val="32"/>
          <w:highlight w:val="none"/>
          <w:shd w:val="clear" w:color="auto" w:fill="auto"/>
          <w:lang w:eastAsia="zh-CN"/>
        </w:rPr>
        <w:t>根据《预算法》《财政支出绩效评价管理暂行办法》（财预〔20</w:t>
      </w:r>
      <w:r>
        <w:rPr>
          <w:rFonts w:hint="eastAsia" w:ascii="仿宋_GB2312" w:hAnsi="仿宋_GB2312" w:eastAsia="仿宋_GB2312" w:cs="仿宋_GB2312"/>
          <w:bCs/>
          <w:color w:val="auto"/>
          <w:sz w:val="32"/>
          <w:szCs w:val="32"/>
          <w:highlight w:val="none"/>
          <w:shd w:val="clear" w:color="auto" w:fill="auto"/>
          <w:lang w:val="en-US" w:eastAsia="zh-CN"/>
        </w:rPr>
        <w:t>20</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10</w:t>
      </w:r>
      <w:r>
        <w:rPr>
          <w:rFonts w:hint="eastAsia" w:ascii="仿宋_GB2312" w:hAnsi="仿宋_GB2312" w:eastAsia="仿宋_GB2312" w:cs="仿宋_GB2312"/>
          <w:bCs/>
          <w:color w:val="auto"/>
          <w:sz w:val="32"/>
          <w:szCs w:val="32"/>
          <w:highlight w:val="none"/>
          <w:shd w:val="clear" w:color="auto" w:fill="auto"/>
          <w:lang w:eastAsia="zh-CN"/>
        </w:rPr>
        <w:t>号）</w:t>
      </w:r>
      <w:r>
        <w:rPr>
          <w:rFonts w:hint="eastAsia" w:ascii="仿宋_GB2312" w:hAnsi="仿宋_GB2312" w:eastAsia="仿宋_GB2312" w:cs="仿宋_GB2312"/>
          <w:color w:val="auto"/>
          <w:sz w:val="32"/>
          <w:szCs w:val="32"/>
          <w:highlight w:val="none"/>
          <w:shd w:val="clear" w:color="auto" w:fill="auto"/>
          <w:lang w:val="en-US" w:eastAsia="zh-CN"/>
        </w:rPr>
        <w:t>等文件</w:t>
      </w:r>
      <w:r>
        <w:rPr>
          <w:rFonts w:hint="eastAsia" w:ascii="仿宋_GB2312" w:hAnsi="仿宋_GB2312" w:eastAsia="仿宋_GB2312" w:cs="仿宋_GB2312"/>
          <w:bCs/>
          <w:color w:val="auto"/>
          <w:sz w:val="32"/>
          <w:szCs w:val="32"/>
          <w:highlight w:val="none"/>
          <w:shd w:val="clear" w:color="auto" w:fill="auto"/>
          <w:lang w:eastAsia="zh-CN"/>
        </w:rPr>
        <w:t>的规定，结合项目实施单位的规章制度以及财务相关资料，评价小组对项目绩效目标进行了进一步的完善，完善</w:t>
      </w:r>
      <w:r>
        <w:rPr>
          <w:rFonts w:hint="eastAsia" w:ascii="仿宋_GB2312" w:hAnsi="仿宋_GB2312" w:eastAsia="仿宋_GB2312" w:cs="仿宋_GB2312"/>
          <w:bCs/>
          <w:color w:val="auto"/>
          <w:sz w:val="32"/>
          <w:szCs w:val="32"/>
          <w:highlight w:val="none"/>
          <w:shd w:val="clear" w:color="auto" w:fill="auto"/>
          <w:lang w:val="en-US" w:eastAsia="zh-CN"/>
        </w:rPr>
        <w:t>后</w:t>
      </w:r>
      <w:r>
        <w:rPr>
          <w:rFonts w:hint="eastAsia" w:ascii="仿宋_GB2312" w:hAnsi="仿宋_GB2312" w:eastAsia="仿宋_GB2312" w:cs="仿宋_GB2312"/>
          <w:bCs/>
          <w:color w:val="auto"/>
          <w:sz w:val="32"/>
          <w:szCs w:val="32"/>
          <w:highlight w:val="none"/>
          <w:shd w:val="clear" w:color="auto" w:fill="auto"/>
          <w:lang w:eastAsia="zh-CN"/>
        </w:rPr>
        <w:t>绩效目标如下：</w:t>
      </w:r>
    </w:p>
    <w:p w14:paraId="00B491A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rPr>
        <w:t>项目产出</w:t>
      </w:r>
      <w:r>
        <w:rPr>
          <w:rFonts w:hint="eastAsia" w:ascii="仿宋_GB2312" w:hAnsi="仿宋_GB2312" w:eastAsia="仿宋_GB2312" w:cs="仿宋_GB2312"/>
          <w:color w:val="auto"/>
          <w:sz w:val="32"/>
          <w:szCs w:val="32"/>
          <w:highlight w:val="none"/>
          <w:shd w:val="clear" w:color="auto" w:fill="auto"/>
          <w:lang w:val="en-US" w:eastAsia="zh-CN"/>
        </w:rPr>
        <w:t>目标</w:t>
      </w:r>
    </w:p>
    <w:p w14:paraId="09399C9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47" w:name="_Toc26567"/>
      <w:r>
        <w:rPr>
          <w:rFonts w:hint="eastAsia" w:ascii="仿宋_GB2312" w:hAnsi="仿宋_GB2312" w:eastAsia="仿宋_GB2312" w:cs="仿宋_GB2312"/>
          <w:color w:val="auto"/>
          <w:sz w:val="32"/>
          <w:szCs w:val="32"/>
          <w:highlight w:val="none"/>
          <w:shd w:val="clear" w:color="auto" w:fill="auto"/>
          <w:lang w:val="en-US" w:eastAsia="zh-CN"/>
        </w:rPr>
        <w:t>①数量指标</w:t>
      </w:r>
    </w:p>
    <w:p w14:paraId="071F693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在校学生人数</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指标，预期目标值为=557人；</w:t>
      </w:r>
    </w:p>
    <w:p w14:paraId="72A85A5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②质量指标</w:t>
      </w:r>
    </w:p>
    <w:p w14:paraId="0DA9105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公用经费享受比例</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11E54BC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教师培训结业率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246DB6C0">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③时效指标</w:t>
      </w:r>
    </w:p>
    <w:p w14:paraId="5BC0D72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公用经费支出及时率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4061558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（2）成本指标</w:t>
      </w:r>
    </w:p>
    <w:p w14:paraId="0ED89BF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公用经费标准</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指标，预期目标值为=1100元/人/年；</w:t>
      </w:r>
    </w:p>
    <w:p w14:paraId="19C8598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）项目效益</w:t>
      </w:r>
      <w:r>
        <w:rPr>
          <w:rFonts w:hint="eastAsia" w:ascii="仿宋_GB2312" w:hAnsi="仿宋_GB2312" w:eastAsia="仿宋_GB2312" w:cs="仿宋_GB2312"/>
          <w:color w:val="auto"/>
          <w:sz w:val="32"/>
          <w:szCs w:val="32"/>
          <w:highlight w:val="none"/>
          <w:shd w:val="clear" w:color="auto" w:fill="auto"/>
          <w:lang w:val="en-US" w:eastAsia="zh-CN"/>
        </w:rPr>
        <w:t>目标</w:t>
      </w:r>
    </w:p>
    <w:p w14:paraId="6508294A">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①社会效益指标</w:t>
      </w:r>
    </w:p>
    <w:p w14:paraId="2460CB55">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幼儿园正常运转率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1262EB1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改善教学环境，提供良好的学生成长条件</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指标，预期目标值为改善；</w:t>
      </w:r>
    </w:p>
    <w:p w14:paraId="198AC47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②满意度指标</w:t>
      </w:r>
    </w:p>
    <w:p w14:paraId="0A708DED">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师生满意度</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指标，预期目标值为≥90%；</w:t>
      </w:r>
    </w:p>
    <w:p w14:paraId="71762FAE">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r>
        <w:rPr>
          <w:rFonts w:hint="eastAsia" w:ascii="宋体" w:hAnsi="宋体" w:eastAsia="宋体" w:cs="宋体"/>
          <w:b/>
          <w:bCs/>
          <w:color w:val="auto"/>
          <w:highlight w:val="none"/>
          <w:shd w:val="clear" w:color="auto" w:fill="auto"/>
        </w:rPr>
        <w:t>二、绩效评价工作开展情况</w:t>
      </w:r>
      <w:bookmarkEnd w:id="47"/>
    </w:p>
    <w:p w14:paraId="4313E952">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48" w:name="_Toc5258"/>
      <w:bookmarkStart w:id="49" w:name="_Toc5462343"/>
      <w:bookmarkStart w:id="50" w:name="_Toc22922"/>
      <w:bookmarkStart w:id="51" w:name="_Toc26632"/>
      <w:bookmarkStart w:id="52" w:name="_Toc21664"/>
      <w:bookmarkStart w:id="53" w:name="_Toc480473081"/>
      <w:bookmarkStart w:id="54" w:name="_Toc22169_WPSOffice_Level2"/>
      <w:bookmarkStart w:id="55" w:name="_Toc12868"/>
      <w:bookmarkStart w:id="56" w:name="_Toc22839"/>
      <w:r>
        <w:rPr>
          <w:rFonts w:hint="eastAsia" w:ascii="Times New Roman" w:hAnsi="Times New Roman" w:eastAsia="楷体_GB2312" w:cs="Times New Roman"/>
          <w:color w:val="auto"/>
          <w:kern w:val="28"/>
          <w:sz w:val="32"/>
          <w:highlight w:val="none"/>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color w:val="auto"/>
          <w:kern w:val="28"/>
          <w:sz w:val="32"/>
          <w:highlight w:val="none"/>
          <w:lang w:val="en-US" w:eastAsia="zh-CN"/>
        </w:rPr>
        <w:t>、对象和范围</w:t>
      </w:r>
      <w:bookmarkEnd w:id="56"/>
    </w:p>
    <w:p w14:paraId="5F8BEEC9">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bookmarkStart w:id="57" w:name="_Toc15732"/>
      <w:bookmarkStart w:id="58" w:name="_Toc11666"/>
      <w:bookmarkStart w:id="59" w:name="_Toc21311"/>
      <w:r>
        <w:rPr>
          <w:rFonts w:hint="default" w:ascii="Times New Roman" w:hAnsi="Times New Roman" w:eastAsia="仿宋_GB2312" w:cs="Times New Roman"/>
          <w:b/>
          <w:bCs/>
          <w:color w:val="auto"/>
          <w:kern w:val="2"/>
          <w:sz w:val="32"/>
          <w:szCs w:val="32"/>
          <w:highlight w:val="none"/>
          <w:lang w:val="en-US" w:eastAsia="zh-CN" w:bidi="ar-SA"/>
        </w:rPr>
        <w:t>1.绩效评价完整性</w:t>
      </w:r>
    </w:p>
    <w:p w14:paraId="3FD4E168">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3312BCB7">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6E255024">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0BFF27BA">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1A18162C">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800A579">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0" w:name="_Toc417"/>
      <w:bookmarkStart w:id="61" w:name="_Toc21770"/>
      <w:r>
        <w:rPr>
          <w:rFonts w:hint="eastAsia"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eastAsia="zh-CN"/>
        </w:rPr>
        <w:t>绩效评价的目的</w:t>
      </w:r>
      <w:bookmarkEnd w:id="57"/>
      <w:bookmarkEnd w:id="60"/>
      <w:bookmarkEnd w:id="61"/>
    </w:p>
    <w:p w14:paraId="3E225F32">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为全面了解</w:t>
      </w:r>
      <w:r>
        <w:rPr>
          <w:rFonts w:hint="eastAsia" w:ascii="仿宋_GB2312" w:hAnsi="仿宋_GB2312" w:eastAsia="仿宋_GB2312" w:cs="仿宋_GB2312"/>
          <w:color w:val="auto"/>
          <w:sz w:val="32"/>
          <w:szCs w:val="32"/>
          <w:highlight w:val="none"/>
          <w:shd w:val="clear" w:color="auto" w:fill="auto"/>
          <w:lang w:val="en-US" w:eastAsia="zh-CN"/>
        </w:rPr>
        <w:t>该</w:t>
      </w:r>
      <w:r>
        <w:rPr>
          <w:rFonts w:hint="eastAsia" w:ascii="仿宋_GB2312" w:hAnsi="仿宋_GB2312" w:eastAsia="仿宋_GB2312" w:cs="仿宋_GB2312"/>
          <w:color w:val="auto"/>
          <w:sz w:val="32"/>
          <w:szCs w:val="32"/>
          <w:highlight w:val="none"/>
          <w:shd w:val="clear" w:color="auto" w:fill="auto"/>
          <w:lang w:eastAsia="zh-CN"/>
        </w:rPr>
        <w:t>项目预算编制合理性、资金使用合规性、项目管理的规范性、</w:t>
      </w:r>
      <w:r>
        <w:rPr>
          <w:rFonts w:hint="eastAsia" w:ascii="仿宋_GB2312" w:hAnsi="仿宋_GB2312" w:eastAsia="仿宋_GB2312" w:cs="仿宋_GB2312"/>
          <w:color w:val="auto"/>
          <w:sz w:val="32"/>
          <w:szCs w:val="32"/>
          <w:highlight w:val="none"/>
          <w:shd w:val="clear" w:color="auto" w:fill="auto"/>
          <w:lang w:val="en-US" w:eastAsia="zh-CN"/>
        </w:rPr>
        <w:t>绩效</w:t>
      </w:r>
      <w:r>
        <w:rPr>
          <w:rFonts w:hint="eastAsia" w:ascii="仿宋_GB2312" w:hAnsi="仿宋_GB2312" w:eastAsia="仿宋_GB2312" w:cs="仿宋_GB2312"/>
          <w:color w:val="auto"/>
          <w:sz w:val="32"/>
          <w:szCs w:val="32"/>
          <w:highlight w:val="none"/>
          <w:shd w:val="clear" w:color="auto" w:fill="auto"/>
          <w:lang w:eastAsia="zh-CN"/>
        </w:rPr>
        <w:t>目标的实现情况、服务对象的满意度等，通过本次</w:t>
      </w:r>
      <w:r>
        <w:rPr>
          <w:rFonts w:hint="eastAsia" w:ascii="仿宋_GB2312" w:hAnsi="仿宋_GB2312" w:eastAsia="仿宋_GB2312" w:cs="仿宋_GB2312"/>
          <w:color w:val="auto"/>
          <w:sz w:val="32"/>
          <w:szCs w:val="32"/>
          <w:highlight w:val="none"/>
          <w:shd w:val="clear" w:color="auto" w:fill="auto"/>
          <w:lang w:val="en-US" w:eastAsia="zh-CN"/>
        </w:rPr>
        <w:t>部门</w:t>
      </w:r>
      <w:r>
        <w:rPr>
          <w:rFonts w:hint="eastAsia" w:ascii="仿宋_GB2312" w:hAnsi="仿宋_GB2312" w:eastAsia="仿宋_GB2312" w:cs="仿宋_GB2312"/>
          <w:color w:val="auto"/>
          <w:sz w:val="32"/>
          <w:szCs w:val="32"/>
          <w:highlight w:val="none"/>
          <w:shd w:val="clear" w:color="auto" w:fill="auto"/>
          <w:lang w:eastAsia="zh-CN"/>
        </w:rPr>
        <w:t>绩效评价来总结经验和教训，促进项目成果转化和应用，为今后类似项目的长效管理，提供可行性参考建议。</w:t>
      </w:r>
    </w:p>
    <w:p w14:paraId="4A05E6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62" w:name="_Toc30609"/>
      <w:r>
        <w:rPr>
          <w:rFonts w:hint="default" w:ascii="Times New Roman" w:hAnsi="Times New Roman" w:eastAsia="仿宋_GB2312" w:cs="Times New Roman"/>
          <w:color w:val="auto"/>
          <w:sz w:val="32"/>
          <w:szCs w:val="32"/>
          <w:highlight w:val="none"/>
        </w:rPr>
        <w:t>（1）评估项目实施效果</w:t>
      </w:r>
    </w:p>
    <w:p w14:paraId="6CC087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2F4473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753B14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5F51AD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4D9115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3AE9C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6E4343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9067A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211041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22829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472B7E2">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bookmarkStart w:id="63" w:name="_Toc31970"/>
      <w:bookmarkStart w:id="64" w:name="_Toc16346"/>
      <w:r>
        <w:rPr>
          <w:rFonts w:hint="eastAsia" w:ascii="Times New Roman" w:hAnsi="Times New Roman" w:eastAsia="仿宋_GB2312" w:cs="Times New Roman"/>
          <w:b w:val="0"/>
          <w:bCs w:val="0"/>
          <w:color w:val="auto"/>
          <w:kern w:val="2"/>
          <w:sz w:val="32"/>
          <w:szCs w:val="32"/>
          <w:highlight w:val="none"/>
          <w:lang w:val="en-US" w:eastAsia="zh-CN" w:bidi="ar-SA"/>
        </w:rPr>
        <w:t>3.绩效评价的对象</w:t>
      </w:r>
      <w:bookmarkEnd w:id="62"/>
      <w:bookmarkEnd w:id="63"/>
      <w:bookmarkEnd w:id="64"/>
    </w:p>
    <w:p w14:paraId="08712F71">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此次我单位根据《财政支出绩效评价管理暂行办法》（财预〔2020〕10号）文件要求对2024年度我单位实施的2024年学前教育生均经费（保基本民生）项目</w:t>
      </w:r>
      <w:r>
        <w:rPr>
          <w:rFonts w:hint="default" w:ascii="Times New Roman" w:hAnsi="Times New Roman" w:eastAsia="仿宋_GB2312" w:cs="Times New Roman"/>
          <w:b w:val="0"/>
          <w:bCs w:val="0"/>
          <w:color w:val="auto"/>
          <w:kern w:val="2"/>
          <w:sz w:val="32"/>
          <w:szCs w:val="32"/>
          <w:highlight w:val="none"/>
          <w:lang w:val="en-US" w:eastAsia="zh-CN" w:bidi="ar-SA"/>
        </w:rPr>
        <w:t>及其预算执行情况</w:t>
      </w:r>
      <w:r>
        <w:rPr>
          <w:rFonts w:hint="eastAsia" w:ascii="Times New Roman" w:hAnsi="Times New Roman" w:eastAsia="仿宋_GB2312" w:cs="Times New Roman"/>
          <w:b w:val="0"/>
          <w:bCs w:val="0"/>
          <w:color w:val="auto"/>
          <w:kern w:val="2"/>
          <w:sz w:val="32"/>
          <w:szCs w:val="32"/>
          <w:highlight w:val="none"/>
          <w:lang w:val="en-US" w:eastAsia="zh-CN" w:bidi="ar-SA"/>
        </w:rPr>
        <w:t>开展部门绩效评价。</w:t>
      </w:r>
    </w:p>
    <w:p w14:paraId="3B0954D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lang w:val="en-US" w:eastAsia="zh-CN" w:bidi="ar-SA"/>
        </w:rPr>
        <w:t>该项目由</w:t>
      </w:r>
      <w:r>
        <w:rPr>
          <w:rFonts w:hint="eastAsia" w:ascii="Times New Roman" w:hAnsi="Times New Roman" w:eastAsia="仿宋_GB2312" w:cs="Times New Roman"/>
          <w:b w:val="0"/>
          <w:bCs w:val="0"/>
          <w:color w:val="auto"/>
          <w:kern w:val="2"/>
          <w:sz w:val="32"/>
          <w:szCs w:val="32"/>
          <w:highlight w:val="none"/>
          <w:lang w:val="en-US" w:eastAsia="zh-CN" w:bidi="ar-SA"/>
        </w:rPr>
        <w:t>阜康市第四幼儿园</w:t>
      </w:r>
      <w:r>
        <w:rPr>
          <w:rFonts w:hint="default" w:ascii="Times New Roman" w:hAnsi="Times New Roman" w:eastAsia="仿宋_GB2312" w:cs="Times New Roman"/>
          <w:b w:val="0"/>
          <w:bCs w:val="0"/>
          <w:color w:val="auto"/>
          <w:kern w:val="2"/>
          <w:sz w:val="32"/>
          <w:szCs w:val="32"/>
          <w:highlight w:val="none"/>
          <w:lang w:val="en-US" w:eastAsia="zh-CN" w:bidi="ar-SA"/>
        </w:rPr>
        <w:t>负责实施，旨在提高幼儿园正常运转率，改善教学环境，提供良好的学生成长条件，保障幼儿园各项工作平稳进行</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2024年2月1日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104.3</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4A012542">
      <w:pPr>
        <w:pStyle w:val="4"/>
        <w:pageBreakBefore w:val="0"/>
        <w:kinsoku/>
        <w:wordWrap/>
        <w:overflowPunct/>
        <w:topLinePunct w:val="0"/>
        <w:autoSpaceDE/>
        <w:autoSpaceDN/>
        <w:bidi w:val="0"/>
        <w:adjustRightInd/>
        <w:spacing w:line="560" w:lineRule="exact"/>
        <w:textAlignment w:val="auto"/>
        <w:rPr>
          <w:rFonts w:hint="default" w:cs="仿宋_GB2312"/>
          <w:color w:val="auto"/>
          <w:sz w:val="32"/>
          <w:szCs w:val="32"/>
          <w:highlight w:val="none"/>
          <w:shd w:val="clear" w:color="auto" w:fill="auto"/>
          <w:lang w:val="en-US" w:eastAsia="zh-CN"/>
        </w:rPr>
      </w:pPr>
      <w:r>
        <w:rPr>
          <w:rFonts w:hint="default" w:cs="仿宋_GB2312"/>
          <w:color w:val="auto"/>
          <w:sz w:val="32"/>
          <w:szCs w:val="32"/>
          <w:highlight w:val="none"/>
          <w:shd w:val="clear" w:color="auto" w:fill="auto"/>
          <w:lang w:val="en-US" w:eastAsia="zh-CN"/>
        </w:rPr>
        <w:t>4.绩效评价的范围</w:t>
      </w:r>
    </w:p>
    <w:p w14:paraId="3F83EA6E">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19EB23D8">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项目预算编制与执行：全面审视项目预算的编制依据、合理性、科学性以及实际执行情况，包括预算调整的原因和效果。</w:t>
      </w:r>
    </w:p>
    <w:p w14:paraId="267E8AEF">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资金管理：深入分析项目资金的分配、使用和监管情况，确保资金使用的合规性、高效性和透明度。</w:t>
      </w:r>
    </w:p>
    <w:p w14:paraId="19E01CD2">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项目实施进度与产出：评估项目是否按照既定计划顺利推进，各项任务是否按时完成，以及项目产出的数量、质量和时效性是否符合预期。</w:t>
      </w:r>
    </w:p>
    <w:p w14:paraId="1E59BB39">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社会影响：考察项目对社会等方面的综合影响。</w:t>
      </w:r>
    </w:p>
    <w:bookmarkEnd w:id="58"/>
    <w:bookmarkEnd w:id="59"/>
    <w:p w14:paraId="1F931419">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Chars="200"/>
        <w:jc w:val="both"/>
        <w:textAlignment w:val="auto"/>
        <w:outlineLvl w:val="9"/>
        <w:rPr>
          <w:rFonts w:hint="eastAsia" w:ascii="Times New Roman" w:hAnsi="Times New Roman" w:eastAsia="楷体_GB2312" w:cs="Times New Roman"/>
          <w:color w:val="auto"/>
          <w:kern w:val="28"/>
          <w:sz w:val="32"/>
          <w:highlight w:val="none"/>
          <w:lang w:val="en-US" w:eastAsia="zh-CN"/>
        </w:rPr>
      </w:pPr>
      <w:bookmarkStart w:id="65" w:name="_Toc29785"/>
      <w:bookmarkStart w:id="66" w:name="_Toc1286"/>
      <w:r>
        <w:rPr>
          <w:rFonts w:hint="eastAsia" w:ascii="Times New Roman" w:hAnsi="Times New Roman" w:eastAsia="楷体_GB2312" w:cs="Times New Roman"/>
          <w:color w:val="auto"/>
          <w:kern w:val="28"/>
          <w:sz w:val="32"/>
          <w:highlight w:val="none"/>
          <w:lang w:val="en-US" w:eastAsia="zh-CN"/>
        </w:rPr>
        <w:t>（二）绩效评价原则、评价指标体系（</w:t>
      </w:r>
      <w:r>
        <w:rPr>
          <w:rFonts w:hint="default" w:ascii="Times New Roman" w:hAnsi="Times New Roman" w:eastAsia="楷体_GB2312" w:cs="Times New Roman"/>
          <w:color w:val="auto"/>
          <w:kern w:val="28"/>
          <w:sz w:val="32"/>
          <w:highlight w:val="none"/>
          <w:lang w:val="en-US" w:eastAsia="zh-CN"/>
        </w:rPr>
        <w:t>详情见</w:t>
      </w:r>
      <w:r>
        <w:rPr>
          <w:rFonts w:hint="eastAsia" w:ascii="Times New Roman" w:hAnsi="Times New Roman" w:eastAsia="楷体_GB2312" w:cs="Times New Roman"/>
          <w:color w:val="auto"/>
          <w:kern w:val="28"/>
          <w:sz w:val="32"/>
          <w:highlight w:val="none"/>
          <w:lang w:val="en-US" w:eastAsia="zh-CN"/>
        </w:rPr>
        <w:t>附件二）、评价方法、评价标准</w:t>
      </w:r>
      <w:bookmarkEnd w:id="65"/>
      <w:bookmarkEnd w:id="66"/>
    </w:p>
    <w:p w14:paraId="4BE71E46">
      <w:pPr>
        <w:pStyle w:val="4"/>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auto"/>
          <w:kern w:val="2"/>
          <w:sz w:val="32"/>
          <w:szCs w:val="32"/>
          <w:highlight w:val="none"/>
          <w:lang w:val="en-US" w:eastAsia="zh-CN" w:bidi="ar-SA"/>
        </w:rPr>
      </w:pPr>
      <w:bookmarkStart w:id="67" w:name="_Toc24506"/>
      <w:bookmarkStart w:id="68" w:name="_Toc13694"/>
      <w:bookmarkStart w:id="69" w:name="_Toc5354"/>
      <w:r>
        <w:rPr>
          <w:rFonts w:hint="eastAsia" w:ascii="Times New Roman" w:hAnsi="Times New Roman" w:eastAsia="仿宋_GB2312" w:cs="Times New Roman"/>
          <w:b/>
          <w:bCs/>
          <w:color w:val="auto"/>
          <w:kern w:val="2"/>
          <w:sz w:val="32"/>
          <w:szCs w:val="32"/>
          <w:highlight w:val="none"/>
          <w:lang w:val="en-US" w:eastAsia="zh-CN" w:bidi="ar-SA"/>
        </w:rPr>
        <w:t>1.绩效评价原则</w:t>
      </w:r>
      <w:bookmarkEnd w:id="67"/>
      <w:bookmarkEnd w:id="68"/>
      <w:bookmarkEnd w:id="69"/>
    </w:p>
    <w:p w14:paraId="6F009A80">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依据《财政支出绩效评价管理暂行办法》（财预〔20</w:t>
      </w:r>
      <w:r>
        <w:rPr>
          <w:rFonts w:hint="eastAsia" w:ascii="Times New Roman" w:hAnsi="Times New Roman" w:eastAsia="仿宋_GB2312" w:cs="Times New Roman"/>
          <w:color w:val="auto"/>
          <w:sz w:val="32"/>
          <w:szCs w:val="32"/>
          <w:highlight w:val="none"/>
          <w:lang w:val="en-US" w:eastAsia="zh-CN"/>
        </w:rPr>
        <w:t>20</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lang w:eastAsia="zh-CN"/>
        </w:rPr>
        <w:t>号）本次绩效评价秉承科学规范、公正公开、分级分类、绩效相关等原则，按照从投入、过程到产出效果和影响的绩效逻辑路径，结合</w:t>
      </w:r>
      <w:r>
        <w:rPr>
          <w:rFonts w:hint="eastAsia" w:ascii="仿宋_GB2312" w:hAnsi="仿宋_GB2312" w:eastAsia="仿宋_GB2312" w:cs="仿宋_GB2312"/>
          <w:color w:val="auto"/>
          <w:sz w:val="32"/>
          <w:szCs w:val="32"/>
          <w:highlight w:val="none"/>
          <w:shd w:val="clear" w:color="auto" w:fill="auto"/>
          <w:lang w:val="en-US" w:eastAsia="zh-CN"/>
        </w:rPr>
        <w:t>2024年学前教育生均经费（保基本民生）项目</w:t>
      </w:r>
      <w:r>
        <w:rPr>
          <w:rFonts w:hint="eastAsia" w:ascii="Times New Roman" w:hAnsi="Times New Roman" w:eastAsia="仿宋_GB2312" w:cs="Times New Roman"/>
          <w:color w:val="auto"/>
          <w:sz w:val="32"/>
          <w:szCs w:val="32"/>
          <w:highlight w:val="none"/>
          <w:lang w:eastAsia="zh-CN"/>
        </w:rPr>
        <w:t>实际开展情况，运用定量和定性分析相结合的方法，总结经验做法，反思项目实施和管理中的问题，以切实提升财政资金管理的科学化、规范化和精细化水平。</w:t>
      </w:r>
    </w:p>
    <w:p w14:paraId="373C7975">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根据以上原则，绩效评价应遵循如下要求：</w:t>
      </w:r>
    </w:p>
    <w:p w14:paraId="6D04F0B3">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eastAsia="zh-CN"/>
        </w:rPr>
        <w:t>）科学公正。绩效评价应当运用科学合理的方法，按照规范的程序，对项目绩效进行客观、公正的反映。</w:t>
      </w:r>
    </w:p>
    <w:p w14:paraId="4313544D">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eastAsia="zh-CN"/>
        </w:rPr>
        <w:t>）统筹兼顾。单位自评、部门评价和财政评价应职责明确，各有侧重，相互衔接。单位自评应由项目单位自主实施，即“谁支出、谁自评”。</w:t>
      </w:r>
    </w:p>
    <w:p w14:paraId="4DD2151D">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eastAsia="zh-CN"/>
        </w:rPr>
        <w:t>）激励约束。绩效评价结果应与预算安排、政策调整、改进管理实质性挂钩，体现奖优罚劣和激励相容导向，有效要安排、低效要压减、无效要问责。</w:t>
      </w:r>
    </w:p>
    <w:p w14:paraId="1FF7AB42">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eastAsia="zh-CN"/>
        </w:rPr>
        <w:t>）公开透明。绩效评价结果应依法依规公开，并自觉接受社会监督。</w:t>
      </w:r>
    </w:p>
    <w:p w14:paraId="11259E07">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bookmarkStart w:id="70" w:name="_Toc26131"/>
      <w:bookmarkStart w:id="71" w:name="_Toc1913"/>
      <w:bookmarkStart w:id="72" w:name="_Toc24396"/>
      <w:bookmarkStart w:id="73" w:name="_Toc419984722"/>
      <w:bookmarkStart w:id="74" w:name="_Toc428278230"/>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绩效评价指标体系</w:t>
      </w:r>
      <w:bookmarkEnd w:id="70"/>
      <w:bookmarkEnd w:id="71"/>
      <w:bookmarkEnd w:id="72"/>
      <w:bookmarkEnd w:id="73"/>
      <w:bookmarkEnd w:id="74"/>
    </w:p>
    <w:p w14:paraId="70B2AAD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5" w:name="_Toc9941"/>
      <w:r>
        <w:rPr>
          <w:rFonts w:hint="eastAsia" w:ascii="仿宋_GB2312" w:hAnsi="仿宋_GB2312" w:eastAsia="仿宋_GB2312" w:cs="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0A3A117E">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（1）确定评价指标</w:t>
      </w:r>
    </w:p>
    <w:p w14:paraId="5646382D">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155C4F4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（2）确定权重</w:t>
      </w:r>
    </w:p>
    <w:p w14:paraId="5AC9FD40">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lang w:eastAsia="zh-CN"/>
        </w:rPr>
      </w:pPr>
      <w:r>
        <w:rPr>
          <w:rFonts w:hint="eastAsia" w:ascii="仿宋_GB2312" w:hAnsi="仿宋_GB2312" w:eastAsia="仿宋_GB2312" w:cs="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4635541C">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（3）确定指标标准值</w:t>
      </w:r>
    </w:p>
    <w:p w14:paraId="76C66C1A">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5711F9A3">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绩效评价总分值100分，根据综合评分结果，90（含）-100分为优、80（含）-90分为良、60（含）-80分为中、60分以下为差。</w:t>
      </w:r>
    </w:p>
    <w:p w14:paraId="3D3E51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w:t>
      </w:r>
      <w:r>
        <w:rPr>
          <w:rFonts w:hint="eastAsia" w:ascii="仿宋_GB2312" w:hAnsi="仿宋_GB2312" w:eastAsia="仿宋_GB2312" w:cs="仿宋_GB2312"/>
          <w:color w:val="auto"/>
          <w:sz w:val="32"/>
          <w:szCs w:val="32"/>
          <w:highlight w:val="none"/>
          <w:lang w:val="zh-TW" w:eastAsia="zh-TW"/>
        </w:rPr>
        <w:t>根据项目的</w:t>
      </w:r>
      <w:r>
        <w:rPr>
          <w:rFonts w:hint="eastAsia" w:ascii="仿宋_GB2312" w:hAnsi="仿宋_GB2312" w:eastAsia="仿宋_GB2312" w:cs="仿宋_GB2312"/>
          <w:color w:val="auto"/>
          <w:sz w:val="32"/>
          <w:szCs w:val="32"/>
          <w:highlight w:val="none"/>
          <w:lang w:val="en-US" w:eastAsia="zh-CN"/>
        </w:rPr>
        <w:t>实施</w:t>
      </w:r>
      <w:r>
        <w:rPr>
          <w:rFonts w:hint="eastAsia" w:ascii="仿宋_GB2312" w:hAnsi="仿宋_GB2312" w:eastAsia="仿宋_GB2312" w:cs="仿宋_GB2312"/>
          <w:color w:val="auto"/>
          <w:sz w:val="32"/>
          <w:szCs w:val="32"/>
          <w:highlight w:val="none"/>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en-US" w:eastAsia="zh-CN"/>
        </w:rPr>
        <w:t>详见上传的附件二。</w:t>
      </w:r>
    </w:p>
    <w:p w14:paraId="065E6229">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6" w:name="_Toc5690"/>
      <w:bookmarkStart w:id="77" w:name="_Toc30114"/>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评价</w:t>
      </w:r>
      <w:r>
        <w:rPr>
          <w:rFonts w:hint="eastAsia" w:ascii="仿宋_GB2312" w:hAnsi="仿宋_GB2312" w:eastAsia="仿宋_GB2312" w:cs="仿宋_GB2312"/>
          <w:color w:val="auto"/>
          <w:sz w:val="32"/>
          <w:szCs w:val="32"/>
          <w:highlight w:val="none"/>
          <w:shd w:val="clear" w:color="auto" w:fill="auto"/>
          <w:lang w:val="en-US" w:eastAsia="zh-CN"/>
        </w:rPr>
        <w:t>方法</w:t>
      </w:r>
      <w:bookmarkEnd w:id="75"/>
      <w:bookmarkEnd w:id="76"/>
      <w:bookmarkEnd w:id="77"/>
    </w:p>
    <w:p w14:paraId="4EF86CD3">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8" w:name="_Toc25651"/>
      <w:bookmarkStart w:id="79" w:name="_Toc6081"/>
      <w:bookmarkStart w:id="80" w:name="_Toc25391"/>
      <w:r>
        <w:rPr>
          <w:rFonts w:hint="eastAsia" w:ascii="仿宋_GB2312" w:hAnsi="仿宋_GB2312" w:eastAsia="仿宋_GB2312" w:cs="仿宋_GB2312"/>
          <w:color w:val="auto"/>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评价核心为资金的支出完成情况和项目的产出效益。</w:t>
      </w:r>
    </w:p>
    <w:p w14:paraId="57ABCB45">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4440403D">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rPr>
        <w:t>）比较法。是指将实施情况与绩效目标、历史情况、不同部门和地区同类支出情况进行比较的方法。</w:t>
      </w:r>
    </w:p>
    <w:p w14:paraId="6AFCA546">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）因素分析法。是指综合分析影响绩效目标实现、实施效果的内外部因素的方法。</w:t>
      </w:r>
    </w:p>
    <w:p w14:paraId="2BC541A9">
      <w:pPr>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3</w:t>
      </w:r>
      <w:r>
        <w:rPr>
          <w:rFonts w:hint="default" w:ascii="Times New Roman" w:hAnsi="Times New Roman" w:eastAsia="仿宋_GB2312" w:cs="Times New Roman"/>
          <w:color w:val="auto"/>
          <w:spacing w:val="17"/>
          <w:sz w:val="32"/>
          <w:szCs w:val="32"/>
          <w:highlight w:val="none"/>
        </w:rPr>
        <w:t>）最低成本法。是指在绩效目标确定的前提下，成本最小者为优的方法</w:t>
      </w:r>
      <w:r>
        <w:rPr>
          <w:rFonts w:hint="eastAsia" w:ascii="仿宋_GB2312" w:hAnsi="仿宋_GB2312" w:eastAsia="仿宋_GB2312" w:cs="仿宋_GB2312"/>
          <w:color w:val="auto"/>
          <w:spacing w:val="17"/>
          <w:sz w:val="32"/>
          <w:szCs w:val="32"/>
          <w:highlight w:val="none"/>
          <w:lang w:val="en-US" w:eastAsia="zh-CN"/>
        </w:rPr>
        <w:t>。</w:t>
      </w:r>
    </w:p>
    <w:p w14:paraId="2A9E9F1B">
      <w:pPr>
        <w:pStyle w:val="4"/>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4.评价标准</w:t>
      </w:r>
      <w:bookmarkEnd w:id="78"/>
      <w:bookmarkEnd w:id="79"/>
      <w:bookmarkEnd w:id="80"/>
    </w:p>
    <w:p w14:paraId="33275686">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bookmarkStart w:id="81" w:name="_Toc21435"/>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历史标准。</w:t>
      </w:r>
    </w:p>
    <w:p w14:paraId="67322669">
      <w:pPr>
        <w:numPr>
          <w:ilvl w:val="0"/>
          <w:numId w:val="2"/>
        </w:num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计划标准。指以预先制定的目标、计划、预算、定额等作为评价标准。</w:t>
      </w:r>
    </w:p>
    <w:p w14:paraId="42DB83E7">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历史标准。指参照历史数据制定的评价标准，为体现绩效改进的原则，在可实现的条件下应当确定相对较高的评价标准。</w:t>
      </w:r>
    </w:p>
    <w:p w14:paraId="75A404E8">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r>
        <w:rPr>
          <w:rFonts w:hint="eastAsia" w:ascii="Times New Roman" w:hAnsi="Times New Roman" w:eastAsia="楷体_GB2312" w:cs="Times New Roman"/>
          <w:color w:val="auto"/>
          <w:kern w:val="28"/>
          <w:sz w:val="32"/>
          <w:highlight w:val="none"/>
          <w:lang w:val="en-US" w:eastAsia="zh-CN"/>
        </w:rPr>
        <w:t>（三）绩效评价工作过程</w:t>
      </w:r>
      <w:bookmarkEnd w:id="81"/>
    </w:p>
    <w:p w14:paraId="03454F7B">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2" w:name="_Toc12862"/>
      <w:r>
        <w:rPr>
          <w:rFonts w:hint="eastAsia" w:ascii="Times New Roman" w:hAnsi="Times New Roman" w:eastAsia="仿宋_GB2312" w:cs="Times New Roman"/>
          <w:b/>
          <w:bCs/>
          <w:color w:val="auto"/>
          <w:spacing w:val="17"/>
          <w:sz w:val="32"/>
          <w:szCs w:val="32"/>
          <w:highlight w:val="none"/>
          <w:lang w:val="en-US" w:eastAsia="zh-CN"/>
        </w:rPr>
        <w:t>1.前期准备</w:t>
      </w:r>
      <w:bookmarkEnd w:id="82"/>
    </w:p>
    <w:p w14:paraId="51CA3C41">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（1）成立绩效评价项目小组</w:t>
      </w:r>
    </w:p>
    <w:p w14:paraId="6E579CC6">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为确保该项目绩效评价的顺利实施，评价机构组建了绩效评价项目小组。项目小组负责建立联</w:t>
      </w:r>
      <w:r>
        <w:rPr>
          <w:rFonts w:hint="eastAsia" w:ascii="Times New Roman" w:hAnsi="Times New Roman" w:eastAsia="仿宋_GB2312" w:cs="Times New Roman"/>
          <w:color w:val="000000"/>
          <w:spacing w:val="17"/>
          <w:sz w:val="32"/>
          <w:szCs w:val="32"/>
          <w:highlight w:val="none"/>
          <w:lang w:val="en-US" w:eastAsia="zh-CN"/>
        </w:rPr>
        <w:t>络制度、明确评价责任人、制定评价方案、实施具体评价等工作。</w:t>
      </w:r>
    </w:p>
    <w:p w14:paraId="6F33C023">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3" w:name="_Toc31571"/>
      <w:r>
        <w:rPr>
          <w:rFonts w:hint="eastAsia" w:ascii="Times New Roman" w:hAnsi="Times New Roman" w:eastAsia="仿宋_GB2312" w:cs="Times New Roman"/>
          <w:color w:val="000000"/>
          <w:spacing w:val="17"/>
          <w:sz w:val="32"/>
          <w:szCs w:val="32"/>
          <w:highlight w:val="none"/>
          <w:lang w:val="en-US" w:eastAsia="zh-CN"/>
        </w:rPr>
        <w:t>（2）开展前期调研</w:t>
      </w:r>
      <w:bookmarkEnd w:id="83"/>
    </w:p>
    <w:p w14:paraId="0EC39150">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4" w:name="_Toc21240"/>
      <w:r>
        <w:rPr>
          <w:rFonts w:hint="eastAsia" w:ascii="Times New Roman" w:hAnsi="Times New Roman" w:eastAsia="仿宋_GB2312" w:cs="Times New Roman"/>
          <w:color w:val="auto"/>
          <w:spacing w:val="17"/>
          <w:sz w:val="32"/>
          <w:szCs w:val="32"/>
          <w:highlight w:val="none"/>
          <w:lang w:val="en-US" w:eastAsia="zh-CN"/>
        </w:rPr>
        <w:t>绩效评价项目小组依据此次绩效评价受委托内容，对拟评价的项目实施前期调研。通过调研对</w:t>
      </w:r>
      <w:r>
        <w:rPr>
          <w:rFonts w:hint="eastAsia" w:ascii="仿宋_GB2312" w:hAnsi="仿宋_GB2312" w:eastAsia="仿宋_GB2312" w:cs="仿宋_GB2312"/>
          <w:color w:val="auto"/>
          <w:sz w:val="32"/>
          <w:szCs w:val="32"/>
          <w:highlight w:val="none"/>
          <w:shd w:val="clear" w:color="auto" w:fill="auto"/>
          <w:lang w:val="en-US" w:eastAsia="zh-CN"/>
        </w:rPr>
        <w:t>2024年学前教育生均经费（保基本民生）项目</w:t>
      </w:r>
      <w:r>
        <w:rPr>
          <w:rFonts w:hint="eastAsia" w:ascii="Times New Roman" w:hAnsi="Times New Roman" w:eastAsia="仿宋_GB2312" w:cs="Times New Roman"/>
          <w:color w:val="auto"/>
          <w:spacing w:val="17"/>
          <w:sz w:val="32"/>
          <w:szCs w:val="32"/>
          <w:highlight w:val="none"/>
          <w:lang w:val="en-US" w:eastAsia="zh-CN"/>
        </w:rPr>
        <w:t>实施内容、目标信息、预算信息以及其他的一些项目基本信息，有了初步了解，为制定绩效评价工作方案做好准备。</w:t>
      </w:r>
      <w:bookmarkEnd w:id="84"/>
    </w:p>
    <w:p w14:paraId="5A75F657">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5" w:name="_Toc27977"/>
      <w:r>
        <w:rPr>
          <w:rFonts w:hint="eastAsia" w:ascii="Times New Roman" w:hAnsi="Times New Roman" w:eastAsia="仿宋_GB2312" w:cs="Times New Roman"/>
          <w:color w:val="auto"/>
          <w:spacing w:val="17"/>
          <w:sz w:val="32"/>
          <w:szCs w:val="32"/>
          <w:highlight w:val="none"/>
          <w:lang w:val="en-US" w:eastAsia="zh-CN"/>
        </w:rPr>
        <w:t>（3）制订绩效评价工作方案</w:t>
      </w:r>
      <w:bookmarkEnd w:id="85"/>
    </w:p>
    <w:p w14:paraId="04628BF3">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6" w:name="_Toc19659"/>
      <w:r>
        <w:rPr>
          <w:rFonts w:hint="eastAsia" w:ascii="Times New Roman" w:hAnsi="Times New Roman" w:eastAsia="仿宋_GB2312" w:cs="Times New Roman"/>
          <w:color w:val="auto"/>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60F83FED">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7" w:name="_Toc11353"/>
      <w:r>
        <w:rPr>
          <w:rFonts w:hint="eastAsia" w:ascii="Times New Roman" w:hAnsi="Times New Roman" w:eastAsia="仿宋_GB2312" w:cs="Times New Roman"/>
          <w:b/>
          <w:bCs/>
          <w:color w:val="auto"/>
          <w:spacing w:val="17"/>
          <w:sz w:val="32"/>
          <w:szCs w:val="32"/>
          <w:highlight w:val="none"/>
          <w:lang w:val="en-US" w:eastAsia="zh-CN"/>
        </w:rPr>
        <w:t>2.具体实施</w:t>
      </w:r>
      <w:bookmarkEnd w:id="87"/>
    </w:p>
    <w:p w14:paraId="358C8FC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8" w:name="_Toc14111"/>
      <w:r>
        <w:rPr>
          <w:rFonts w:hint="eastAsia" w:ascii="Times New Roman" w:hAnsi="Times New Roman" w:eastAsia="仿宋_GB2312" w:cs="Times New Roman"/>
          <w:color w:val="auto"/>
          <w:spacing w:val="17"/>
          <w:sz w:val="32"/>
          <w:szCs w:val="32"/>
          <w:highlight w:val="none"/>
          <w:lang w:val="en-US" w:eastAsia="zh-CN"/>
        </w:rPr>
        <w:t>（1）收集基础资料</w:t>
      </w:r>
      <w:bookmarkEnd w:id="88"/>
    </w:p>
    <w:p w14:paraId="31095D4B">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9" w:name="_Toc28524"/>
      <w:r>
        <w:rPr>
          <w:rFonts w:hint="eastAsia" w:ascii="Times New Roman" w:hAnsi="Times New Roman" w:eastAsia="仿宋_GB2312" w:cs="Times New Roman"/>
          <w:color w:val="auto"/>
          <w:spacing w:val="17"/>
          <w:sz w:val="32"/>
          <w:szCs w:val="32"/>
          <w:highlight w:val="none"/>
          <w:lang w:val="en-US" w:eastAsia="zh-CN"/>
        </w:rPr>
        <w:t>根据评价工作的需要和要求，在前期调研的基础上，通过多种渠道全面收集项目基础信息资料，主要包括：</w:t>
      </w:r>
      <w:bookmarkEnd w:id="89"/>
    </w:p>
    <w:p w14:paraId="7C8DB09A">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0" w:name="_Toc32216"/>
      <w:r>
        <w:rPr>
          <w:rFonts w:hint="eastAsia" w:ascii="Times New Roman" w:hAnsi="Times New Roman" w:eastAsia="仿宋_GB2312" w:cs="Times New Roman"/>
          <w:color w:val="auto"/>
          <w:spacing w:val="17"/>
          <w:sz w:val="32"/>
          <w:szCs w:val="32"/>
          <w:highlight w:val="none"/>
          <w:lang w:val="en-US" w:eastAsia="zh-CN"/>
        </w:rPr>
        <w:t>①被评价单位基本概况，如单位职能、事业发展规划、预决算情况、项目立项依据等；</w:t>
      </w:r>
      <w:bookmarkEnd w:id="90"/>
    </w:p>
    <w:p w14:paraId="1F564E70">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1" w:name="_Toc10505"/>
      <w:r>
        <w:rPr>
          <w:rFonts w:hint="eastAsia" w:ascii="Times New Roman" w:hAnsi="Times New Roman" w:eastAsia="仿宋_GB2312" w:cs="Times New Roman"/>
          <w:color w:val="auto"/>
          <w:spacing w:val="17"/>
          <w:sz w:val="32"/>
          <w:szCs w:val="32"/>
          <w:highlight w:val="none"/>
          <w:lang w:val="en-US" w:eastAsia="zh-CN"/>
        </w:rPr>
        <w:t>②绩效目标及其设立依据和调整情况；</w:t>
      </w:r>
      <w:bookmarkEnd w:id="91"/>
    </w:p>
    <w:p w14:paraId="4FE4C25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2" w:name="_Toc28365"/>
      <w:r>
        <w:rPr>
          <w:rFonts w:hint="eastAsia" w:ascii="Times New Roman" w:hAnsi="Times New Roman" w:eastAsia="仿宋_GB2312" w:cs="Times New Roman"/>
          <w:color w:val="auto"/>
          <w:spacing w:val="17"/>
          <w:sz w:val="32"/>
          <w:szCs w:val="32"/>
          <w:highlight w:val="none"/>
          <w:lang w:val="en-US" w:eastAsia="zh-CN"/>
        </w:rPr>
        <w:t>③管理措施及组织实施情况；</w:t>
      </w:r>
      <w:bookmarkEnd w:id="92"/>
    </w:p>
    <w:p w14:paraId="7B49A39F">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3" w:name="_Toc10091"/>
      <w:r>
        <w:rPr>
          <w:rFonts w:hint="eastAsia" w:ascii="Times New Roman" w:hAnsi="Times New Roman" w:eastAsia="仿宋_GB2312" w:cs="Times New Roman"/>
          <w:color w:val="auto"/>
          <w:spacing w:val="17"/>
          <w:sz w:val="32"/>
          <w:szCs w:val="32"/>
          <w:highlight w:val="none"/>
          <w:lang w:val="en-US" w:eastAsia="zh-CN"/>
        </w:rPr>
        <w:t>④被评价单位总结分析的绩效目标完成情况及绩效报告；</w:t>
      </w:r>
      <w:bookmarkEnd w:id="93"/>
    </w:p>
    <w:p w14:paraId="0E21AF00">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4" w:name="_Toc1"/>
      <w:r>
        <w:rPr>
          <w:rFonts w:hint="eastAsia" w:ascii="Times New Roman" w:hAnsi="Times New Roman" w:eastAsia="仿宋_GB2312" w:cs="Times New Roman"/>
          <w:color w:val="auto"/>
          <w:spacing w:val="17"/>
          <w:sz w:val="32"/>
          <w:szCs w:val="32"/>
          <w:highlight w:val="none"/>
          <w:lang w:val="en-US" w:eastAsia="zh-CN"/>
        </w:rPr>
        <w:t>⑤与绩效评价相关的计划标准、行业标准、历史标准等；</w:t>
      </w:r>
      <w:bookmarkEnd w:id="94"/>
    </w:p>
    <w:p w14:paraId="3B81E19B">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5" w:name="_Toc20059"/>
      <w:r>
        <w:rPr>
          <w:rFonts w:hint="eastAsia" w:ascii="Times New Roman" w:hAnsi="Times New Roman" w:eastAsia="仿宋_GB2312" w:cs="Times New Roman"/>
          <w:color w:val="auto"/>
          <w:spacing w:val="17"/>
          <w:sz w:val="32"/>
          <w:szCs w:val="32"/>
          <w:highlight w:val="none"/>
          <w:lang w:val="en-US" w:eastAsia="zh-CN"/>
        </w:rPr>
        <w:t>⑥其他必要的相关资料等。</w:t>
      </w:r>
      <w:bookmarkEnd w:id="95"/>
    </w:p>
    <w:p w14:paraId="731E695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6" w:name="_Toc31911"/>
      <w:r>
        <w:rPr>
          <w:rFonts w:hint="eastAsia" w:ascii="Times New Roman" w:hAnsi="Times New Roman" w:eastAsia="仿宋_GB2312" w:cs="Times New Roman"/>
          <w:color w:val="auto"/>
          <w:spacing w:val="17"/>
          <w:sz w:val="32"/>
          <w:szCs w:val="32"/>
          <w:highlight w:val="none"/>
          <w:lang w:val="en-US" w:eastAsia="zh-CN"/>
        </w:rPr>
        <w:t>（2）整理、研读基础资料</w:t>
      </w:r>
      <w:bookmarkEnd w:id="96"/>
    </w:p>
    <w:p w14:paraId="4BDFF1C6">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7" w:name="_Toc167"/>
      <w:r>
        <w:rPr>
          <w:rFonts w:hint="eastAsia" w:ascii="Times New Roman" w:hAnsi="Times New Roman" w:eastAsia="仿宋_GB2312" w:cs="Times New Roman"/>
          <w:color w:val="auto"/>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150EF98A">
      <w:pPr>
        <w:spacing w:line="560" w:lineRule="exact"/>
        <w:ind w:firstLine="711" w:firstLineChars="200"/>
        <w:rPr>
          <w:rFonts w:hint="default" w:ascii="Times New Roman" w:hAnsi="Times New Roman" w:eastAsia="仿宋_GB2312" w:cs="Times New Roman"/>
          <w:b/>
          <w:bCs/>
          <w:color w:val="auto"/>
          <w:spacing w:val="17"/>
          <w:sz w:val="32"/>
          <w:szCs w:val="32"/>
          <w:highlight w:val="none"/>
          <w:lang w:val="en-US" w:eastAsia="zh-CN"/>
        </w:rPr>
      </w:pPr>
      <w:bookmarkStart w:id="98" w:name="_Toc30513"/>
      <w:r>
        <w:rPr>
          <w:rFonts w:hint="eastAsia" w:ascii="Times New Roman" w:hAnsi="Times New Roman" w:eastAsia="仿宋_GB2312" w:cs="Times New Roman"/>
          <w:b/>
          <w:bCs/>
          <w:color w:val="auto"/>
          <w:spacing w:val="17"/>
          <w:sz w:val="32"/>
          <w:szCs w:val="32"/>
          <w:highlight w:val="none"/>
          <w:lang w:val="en-US" w:eastAsia="zh-CN"/>
        </w:rPr>
        <w:t>3.分析评价和撰写报告</w:t>
      </w:r>
      <w:bookmarkEnd w:id="98"/>
    </w:p>
    <w:p w14:paraId="51084D1D">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9" w:name="_Toc15974"/>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1）综合分析评价</w:t>
      </w:r>
      <w:bookmarkEnd w:id="99"/>
    </w:p>
    <w:p w14:paraId="4DF24461">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0" w:name="_Toc4352"/>
      <w:r>
        <w:rPr>
          <w:rFonts w:hint="eastAsia" w:ascii="Times New Roman" w:hAnsi="Times New Roman" w:eastAsia="仿宋_GB2312" w:cs="Times New Roman"/>
          <w:color w:val="auto"/>
          <w:spacing w:val="17"/>
          <w:sz w:val="32"/>
          <w:szCs w:val="32"/>
          <w:highlight w:val="none"/>
          <w:lang w:val="en-US" w:eastAsia="zh-CN"/>
        </w:rPr>
        <w:t>①根据所收集的基础资料，结合现场核查的有关情况，整理出绩效评价所需的项目材料和基础数据。</w:t>
      </w:r>
      <w:bookmarkEnd w:id="100"/>
    </w:p>
    <w:p w14:paraId="582EB69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1" w:name="_Toc26231"/>
      <w:r>
        <w:rPr>
          <w:rFonts w:hint="eastAsia" w:ascii="Times New Roman" w:hAnsi="Times New Roman" w:eastAsia="仿宋_GB2312" w:cs="Times New Roman"/>
          <w:color w:val="auto"/>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3D6240A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2" w:name="_Toc27759"/>
      <w:r>
        <w:rPr>
          <w:rFonts w:hint="eastAsia" w:ascii="Times New Roman" w:hAnsi="Times New Roman" w:eastAsia="仿宋_GB2312" w:cs="Times New Roman"/>
          <w:color w:val="auto"/>
          <w:spacing w:val="17"/>
          <w:sz w:val="32"/>
          <w:szCs w:val="32"/>
          <w:highlight w:val="none"/>
          <w:lang w:val="en-US" w:eastAsia="zh-CN"/>
        </w:rPr>
        <w:t>（2）撰写报告</w:t>
      </w:r>
      <w:bookmarkEnd w:id="102"/>
    </w:p>
    <w:p w14:paraId="716A5436">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3" w:name="_Toc15579"/>
      <w:r>
        <w:rPr>
          <w:rFonts w:hint="eastAsia" w:ascii="Times New Roman" w:hAnsi="Times New Roman" w:eastAsia="仿宋_GB2312" w:cs="Times New Roman"/>
          <w:color w:val="auto"/>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2CA27E29">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104" w:name="_Toc19261"/>
      <w:r>
        <w:rPr>
          <w:rFonts w:hint="eastAsia" w:ascii="黑体" w:hAnsi="黑体" w:eastAsia="黑体" w:cs="黑体"/>
          <w:b w:val="0"/>
          <w:bCs w:val="0"/>
          <w:color w:val="auto"/>
          <w:highlight w:val="none"/>
          <w:shd w:val="clear" w:color="auto" w:fill="auto"/>
          <w:lang w:val="en-US" w:eastAsia="zh-CN"/>
        </w:rPr>
        <w:t>三、</w:t>
      </w:r>
      <w:r>
        <w:rPr>
          <w:rFonts w:hint="eastAsia" w:ascii="黑体" w:hAnsi="黑体" w:eastAsia="黑体" w:cs="黑体"/>
          <w:b w:val="0"/>
          <w:bCs w:val="0"/>
          <w:color w:val="auto"/>
          <w:highlight w:val="none"/>
          <w:shd w:val="clear" w:color="auto" w:fill="auto"/>
        </w:rPr>
        <w:t>综合评价情况及评价结论</w:t>
      </w:r>
      <w:bookmarkEnd w:id="104"/>
    </w:p>
    <w:p w14:paraId="3321234A">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5" w:name="_Toc23319"/>
      <w:r>
        <w:rPr>
          <w:rFonts w:hint="eastAsia" w:ascii="Times New Roman" w:hAnsi="Times New Roman" w:eastAsia="楷体_GB2312" w:cs="Times New Roman"/>
          <w:color w:val="auto"/>
          <w:kern w:val="28"/>
          <w:sz w:val="32"/>
          <w:highlight w:val="none"/>
          <w:lang w:val="en-US" w:eastAsia="zh-CN"/>
        </w:rPr>
        <w:t>（一）综合评价情况及评价结论</w:t>
      </w:r>
      <w:bookmarkEnd w:id="105"/>
    </w:p>
    <w:p w14:paraId="71000528">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eastAsia" w:ascii="仿宋_GB2312" w:hAnsi="仿宋_GB2312" w:eastAsia="仿宋_GB2312" w:cs="仿宋_GB2312"/>
          <w:color w:val="auto"/>
          <w:sz w:val="32"/>
          <w:szCs w:val="32"/>
          <w:highlight w:val="none"/>
          <w:shd w:val="clear" w:color="auto" w:fill="auto"/>
          <w:lang w:val="en-US" w:eastAsia="zh-CN"/>
        </w:rPr>
        <w:t>2024年学前教育生均经费（保基本民生）项目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5D343ED6">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阜康市第六幼儿园</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7AA1D552">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从项目效益的角度来看，本项目不仅实现了预期的社会效益等方面产生了积极的影响。具体而言，</w:t>
      </w:r>
      <w:r>
        <w:rPr>
          <w:rFonts w:hint="eastAsia" w:ascii="Times New Roman" w:hAnsi="Times New Roman" w:eastAsia="仿宋_GB2312" w:cs="Times New Roman"/>
          <w:color w:val="auto"/>
          <w:sz w:val="32"/>
          <w:szCs w:val="32"/>
          <w:highlight w:val="none"/>
          <w:lang w:val="en-US" w:eastAsia="zh-CN"/>
        </w:rPr>
        <w:t>幼儿园正常运转率、改善教学环境，提供良好的学生成长条件</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02830A04">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ascii="仿宋_GB2312" w:hAnsi="仿宋_GB2312" w:eastAsia="仿宋_GB2312" w:cs="仿宋_GB2312"/>
          <w:color w:val="auto"/>
          <w:sz w:val="32"/>
          <w:szCs w:val="32"/>
          <w:highlight w:val="none"/>
          <w:shd w:val="clear" w:color="auto" w:fill="auto"/>
          <w:lang w:val="en-US" w:eastAsia="zh-CN"/>
        </w:rPr>
        <w:t>2024年学前教育生均经费（保基本民生）项目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1ABA842A">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6" w:name="_Toc11863"/>
      <w:r>
        <w:rPr>
          <w:rFonts w:hint="eastAsia" w:ascii="Times New Roman" w:hAnsi="Times New Roman" w:eastAsia="楷体_GB2312" w:cs="Times New Roman"/>
          <w:color w:val="auto"/>
          <w:kern w:val="28"/>
          <w:sz w:val="32"/>
          <w:highlight w:val="none"/>
          <w:lang w:val="en-US" w:eastAsia="zh-CN"/>
        </w:rPr>
        <w:t>（二）相关评分表</w:t>
      </w:r>
      <w:bookmarkEnd w:id="106"/>
    </w:p>
    <w:p w14:paraId="3A046B44">
      <w:pPr>
        <w:spacing w:line="560" w:lineRule="exact"/>
        <w:ind w:firstLine="708" w:firstLineChars="200"/>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w:t>
      </w:r>
      <w:r>
        <w:rPr>
          <w:rFonts w:hint="default" w:ascii="Times New Roman" w:hAnsi="Times New Roman" w:eastAsia="仿宋_GB2312" w:cs="Times New Roman"/>
          <w:color w:val="auto"/>
          <w:spacing w:val="17"/>
          <w:sz w:val="32"/>
          <w:szCs w:val="32"/>
          <w:highlight w:val="none"/>
        </w:rPr>
        <w:t>最低成本法</w:t>
      </w:r>
      <w:r>
        <w:rPr>
          <w:rFonts w:hint="eastAsia"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对</w:t>
      </w:r>
      <w:r>
        <w:rPr>
          <w:rFonts w:hint="eastAsia" w:ascii="仿宋_GB2312" w:hAnsi="仿宋_GB2312" w:eastAsia="仿宋_GB2312" w:cs="仿宋_GB2312"/>
          <w:color w:val="auto"/>
          <w:sz w:val="32"/>
          <w:szCs w:val="32"/>
          <w:highlight w:val="none"/>
          <w:shd w:val="clear" w:color="auto" w:fill="auto"/>
          <w:lang w:val="en-US" w:eastAsia="zh-CN"/>
        </w:rPr>
        <w:t>2024年学前教育生均经费（保基本民生）项目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19.2</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96</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082A541B">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5E5379C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cs="宋体"/>
                <w:b/>
                <w:bCs/>
                <w:color w:val="auto"/>
                <w:kern w:val="0"/>
                <w:sz w:val="28"/>
                <w:szCs w:val="28"/>
                <w:highlight w:val="none"/>
                <w:shd w:val="clear" w:color="auto" w:fill="auto"/>
                <w:lang w:val="en-US" w:eastAsia="zh-CN"/>
              </w:rPr>
              <w:t>2024年学前教育生均经费（保基本民生）</w:t>
            </w:r>
            <w:r>
              <w:rPr>
                <w:rFonts w:hint="eastAsia" w:ascii="宋体" w:hAnsi="宋体" w:eastAsia="宋体" w:cs="宋体"/>
                <w:b/>
                <w:bCs/>
                <w:color w:val="auto"/>
                <w:kern w:val="0"/>
                <w:sz w:val="28"/>
                <w:szCs w:val="28"/>
                <w:highlight w:val="none"/>
                <w:shd w:val="clear" w:color="auto" w:fill="auto"/>
                <w:lang w:val="en-US" w:eastAsia="zh-CN"/>
              </w:rPr>
              <w:t>项目得分表</w:t>
            </w:r>
          </w:p>
        </w:tc>
      </w:tr>
      <w:tr w14:paraId="76CFB65D">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B03A8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97B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D6EAE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C633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84E4C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5DD9C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7695999F">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8C4E2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0A7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73AE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EE48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95454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2503D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2BEED990">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F8F23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55A2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19.2</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C4B2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D9CFC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73D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6411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99.2</w:t>
            </w:r>
          </w:p>
        </w:tc>
      </w:tr>
      <w:tr w14:paraId="330B253E">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7166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7BDB3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96</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FFBD4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BE32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AD001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C1FB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99.2</w:t>
            </w:r>
            <w:r>
              <w:rPr>
                <w:rFonts w:hint="eastAsia" w:ascii="宋体" w:hAnsi="宋体" w:eastAsia="宋体" w:cs="宋体"/>
                <w:color w:val="auto"/>
                <w:kern w:val="0"/>
                <w:sz w:val="21"/>
                <w:szCs w:val="21"/>
                <w:highlight w:val="none"/>
                <w:shd w:val="clear" w:color="auto" w:fill="auto"/>
                <w:lang w:val="en-US" w:eastAsia="zh-CN"/>
              </w:rPr>
              <w:t>%</w:t>
            </w:r>
          </w:p>
        </w:tc>
      </w:tr>
    </w:tbl>
    <w:p w14:paraId="7E86F796">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07" w:name="_Toc14941"/>
      <w:r>
        <w:rPr>
          <w:rFonts w:hint="eastAsia" w:ascii="黑体" w:hAnsi="黑体" w:eastAsia="黑体" w:cs="黑体"/>
          <w:b w:val="0"/>
          <w:bCs w:val="0"/>
          <w:color w:val="auto"/>
          <w:highlight w:val="none"/>
          <w:shd w:val="clear" w:color="auto" w:fill="auto"/>
          <w:lang w:val="en-US" w:eastAsia="zh-CN"/>
        </w:rPr>
        <w:t>四、绩效评价指标分析</w:t>
      </w:r>
      <w:bookmarkEnd w:id="107"/>
    </w:p>
    <w:p w14:paraId="0B2FAB0B">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highlight w:val="none"/>
        </w:rPr>
      </w:pPr>
      <w:bookmarkStart w:id="108" w:name="_Toc6759"/>
      <w:r>
        <w:rPr>
          <w:rFonts w:hint="eastAsia" w:ascii="Times New Roman" w:hAnsi="Times New Roman" w:eastAsia="楷体_GB2312" w:cs="Times New Roman"/>
          <w:color w:val="auto"/>
          <w:kern w:val="28"/>
          <w:sz w:val="32"/>
          <w:highlight w:val="none"/>
        </w:rPr>
        <w:t>（一）项目决策情况</w:t>
      </w:r>
      <w:bookmarkEnd w:id="108"/>
    </w:p>
    <w:p w14:paraId="50C99A0B">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项目决策由3个二级指标和6个三级指标构成，权重分20分，实际得分19.2分，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078A591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4-1</w:t>
      </w:r>
      <w:r>
        <w:rPr>
          <w:rFonts w:hint="eastAsia" w:ascii="仿宋_GB2312" w:hAnsi="仿宋_GB2312" w:eastAsia="仿宋_GB2312" w:cs="仿宋_GB2312"/>
          <w:b/>
          <w:bCs/>
          <w:color w:val="auto"/>
          <w:kern w:val="0"/>
          <w:sz w:val="32"/>
          <w:szCs w:val="32"/>
          <w:highlight w:val="none"/>
          <w:shd w:val="clear" w:color="auto" w:fill="auto"/>
          <w:lang w:val="zh-TW" w:eastAsia="zh-TW"/>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5FE04813">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6FEB9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0BFC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672E4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8178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4445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CEDFA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38CB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55F3A227">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4EA137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ED47A4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3BB716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BBF91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DFDEE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721BB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84EEA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43D0A79A">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2AE042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BB5714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C0F10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7A432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E1E2E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22F4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10CCB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2.2</w:t>
            </w:r>
          </w:p>
        </w:tc>
      </w:tr>
      <w:tr w14:paraId="2676B4C8">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B376BA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9D58BA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C890D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276C6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F665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E63D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69F45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5F52AE3">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274FC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0FD796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96B8E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D051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CEA7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D4F71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BF7F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0F39E5F">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1BA7E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C7655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7EE7D37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F830E3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E3E96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1944A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364A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18F402BF">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1003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DB25A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24EA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35093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3BA7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ED47C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B215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42460F4A">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A3503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1181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DAD4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1ACC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97EB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19.2</w:t>
            </w:r>
          </w:p>
        </w:tc>
      </w:tr>
    </w:tbl>
    <w:p w14:paraId="0C26D38B">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09" w:name="_Toc13522"/>
      <w:bookmarkStart w:id="110" w:name="_Toc28069"/>
      <w:r>
        <w:rPr>
          <w:rFonts w:hint="eastAsia" w:ascii="仿宋_GB2312" w:hAnsi="仿宋_GB2312" w:eastAsia="仿宋_GB2312" w:cs="仿宋_GB2312"/>
          <w:b/>
          <w:bCs/>
          <w:color w:val="auto"/>
          <w:sz w:val="32"/>
          <w:szCs w:val="32"/>
          <w:highlight w:val="none"/>
          <w:lang w:val="en-US" w:eastAsia="zh-CN"/>
        </w:rPr>
        <w:t>1.立项依据充分性</w:t>
      </w:r>
      <w:bookmarkEnd w:id="109"/>
      <w:bookmarkEnd w:id="110"/>
    </w:p>
    <w:p w14:paraId="0C5E0D6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①项目立项符合新疆维吾尔自治区关于《自治区农村学前三年免费教育经费保障机制管理办法》的通知（新财教[ 2017]19号）文件；</w:t>
      </w:r>
    </w:p>
    <w:p w14:paraId="22D3ED60">
      <w:pPr>
        <w:pageBreakBefore w:val="0"/>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color w:val="auto"/>
          <w:sz w:val="32"/>
          <w:szCs w:val="32"/>
          <w:highlight w:val="none"/>
          <w:lang w:eastAsia="zh-CN"/>
        </w:rPr>
        <w:t>②项目立项符合项目立项符合《</w:t>
      </w:r>
      <w:r>
        <w:rPr>
          <w:rFonts w:hint="eastAsia" w:ascii="仿宋_GB2312" w:hAnsi="仿宋_GB2312" w:eastAsia="仿宋_GB2312" w:cs="仿宋_GB2312"/>
          <w:color w:val="auto"/>
          <w:sz w:val="32"/>
          <w:szCs w:val="32"/>
          <w:highlight w:val="none"/>
          <w:lang w:val="en-US" w:eastAsia="zh-CN"/>
        </w:rPr>
        <w:t>阜康市教育扶贫惠民政策宣传手册</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政策要求；</w:t>
      </w:r>
    </w:p>
    <w:p w14:paraId="1AA3D27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③项目立项</w:t>
      </w:r>
      <w:r>
        <w:rPr>
          <w:rFonts w:hint="eastAsia" w:ascii="仿宋_GB2312" w:hAnsi="仿宋_GB2312" w:eastAsia="仿宋_GB2312" w:cs="仿宋_GB2312"/>
          <w:color w:val="auto"/>
          <w:sz w:val="32"/>
          <w:szCs w:val="32"/>
          <w:highlight w:val="none"/>
          <w:lang w:val="en-US" w:eastAsia="zh-CN"/>
        </w:rPr>
        <w:t>与宣传贯彻党和国家的教育方针、教育政策、教育法律法规、贯彻执行上级教育行政部门的各项规章制度的</w:t>
      </w:r>
      <w:r>
        <w:rPr>
          <w:rFonts w:hint="eastAsia" w:ascii="仿宋_GB2312" w:hAnsi="仿宋_GB2312" w:eastAsia="仿宋_GB2312" w:cs="仿宋_GB2312"/>
          <w:color w:val="auto"/>
          <w:sz w:val="32"/>
          <w:szCs w:val="32"/>
          <w:highlight w:val="none"/>
          <w:lang w:eastAsia="zh-CN"/>
        </w:rPr>
        <w:t>部门职责范围相符，属于部门履职所需；</w:t>
      </w:r>
    </w:p>
    <w:p w14:paraId="0EBDBAE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④项目属于公共财政支持范围，符合中央、地方事权支出责任划分原则；</w:t>
      </w:r>
    </w:p>
    <w:p w14:paraId="17C9D27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⑤项目与相关部门同类项目、部门内部相关项目</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重复。</w:t>
      </w:r>
    </w:p>
    <w:p w14:paraId="7C9EEDF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5213ACA9">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1" w:name="_Toc23240"/>
      <w:bookmarkStart w:id="112" w:name="_Toc21976"/>
      <w:r>
        <w:rPr>
          <w:rFonts w:hint="eastAsia" w:ascii="仿宋_GB2312" w:hAnsi="仿宋_GB2312" w:eastAsia="仿宋_GB2312" w:cs="仿宋_GB2312"/>
          <w:b/>
          <w:bCs/>
          <w:color w:val="auto"/>
          <w:sz w:val="32"/>
          <w:szCs w:val="32"/>
          <w:highlight w:val="none"/>
          <w:lang w:val="en-US" w:eastAsia="zh-CN"/>
        </w:rPr>
        <w:t>2.立项程序规范性</w:t>
      </w:r>
      <w:bookmarkEnd w:id="111"/>
      <w:bookmarkEnd w:id="112"/>
    </w:p>
    <w:p w14:paraId="425A8C3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①项目按照规定的程序申请设立；</w:t>
      </w:r>
    </w:p>
    <w:p w14:paraId="42E8F32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②审批文件、材料符合相关要求；</w:t>
      </w:r>
    </w:p>
    <w:p w14:paraId="3AF6E00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③事前经过必要的集体决策，</w:t>
      </w:r>
      <w:r>
        <w:rPr>
          <w:rFonts w:hint="eastAsia" w:ascii="仿宋_GB2312" w:hAnsi="仿宋_GB2312" w:eastAsia="仿宋_GB2312" w:cs="仿宋_GB2312"/>
          <w:color w:val="auto"/>
          <w:sz w:val="32"/>
          <w:szCs w:val="32"/>
          <w:highlight w:val="none"/>
          <w:lang w:val="en-US" w:eastAsia="zh-CN"/>
        </w:rPr>
        <w:t>但未经过可行性研究、专家论证、风险评估等扣0.8分</w:t>
      </w:r>
      <w:r>
        <w:rPr>
          <w:rFonts w:hint="eastAsia" w:ascii="仿宋_GB2312" w:hAnsi="仿宋_GB2312" w:eastAsia="仿宋_GB2312" w:cs="仿宋_GB2312"/>
          <w:color w:val="auto"/>
          <w:sz w:val="32"/>
          <w:szCs w:val="32"/>
          <w:highlight w:val="none"/>
          <w:lang w:eastAsia="zh-CN"/>
        </w:rPr>
        <w:t>。</w:t>
      </w:r>
    </w:p>
    <w:p w14:paraId="7C47FD7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综上，该项指标满分3分，得分2.2分。</w:t>
      </w:r>
    </w:p>
    <w:p w14:paraId="6D54F0A5">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3" w:name="_Toc23542"/>
      <w:bookmarkStart w:id="114" w:name="_Toc15382"/>
      <w:r>
        <w:rPr>
          <w:rFonts w:hint="eastAsia" w:ascii="仿宋_GB2312" w:hAnsi="仿宋_GB2312" w:eastAsia="仿宋_GB2312" w:cs="仿宋_GB2312"/>
          <w:b/>
          <w:bCs/>
          <w:color w:val="auto"/>
          <w:sz w:val="32"/>
          <w:szCs w:val="32"/>
          <w:highlight w:val="none"/>
          <w:lang w:val="en-US" w:eastAsia="zh-CN"/>
        </w:rPr>
        <w:t>3.绩效目标合理性</w:t>
      </w:r>
      <w:bookmarkEnd w:id="113"/>
      <w:bookmarkEnd w:id="114"/>
    </w:p>
    <w:p w14:paraId="41E249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55CFB2A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②该项目实际工作内容为：保障幼儿园正常运转，教学活动及其他日常业务的正常运转，完成每学年以1100元每生每学年的标准使用公用经费,总计在园幼儿人数</w:t>
      </w:r>
      <w:r>
        <w:rPr>
          <w:rFonts w:hint="eastAsia" w:ascii="仿宋_GB2312" w:hAnsi="仿宋_GB2312" w:eastAsia="仿宋_GB2312" w:cs="仿宋_GB2312"/>
          <w:color w:val="auto"/>
          <w:sz w:val="32"/>
          <w:szCs w:val="32"/>
          <w:highlight w:val="none"/>
          <w:lang w:val="en-US" w:eastAsia="zh-CN"/>
        </w:rPr>
        <w:t>557</w:t>
      </w:r>
      <w:r>
        <w:rPr>
          <w:rFonts w:hint="eastAsia" w:ascii="仿宋_GB2312" w:hAnsi="仿宋_GB2312" w:eastAsia="仿宋_GB2312" w:cs="仿宋_GB2312"/>
          <w:color w:val="auto"/>
          <w:sz w:val="32"/>
          <w:szCs w:val="32"/>
          <w:highlight w:val="none"/>
          <w:lang w:eastAsia="zh-CN"/>
        </w:rPr>
        <w:t>人。通过开展各类教育教学活动，促进幼儿园各项活动有序开展，实现幼儿园年初制定的各项工作目标，进一步提高幼儿园教育教学水平。绩效目标与实际工作内容一致，两者具有相关性。</w:t>
      </w:r>
    </w:p>
    <w:p w14:paraId="7B6CD8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③该项目按照绩效目标完成数量指标、质量指标、时效指标、成本指标，完成了完成涉及学生人数</w:t>
      </w:r>
      <w:r>
        <w:rPr>
          <w:rFonts w:hint="eastAsia" w:ascii="仿宋_GB2312" w:hAnsi="仿宋_GB2312" w:eastAsia="仿宋_GB2312" w:cs="仿宋_GB2312"/>
          <w:color w:val="auto"/>
          <w:sz w:val="32"/>
          <w:szCs w:val="32"/>
          <w:highlight w:val="none"/>
          <w:lang w:val="en-US" w:eastAsia="zh-CN"/>
        </w:rPr>
        <w:t>557</w:t>
      </w:r>
      <w:r>
        <w:rPr>
          <w:rFonts w:hint="eastAsia" w:ascii="仿宋_GB2312" w:hAnsi="仿宋_GB2312" w:eastAsia="仿宋_GB2312" w:cs="仿宋_GB2312"/>
          <w:color w:val="auto"/>
          <w:sz w:val="32"/>
          <w:szCs w:val="32"/>
          <w:highlight w:val="none"/>
          <w:lang w:eastAsia="zh-CN"/>
        </w:rPr>
        <w:t>人，公用经费享受比例达到100%，教师培训结业率达到100%，公用经费标准以1100元/人/年使用经费，达到幼儿园正常运转率</w:t>
      </w:r>
      <w:r>
        <w:rPr>
          <w:rFonts w:hint="eastAsia" w:ascii="仿宋_GB2312" w:hAnsi="仿宋_GB2312" w:eastAsia="仿宋_GB2312" w:cs="仿宋_GB2312"/>
          <w:color w:val="auto"/>
          <w:sz w:val="32"/>
          <w:szCs w:val="32"/>
          <w:highlight w:val="none"/>
          <w:lang w:val="en-US" w:eastAsia="zh-CN"/>
        </w:rPr>
        <w:t>提高、改善教学环境，提供良好的学生成长条件</w:t>
      </w:r>
      <w:r>
        <w:rPr>
          <w:rFonts w:hint="eastAsia" w:ascii="仿宋_GB2312" w:hAnsi="仿宋_GB2312" w:eastAsia="仿宋_GB2312" w:cs="仿宋_GB2312"/>
          <w:color w:val="auto"/>
          <w:sz w:val="32"/>
          <w:szCs w:val="32"/>
          <w:highlight w:val="none"/>
          <w:lang w:eastAsia="zh-CN"/>
        </w:rPr>
        <w:t>效益，预期产出效益和效果是否符合正常的业绩水平。</w:t>
      </w:r>
    </w:p>
    <w:p w14:paraId="60C056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104.3</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4FABC16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4FC7A3F1">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5" w:name="_Toc10650"/>
      <w:bookmarkStart w:id="116" w:name="_Toc18198"/>
      <w:r>
        <w:rPr>
          <w:rFonts w:hint="eastAsia" w:ascii="仿宋_GB2312" w:hAnsi="仿宋_GB2312" w:eastAsia="仿宋_GB2312" w:cs="仿宋_GB2312"/>
          <w:b/>
          <w:bCs/>
          <w:color w:val="auto"/>
          <w:sz w:val="32"/>
          <w:szCs w:val="32"/>
          <w:highlight w:val="none"/>
          <w:lang w:val="en-US" w:eastAsia="zh-CN"/>
        </w:rPr>
        <w:t>4.绩效指标明确性</w:t>
      </w:r>
      <w:bookmarkEnd w:id="115"/>
      <w:bookmarkEnd w:id="116"/>
    </w:p>
    <w:p w14:paraId="62F739E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①将项目绩效目标细化分解为具体的绩效指标，</w:t>
      </w:r>
      <w:r>
        <w:rPr>
          <w:rFonts w:hint="eastAsia" w:ascii="仿宋_GB2312" w:hAnsi="仿宋_GB2312" w:eastAsia="仿宋_GB2312" w:cs="仿宋_GB2312"/>
          <w:color w:val="auto"/>
          <w:sz w:val="32"/>
          <w:szCs w:val="32"/>
          <w:highlight w:val="none"/>
          <w:lang w:val="en-US" w:eastAsia="zh-CN"/>
        </w:rPr>
        <w:t>其中三级指标共计8个</w:t>
      </w:r>
      <w:r>
        <w:rPr>
          <w:rFonts w:hint="eastAsia" w:ascii="仿宋_GB2312" w:hAnsi="仿宋_GB2312" w:eastAsia="仿宋_GB2312" w:cs="仿宋_GB2312"/>
          <w:color w:val="auto"/>
          <w:sz w:val="32"/>
          <w:szCs w:val="32"/>
          <w:highlight w:val="none"/>
          <w:lang w:eastAsia="zh-CN"/>
        </w:rPr>
        <w:t>；</w:t>
      </w:r>
    </w:p>
    <w:p w14:paraId="389A7D0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量化率达到87.5%</w:t>
      </w:r>
      <w:r>
        <w:rPr>
          <w:rFonts w:hint="eastAsia" w:ascii="仿宋_GB2312" w:hAnsi="仿宋_GB2312" w:eastAsia="仿宋_GB2312" w:cs="仿宋_GB2312"/>
          <w:color w:val="auto"/>
          <w:sz w:val="32"/>
          <w:szCs w:val="32"/>
          <w:highlight w:val="none"/>
          <w:lang w:eastAsia="zh-CN"/>
        </w:rPr>
        <w:t>；</w:t>
      </w:r>
    </w:p>
    <w:p w14:paraId="550F118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③《项目绩效目标申报表》中，三级指标的年度指标值与年度绩效目标中任务数一致。</w:t>
      </w:r>
    </w:p>
    <w:p w14:paraId="1BBF85E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已设置的绩效目标具备明确性、可衡量性、可实现性、相关性、时限性。</w:t>
      </w:r>
    </w:p>
    <w:p w14:paraId="4376315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5887551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7" w:name="_Toc19401"/>
      <w:bookmarkStart w:id="118" w:name="_Toc8296"/>
      <w:r>
        <w:rPr>
          <w:rFonts w:hint="eastAsia" w:ascii="仿宋_GB2312" w:hAnsi="仿宋_GB2312" w:eastAsia="仿宋_GB2312" w:cs="仿宋_GB2312"/>
          <w:b/>
          <w:bCs/>
          <w:color w:val="auto"/>
          <w:sz w:val="32"/>
          <w:szCs w:val="32"/>
          <w:highlight w:val="none"/>
          <w:lang w:val="en-US" w:eastAsia="zh-CN"/>
        </w:rPr>
        <w:t>5.预算编制科学性</w:t>
      </w:r>
      <w:bookmarkEnd w:id="117"/>
      <w:bookmarkEnd w:id="118"/>
    </w:p>
    <w:p w14:paraId="1720F5F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根据项目预算批复，项目的</w:t>
      </w:r>
      <w:r>
        <w:rPr>
          <w:rFonts w:hint="eastAsia" w:ascii="仿宋_GB2312" w:hAnsi="仿宋_GB2312" w:eastAsia="仿宋_GB2312" w:cs="仿宋_GB2312"/>
          <w:color w:val="auto"/>
          <w:sz w:val="32"/>
          <w:szCs w:val="32"/>
          <w:highlight w:val="none"/>
          <w:lang w:eastAsia="zh-CN"/>
        </w:rPr>
        <w:t>预算编制经过科学论证；</w:t>
      </w:r>
    </w:p>
    <w:p w14:paraId="76457AC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eastAsia="zh-CN"/>
        </w:rPr>
        <w:t>预算申请内容为提高幼儿园正常运转率，改善教学环境，提供良好的学生成长条件，保障幼儿园各项工作平稳进行，项目实际内容为改善教学环境，提供良好的学生成长条件，预算申请与项目内容匹配；</w:t>
      </w:r>
    </w:p>
    <w:p w14:paraId="28DCFA1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eastAsia="zh-CN"/>
        </w:rPr>
        <w:t>项目预算申请资金</w:t>
      </w:r>
      <w:r>
        <w:rPr>
          <w:rFonts w:hint="eastAsia" w:ascii="仿宋_GB2312" w:hAnsi="仿宋_GB2312" w:eastAsia="仿宋_GB2312" w:cs="仿宋_GB2312"/>
          <w:color w:val="auto"/>
          <w:sz w:val="32"/>
          <w:szCs w:val="32"/>
          <w:highlight w:val="none"/>
          <w:lang w:val="en-US" w:eastAsia="zh-CN"/>
        </w:rPr>
        <w:t>104.30万</w:t>
      </w:r>
      <w:r>
        <w:rPr>
          <w:rFonts w:hint="eastAsia" w:ascii="仿宋_GB2312" w:hAnsi="仿宋_GB2312" w:eastAsia="仿宋_GB2312" w:cs="仿宋_GB2312"/>
          <w:color w:val="auto"/>
          <w:sz w:val="32"/>
          <w:szCs w:val="32"/>
          <w:highlight w:val="none"/>
          <w:lang w:eastAsia="zh-CN"/>
        </w:rPr>
        <w:t>元，我单位在预算申请中严格按照项目实施内容及测算标准进行核算，其中：办公费用</w:t>
      </w:r>
      <w:r>
        <w:rPr>
          <w:rFonts w:hint="eastAsia" w:ascii="仿宋_GB2312" w:hAnsi="仿宋_GB2312" w:eastAsia="仿宋_GB2312" w:cs="仿宋_GB2312"/>
          <w:color w:val="auto"/>
          <w:sz w:val="32"/>
          <w:szCs w:val="32"/>
          <w:highlight w:val="none"/>
          <w:lang w:val="en-US" w:eastAsia="zh-CN"/>
        </w:rPr>
        <w:t>4.61</w:t>
      </w:r>
      <w:r>
        <w:rPr>
          <w:rFonts w:hint="eastAsia" w:ascii="仿宋_GB2312" w:hAnsi="仿宋_GB2312" w:eastAsia="仿宋_GB2312" w:cs="仿宋_GB2312"/>
          <w:color w:val="auto"/>
          <w:sz w:val="32"/>
          <w:szCs w:val="32"/>
          <w:highlight w:val="none"/>
          <w:lang w:eastAsia="zh-CN"/>
        </w:rPr>
        <w:t>万元、印刷费用</w:t>
      </w:r>
      <w:r>
        <w:rPr>
          <w:rFonts w:hint="eastAsia" w:ascii="仿宋_GB2312" w:hAnsi="仿宋_GB2312" w:eastAsia="仿宋_GB2312" w:cs="仿宋_GB2312"/>
          <w:color w:val="auto"/>
          <w:sz w:val="32"/>
          <w:szCs w:val="32"/>
          <w:highlight w:val="none"/>
          <w:lang w:val="en-US" w:eastAsia="zh-CN"/>
        </w:rPr>
        <w:t>0.92</w:t>
      </w:r>
      <w:r>
        <w:rPr>
          <w:rFonts w:hint="eastAsia" w:ascii="仿宋_GB2312" w:hAnsi="仿宋_GB2312" w:eastAsia="仿宋_GB2312" w:cs="仿宋_GB2312"/>
          <w:color w:val="auto"/>
          <w:sz w:val="32"/>
          <w:szCs w:val="32"/>
          <w:highlight w:val="none"/>
          <w:lang w:eastAsia="zh-CN"/>
        </w:rPr>
        <w:t>万元、维修费</w:t>
      </w:r>
      <w:r>
        <w:rPr>
          <w:rFonts w:hint="eastAsia" w:ascii="仿宋_GB2312" w:hAnsi="仿宋_GB2312" w:eastAsia="仿宋_GB2312" w:cs="仿宋_GB2312"/>
          <w:color w:val="auto"/>
          <w:sz w:val="32"/>
          <w:szCs w:val="32"/>
          <w:highlight w:val="none"/>
          <w:lang w:val="en-US" w:eastAsia="zh-CN"/>
        </w:rPr>
        <w:t>24.53万元、</w:t>
      </w:r>
      <w:r>
        <w:rPr>
          <w:rFonts w:hint="eastAsia" w:ascii="仿宋_GB2312" w:hAnsi="仿宋_GB2312" w:eastAsia="仿宋_GB2312" w:cs="仿宋_GB2312"/>
          <w:color w:val="auto"/>
          <w:sz w:val="32"/>
          <w:szCs w:val="32"/>
          <w:highlight w:val="none"/>
          <w:lang w:eastAsia="zh-CN"/>
        </w:rPr>
        <w:t>水费</w:t>
      </w:r>
      <w:r>
        <w:rPr>
          <w:rFonts w:hint="eastAsia" w:ascii="仿宋_GB2312" w:hAnsi="仿宋_GB2312" w:eastAsia="仿宋_GB2312" w:cs="仿宋_GB2312"/>
          <w:color w:val="auto"/>
          <w:sz w:val="32"/>
          <w:szCs w:val="32"/>
          <w:highlight w:val="none"/>
          <w:lang w:val="en-US" w:eastAsia="zh-CN"/>
        </w:rPr>
        <w:t>2.09</w:t>
      </w:r>
      <w:r>
        <w:rPr>
          <w:rFonts w:hint="eastAsia" w:ascii="仿宋_GB2312" w:hAnsi="仿宋_GB2312" w:eastAsia="仿宋_GB2312" w:cs="仿宋_GB2312"/>
          <w:color w:val="auto"/>
          <w:sz w:val="32"/>
          <w:szCs w:val="32"/>
          <w:highlight w:val="none"/>
          <w:lang w:eastAsia="zh-CN"/>
        </w:rPr>
        <w:t>万元、电费</w:t>
      </w:r>
      <w:r>
        <w:rPr>
          <w:rFonts w:hint="eastAsia" w:ascii="仿宋_GB2312" w:hAnsi="仿宋_GB2312" w:eastAsia="仿宋_GB2312" w:cs="仿宋_GB2312"/>
          <w:color w:val="auto"/>
          <w:sz w:val="32"/>
          <w:szCs w:val="32"/>
          <w:highlight w:val="none"/>
          <w:lang w:val="en-US" w:eastAsia="zh-CN"/>
        </w:rPr>
        <w:t>2.41</w:t>
      </w:r>
      <w:r>
        <w:rPr>
          <w:rFonts w:hint="eastAsia" w:ascii="仿宋_GB2312" w:hAnsi="仿宋_GB2312" w:eastAsia="仿宋_GB2312" w:cs="仿宋_GB2312"/>
          <w:color w:val="auto"/>
          <w:sz w:val="32"/>
          <w:szCs w:val="32"/>
          <w:highlight w:val="none"/>
          <w:lang w:eastAsia="zh-CN"/>
        </w:rPr>
        <w:t>万元、邮电费</w:t>
      </w:r>
      <w:r>
        <w:rPr>
          <w:rFonts w:hint="eastAsia" w:ascii="仿宋_GB2312" w:hAnsi="仿宋_GB2312" w:eastAsia="仿宋_GB2312" w:cs="仿宋_GB2312"/>
          <w:color w:val="auto"/>
          <w:sz w:val="32"/>
          <w:szCs w:val="32"/>
          <w:highlight w:val="none"/>
          <w:lang w:val="en-US" w:eastAsia="zh-CN"/>
        </w:rPr>
        <w:t>2.29</w:t>
      </w:r>
      <w:r>
        <w:rPr>
          <w:rFonts w:hint="eastAsia" w:ascii="仿宋_GB2312" w:hAnsi="仿宋_GB2312" w:eastAsia="仿宋_GB2312" w:cs="仿宋_GB2312"/>
          <w:color w:val="auto"/>
          <w:sz w:val="32"/>
          <w:szCs w:val="32"/>
          <w:highlight w:val="none"/>
          <w:lang w:eastAsia="zh-CN"/>
        </w:rPr>
        <w:t>万元、取暖费</w:t>
      </w:r>
      <w:r>
        <w:rPr>
          <w:rFonts w:hint="eastAsia" w:ascii="仿宋_GB2312" w:hAnsi="仿宋_GB2312" w:eastAsia="仿宋_GB2312" w:cs="仿宋_GB2312"/>
          <w:color w:val="auto"/>
          <w:sz w:val="32"/>
          <w:szCs w:val="32"/>
          <w:highlight w:val="none"/>
          <w:lang w:val="en-US" w:eastAsia="zh-CN"/>
        </w:rPr>
        <w:t>15.22万元、物业管理费3.91万元、培训费4.14万元、助学金41.50万元、其他商品服务支出2.72万元</w:t>
      </w:r>
      <w:r>
        <w:rPr>
          <w:rFonts w:hint="eastAsia" w:ascii="仿宋_GB2312" w:hAnsi="仿宋_GB2312" w:eastAsia="仿宋_GB2312" w:cs="仿宋_GB2312"/>
          <w:color w:val="auto"/>
          <w:sz w:val="32"/>
          <w:szCs w:val="32"/>
          <w:highlight w:val="none"/>
          <w:lang w:eastAsia="zh-CN"/>
        </w:rPr>
        <w:t>。</w:t>
      </w:r>
    </w:p>
    <w:p w14:paraId="5224AC2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highlight w:val="none"/>
          <w:lang w:val="en-US" w:eastAsia="zh-CN"/>
        </w:rPr>
        <w:t>项目实施内容</w:t>
      </w:r>
      <w:r>
        <w:rPr>
          <w:rFonts w:hint="eastAsia" w:ascii="仿宋_GB2312" w:hAnsi="仿宋_GB2312" w:eastAsia="仿宋_GB2312" w:cs="仿宋_GB2312"/>
          <w:color w:val="auto"/>
          <w:sz w:val="32"/>
          <w:szCs w:val="32"/>
          <w:highlight w:val="none"/>
          <w:lang w:eastAsia="zh-CN"/>
        </w:rPr>
        <w:t>相匹配。</w:t>
      </w:r>
    </w:p>
    <w:p w14:paraId="0475C2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145B5C9A">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9" w:name="_Toc697"/>
      <w:bookmarkStart w:id="120" w:name="_Toc20556"/>
      <w:r>
        <w:rPr>
          <w:rFonts w:hint="eastAsia" w:ascii="仿宋_GB2312" w:hAnsi="仿宋_GB2312" w:eastAsia="仿宋_GB2312" w:cs="仿宋_GB2312"/>
          <w:b/>
          <w:bCs/>
          <w:color w:val="auto"/>
          <w:sz w:val="32"/>
          <w:szCs w:val="32"/>
          <w:highlight w:val="none"/>
          <w:lang w:val="en-US" w:eastAsia="zh-CN"/>
        </w:rPr>
        <w:t>6.资金分配合理性</w:t>
      </w:r>
      <w:bookmarkEnd w:id="119"/>
      <w:bookmarkEnd w:id="120"/>
    </w:p>
    <w:p w14:paraId="781EF93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①项目实际分配资金以《财政支出预算管理办法》</w:t>
      </w:r>
      <w:r>
        <w:rPr>
          <w:rFonts w:hint="eastAsia" w:cs="宋体"/>
          <w:bCs/>
          <w:color w:val="auto"/>
          <w:highlight w:val="none"/>
          <w:shd w:val="clear" w:color="auto" w:fill="auto"/>
          <w:lang w:eastAsia="zh-CN"/>
        </w:rPr>
        <w:t>、</w:t>
      </w:r>
      <w:r>
        <w:rPr>
          <w:rFonts w:hint="eastAsia" w:ascii="仿宋_GB2312" w:hAnsi="仿宋_GB2312" w:eastAsia="仿宋_GB2312" w:cs="仿宋_GB2312"/>
          <w:color w:val="auto"/>
          <w:sz w:val="32"/>
          <w:szCs w:val="32"/>
          <w:highlight w:val="none"/>
          <w:lang w:eastAsia="zh-Hans"/>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Hans"/>
        </w:rPr>
        <w:t>年公用经费收支预算表》为依据进行资金分配，预算资金分配依据充分</w:t>
      </w:r>
      <w:r>
        <w:rPr>
          <w:rFonts w:hint="eastAsia" w:ascii="仿宋_GB2312" w:hAnsi="仿宋_GB2312" w:eastAsia="仿宋_GB2312" w:cs="仿宋_GB2312"/>
          <w:color w:val="auto"/>
          <w:sz w:val="32"/>
          <w:szCs w:val="32"/>
          <w:highlight w:val="none"/>
          <w:lang w:eastAsia="zh-CN"/>
        </w:rPr>
        <w:t>。</w:t>
      </w:r>
    </w:p>
    <w:p w14:paraId="7D666E5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②项目实际到位资金</w:t>
      </w:r>
      <w:r>
        <w:rPr>
          <w:rFonts w:hint="eastAsia" w:ascii="仿宋_GB2312" w:hAnsi="仿宋_GB2312" w:eastAsia="仿宋_GB2312" w:cs="仿宋_GB2312"/>
          <w:color w:val="auto"/>
          <w:sz w:val="32"/>
          <w:szCs w:val="32"/>
          <w:highlight w:val="none"/>
          <w:lang w:val="en-US" w:eastAsia="zh-CN"/>
        </w:rPr>
        <w:t>104.3</w:t>
      </w:r>
      <w:r>
        <w:rPr>
          <w:rFonts w:hint="eastAsia" w:ascii="仿宋_GB2312" w:hAnsi="仿宋_GB2312" w:eastAsia="仿宋_GB2312" w:cs="仿宋_GB2312"/>
          <w:color w:val="auto"/>
          <w:sz w:val="32"/>
          <w:szCs w:val="32"/>
          <w:highlight w:val="none"/>
          <w:lang w:eastAsia="zh-CN"/>
        </w:rPr>
        <w:t>万元，资金分配额度合理，与项目单位</w:t>
      </w:r>
      <w:r>
        <w:rPr>
          <w:rFonts w:hint="eastAsia" w:ascii="仿宋_GB2312" w:hAnsi="仿宋_GB2312" w:eastAsia="仿宋_GB2312" w:cs="仿宋_GB2312"/>
          <w:color w:val="auto"/>
          <w:sz w:val="32"/>
          <w:szCs w:val="32"/>
          <w:highlight w:val="none"/>
          <w:lang w:val="en-US" w:eastAsia="zh-CN"/>
        </w:rPr>
        <w:t>及项目实际实施情况相</w:t>
      </w:r>
      <w:r>
        <w:rPr>
          <w:rFonts w:hint="eastAsia" w:ascii="仿宋_GB2312" w:hAnsi="仿宋_GB2312" w:eastAsia="仿宋_GB2312" w:cs="仿宋_GB2312"/>
          <w:color w:val="auto"/>
          <w:sz w:val="32"/>
          <w:szCs w:val="32"/>
          <w:highlight w:val="none"/>
          <w:lang w:eastAsia="zh-CN"/>
        </w:rPr>
        <w:t>适应。</w:t>
      </w:r>
    </w:p>
    <w:p w14:paraId="754E5FC9">
      <w:pPr>
        <w:pageBreakBefore w:val="0"/>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14:paraId="55130136">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highlight w:val="none"/>
        </w:rPr>
      </w:pPr>
      <w:bookmarkStart w:id="121" w:name="_Toc10564"/>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lang w:val="en-US" w:eastAsia="zh-CN"/>
        </w:rPr>
        <w:t>二</w:t>
      </w:r>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rPr>
        <w:t>项目过程情况</w:t>
      </w:r>
      <w:bookmarkEnd w:id="121"/>
    </w:p>
    <w:p w14:paraId="0F5AC83E">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b/>
          <w:bCs/>
          <w:color w:val="auto"/>
          <w:kern w:val="0"/>
          <w:sz w:val="32"/>
          <w:szCs w:val="32"/>
          <w:highlight w:val="none"/>
          <w:shd w:val="clear" w:color="auto" w:fill="auto"/>
          <w:lang w:val="zh-TW" w:eastAsia="zh-CN"/>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70353BB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19A75BDB">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91CF2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F356A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26FD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17C8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98C8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C999A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F533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30C81846">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74AB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3BF18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FA78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1C4AB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3DD29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680E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BC24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00FAF38B">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22E0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DCE3B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3153C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EC02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4599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B67D2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F932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60B3644A">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3E8B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E7632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1A5D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38F0E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E5B2A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ABD74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73F4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0D1C42C8">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388F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A5A6D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EB5E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0271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1D467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716C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89FE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1CA435B2">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87974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3E3E5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9BC47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E29CE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5C0E3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A0624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96960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7B460E26">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6C3A7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8981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518F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64097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6E52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r>
    </w:tbl>
    <w:p w14:paraId="5DFBF1F1">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2" w:name="_Toc20449"/>
      <w:bookmarkStart w:id="123" w:name="_Toc3886"/>
      <w:r>
        <w:rPr>
          <w:rFonts w:hint="eastAsia" w:ascii="仿宋_GB2312" w:hAnsi="仿宋_GB2312" w:eastAsia="仿宋_GB2312" w:cs="仿宋_GB2312"/>
          <w:b/>
          <w:bCs/>
          <w:color w:val="auto"/>
          <w:sz w:val="32"/>
          <w:szCs w:val="32"/>
          <w:highlight w:val="none"/>
          <w:lang w:val="en-US" w:eastAsia="zh-CN"/>
        </w:rPr>
        <w:t>1.资金到位率</w:t>
      </w:r>
      <w:bookmarkEnd w:id="122"/>
      <w:bookmarkEnd w:id="123"/>
    </w:p>
    <w:p w14:paraId="6A18102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w:t>
      </w:r>
      <w:r>
        <w:rPr>
          <w:rFonts w:hint="eastAsia" w:ascii="仿宋_GB2312" w:hAnsi="仿宋_GB2312" w:eastAsia="仿宋_GB2312" w:cs="仿宋_GB2312"/>
          <w:b w:val="0"/>
          <w:bCs w:val="0"/>
          <w:color w:val="auto"/>
          <w:sz w:val="32"/>
          <w:szCs w:val="32"/>
          <w:highlight w:val="none"/>
          <w:lang w:val="en-US" w:eastAsia="zh-CN"/>
        </w:rPr>
        <w:t>104.3</w:t>
      </w:r>
      <w:r>
        <w:rPr>
          <w:rFonts w:hint="eastAsia" w:ascii="仿宋_GB2312" w:hAnsi="仿宋_GB2312" w:eastAsia="仿宋_GB2312" w:cs="仿宋_GB2312"/>
          <w:b w:val="0"/>
          <w:bCs w:val="0"/>
          <w:color w:val="auto"/>
          <w:sz w:val="32"/>
          <w:szCs w:val="32"/>
          <w:highlight w:val="none"/>
        </w:rPr>
        <w:t>万元，其中：财政安排资金</w:t>
      </w:r>
      <w:r>
        <w:rPr>
          <w:rFonts w:hint="eastAsia" w:ascii="仿宋_GB2312" w:hAnsi="仿宋_GB2312" w:eastAsia="仿宋_GB2312" w:cs="仿宋_GB2312"/>
          <w:b w:val="0"/>
          <w:bCs w:val="0"/>
          <w:color w:val="auto"/>
          <w:sz w:val="32"/>
          <w:szCs w:val="32"/>
          <w:highlight w:val="none"/>
          <w:lang w:val="en-US" w:eastAsia="zh-CN"/>
        </w:rPr>
        <w:t>104.3</w:t>
      </w:r>
      <w:r>
        <w:rPr>
          <w:rFonts w:hint="eastAsia" w:ascii="仿宋_GB2312" w:hAnsi="仿宋_GB2312" w:eastAsia="仿宋_GB2312" w:cs="仿宋_GB2312"/>
          <w:b w:val="0"/>
          <w:bCs w:val="0"/>
          <w:color w:val="auto"/>
          <w:sz w:val="32"/>
          <w:szCs w:val="32"/>
          <w:highlight w:val="none"/>
        </w:rPr>
        <w:t>万元，其他资金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1557C515">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资金到位率=（</w:t>
      </w:r>
      <w:r>
        <w:rPr>
          <w:rFonts w:hint="eastAsia" w:ascii="仿宋_GB2312" w:hAnsi="仿宋_GB2312" w:eastAsia="仿宋_GB2312" w:cs="仿宋_GB2312"/>
          <w:b w:val="0"/>
          <w:bCs w:val="0"/>
          <w:color w:val="auto"/>
          <w:sz w:val="32"/>
          <w:szCs w:val="32"/>
          <w:highlight w:val="none"/>
          <w:lang w:val="en-US" w:eastAsia="zh-CN"/>
        </w:rPr>
        <w:t>104.3</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104.3</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val="0"/>
          <w:bCs w:val="0"/>
          <w:color w:val="auto"/>
          <w:sz w:val="32"/>
          <w:szCs w:val="32"/>
          <w:highlight w:val="none"/>
          <w:lang w:val="en-US" w:eastAsia="zh-CN"/>
        </w:rPr>
        <w:t>=100%</w:t>
      </w:r>
    </w:p>
    <w:p w14:paraId="2C98E44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5F24671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4" w:name="_Toc17709"/>
      <w:bookmarkStart w:id="125" w:name="_Toc9705"/>
      <w:r>
        <w:rPr>
          <w:rFonts w:hint="eastAsia" w:ascii="仿宋_GB2312" w:hAnsi="仿宋_GB2312" w:eastAsia="仿宋_GB2312" w:cs="仿宋_GB2312"/>
          <w:b/>
          <w:bCs/>
          <w:color w:val="auto"/>
          <w:sz w:val="32"/>
          <w:szCs w:val="32"/>
          <w:highlight w:val="none"/>
          <w:lang w:val="en-US" w:eastAsia="zh-CN"/>
        </w:rPr>
        <w:t>2.预算执行率</w:t>
      </w:r>
      <w:bookmarkEnd w:id="124"/>
      <w:bookmarkEnd w:id="125"/>
    </w:p>
    <w:p w14:paraId="54EB206A">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lang w:val="en-US" w:eastAsia="zh-CN"/>
        </w:rPr>
        <w:t>104.3</w:t>
      </w:r>
      <w:r>
        <w:rPr>
          <w:rFonts w:hint="eastAsia" w:ascii="仿宋_GB2312" w:hAnsi="仿宋_GB2312" w:eastAsia="仿宋_GB2312" w:cs="仿宋_GB2312"/>
          <w:color w:val="auto"/>
          <w:sz w:val="32"/>
          <w:szCs w:val="32"/>
          <w:highlight w:val="none"/>
          <w:lang w:val="en-US" w:eastAsia="zh-CN"/>
        </w:rPr>
        <w:t>万元。</w:t>
      </w:r>
    </w:p>
    <w:p w14:paraId="499C084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b w:val="0"/>
          <w:bCs w:val="0"/>
          <w:color w:val="auto"/>
          <w:sz w:val="32"/>
          <w:szCs w:val="32"/>
          <w:highlight w:val="none"/>
          <w:lang w:val="en-US" w:eastAsia="zh-CN"/>
        </w:rPr>
        <w:t>104.3</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104.3</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val="0"/>
          <w:bCs w:val="0"/>
          <w:color w:val="auto"/>
          <w:sz w:val="32"/>
          <w:szCs w:val="32"/>
          <w:highlight w:val="none"/>
          <w:lang w:val="en-US" w:eastAsia="zh-CN"/>
        </w:rPr>
        <w:t>=100%</w:t>
      </w:r>
    </w:p>
    <w:p w14:paraId="756AB17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76E579E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6" w:name="_Toc18691"/>
      <w:bookmarkStart w:id="127" w:name="_Toc28875"/>
      <w:r>
        <w:rPr>
          <w:rFonts w:hint="eastAsia" w:ascii="仿宋_GB2312" w:hAnsi="仿宋_GB2312" w:eastAsia="仿宋_GB2312" w:cs="仿宋_GB2312"/>
          <w:b/>
          <w:bCs/>
          <w:color w:val="auto"/>
          <w:sz w:val="32"/>
          <w:szCs w:val="32"/>
          <w:highlight w:val="none"/>
          <w:lang w:val="en-US" w:eastAsia="zh-CN"/>
        </w:rPr>
        <w:t>3.资金使用合规性</w:t>
      </w:r>
      <w:bookmarkEnd w:id="126"/>
      <w:bookmarkEnd w:id="127"/>
    </w:p>
    <w:p w14:paraId="03D86C75">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highlight w:val="none"/>
        </w:rPr>
      </w:pPr>
      <w:r>
        <w:rPr>
          <w:rFonts w:hint="eastAsia" w:ascii="仿宋_GB2312" w:hAnsi="仿宋_GB2312" w:eastAsia="仿宋_GB2312" w:cs="仿宋_GB2312"/>
          <w:color w:val="auto"/>
          <w:sz w:val="32"/>
          <w:szCs w:val="32"/>
          <w:highlight w:val="none"/>
          <w:lang w:eastAsia="zh-CN"/>
        </w:rPr>
        <w:t>①本项目资金支出符合国家财经法规、《政府会计制度》《阜康市第</w:t>
      </w:r>
      <w:r>
        <w:rPr>
          <w:rFonts w:hint="eastAsia" w:ascii="仿宋_GB2312" w:hAnsi="仿宋_GB2312" w:eastAsia="仿宋_GB2312" w:cs="仿宋_GB2312"/>
          <w:color w:val="auto"/>
          <w:sz w:val="32"/>
          <w:szCs w:val="32"/>
          <w:highlight w:val="none"/>
          <w:lang w:val="en-US" w:eastAsia="zh-CN"/>
        </w:rPr>
        <w:t>四</w:t>
      </w:r>
      <w:r>
        <w:rPr>
          <w:rFonts w:hint="eastAsia" w:ascii="仿宋_GB2312" w:hAnsi="仿宋_GB2312" w:eastAsia="仿宋_GB2312" w:cs="仿宋_GB2312"/>
          <w:color w:val="auto"/>
          <w:sz w:val="32"/>
          <w:szCs w:val="32"/>
          <w:highlight w:val="none"/>
          <w:lang w:eastAsia="zh-CN"/>
        </w:rPr>
        <w:t>幼儿园单位资金管理办法》《阜康市第</w:t>
      </w:r>
      <w:r>
        <w:rPr>
          <w:rFonts w:hint="eastAsia" w:ascii="仿宋_GB2312" w:hAnsi="仿宋_GB2312" w:eastAsia="仿宋_GB2312" w:cs="仿宋_GB2312"/>
          <w:color w:val="auto"/>
          <w:sz w:val="32"/>
          <w:szCs w:val="32"/>
          <w:highlight w:val="none"/>
          <w:lang w:val="en-US" w:eastAsia="zh-CN"/>
        </w:rPr>
        <w:t>四</w:t>
      </w:r>
      <w:r>
        <w:rPr>
          <w:rFonts w:hint="eastAsia" w:ascii="仿宋_GB2312" w:hAnsi="仿宋_GB2312" w:eastAsia="仿宋_GB2312" w:cs="仿宋_GB2312"/>
          <w:color w:val="auto"/>
          <w:sz w:val="32"/>
          <w:szCs w:val="32"/>
          <w:highlight w:val="none"/>
          <w:lang w:eastAsia="zh-CN"/>
        </w:rPr>
        <w:t>幼儿园专项资金管理办法》；</w:t>
      </w:r>
    </w:p>
    <w:p w14:paraId="7D88C52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14:paraId="51C8C6F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14:paraId="63642BB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14:paraId="40284838">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0C7C484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0805CB26">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sz w:val="32"/>
          <w:szCs w:val="32"/>
          <w:highlight w:val="none"/>
          <w:lang w:val="en-US" w:eastAsia="zh-CN"/>
        </w:rPr>
        <w:t>管理制度健全性</w:t>
      </w:r>
    </w:p>
    <w:p w14:paraId="737CBD30">
      <w:pPr>
        <w:pageBreakBefore w:val="0"/>
        <w:kinsoku/>
        <w:wordWrap/>
        <w:overflowPunct/>
        <w:topLinePunct w:val="0"/>
        <w:autoSpaceDE/>
        <w:autoSpaceDN/>
        <w:bidi w:val="0"/>
        <w:spacing w:line="560" w:lineRule="exact"/>
        <w:textAlignment w:val="auto"/>
        <w:rPr>
          <w:rFonts w:hint="eastAsia" w:ascii="Times New Roman" w:hAnsi="Times New Roman" w:eastAsia="仿宋_GB2312" w:cs="Times New Roman"/>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lang w:eastAsia="zh-CN"/>
        </w:rPr>
        <w:t>我单位已制定</w:t>
      </w:r>
      <w:r>
        <w:rPr>
          <w:rFonts w:hint="eastAsia" w:ascii="Times New Roman" w:hAnsi="Times New Roman" w:eastAsia="仿宋_GB2312" w:cs="Times New Roman"/>
          <w:color w:val="auto"/>
          <w:sz w:val="32"/>
          <w:szCs w:val="32"/>
          <w:highlight w:val="none"/>
          <w:lang w:eastAsia="zh-CN"/>
        </w:rPr>
        <w:t>《阜康市第</w:t>
      </w:r>
      <w:r>
        <w:rPr>
          <w:rFonts w:hint="eastAsia" w:ascii="Times New Roman" w:hAnsi="Times New Roman" w:eastAsia="仿宋_GB2312" w:cs="Times New Roman"/>
          <w:color w:val="auto"/>
          <w:sz w:val="32"/>
          <w:szCs w:val="32"/>
          <w:highlight w:val="none"/>
          <w:lang w:val="en-US" w:eastAsia="zh-CN"/>
        </w:rPr>
        <w:t>四</w:t>
      </w:r>
      <w:r>
        <w:rPr>
          <w:rFonts w:hint="eastAsia" w:ascii="Times New Roman" w:hAnsi="Times New Roman" w:eastAsia="仿宋_GB2312" w:cs="Times New Roman"/>
          <w:color w:val="auto"/>
          <w:sz w:val="32"/>
          <w:szCs w:val="32"/>
          <w:highlight w:val="none"/>
          <w:lang w:eastAsia="zh-CN"/>
        </w:rPr>
        <w:t>幼儿园资金管理办法》《阜康市第</w:t>
      </w:r>
      <w:r>
        <w:rPr>
          <w:rFonts w:hint="eastAsia" w:ascii="Times New Roman" w:hAnsi="Times New Roman" w:eastAsia="仿宋_GB2312" w:cs="Times New Roman"/>
          <w:color w:val="auto"/>
          <w:sz w:val="32"/>
          <w:szCs w:val="32"/>
          <w:highlight w:val="none"/>
          <w:lang w:val="en-US" w:eastAsia="zh-CN"/>
        </w:rPr>
        <w:t>四</w:t>
      </w:r>
      <w:r>
        <w:rPr>
          <w:rFonts w:hint="eastAsia" w:ascii="Times New Roman" w:hAnsi="Times New Roman" w:eastAsia="仿宋_GB2312" w:cs="Times New Roman"/>
          <w:color w:val="auto"/>
          <w:sz w:val="32"/>
          <w:szCs w:val="32"/>
          <w:highlight w:val="none"/>
          <w:lang w:eastAsia="zh-CN"/>
        </w:rPr>
        <w:t>幼儿园收支业务管理制度》《阜康市第</w:t>
      </w:r>
      <w:r>
        <w:rPr>
          <w:rFonts w:hint="eastAsia" w:ascii="Times New Roman" w:hAnsi="Times New Roman" w:eastAsia="仿宋_GB2312" w:cs="Times New Roman"/>
          <w:color w:val="auto"/>
          <w:sz w:val="32"/>
          <w:szCs w:val="32"/>
          <w:highlight w:val="none"/>
          <w:lang w:val="en-US" w:eastAsia="zh-CN"/>
        </w:rPr>
        <w:t>四</w:t>
      </w:r>
      <w:r>
        <w:rPr>
          <w:rFonts w:hint="eastAsia" w:ascii="Times New Roman" w:hAnsi="Times New Roman" w:eastAsia="仿宋_GB2312" w:cs="Times New Roman"/>
          <w:color w:val="auto"/>
          <w:sz w:val="32"/>
          <w:szCs w:val="32"/>
          <w:highlight w:val="none"/>
          <w:lang w:eastAsia="zh-CN"/>
        </w:rPr>
        <w:t>幼儿园政府采购业务管理制度》《阜康市第</w:t>
      </w:r>
      <w:r>
        <w:rPr>
          <w:rFonts w:hint="eastAsia" w:ascii="Times New Roman" w:hAnsi="Times New Roman" w:eastAsia="仿宋_GB2312" w:cs="Times New Roman"/>
          <w:color w:val="auto"/>
          <w:sz w:val="32"/>
          <w:szCs w:val="32"/>
          <w:highlight w:val="none"/>
          <w:lang w:val="en-US" w:eastAsia="zh-CN"/>
        </w:rPr>
        <w:t>四</w:t>
      </w:r>
      <w:r>
        <w:rPr>
          <w:rFonts w:hint="eastAsia" w:ascii="Times New Roman" w:hAnsi="Times New Roman" w:eastAsia="仿宋_GB2312" w:cs="Times New Roman"/>
          <w:color w:val="auto"/>
          <w:sz w:val="32"/>
          <w:szCs w:val="32"/>
          <w:highlight w:val="none"/>
          <w:lang w:eastAsia="zh-CN"/>
        </w:rPr>
        <w:t>幼儿园合同管理制度》，</w:t>
      </w:r>
      <w:r>
        <w:rPr>
          <w:rFonts w:hint="eastAsia" w:ascii="Times New Roman" w:hAnsi="Times New Roman" w:eastAsia="仿宋_GB2312" w:cs="Times New Roman"/>
          <w:color w:val="auto"/>
          <w:sz w:val="32"/>
          <w:szCs w:val="32"/>
          <w:highlight w:val="none"/>
          <w:lang w:val="en-US" w:eastAsia="zh-CN"/>
        </w:rPr>
        <w:t>相关</w:t>
      </w:r>
      <w:r>
        <w:rPr>
          <w:rFonts w:hint="eastAsia" w:ascii="Times New Roman" w:hAnsi="Times New Roman" w:eastAsia="仿宋_GB2312" w:cs="Times New Roman"/>
          <w:color w:val="auto"/>
          <w:sz w:val="32"/>
          <w:szCs w:val="32"/>
          <w:highlight w:val="none"/>
          <w:lang w:eastAsia="zh-CN"/>
        </w:rPr>
        <w:t>制度均符合行政事业单位内控管理要求；</w:t>
      </w:r>
    </w:p>
    <w:p w14:paraId="6E20E7B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p w14:paraId="411B86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0CEB4B0E">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highlight w:val="none"/>
          <w:lang w:val="en-US" w:eastAsia="zh-CN"/>
        </w:rPr>
      </w:pPr>
      <w:bookmarkStart w:id="128" w:name="_Toc13984"/>
      <w:bookmarkStart w:id="129" w:name="_Toc31684"/>
      <w:r>
        <w:rPr>
          <w:rFonts w:hint="eastAsia" w:ascii="仿宋_GB2312" w:hAnsi="仿宋_GB2312" w:eastAsia="仿宋_GB2312" w:cs="仿宋_GB2312"/>
          <w:b/>
          <w:bCs/>
          <w:color w:val="auto"/>
          <w:sz w:val="32"/>
          <w:szCs w:val="32"/>
          <w:highlight w:val="none"/>
          <w:lang w:val="en-US" w:eastAsia="zh-CN"/>
        </w:rPr>
        <w:t>5.制度执行有效性</w:t>
      </w:r>
      <w:bookmarkEnd w:id="128"/>
      <w:bookmarkEnd w:id="129"/>
    </w:p>
    <w:p w14:paraId="72CE6BD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rPr>
        <w:t>项目的实施</w:t>
      </w:r>
      <w:r>
        <w:rPr>
          <w:rFonts w:hint="eastAsia" w:ascii="仿宋_GB2312" w:hAnsi="仿宋_GB2312" w:eastAsia="仿宋_GB2312" w:cs="仿宋_GB2312"/>
          <w:color w:val="auto"/>
          <w:sz w:val="32"/>
          <w:szCs w:val="32"/>
          <w:highlight w:val="none"/>
          <w:lang w:eastAsia="zh-CN"/>
        </w:rPr>
        <w:t>遵守相关法律法规</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eastAsia="zh-CN"/>
        </w:rPr>
        <w:t>相关管理规定，</w:t>
      </w:r>
      <w:r>
        <w:rPr>
          <w:rFonts w:hint="eastAsia" w:ascii="仿宋_GB2312" w:hAnsi="仿宋_GB2312" w:eastAsia="仿宋_GB2312" w:cs="仿宋_GB2312"/>
          <w:color w:val="auto"/>
          <w:sz w:val="32"/>
          <w:szCs w:val="32"/>
          <w:highlight w:val="none"/>
        </w:rPr>
        <w:t>符合</w:t>
      </w:r>
      <w:r>
        <w:rPr>
          <w:rFonts w:hint="eastAsia" w:ascii="仿宋_GB2312" w:hAnsi="仿宋_GB2312" w:eastAsia="仿宋_GB2312" w:cs="仿宋_GB2312"/>
          <w:color w:val="auto"/>
          <w:sz w:val="32"/>
          <w:szCs w:val="32"/>
          <w:highlight w:val="none"/>
          <w:lang w:eastAsia="zh-CN"/>
        </w:rPr>
        <w:t>《阜康市第</w:t>
      </w:r>
      <w:r>
        <w:rPr>
          <w:rFonts w:hint="eastAsia" w:ascii="仿宋_GB2312" w:hAnsi="仿宋_GB2312" w:eastAsia="仿宋_GB2312" w:cs="仿宋_GB2312"/>
          <w:color w:val="auto"/>
          <w:sz w:val="32"/>
          <w:szCs w:val="32"/>
          <w:highlight w:val="none"/>
          <w:lang w:val="en-US" w:eastAsia="zh-CN"/>
        </w:rPr>
        <w:t>四</w:t>
      </w:r>
      <w:r>
        <w:rPr>
          <w:rFonts w:hint="eastAsia" w:ascii="仿宋_GB2312" w:hAnsi="仿宋_GB2312" w:eastAsia="仿宋_GB2312" w:cs="仿宋_GB2312"/>
          <w:color w:val="auto"/>
          <w:sz w:val="32"/>
          <w:szCs w:val="32"/>
          <w:highlight w:val="none"/>
          <w:lang w:eastAsia="zh-CN"/>
        </w:rPr>
        <w:t>幼儿园单位资金管理办法》《阜康市第</w:t>
      </w:r>
      <w:r>
        <w:rPr>
          <w:rFonts w:hint="eastAsia" w:ascii="仿宋_GB2312" w:hAnsi="仿宋_GB2312" w:eastAsia="仿宋_GB2312" w:cs="仿宋_GB2312"/>
          <w:color w:val="auto"/>
          <w:sz w:val="32"/>
          <w:szCs w:val="32"/>
          <w:highlight w:val="none"/>
          <w:lang w:val="en-US" w:eastAsia="zh-CN"/>
        </w:rPr>
        <w:t>四</w:t>
      </w:r>
      <w:r>
        <w:rPr>
          <w:rFonts w:hint="eastAsia" w:ascii="仿宋_GB2312" w:hAnsi="仿宋_GB2312" w:eastAsia="仿宋_GB2312" w:cs="仿宋_GB2312"/>
          <w:color w:val="auto"/>
          <w:sz w:val="32"/>
          <w:szCs w:val="32"/>
          <w:highlight w:val="none"/>
          <w:lang w:eastAsia="zh-CN"/>
        </w:rPr>
        <w:t>幼儿园财务管理制度》</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阜康市第</w:t>
      </w:r>
      <w:r>
        <w:rPr>
          <w:rFonts w:hint="eastAsia" w:ascii="仿宋_GB2312" w:hAnsi="仿宋_GB2312" w:eastAsia="仿宋_GB2312" w:cs="仿宋_GB2312"/>
          <w:color w:val="auto"/>
          <w:sz w:val="32"/>
          <w:szCs w:val="32"/>
          <w:highlight w:val="none"/>
          <w:lang w:val="en-US" w:eastAsia="zh-CN"/>
        </w:rPr>
        <w:t>四</w:t>
      </w:r>
      <w:r>
        <w:rPr>
          <w:rFonts w:hint="eastAsia" w:ascii="仿宋_GB2312" w:hAnsi="仿宋_GB2312" w:eastAsia="仿宋_GB2312" w:cs="仿宋_GB2312"/>
          <w:color w:val="auto"/>
          <w:sz w:val="32"/>
          <w:szCs w:val="32"/>
          <w:highlight w:val="none"/>
          <w:lang w:eastAsia="zh-CN"/>
        </w:rPr>
        <w:t>幼儿园</w:t>
      </w:r>
      <w:r>
        <w:rPr>
          <w:rFonts w:hint="eastAsia" w:ascii="仿宋_GB2312" w:hAnsi="仿宋_GB2312" w:eastAsia="仿宋_GB2312" w:cs="仿宋_GB2312"/>
          <w:color w:val="auto"/>
          <w:sz w:val="32"/>
          <w:szCs w:val="32"/>
          <w:highlight w:val="none"/>
        </w:rPr>
        <w:t>采购业务管理制度》《</w:t>
      </w:r>
      <w:r>
        <w:rPr>
          <w:rFonts w:hint="eastAsia" w:ascii="仿宋_GB2312" w:hAnsi="仿宋_GB2312" w:eastAsia="仿宋_GB2312" w:cs="仿宋_GB2312"/>
          <w:color w:val="auto"/>
          <w:sz w:val="32"/>
          <w:szCs w:val="32"/>
          <w:highlight w:val="none"/>
          <w:lang w:eastAsia="zh-CN"/>
        </w:rPr>
        <w:t>阜康市第</w:t>
      </w:r>
      <w:r>
        <w:rPr>
          <w:rFonts w:hint="eastAsia" w:ascii="仿宋_GB2312" w:hAnsi="仿宋_GB2312" w:eastAsia="仿宋_GB2312" w:cs="仿宋_GB2312"/>
          <w:color w:val="auto"/>
          <w:sz w:val="32"/>
          <w:szCs w:val="32"/>
          <w:highlight w:val="none"/>
          <w:lang w:val="en-US" w:eastAsia="zh-CN"/>
        </w:rPr>
        <w:t>四</w:t>
      </w:r>
      <w:r>
        <w:rPr>
          <w:rFonts w:hint="eastAsia" w:ascii="仿宋_GB2312" w:hAnsi="仿宋_GB2312" w:eastAsia="仿宋_GB2312" w:cs="仿宋_GB2312"/>
          <w:color w:val="auto"/>
          <w:sz w:val="32"/>
          <w:szCs w:val="32"/>
          <w:highlight w:val="none"/>
          <w:lang w:eastAsia="zh-CN"/>
        </w:rPr>
        <w:t>幼儿园</w:t>
      </w:r>
      <w:r>
        <w:rPr>
          <w:rFonts w:hint="eastAsia" w:ascii="仿宋_GB2312" w:hAnsi="仿宋_GB2312" w:eastAsia="仿宋_GB2312" w:cs="仿宋_GB2312"/>
          <w:color w:val="auto"/>
          <w:sz w:val="32"/>
          <w:szCs w:val="32"/>
          <w:highlight w:val="none"/>
        </w:rPr>
        <w:t>合同管理制度》等管理规定</w:t>
      </w:r>
      <w:r>
        <w:rPr>
          <w:rFonts w:hint="eastAsia" w:ascii="仿宋_GB2312" w:hAnsi="仿宋_GB2312" w:eastAsia="仿宋_GB2312" w:cs="仿宋_GB2312"/>
          <w:color w:val="auto"/>
          <w:sz w:val="32"/>
          <w:szCs w:val="32"/>
          <w:highlight w:val="none"/>
          <w:lang w:eastAsia="zh-CN"/>
        </w:rPr>
        <w:t>；</w:t>
      </w:r>
    </w:p>
    <w:p w14:paraId="759F9F4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rPr>
        <w:t>项目存在调整，调整手续齐全</w:t>
      </w:r>
      <w:r>
        <w:rPr>
          <w:rFonts w:hint="eastAsia" w:ascii="仿宋_GB2312" w:hAnsi="仿宋_GB2312" w:eastAsia="仿宋_GB2312" w:cs="仿宋_GB2312"/>
          <w:color w:val="auto"/>
          <w:sz w:val="32"/>
          <w:szCs w:val="32"/>
          <w:highlight w:val="none"/>
          <w:lang w:eastAsia="zh-CN"/>
        </w:rPr>
        <w:t>。</w:t>
      </w:r>
    </w:p>
    <w:p w14:paraId="4B4904C5">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项目合同书、验收评审表、财务支付凭证等资料齐全并及时归档。</w:t>
      </w:r>
    </w:p>
    <w:p w14:paraId="2C3B9C7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实施所需要的项目人员和场地设备均已落实到位，具体涉及内容包括：项目资金支出严格按照自治区、地区以及本单位资金管理办法执行，项目启动实施后，为了加快本项目的实施，成立了2024年学前教育生均经费（保基本民生）项目工作领导小组，由</w:t>
      </w:r>
      <w:r>
        <w:rPr>
          <w:rFonts w:hint="eastAsia" w:ascii="仿宋_GB2312" w:hAnsi="仿宋_GB2312" w:eastAsia="仿宋_GB2312" w:cs="仿宋_GB2312"/>
          <w:color w:val="auto"/>
          <w:sz w:val="32"/>
          <w:szCs w:val="32"/>
          <w:highlight w:val="none"/>
          <w:lang w:val="en-US" w:eastAsia="zh-CN"/>
        </w:rPr>
        <w:t>刘婷</w:t>
      </w:r>
      <w:r>
        <w:rPr>
          <w:rFonts w:hint="eastAsia" w:ascii="仿宋_GB2312" w:hAnsi="仿宋_GB2312" w:eastAsia="仿宋_GB2312" w:cs="仿宋_GB2312"/>
          <w:color w:val="auto"/>
          <w:sz w:val="32"/>
          <w:szCs w:val="32"/>
          <w:highlight w:val="none"/>
          <w:lang w:eastAsia="zh-CN"/>
        </w:rPr>
        <w:t>任组长，负责项目的组织工作；</w:t>
      </w:r>
      <w:r>
        <w:rPr>
          <w:rFonts w:hint="eastAsia" w:ascii="仿宋_GB2312" w:hAnsi="仿宋_GB2312" w:eastAsia="仿宋_GB2312" w:cs="仿宋_GB2312"/>
          <w:color w:val="auto"/>
          <w:sz w:val="32"/>
          <w:szCs w:val="32"/>
          <w:highlight w:val="none"/>
          <w:lang w:val="en-US" w:eastAsia="zh-CN"/>
        </w:rPr>
        <w:t>谷金霞</w:t>
      </w:r>
      <w:r>
        <w:rPr>
          <w:rFonts w:hint="eastAsia" w:ascii="仿宋_GB2312" w:hAnsi="仿宋_GB2312" w:eastAsia="仿宋_GB2312" w:cs="仿宋_GB2312"/>
          <w:color w:val="auto"/>
          <w:sz w:val="32"/>
          <w:szCs w:val="32"/>
          <w:highlight w:val="none"/>
          <w:lang w:eastAsia="zh-CN"/>
        </w:rPr>
        <w:t>任副组长，负责项目的实施工作；组员包括：</w:t>
      </w:r>
      <w:r>
        <w:rPr>
          <w:rFonts w:hint="eastAsia" w:ascii="仿宋_GB2312" w:hAnsi="仿宋_GB2312" w:eastAsia="仿宋_GB2312" w:cs="仿宋_GB2312"/>
          <w:color w:val="auto"/>
          <w:sz w:val="32"/>
          <w:szCs w:val="32"/>
          <w:highlight w:val="none"/>
          <w:lang w:val="en-US" w:eastAsia="zh-CN"/>
        </w:rPr>
        <w:t>李月和姬玫</w:t>
      </w:r>
      <w:r>
        <w:rPr>
          <w:rFonts w:hint="eastAsia" w:ascii="仿宋_GB2312" w:hAnsi="仿宋_GB2312" w:eastAsia="仿宋_GB2312" w:cs="仿宋_GB2312"/>
          <w:color w:val="auto"/>
          <w:sz w:val="32"/>
          <w:szCs w:val="32"/>
          <w:highlight w:val="none"/>
          <w:lang w:eastAsia="zh-CN"/>
        </w:rPr>
        <w:t>，主要负责项目监督管理、验收以及资金核拨等工作。</w:t>
      </w:r>
    </w:p>
    <w:p w14:paraId="2319960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0AC6B13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0" w:name="_Toc2441"/>
      <w:r>
        <w:rPr>
          <w:rFonts w:hint="eastAsia" w:ascii="Times New Roman" w:hAnsi="Times New Roman" w:eastAsia="楷体_GB2312" w:cs="Times New Roman"/>
          <w:color w:val="auto"/>
          <w:kern w:val="28"/>
          <w:sz w:val="32"/>
          <w:highlight w:val="none"/>
          <w:lang w:val="en-US" w:eastAsia="zh-CN"/>
        </w:rPr>
        <w:t>（三）项目产出情况</w:t>
      </w:r>
      <w:bookmarkEnd w:id="130"/>
    </w:p>
    <w:p w14:paraId="5510FD39">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包括产出数量、产出质量、产出时效、产出成本四方面的内容，</w:t>
      </w:r>
      <w:r>
        <w:rPr>
          <w:rFonts w:hint="eastAsia" w:ascii="Times New Roman" w:hAnsi="Times New Roman" w:eastAsia="仿宋_GB2312" w:cs="Times New Roman"/>
          <w:color w:val="auto"/>
          <w:sz w:val="32"/>
          <w:szCs w:val="32"/>
          <w:highlight w:val="none"/>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3805DC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1078BAC2">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ADE98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2F2F6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4EEB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E63C0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CF369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C752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AFAB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1E8123F9">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8D49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C12B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422C8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在校学生人数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4CCED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w:t>
            </w:r>
            <w:r>
              <w:rPr>
                <w:rFonts w:hint="eastAsia" w:cs="宋体"/>
                <w:color w:val="auto"/>
                <w:kern w:val="0"/>
                <w:sz w:val="20"/>
                <w:szCs w:val="20"/>
                <w:highlight w:val="none"/>
                <w:shd w:val="clear" w:color="auto" w:fill="auto"/>
                <w:lang w:val="en-US" w:eastAsia="zh-CN"/>
              </w:rPr>
              <w:t>557</w:t>
            </w:r>
            <w:r>
              <w:rPr>
                <w:rFonts w:hint="eastAsia" w:ascii="宋体" w:hAnsi="宋体" w:eastAsia="宋体" w:cs="宋体"/>
                <w:color w:val="auto"/>
                <w:kern w:val="0"/>
                <w:sz w:val="20"/>
                <w:szCs w:val="20"/>
                <w:highlight w:val="none"/>
                <w:shd w:val="clear" w:color="auto" w:fill="auto"/>
                <w:lang w:val="en-US" w:eastAsia="zh-CN"/>
              </w:rPr>
              <w:t>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47906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2E6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557</w:t>
            </w:r>
            <w:r>
              <w:rPr>
                <w:rFonts w:hint="eastAsia" w:ascii="宋体" w:hAnsi="宋体" w:eastAsia="宋体" w:cs="宋体"/>
                <w:color w:val="auto"/>
                <w:kern w:val="0"/>
                <w:sz w:val="20"/>
                <w:szCs w:val="20"/>
                <w:highlight w:val="none"/>
                <w:shd w:val="clear" w:color="auto" w:fill="auto"/>
                <w:lang w:val="en-US" w:eastAsia="zh-CN"/>
              </w:rPr>
              <w:t>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7BF4E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2DCBA68F">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320E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123E59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F33A9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公用经费享受比例</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97265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F78C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8B866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DB0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72D9007">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C143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37FF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7B3C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教师培训结业率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8A5F2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4FE9A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90D20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12A11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704679F1">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3D3AC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243CE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CA31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公用经费支出及时率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47A0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D4A7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4122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55768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691EECC6">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9C0A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4D6CC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3101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公用经费标准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4E5CA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=1100元/人/年</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1F68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7620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1100元/人/年</w:t>
            </w:r>
          </w:p>
          <w:p w14:paraId="6F167BFB">
            <w:pPr>
              <w:keepNext w:val="0"/>
              <w:keepLines w:val="0"/>
              <w:pageBreakBefore w:val="0"/>
              <w:kinsoku/>
              <w:wordWrap/>
              <w:overflowPunct/>
              <w:topLinePunct w:val="0"/>
              <w:autoSpaceDE/>
              <w:autoSpaceDN/>
              <w:bidi w:val="0"/>
              <w:adjustRightInd/>
              <w:spacing w:line="300" w:lineRule="exact"/>
              <w:textAlignment w:val="auto"/>
              <w:rPr>
                <w:color w:val="auto"/>
                <w:highlight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4A2B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7D8BE7B9">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F28F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225F2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64DC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E6786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350E944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bookmarkStart w:id="131" w:name="_Toc26689"/>
      <w:bookmarkStart w:id="132" w:name="_Toc11067"/>
      <w:r>
        <w:rPr>
          <w:rFonts w:hint="eastAsia" w:ascii="仿宋_GB2312" w:hAnsi="仿宋_GB2312" w:eastAsia="仿宋_GB2312" w:cs="仿宋_GB2312"/>
          <w:b/>
          <w:bCs/>
          <w:color w:val="auto"/>
          <w:sz w:val="32"/>
          <w:szCs w:val="32"/>
          <w:highlight w:val="none"/>
          <w:lang w:val="en-US" w:eastAsia="zh-CN"/>
        </w:rPr>
        <w:t>1.数量指标完成情况</w:t>
      </w:r>
      <w:bookmarkEnd w:id="131"/>
      <w:bookmarkEnd w:id="132"/>
    </w:p>
    <w:p w14:paraId="0110D5B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在校学生人数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指标，预期目标值为=557人，实际完成为557人。实际完成率=（557/557）×100%=100%。</w:t>
      </w:r>
    </w:p>
    <w:p w14:paraId="2C02B95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3253EE25">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3" w:name="_Toc31739"/>
      <w:bookmarkStart w:id="134" w:name="_Toc14255"/>
      <w:r>
        <w:rPr>
          <w:rFonts w:hint="eastAsia" w:ascii="仿宋_GB2312" w:hAnsi="仿宋_GB2312" w:eastAsia="仿宋_GB2312" w:cs="仿宋_GB2312"/>
          <w:b/>
          <w:bCs/>
          <w:color w:val="auto"/>
          <w:sz w:val="32"/>
          <w:szCs w:val="32"/>
          <w:highlight w:val="none"/>
          <w:lang w:val="en-US" w:eastAsia="zh-CN"/>
        </w:rPr>
        <w:t>2.</w:t>
      </w:r>
      <w:bookmarkEnd w:id="133"/>
      <w:r>
        <w:rPr>
          <w:rFonts w:hint="eastAsia" w:ascii="仿宋_GB2312" w:hAnsi="仿宋_GB2312" w:eastAsia="仿宋_GB2312" w:cs="仿宋_GB2312"/>
          <w:b/>
          <w:bCs/>
          <w:color w:val="auto"/>
          <w:sz w:val="32"/>
          <w:szCs w:val="32"/>
          <w:highlight w:val="none"/>
          <w:lang w:val="en-US" w:eastAsia="zh-CN"/>
        </w:rPr>
        <w:t>质量指标完成情况</w:t>
      </w:r>
      <w:bookmarkEnd w:id="134"/>
    </w:p>
    <w:p w14:paraId="72A122C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公用经费享受比例</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指标，预期目标值为=100%，实际完成为100%。实际完成率=（100%/100%）×100%=100%。</w:t>
      </w:r>
    </w:p>
    <w:p w14:paraId="7D7913F2">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教师培训结业率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指标，预期目标值为=100%，实际完成为100%，实际完成率=（100%/100%）×100%=100%。</w:t>
      </w:r>
    </w:p>
    <w:p w14:paraId="5782652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240707FC">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5" w:name="_Toc18307"/>
      <w:bookmarkStart w:id="136" w:name="_Toc28885"/>
      <w:r>
        <w:rPr>
          <w:rFonts w:hint="eastAsia" w:ascii="仿宋_GB2312" w:hAnsi="仿宋_GB2312" w:eastAsia="仿宋_GB2312" w:cs="仿宋_GB2312"/>
          <w:b/>
          <w:bCs/>
          <w:color w:val="auto"/>
          <w:sz w:val="32"/>
          <w:szCs w:val="32"/>
          <w:highlight w:val="none"/>
          <w:lang w:val="en-US" w:eastAsia="zh-CN"/>
        </w:rPr>
        <w:t>3.</w:t>
      </w:r>
      <w:bookmarkEnd w:id="135"/>
      <w:r>
        <w:rPr>
          <w:rFonts w:hint="eastAsia" w:ascii="仿宋_GB2312" w:hAnsi="仿宋_GB2312" w:eastAsia="仿宋_GB2312" w:cs="仿宋_GB2312"/>
          <w:b/>
          <w:bCs/>
          <w:color w:val="auto"/>
          <w:sz w:val="32"/>
          <w:szCs w:val="32"/>
          <w:highlight w:val="none"/>
          <w:lang w:val="en-US" w:eastAsia="zh-CN"/>
        </w:rPr>
        <w:t>时效指标完成情况</w:t>
      </w:r>
      <w:bookmarkEnd w:id="136"/>
    </w:p>
    <w:p w14:paraId="59C0279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公用经费支出及时率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指标，预期目标值为=100%，实际完成为100%。实际完成率=（100%/100%）×100%=100%。</w:t>
      </w:r>
    </w:p>
    <w:p w14:paraId="606EAD3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5458CFD0">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7" w:name="_Toc32765"/>
      <w:bookmarkStart w:id="138" w:name="_Toc20607"/>
      <w:r>
        <w:rPr>
          <w:rFonts w:hint="eastAsia" w:ascii="仿宋_GB2312" w:hAnsi="仿宋_GB2312" w:eastAsia="仿宋_GB2312" w:cs="仿宋_GB2312"/>
          <w:b/>
          <w:bCs/>
          <w:color w:val="auto"/>
          <w:sz w:val="32"/>
          <w:szCs w:val="32"/>
          <w:highlight w:val="none"/>
          <w:lang w:val="en-US" w:eastAsia="zh-CN"/>
        </w:rPr>
        <w:t>4.项目</w:t>
      </w:r>
      <w:bookmarkEnd w:id="137"/>
      <w:r>
        <w:rPr>
          <w:rFonts w:hint="eastAsia" w:ascii="仿宋_GB2312" w:hAnsi="仿宋_GB2312" w:eastAsia="仿宋_GB2312" w:cs="仿宋_GB2312"/>
          <w:b/>
          <w:bCs/>
          <w:color w:val="auto"/>
          <w:sz w:val="32"/>
          <w:szCs w:val="32"/>
          <w:highlight w:val="none"/>
          <w:lang w:val="en-US" w:eastAsia="zh-CN"/>
        </w:rPr>
        <w:t>成本情况</w:t>
      </w:r>
      <w:bookmarkEnd w:id="138"/>
    </w:p>
    <w:p w14:paraId="754284C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经济</w:t>
      </w:r>
      <w:r>
        <w:rPr>
          <w:rFonts w:hint="eastAsia" w:ascii="仿宋_GB2312" w:hAnsi="仿宋_GB2312" w:eastAsia="仿宋_GB2312" w:cs="仿宋_GB2312"/>
          <w:b/>
          <w:bCs/>
          <w:color w:val="auto"/>
          <w:sz w:val="32"/>
          <w:szCs w:val="32"/>
          <w:highlight w:val="none"/>
          <w:lang w:eastAsia="zh-CN"/>
        </w:rPr>
        <w:t>成本指标完成情况</w:t>
      </w:r>
    </w:p>
    <w:p w14:paraId="052C093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公用经费标准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指标，预期目标值为=1100元/人/年，实际完成为1100元/人/年。实际完成率=（1100元/人/年/1100元/人/年）×100%=100%。</w:t>
      </w:r>
    </w:p>
    <w:p w14:paraId="7A25A0E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6DCF697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9" w:name="_Toc19424"/>
      <w:r>
        <w:rPr>
          <w:rFonts w:hint="eastAsia" w:ascii="Times New Roman" w:hAnsi="Times New Roman" w:eastAsia="楷体_GB2312" w:cs="Times New Roman"/>
          <w:color w:val="auto"/>
          <w:kern w:val="28"/>
          <w:sz w:val="32"/>
          <w:highlight w:val="none"/>
          <w:lang w:val="en-US" w:eastAsia="zh-CN"/>
        </w:rPr>
        <w:t>（四）项目效益情况</w:t>
      </w:r>
      <w:bookmarkEnd w:id="139"/>
    </w:p>
    <w:p w14:paraId="1D08867A">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74EAEE38">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26135155">
        <w:tblPrEx>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6608223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7534001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C9BF0A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FA80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E645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173EFBF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5FDF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46A23A6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1653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38A8F7E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1286B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0C1EC3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2E26BCA8">
        <w:tblPrEx>
          <w:shd w:val="clear" w:color="auto" w:fill="auto"/>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7E8C9D0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14:paraId="2AE9ACE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38B616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幼儿园正常运转率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EA1E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6101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1FB0E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1AB9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18F2E6F4">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6EBD54A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5C26019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ECB1A5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改善教学环境，提供良好的学生成长条件</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C1458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改善</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54A4F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0EF16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3DD44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r>
      <w:tr w14:paraId="313B44B8">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A9EBA8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3F48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BA222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师生满意度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18B4D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BC702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5D7A1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58C5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6FDA926C">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FE555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C9A54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FBB8D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9545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r>
    </w:tbl>
    <w:p w14:paraId="373EEF9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40" w:name="_Toc8010"/>
      <w:bookmarkStart w:id="141" w:name="_Toc5170"/>
      <w:bookmarkStart w:id="142" w:name="_Toc27006"/>
      <w:bookmarkStart w:id="143" w:name="_Toc29606"/>
      <w:r>
        <w:rPr>
          <w:rFonts w:hint="eastAsia" w:ascii="仿宋_GB2312" w:hAnsi="仿宋_GB2312" w:eastAsia="仿宋_GB2312" w:cs="仿宋_GB2312"/>
          <w:b/>
          <w:bCs/>
          <w:color w:val="auto"/>
          <w:sz w:val="32"/>
          <w:szCs w:val="32"/>
          <w:highlight w:val="none"/>
          <w:lang w:val="en-US" w:eastAsia="zh-CN"/>
        </w:rPr>
        <w:t>1.</w:t>
      </w:r>
      <w:bookmarkEnd w:id="140"/>
      <w:bookmarkEnd w:id="141"/>
      <w:r>
        <w:rPr>
          <w:rFonts w:hint="eastAsia" w:ascii="仿宋_GB2312" w:hAnsi="仿宋_GB2312" w:eastAsia="仿宋_GB2312" w:cs="仿宋_GB2312"/>
          <w:b/>
          <w:bCs/>
          <w:color w:val="auto"/>
          <w:sz w:val="32"/>
          <w:szCs w:val="32"/>
          <w:highlight w:val="none"/>
          <w:lang w:val="en-US" w:eastAsia="zh-CN"/>
        </w:rPr>
        <w:t>社会效益指标完成情况</w:t>
      </w:r>
    </w:p>
    <w:p w14:paraId="6368B4B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幼儿园正常运转率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w:t>
      </w:r>
      <w:r>
        <w:rPr>
          <w:rFonts w:hint="eastAsia" w:ascii="仿宋_GB2312" w:hAnsi="仿宋_GB2312" w:eastAsia="仿宋_GB2312" w:cs="仿宋_GB2312"/>
          <w:color w:val="auto"/>
          <w:kern w:val="2"/>
          <w:sz w:val="32"/>
          <w:szCs w:val="32"/>
          <w:highlight w:val="none"/>
          <w:u w:color="000000"/>
          <w:shd w:val="clear" w:color="auto" w:fill="auto"/>
          <w:lang w:val="en-US" w:eastAsia="zh-CN"/>
        </w:rPr>
        <w:t>=100%</w:t>
      </w:r>
      <w:r>
        <w:rPr>
          <w:rFonts w:hint="eastAsia" w:ascii="仿宋_GB2312" w:hAnsi="仿宋_GB2312" w:eastAsia="仿宋_GB2312" w:cs="仿宋_GB2312"/>
          <w:color w:val="auto"/>
          <w:sz w:val="32"/>
          <w:szCs w:val="32"/>
          <w:highlight w:val="none"/>
          <w:lang w:val="en-US" w:eastAsia="zh-CN"/>
        </w:rPr>
        <w:t>，实际完成为</w:t>
      </w:r>
      <w:r>
        <w:rPr>
          <w:rFonts w:hint="eastAsia" w:ascii="仿宋_GB2312" w:hAnsi="仿宋_GB2312" w:eastAsia="仿宋_GB2312" w:cs="仿宋_GB2312"/>
          <w:color w:val="auto"/>
          <w:kern w:val="2"/>
          <w:sz w:val="32"/>
          <w:szCs w:val="32"/>
          <w:highlight w:val="none"/>
          <w:u w:color="000000"/>
          <w:shd w:val="clear" w:color="auto" w:fill="auto"/>
          <w:lang w:val="en-US" w:eastAsia="zh-CN"/>
        </w:rPr>
        <w:t>100%</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通过项目的实施，</w:t>
      </w:r>
      <w:r>
        <w:rPr>
          <w:rFonts w:hint="eastAsia" w:ascii="仿宋_GB2312" w:hAnsi="仿宋_GB2312" w:eastAsia="仿宋_GB2312" w:cs="仿宋_GB2312"/>
          <w:color w:val="auto"/>
          <w:kern w:val="2"/>
          <w:sz w:val="32"/>
          <w:szCs w:val="32"/>
          <w:highlight w:val="none"/>
          <w:u w:color="000000"/>
          <w:shd w:val="clear" w:color="auto" w:fill="auto"/>
          <w:lang w:val="en-US" w:eastAsia="zh-CN"/>
        </w:rPr>
        <w:t>幼儿园正常运转率得到了提高。</w:t>
      </w:r>
    </w:p>
    <w:p w14:paraId="5969767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改善教学环境，提供良好的学生成长条件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w:t>
      </w:r>
      <w:r>
        <w:rPr>
          <w:rFonts w:hint="eastAsia" w:ascii="仿宋_GB2312" w:hAnsi="仿宋_GB2312" w:eastAsia="仿宋_GB2312" w:cs="仿宋_GB2312"/>
          <w:color w:val="auto"/>
          <w:kern w:val="2"/>
          <w:sz w:val="32"/>
          <w:szCs w:val="32"/>
          <w:highlight w:val="none"/>
          <w:u w:color="000000"/>
          <w:shd w:val="clear" w:color="auto" w:fill="auto"/>
          <w:lang w:val="en-US" w:eastAsia="zh-CN"/>
        </w:rPr>
        <w:t>改善</w:t>
      </w:r>
      <w:r>
        <w:rPr>
          <w:rFonts w:hint="eastAsia" w:ascii="仿宋_GB2312" w:hAnsi="仿宋_GB2312" w:eastAsia="仿宋_GB2312" w:cs="仿宋_GB2312"/>
          <w:color w:val="auto"/>
          <w:sz w:val="32"/>
          <w:szCs w:val="32"/>
          <w:highlight w:val="none"/>
          <w:lang w:val="en-US" w:eastAsia="zh-CN"/>
        </w:rPr>
        <w:t>，实际完成为</w:t>
      </w:r>
      <w:r>
        <w:rPr>
          <w:rFonts w:hint="eastAsia" w:ascii="仿宋_GB2312" w:hAnsi="仿宋_GB2312" w:eastAsia="仿宋_GB2312" w:cs="仿宋_GB2312"/>
          <w:color w:val="auto"/>
          <w:kern w:val="2"/>
          <w:sz w:val="32"/>
          <w:szCs w:val="32"/>
          <w:highlight w:val="none"/>
          <w:u w:color="000000"/>
          <w:shd w:val="clear" w:color="auto" w:fill="auto"/>
          <w:lang w:val="en-US" w:eastAsia="zh-CN"/>
        </w:rPr>
        <w:t>达到预期指标</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通过项目的实施，改善了</w:t>
      </w:r>
      <w:r>
        <w:rPr>
          <w:rFonts w:hint="eastAsia" w:ascii="仿宋_GB2312" w:hAnsi="仿宋_GB2312" w:eastAsia="仿宋_GB2312" w:cs="仿宋_GB2312"/>
          <w:color w:val="auto"/>
          <w:kern w:val="2"/>
          <w:sz w:val="32"/>
          <w:szCs w:val="32"/>
          <w:highlight w:val="none"/>
          <w:u w:color="000000"/>
          <w:shd w:val="clear" w:color="auto" w:fill="auto"/>
          <w:lang w:val="en-US" w:eastAsia="zh-CN"/>
        </w:rPr>
        <w:t>幼儿园的环境，为幼儿提供了良好的成长条件。</w:t>
      </w:r>
    </w:p>
    <w:p w14:paraId="0C67DB0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44" w:name="_Toc23106"/>
      <w:bookmarkStart w:id="145" w:name="_Toc14320"/>
      <w:r>
        <w:rPr>
          <w:rFonts w:hint="eastAsia" w:ascii="仿宋_GB2312" w:hAnsi="仿宋_GB2312" w:eastAsia="仿宋_GB2312" w:cs="仿宋_GB2312"/>
          <w:b/>
          <w:bCs/>
          <w:color w:val="auto"/>
          <w:sz w:val="32"/>
          <w:szCs w:val="32"/>
          <w:highlight w:val="none"/>
          <w:lang w:val="en-US" w:eastAsia="zh-CN"/>
        </w:rPr>
        <w:t>综上，该项指标满分12分，得分12分。</w:t>
      </w:r>
    </w:p>
    <w:bookmarkEnd w:id="142"/>
    <w:bookmarkEnd w:id="143"/>
    <w:bookmarkEnd w:id="144"/>
    <w:bookmarkEnd w:id="145"/>
    <w:p w14:paraId="4E50AF0B">
      <w:pPr>
        <w:pStyle w:val="14"/>
        <w:keepNext w:val="0"/>
        <w:keepLines w:val="0"/>
        <w:pageBreakBefore w:val="0"/>
        <w:widowControl/>
        <w:shd w:val="clear"/>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6"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46"/>
    </w:p>
    <w:p w14:paraId="29D3B6E4">
      <w:pPr>
        <w:pageBreakBefore w:val="0"/>
        <w:shd w:val="clea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师生</w:t>
      </w:r>
      <w:r>
        <w:rPr>
          <w:rFonts w:hint="eastAsia" w:ascii="仿宋_GB2312" w:hAnsi="仿宋_GB2312" w:eastAsia="仿宋_GB2312" w:cs="仿宋_GB2312"/>
          <w:color w:val="auto"/>
          <w:sz w:val="32"/>
          <w:szCs w:val="32"/>
          <w:highlight w:val="none"/>
          <w:lang w:eastAsia="zh-CN"/>
        </w:rPr>
        <w:t>满意度”</w:t>
      </w:r>
      <w:r>
        <w:rPr>
          <w:rFonts w:hint="eastAsia" w:ascii="仿宋_GB2312" w:hAnsi="仿宋_GB2312" w:eastAsia="仿宋_GB2312" w:cs="仿宋_GB2312"/>
          <w:color w:val="auto"/>
          <w:sz w:val="32"/>
          <w:szCs w:val="32"/>
          <w:highlight w:val="none"/>
          <w:lang w:val="en-US" w:eastAsia="zh-CN"/>
        </w:rPr>
        <w:t>指标，预期目标值为≥90%，实际完成为90%。</w:t>
      </w:r>
    </w:p>
    <w:p w14:paraId="5F3326B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综上，该项指标满分8分，得分8分。</w:t>
      </w:r>
    </w:p>
    <w:p w14:paraId="54E40EC4">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47" w:name="_Toc6622"/>
      <w:r>
        <w:rPr>
          <w:rFonts w:hint="eastAsia" w:ascii="黑体" w:hAnsi="黑体" w:cs="黑体"/>
          <w:b w:val="0"/>
          <w:bCs w:val="0"/>
          <w:color w:val="auto"/>
          <w:highlight w:val="none"/>
          <w:shd w:val="clear" w:color="auto" w:fill="auto"/>
          <w:lang w:val="en-US" w:eastAsia="zh-CN"/>
        </w:rPr>
        <w:t>五</w:t>
      </w:r>
      <w:r>
        <w:rPr>
          <w:rFonts w:hint="eastAsia" w:ascii="黑体" w:hAnsi="黑体" w:eastAsia="黑体" w:cs="黑体"/>
          <w:b w:val="0"/>
          <w:bCs w:val="0"/>
          <w:color w:val="auto"/>
          <w:highlight w:val="none"/>
          <w:shd w:val="clear" w:color="auto" w:fill="auto"/>
          <w:lang w:val="en-US" w:eastAsia="zh-CN"/>
        </w:rPr>
        <w:t>、主要经验及做法、存在的问题及原因分析</w:t>
      </w:r>
      <w:bookmarkEnd w:id="147"/>
    </w:p>
    <w:p w14:paraId="0E8C755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8" w:name="_Toc15449"/>
      <w:bookmarkStart w:id="149" w:name="_Toc1921"/>
      <w:bookmarkStart w:id="150" w:name="_Toc28290"/>
      <w:r>
        <w:rPr>
          <w:rFonts w:hint="eastAsia" w:ascii="Times New Roman" w:hAnsi="Times New Roman" w:eastAsia="楷体_GB2312" w:cs="Times New Roman"/>
          <w:b/>
          <w:bCs/>
          <w:color w:val="auto"/>
          <w:kern w:val="28"/>
          <w:sz w:val="32"/>
          <w:highlight w:val="none"/>
          <w:lang w:val="en-US" w:eastAsia="zh-CN"/>
        </w:rPr>
        <w:t>（一）主要经验及做法</w:t>
      </w:r>
      <w:bookmarkEnd w:id="148"/>
    </w:p>
    <w:p w14:paraId="1C5D075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2024年学前教育生均经费（保基本民生）项目</w:t>
      </w: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lang w:eastAsia="zh-CN"/>
        </w:rPr>
        <w:t>年预算</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lang w:val="en-US" w:eastAsia="zh-CN"/>
        </w:rPr>
        <w:t>104.3</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截至2024年12月31日共</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104.3</w:t>
      </w:r>
      <w:r>
        <w:rPr>
          <w:rFonts w:hint="eastAsia" w:ascii="仿宋_GB2312" w:hAnsi="仿宋_GB2312" w:eastAsia="仿宋_GB2312" w:cs="仿宋_GB2312"/>
          <w:color w:val="auto"/>
          <w:sz w:val="32"/>
          <w:szCs w:val="32"/>
          <w:highlight w:val="none"/>
          <w:lang w:eastAsia="zh-CN"/>
        </w:rPr>
        <w:t>万元，预算</w:t>
      </w:r>
      <w:r>
        <w:rPr>
          <w:rFonts w:hint="eastAsia" w:ascii="仿宋_GB2312" w:hAnsi="仿宋_GB2312" w:eastAsia="仿宋_GB2312" w:cs="仿宋_GB2312"/>
          <w:color w:val="auto"/>
          <w:sz w:val="32"/>
          <w:szCs w:val="32"/>
          <w:highlight w:val="none"/>
          <w:lang w:val="en-US" w:eastAsia="zh-CN"/>
        </w:rPr>
        <w:t>执行</w:t>
      </w:r>
      <w:r>
        <w:rPr>
          <w:rFonts w:hint="eastAsia" w:ascii="仿宋_GB2312" w:hAnsi="仿宋_GB2312" w:eastAsia="仿宋_GB2312" w:cs="仿宋_GB2312"/>
          <w:color w:val="auto"/>
          <w:sz w:val="32"/>
          <w:szCs w:val="32"/>
          <w:highlight w:val="none"/>
          <w:lang w:eastAsia="zh-CN"/>
        </w:rPr>
        <w:t>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w:t>
      </w:r>
    </w:p>
    <w:p w14:paraId="6F415A2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阜康市第四幼儿园</w:t>
      </w:r>
      <w:r>
        <w:rPr>
          <w:rFonts w:hint="eastAsia" w:ascii="仿宋_GB2312" w:hAnsi="仿宋_GB2312" w:eastAsia="仿宋_GB2312" w:cs="仿宋_GB2312"/>
          <w:color w:val="auto"/>
          <w:sz w:val="32"/>
          <w:szCs w:val="32"/>
          <w:highlight w:val="none"/>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highlight w:val="none"/>
          <w:lang w:val="en-US" w:eastAsia="zh-CN"/>
        </w:rPr>
        <w:t>阜康市第四幼儿园</w:t>
      </w:r>
      <w:r>
        <w:rPr>
          <w:rFonts w:hint="eastAsia" w:ascii="仿宋_GB2312" w:hAnsi="仿宋_GB2312" w:eastAsia="仿宋_GB2312" w:cs="仿宋_GB2312"/>
          <w:color w:val="auto"/>
          <w:sz w:val="32"/>
          <w:szCs w:val="32"/>
          <w:highlight w:val="none"/>
          <w:lang w:eastAsia="zh-CN"/>
        </w:rPr>
        <w:t>事业发展中关系民生与稳定的项目，切实优化资源配置，提高了资金使用的效率和效果。</w:t>
      </w:r>
    </w:p>
    <w:bookmarkEnd w:id="149"/>
    <w:bookmarkEnd w:id="150"/>
    <w:p w14:paraId="4B1B8D5A">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51" w:name="_Toc29168"/>
      <w:r>
        <w:rPr>
          <w:rFonts w:hint="eastAsia" w:ascii="Times New Roman" w:hAnsi="Times New Roman" w:eastAsia="楷体_GB2312" w:cs="Times New Roman"/>
          <w:b/>
          <w:bCs/>
          <w:color w:val="auto"/>
          <w:kern w:val="28"/>
          <w:sz w:val="32"/>
          <w:highlight w:val="none"/>
          <w:lang w:val="en-US" w:eastAsia="zh-CN"/>
        </w:rPr>
        <w:t>（二）存在的问题及原因分析</w:t>
      </w:r>
      <w:bookmarkEnd w:id="151"/>
    </w:p>
    <w:p w14:paraId="17929B0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在项目实施期间</w:t>
      </w:r>
      <w:r>
        <w:rPr>
          <w:rFonts w:hint="eastAsia" w:ascii="仿宋_GB2312" w:hAnsi="仿宋_GB2312" w:eastAsia="仿宋_GB2312" w:cs="仿宋_GB2312"/>
          <w:color w:val="auto"/>
          <w:sz w:val="32"/>
          <w:szCs w:val="32"/>
          <w:highlight w:val="none"/>
          <w:lang w:eastAsia="zh-CN"/>
        </w:rPr>
        <w:t>部分业务人员未能全面深入认识理解</w:t>
      </w: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eastAsia="仿宋_GB2312" w:cs="仿宋_GB2312"/>
          <w:color w:val="auto"/>
          <w:sz w:val="32"/>
          <w:szCs w:val="32"/>
          <w:highlight w:val="none"/>
          <w:lang w:eastAsia="zh-CN"/>
        </w:rPr>
        <w:t>管理工作的意义。</w:t>
      </w: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eastAsia="仿宋_GB2312" w:cs="仿宋_GB2312"/>
          <w:color w:val="auto"/>
          <w:sz w:val="32"/>
          <w:szCs w:val="32"/>
          <w:highlight w:val="none"/>
          <w:lang w:eastAsia="zh-CN"/>
        </w:rPr>
        <w:t>管理经验不足，</w:t>
      </w: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eastAsia="仿宋_GB2312" w:cs="仿宋_GB2312"/>
          <w:color w:val="auto"/>
          <w:sz w:val="32"/>
          <w:szCs w:val="32"/>
          <w:highlight w:val="none"/>
          <w:lang w:eastAsia="zh-CN"/>
        </w:rPr>
        <w:t>管理工作有待进一步落实。</w:t>
      </w:r>
    </w:p>
    <w:p w14:paraId="3B90C350">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2.因年初预算数据不够清晰明确到明细科目，使得整个年度财务核算及审核流程不准确清晰。</w:t>
      </w:r>
    </w:p>
    <w:p w14:paraId="3A97F087">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52" w:name="_Toc3333"/>
      <w:r>
        <w:rPr>
          <w:rFonts w:hint="eastAsia" w:ascii="黑体" w:hAnsi="黑体" w:cs="黑体"/>
          <w:b w:val="0"/>
          <w:bCs w:val="0"/>
          <w:color w:val="auto"/>
          <w:highlight w:val="none"/>
          <w:shd w:val="clear" w:color="auto" w:fill="auto"/>
          <w:lang w:val="en-US" w:eastAsia="zh-CN"/>
        </w:rPr>
        <w:t>六</w:t>
      </w:r>
      <w:r>
        <w:rPr>
          <w:rFonts w:hint="eastAsia" w:ascii="黑体" w:hAnsi="黑体" w:eastAsia="黑体" w:cs="黑体"/>
          <w:b w:val="0"/>
          <w:bCs w:val="0"/>
          <w:color w:val="auto"/>
          <w:highlight w:val="none"/>
          <w:shd w:val="clear" w:color="auto" w:fill="auto"/>
          <w:lang w:val="en-US" w:eastAsia="zh-CN"/>
        </w:rPr>
        <w:t>、有关建议</w:t>
      </w:r>
      <w:bookmarkEnd w:id="152"/>
    </w:p>
    <w:p w14:paraId="200139A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bookmarkStart w:id="153" w:name="_Toc20454"/>
      <w:bookmarkStart w:id="154" w:name="_Toc3948"/>
      <w:r>
        <w:rPr>
          <w:rFonts w:hint="eastAsia" w:ascii="仿宋_GB2312" w:hAnsi="仿宋_GB2312" w:eastAsia="仿宋_GB2312" w:cs="仿宋_GB2312"/>
          <w:color w:val="auto"/>
          <w:sz w:val="32"/>
          <w:szCs w:val="32"/>
          <w:highlight w:val="none"/>
          <w:lang w:val="en-US" w:eastAsia="zh-CN"/>
        </w:rPr>
        <w:t>（一）加强项目管理，健全单位项目管理制度体系。 加大项目管理人员的业务培训，确保项目能够顺利实施。</w:t>
      </w:r>
    </w:p>
    <w:p w14:paraId="78CBC36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（二）加强财务人员业务培训，在年初预算时及时与各科室联系，将年初预算数据填写清晰，确保财务支付审核程序顺利进行。</w:t>
      </w:r>
    </w:p>
    <w:bookmarkEnd w:id="153"/>
    <w:bookmarkEnd w:id="154"/>
    <w:p w14:paraId="443B0D79">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55" w:name="_Toc14256"/>
      <w:r>
        <w:rPr>
          <w:rFonts w:hint="eastAsia" w:ascii="黑体" w:hAnsi="黑体" w:cs="黑体"/>
          <w:b w:val="0"/>
          <w:bCs w:val="0"/>
          <w:color w:val="auto"/>
          <w:highlight w:val="none"/>
          <w:shd w:val="clear" w:color="auto" w:fill="auto"/>
          <w:lang w:val="en-US" w:eastAsia="zh-CN"/>
        </w:rPr>
        <w:t>七</w:t>
      </w:r>
      <w:r>
        <w:rPr>
          <w:rFonts w:hint="eastAsia" w:ascii="黑体" w:hAnsi="黑体" w:eastAsia="黑体" w:cs="黑体"/>
          <w:b w:val="0"/>
          <w:bCs w:val="0"/>
          <w:color w:val="auto"/>
          <w:highlight w:val="none"/>
          <w:shd w:val="clear" w:color="auto" w:fill="auto"/>
          <w:lang w:val="en-US" w:eastAsia="zh-CN"/>
        </w:rPr>
        <w:t>、其他需要说明的问题</w:t>
      </w:r>
      <w:bookmarkEnd w:id="155"/>
    </w:p>
    <w:p w14:paraId="13C3A8E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无其他需要说明的问题。</w:t>
      </w:r>
    </w:p>
    <w:p w14:paraId="5FF23424">
      <w:pPr>
        <w:pageBreakBefore w:val="0"/>
        <w:kinsoku/>
        <w:wordWrap/>
        <w:overflowPunct/>
        <w:topLinePunct w:val="0"/>
        <w:autoSpaceDE/>
        <w:autoSpaceDN/>
        <w:bidi w:val="0"/>
        <w:adjustRightInd/>
        <w:spacing w:line="560" w:lineRule="exact"/>
        <w:textAlignment w:val="auto"/>
        <w:rPr>
          <w:rFonts w:hint="eastAsia" w:cs="宋体"/>
          <w:color w:val="000000" w:themeColor="text1"/>
          <w:highlight w:val="none"/>
          <w:shd w:val="clear" w:color="auto" w:fill="auto"/>
          <w:lang w:val="en-US" w:eastAsia="zh-CN"/>
          <w14:textFill>
            <w14:solidFill>
              <w14:schemeClr w14:val="tx1"/>
            </w14:solidFill>
          </w14:textFill>
        </w:rPr>
        <w:sectPr>
          <w:footerReference r:id="rId5" w:type="default"/>
          <w:pgSz w:w="11906" w:h="16838"/>
          <w:pgMar w:top="1440" w:right="1800" w:bottom="1440" w:left="1800" w:header="737" w:footer="851" w:gutter="0"/>
          <w:pgNumType w:fmt="decimal"/>
          <w:cols w:space="720" w:num="1"/>
          <w:docGrid w:type="lines" w:linePitch="408" w:charSpace="0"/>
        </w:sectPr>
      </w:pPr>
    </w:p>
    <w:p w14:paraId="7CF4F8DC">
      <w:pPr>
        <w:pStyle w:val="2"/>
        <w:pageBreakBefore w:val="0"/>
        <w:numPr>
          <w:ilvl w:val="0"/>
          <w:numId w:val="0"/>
        </w:numPr>
        <w:kinsoku/>
        <w:wordWrap/>
        <w:overflowPunct/>
        <w:topLinePunct w:val="0"/>
        <w:autoSpaceDE/>
        <w:autoSpaceDN/>
        <w:bidi w:val="0"/>
        <w:adjustRightInd/>
        <w:spacing w:beforeLines="0" w:afterLines="0" w:line="560" w:lineRule="exact"/>
        <w:textAlignment w:val="auto"/>
      </w:pPr>
      <w:bookmarkStart w:id="156" w:name="_Toc28971"/>
      <w:bookmarkStart w:id="157" w:name="_Toc11349"/>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附件一、项目支出绩效自评表</w:t>
      </w:r>
      <w:bookmarkEnd w:id="156"/>
      <w:bookmarkEnd w:id="157"/>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9"/>
        <w:gridCol w:w="890"/>
        <w:gridCol w:w="890"/>
        <w:gridCol w:w="890"/>
        <w:gridCol w:w="1217"/>
        <w:gridCol w:w="1135"/>
        <w:gridCol w:w="1135"/>
        <w:gridCol w:w="1053"/>
        <w:gridCol w:w="1217"/>
        <w:gridCol w:w="890"/>
        <w:gridCol w:w="1053"/>
        <w:gridCol w:w="890"/>
        <w:gridCol w:w="890"/>
        <w:gridCol w:w="1135"/>
      </w:tblGrid>
      <w:tr w14:paraId="79FCDE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65703B71">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5F144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7E5198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3E897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7"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72EFDB8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2"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52DD7D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2024年学前教育生均经费（保基本民生）</w:t>
            </w:r>
          </w:p>
        </w:tc>
      </w:tr>
      <w:tr w14:paraId="0DF52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7019D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5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04D54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阜康市教育局</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5B1D0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19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74459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阜康市第四幼儿园</w:t>
            </w:r>
          </w:p>
        </w:tc>
      </w:tr>
      <w:tr w14:paraId="56C4B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7"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47547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68C1E2">
            <w:pPr>
              <w:jc w:val="center"/>
              <w:rPr>
                <w:rFonts w:hint="eastAsia" w:ascii="宋体" w:hAnsi="宋体" w:eastAsia="宋体" w:cs="宋体"/>
                <w:b/>
                <w:bCs/>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354D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4E1D8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29BB5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E2214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3A9F2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527C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3DD08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F41DA9">
            <w:pPr>
              <w:jc w:val="center"/>
              <w:rPr>
                <w:rFonts w:hint="eastAsia" w:ascii="宋体" w:hAnsi="宋体" w:eastAsia="宋体" w:cs="宋体"/>
                <w:b/>
                <w:bCs/>
                <w:i w:val="0"/>
                <w:iCs w:val="0"/>
                <w:color w:val="000000"/>
                <w:sz w:val="18"/>
                <w:szCs w:val="18"/>
                <w:u w:val="none"/>
              </w:rPr>
            </w:pPr>
          </w:p>
        </w:tc>
        <w:tc>
          <w:tcPr>
            <w:tcW w:w="7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EE68B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F56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155.96</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5BAC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104.30</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E5D1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104.30</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1F75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A474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EF7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2E85B9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0AB069">
            <w:pPr>
              <w:jc w:val="center"/>
              <w:rPr>
                <w:rFonts w:hint="eastAsia" w:ascii="宋体" w:hAnsi="宋体" w:eastAsia="宋体" w:cs="宋体"/>
                <w:b/>
                <w:bCs/>
                <w:i w:val="0"/>
                <w:iCs w:val="0"/>
                <w:color w:val="000000"/>
                <w:sz w:val="18"/>
                <w:szCs w:val="18"/>
                <w:u w:val="none"/>
              </w:rPr>
            </w:pPr>
          </w:p>
        </w:tc>
        <w:tc>
          <w:tcPr>
            <w:tcW w:w="7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200E6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9C8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155.96</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26FE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104.30</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9445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104.30</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D33A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63DE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663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251B6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728AE2">
            <w:pPr>
              <w:jc w:val="center"/>
              <w:rPr>
                <w:rFonts w:hint="eastAsia" w:ascii="宋体" w:hAnsi="宋体" w:eastAsia="宋体" w:cs="宋体"/>
                <w:b/>
                <w:bCs/>
                <w:i w:val="0"/>
                <w:iCs w:val="0"/>
                <w:color w:val="000000"/>
                <w:sz w:val="18"/>
                <w:szCs w:val="18"/>
                <w:u w:val="none"/>
              </w:rPr>
            </w:pPr>
          </w:p>
        </w:tc>
        <w:tc>
          <w:tcPr>
            <w:tcW w:w="7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54255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F66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9586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01C0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0173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4713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C72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70BED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F0CD4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5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C84079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4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757EC4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36527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69F981">
            <w:pPr>
              <w:jc w:val="center"/>
              <w:rPr>
                <w:rFonts w:hint="eastAsia" w:ascii="宋体" w:hAnsi="宋体" w:eastAsia="宋体" w:cs="宋体"/>
                <w:b/>
                <w:bCs/>
                <w:i w:val="0"/>
                <w:iCs w:val="0"/>
                <w:color w:val="000000"/>
                <w:sz w:val="18"/>
                <w:szCs w:val="18"/>
                <w:u w:val="none"/>
              </w:rPr>
            </w:pPr>
          </w:p>
        </w:tc>
        <w:tc>
          <w:tcPr>
            <w:tcW w:w="195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DCF9A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阜康市第四幼儿园计划保障幼儿园正常运转，教学活动及其他日常业务的正常运转。计划完成每学年以1100元每生每学年的标准使用公用经费，总计在园幼儿人数557人。通过开展各类教育教学活动，促进幼儿园各项活动有序开展，实现幼儿园年初制定的各项工作目标，进一步提高幼儿园教育教学水平。</w:t>
            </w:r>
          </w:p>
        </w:tc>
        <w:tc>
          <w:tcPr>
            <w:tcW w:w="284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0E005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学前教育生均经费项目资金155.96万元，预算数104.30万元，实际支付104.30万元，预算执行率100%。项目的实施提升了幼儿园日常教学工作有序开展，促进了教学环境的改善，提供良好的学生成长条件，幼儿园正常运转率达到100%。</w:t>
            </w:r>
          </w:p>
        </w:tc>
      </w:tr>
      <w:tr w14:paraId="6AF77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CB075A">
            <w:pPr>
              <w:jc w:val="center"/>
              <w:rPr>
                <w:rFonts w:hint="eastAsia" w:ascii="宋体" w:hAnsi="宋体" w:eastAsia="宋体" w:cs="宋体"/>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DBC7D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E3DB6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D6E4D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EF2CB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9F215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10B48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73517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E6211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1DAA5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C4244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0509F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9A99A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89B6C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0DCDB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C94ADC">
            <w:pPr>
              <w:jc w:val="center"/>
              <w:rPr>
                <w:rFonts w:hint="eastAsia" w:ascii="宋体" w:hAnsi="宋体" w:eastAsia="宋体" w:cs="宋体"/>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28CBFC">
            <w:pPr>
              <w:jc w:val="center"/>
              <w:rPr>
                <w:rFonts w:hint="eastAsia" w:ascii="宋体" w:hAnsi="宋体" w:eastAsia="宋体" w:cs="宋体"/>
                <w:b/>
                <w:bCs/>
                <w:i w:val="0"/>
                <w:iCs w:val="0"/>
                <w:color w:val="000000"/>
                <w:sz w:val="18"/>
                <w:szCs w:val="18"/>
                <w:u w:val="none"/>
              </w:rPr>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E3710D">
            <w:pPr>
              <w:jc w:val="center"/>
              <w:rPr>
                <w:rFonts w:hint="eastAsia" w:ascii="宋体" w:hAnsi="宋体" w:eastAsia="宋体" w:cs="宋体"/>
                <w:b/>
                <w:bCs/>
                <w:i w:val="0"/>
                <w:iCs w:val="0"/>
                <w:color w:val="000000"/>
                <w:sz w:val="18"/>
                <w:szCs w:val="18"/>
                <w:u w:val="none"/>
              </w:rPr>
            </w:pPr>
          </w:p>
        </w:tc>
        <w:tc>
          <w:tcPr>
            <w:tcW w:w="4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2412B8">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397AF7">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DCB05D">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AD9C94">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3B8842">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FC0645">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00DD17">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747C6F">
            <w:pPr>
              <w:jc w:val="center"/>
              <w:rPr>
                <w:rFonts w:hint="eastAsia" w:ascii="宋体" w:hAnsi="宋体" w:eastAsia="宋体" w:cs="宋体"/>
                <w:b/>
                <w:bCs/>
                <w:i w:val="0"/>
                <w:iCs w:val="0"/>
                <w:color w:val="000000"/>
                <w:sz w:val="18"/>
                <w:szCs w:val="18"/>
                <w:u w:val="none"/>
              </w:rPr>
            </w:pPr>
          </w:p>
        </w:tc>
        <w:tc>
          <w:tcPr>
            <w:tcW w:w="3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B26F14">
            <w:pPr>
              <w:jc w:val="center"/>
              <w:rPr>
                <w:rFonts w:hint="eastAsia" w:ascii="宋体" w:hAnsi="宋体" w:eastAsia="宋体" w:cs="宋体"/>
                <w:b/>
                <w:bCs/>
                <w:i w:val="0"/>
                <w:iCs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57DDEA">
            <w:pPr>
              <w:jc w:val="center"/>
              <w:rPr>
                <w:rFonts w:hint="eastAsia" w:ascii="宋体" w:hAnsi="宋体" w:eastAsia="宋体" w:cs="宋体"/>
                <w:b/>
                <w:bCs/>
                <w:i w:val="0"/>
                <w:iCs w:val="0"/>
                <w:color w:val="000000"/>
                <w:sz w:val="18"/>
                <w:szCs w:val="18"/>
                <w:u w:val="none"/>
              </w:rPr>
            </w:pPr>
          </w:p>
        </w:tc>
        <w:tc>
          <w:tcPr>
            <w:tcW w:w="8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203A05">
            <w:pPr>
              <w:jc w:val="center"/>
              <w:rPr>
                <w:rFonts w:hint="eastAsia" w:ascii="宋体" w:hAnsi="宋体" w:eastAsia="宋体" w:cs="宋体"/>
                <w:b/>
                <w:bCs/>
                <w:i w:val="0"/>
                <w:iCs w:val="0"/>
                <w:color w:val="000000"/>
                <w:sz w:val="18"/>
                <w:szCs w:val="18"/>
                <w:u w:val="none"/>
              </w:rPr>
            </w:pPr>
          </w:p>
        </w:tc>
      </w:tr>
      <w:tr w14:paraId="113B8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11DBD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C665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384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FB2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在校学生人数</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3BB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90A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=557人</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7B3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=557人</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6302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DB0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8CD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4A8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537人</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E1B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A56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FA2D5">
            <w:pPr>
              <w:jc w:val="center"/>
              <w:rPr>
                <w:rFonts w:hint="eastAsia" w:ascii="宋体" w:hAnsi="宋体" w:eastAsia="宋体" w:cs="宋体"/>
                <w:i w:val="0"/>
                <w:iCs w:val="0"/>
                <w:color w:val="000000"/>
                <w:sz w:val="18"/>
                <w:szCs w:val="18"/>
                <w:u w:val="none"/>
              </w:rPr>
            </w:pPr>
          </w:p>
        </w:tc>
      </w:tr>
      <w:tr w14:paraId="315F0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96F76C">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B41941">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C87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AC4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公用经费享受比例</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724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D08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09F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42A68">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5CB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FD7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2F3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441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F36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C2B34">
            <w:pPr>
              <w:jc w:val="center"/>
              <w:rPr>
                <w:rFonts w:hint="eastAsia" w:ascii="宋体" w:hAnsi="宋体" w:eastAsia="宋体" w:cs="宋体"/>
                <w:i w:val="0"/>
                <w:iCs w:val="0"/>
                <w:color w:val="000000"/>
                <w:sz w:val="18"/>
                <w:szCs w:val="18"/>
                <w:u w:val="none"/>
              </w:rPr>
            </w:pPr>
          </w:p>
        </w:tc>
      </w:tr>
      <w:tr w14:paraId="700E9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3FAC6C">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210134">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EF7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502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教师培训结业率</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866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2E3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245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DE81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449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F21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A3B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6DB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626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333AF">
            <w:pPr>
              <w:jc w:val="center"/>
              <w:rPr>
                <w:rFonts w:hint="eastAsia" w:ascii="宋体" w:hAnsi="宋体" w:eastAsia="宋体" w:cs="宋体"/>
                <w:i w:val="0"/>
                <w:iCs w:val="0"/>
                <w:color w:val="000000"/>
                <w:sz w:val="18"/>
                <w:szCs w:val="18"/>
                <w:u w:val="none"/>
              </w:rPr>
            </w:pPr>
          </w:p>
        </w:tc>
      </w:tr>
      <w:tr w14:paraId="3B5010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2946CA">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574DC7">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4C9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505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公用经费使发放及时率</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B08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7A3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92E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892BE">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5FA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A83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DDD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E08CD">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C7860">
            <w:pPr>
              <w:jc w:val="center"/>
              <w:rPr>
                <w:rFonts w:hint="eastAsia" w:ascii="宋体" w:hAnsi="宋体" w:eastAsia="宋体" w:cs="宋体"/>
                <w:i w:val="0"/>
                <w:iCs w:val="0"/>
                <w:color w:val="000000"/>
                <w:sz w:val="18"/>
                <w:szCs w:val="18"/>
                <w:u w:val="none"/>
              </w:rPr>
            </w:pP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3D018">
            <w:pPr>
              <w:jc w:val="center"/>
              <w:rPr>
                <w:rFonts w:hint="eastAsia" w:ascii="宋体" w:hAnsi="宋体" w:eastAsia="宋体" w:cs="宋体"/>
                <w:i w:val="0"/>
                <w:iCs w:val="0"/>
                <w:color w:val="000000"/>
                <w:sz w:val="18"/>
                <w:szCs w:val="18"/>
                <w:u w:val="none"/>
              </w:rPr>
            </w:pPr>
          </w:p>
        </w:tc>
      </w:tr>
      <w:tr w14:paraId="57107D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2CF575">
            <w:pPr>
              <w:jc w:val="center"/>
              <w:rPr>
                <w:rFonts w:hint="eastAsia" w:ascii="宋体" w:hAnsi="宋体" w:eastAsia="宋体" w:cs="宋体"/>
                <w:b/>
                <w:bCs/>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BA3F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EEC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B50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AF1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21D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=1100元/人/年</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CE7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=1100元/人/年</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A82D6">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35D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55A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ABA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1100元/人/年</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843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269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5AFA1">
            <w:pPr>
              <w:jc w:val="center"/>
              <w:rPr>
                <w:rFonts w:hint="eastAsia" w:ascii="宋体" w:hAnsi="宋体" w:eastAsia="宋体" w:cs="宋体"/>
                <w:i w:val="0"/>
                <w:iCs w:val="0"/>
                <w:color w:val="000000"/>
                <w:sz w:val="18"/>
                <w:szCs w:val="18"/>
                <w:u w:val="none"/>
              </w:rPr>
            </w:pPr>
          </w:p>
        </w:tc>
      </w:tr>
      <w:tr w14:paraId="4C3D2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A19A6D">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5C9A4B">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9CF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E5A20">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0EA34">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841CB">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9A7E6">
            <w:pPr>
              <w:jc w:val="cente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D14A8">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32546">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9B29B">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7AA97">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1ACF6">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EEBFA">
            <w:pPr>
              <w:jc w:val="center"/>
              <w:rPr>
                <w:rFonts w:hint="eastAsia" w:ascii="宋体" w:hAnsi="宋体" w:eastAsia="宋体" w:cs="宋体"/>
                <w:i w:val="0"/>
                <w:iCs w:val="0"/>
                <w:color w:val="000000"/>
                <w:sz w:val="18"/>
                <w:szCs w:val="18"/>
                <w:u w:val="none"/>
              </w:rPr>
            </w:pP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F34F0">
            <w:pPr>
              <w:jc w:val="center"/>
              <w:rPr>
                <w:rFonts w:hint="eastAsia" w:ascii="宋体" w:hAnsi="宋体" w:eastAsia="宋体" w:cs="宋体"/>
                <w:i w:val="0"/>
                <w:iCs w:val="0"/>
                <w:color w:val="000000"/>
                <w:sz w:val="18"/>
                <w:szCs w:val="18"/>
                <w:u w:val="none"/>
              </w:rPr>
            </w:pPr>
          </w:p>
        </w:tc>
      </w:tr>
      <w:tr w14:paraId="5402D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4B17B3">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BDFDDF">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0B4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62E5F">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F2DFB">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97AB5">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878AB">
            <w:pPr>
              <w:jc w:val="cente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CE40C">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C81AD">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38DEA">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102CD">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A7913">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C92EF">
            <w:pPr>
              <w:jc w:val="center"/>
              <w:rPr>
                <w:rFonts w:hint="eastAsia" w:ascii="宋体" w:hAnsi="宋体" w:eastAsia="宋体" w:cs="宋体"/>
                <w:i w:val="0"/>
                <w:iCs w:val="0"/>
                <w:color w:val="000000"/>
                <w:sz w:val="18"/>
                <w:szCs w:val="18"/>
                <w:u w:val="none"/>
              </w:rPr>
            </w:pP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4452F">
            <w:pPr>
              <w:jc w:val="center"/>
              <w:rPr>
                <w:rFonts w:hint="eastAsia" w:ascii="宋体" w:hAnsi="宋体" w:eastAsia="宋体" w:cs="宋体"/>
                <w:i w:val="0"/>
                <w:iCs w:val="0"/>
                <w:color w:val="000000"/>
                <w:sz w:val="18"/>
                <w:szCs w:val="18"/>
                <w:u w:val="none"/>
              </w:rPr>
            </w:pPr>
          </w:p>
        </w:tc>
      </w:tr>
      <w:tr w14:paraId="6BD19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E66097">
            <w:pPr>
              <w:jc w:val="center"/>
              <w:rPr>
                <w:rFonts w:hint="eastAsia" w:ascii="宋体" w:hAnsi="宋体" w:eastAsia="宋体" w:cs="宋体"/>
                <w:b/>
                <w:bCs/>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9CC3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347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77D06">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E064A">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BB5BF">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30457">
            <w:pPr>
              <w:jc w:val="cente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B5568">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1FF19">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77D01">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A3785">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BC766">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6506B">
            <w:pPr>
              <w:jc w:val="center"/>
              <w:rPr>
                <w:rFonts w:hint="eastAsia" w:ascii="宋体" w:hAnsi="宋体" w:eastAsia="宋体" w:cs="宋体"/>
                <w:i w:val="0"/>
                <w:iCs w:val="0"/>
                <w:color w:val="000000"/>
                <w:sz w:val="18"/>
                <w:szCs w:val="18"/>
                <w:u w:val="none"/>
              </w:rPr>
            </w:pP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685563">
            <w:pPr>
              <w:jc w:val="center"/>
              <w:rPr>
                <w:rFonts w:hint="eastAsia" w:ascii="宋体" w:hAnsi="宋体" w:eastAsia="宋体" w:cs="宋体"/>
                <w:i w:val="0"/>
                <w:iCs w:val="0"/>
                <w:color w:val="000000"/>
                <w:sz w:val="18"/>
                <w:szCs w:val="18"/>
                <w:u w:val="none"/>
              </w:rPr>
            </w:pPr>
          </w:p>
        </w:tc>
      </w:tr>
      <w:tr w14:paraId="520708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2DCC12">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944A2A">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B21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961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幼儿园正常运转率</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F59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738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8DD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9B57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0BA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87E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0BED5">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051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EB4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说明材料,工作资料</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98A6F">
            <w:pPr>
              <w:jc w:val="center"/>
              <w:rPr>
                <w:rFonts w:hint="eastAsia" w:ascii="宋体" w:hAnsi="宋体" w:eastAsia="宋体" w:cs="宋体"/>
                <w:i w:val="0"/>
                <w:iCs w:val="0"/>
                <w:color w:val="000000"/>
                <w:sz w:val="18"/>
                <w:szCs w:val="18"/>
                <w:u w:val="none"/>
              </w:rPr>
            </w:pPr>
          </w:p>
        </w:tc>
      </w:tr>
      <w:tr w14:paraId="0A2CC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B42D86">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052476">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D46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F5F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改善教学环境，提供良好的学生成长条件</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1C9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34C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296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3071B">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E39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64B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97A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有效改善</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A5F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C30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54373">
            <w:pPr>
              <w:jc w:val="center"/>
              <w:rPr>
                <w:rFonts w:hint="eastAsia" w:ascii="宋体" w:hAnsi="宋体" w:eastAsia="宋体" w:cs="宋体"/>
                <w:i w:val="0"/>
                <w:iCs w:val="0"/>
                <w:color w:val="000000"/>
                <w:sz w:val="18"/>
                <w:szCs w:val="18"/>
                <w:u w:val="none"/>
              </w:rPr>
            </w:pPr>
          </w:p>
        </w:tc>
      </w:tr>
      <w:tr w14:paraId="4E320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42FC02">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2B022C">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7B4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C245D">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9834A">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5F635">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9FCCC">
            <w:pPr>
              <w:jc w:val="cente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AAFA7">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E446D">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5474E">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D3997">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825DF">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E9F5A">
            <w:pPr>
              <w:jc w:val="center"/>
              <w:rPr>
                <w:rFonts w:hint="eastAsia" w:ascii="宋体" w:hAnsi="宋体" w:eastAsia="宋体" w:cs="宋体"/>
                <w:i w:val="0"/>
                <w:iCs w:val="0"/>
                <w:color w:val="000000"/>
                <w:sz w:val="18"/>
                <w:szCs w:val="18"/>
                <w:u w:val="none"/>
              </w:rPr>
            </w:pP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3B971">
            <w:pPr>
              <w:jc w:val="center"/>
              <w:rPr>
                <w:rFonts w:hint="eastAsia" w:ascii="宋体" w:hAnsi="宋体" w:eastAsia="宋体" w:cs="宋体"/>
                <w:i w:val="0"/>
                <w:iCs w:val="0"/>
                <w:color w:val="000000"/>
                <w:sz w:val="18"/>
                <w:szCs w:val="18"/>
                <w:u w:val="none"/>
              </w:rPr>
            </w:pPr>
          </w:p>
        </w:tc>
      </w:tr>
      <w:tr w14:paraId="7BC0E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CEA756">
            <w:pPr>
              <w:jc w:val="center"/>
              <w:rPr>
                <w:rFonts w:hint="eastAsia" w:ascii="宋体" w:hAnsi="宋体" w:eastAsia="宋体" w:cs="宋体"/>
                <w:b/>
                <w:bCs/>
                <w:i w:val="0"/>
                <w:iCs w:val="0"/>
                <w:color w:val="000000"/>
                <w:sz w:val="18"/>
                <w:szCs w:val="18"/>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F30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3A2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4A8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师生满意度</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6EA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E80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283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DA3E9">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036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97C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1ABB8">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C97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340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4B12A">
            <w:pPr>
              <w:jc w:val="center"/>
              <w:rPr>
                <w:rFonts w:hint="eastAsia" w:ascii="宋体" w:hAnsi="宋体" w:eastAsia="宋体" w:cs="宋体"/>
                <w:i w:val="0"/>
                <w:iCs w:val="0"/>
                <w:color w:val="000000"/>
                <w:sz w:val="18"/>
                <w:szCs w:val="18"/>
                <w:u w:val="none"/>
              </w:rPr>
            </w:pPr>
          </w:p>
        </w:tc>
      </w:tr>
      <w:tr w14:paraId="531BE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183" w:type="pct"/>
            <w:gridSpan w:val="4"/>
            <w:tcBorders>
              <w:top w:val="single" w:color="000000" w:sz="4" w:space="0"/>
              <w:left w:val="single" w:color="000000" w:sz="4" w:space="0"/>
              <w:bottom w:val="single" w:color="000000" w:sz="4" w:space="0"/>
              <w:right w:val="nil"/>
            </w:tcBorders>
            <w:shd w:val="clear" w:color="auto" w:fill="auto"/>
            <w:vAlign w:val="center"/>
          </w:tcPr>
          <w:p w14:paraId="02CCEDD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556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nil"/>
              <w:bottom w:val="single" w:color="000000" w:sz="4" w:space="0"/>
              <w:right w:val="single" w:color="000000" w:sz="4" w:space="0"/>
            </w:tcBorders>
            <w:shd w:val="clear" w:color="auto" w:fill="auto"/>
            <w:vAlign w:val="center"/>
          </w:tcPr>
          <w:p w14:paraId="5FE93D6F">
            <w:pPr>
              <w:rPr>
                <w:rFonts w:hint="eastAsia" w:ascii="宋体" w:hAnsi="宋体" w:eastAsia="宋体" w:cs="宋体"/>
                <w:b/>
                <w:bCs/>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6960D">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951D7">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D39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bookmarkStart w:id="160" w:name="_GoBack"/>
            <w:bookmarkEnd w:id="160"/>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D0591">
            <w:pP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CB36B">
            <w:pP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5ADC3">
            <w:pP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54F9D">
            <w:pPr>
              <w:rPr>
                <w:rFonts w:hint="eastAsia" w:ascii="宋体" w:hAnsi="宋体" w:eastAsia="宋体" w:cs="宋体"/>
                <w:i w:val="0"/>
                <w:iCs w:val="0"/>
                <w:color w:val="000000"/>
                <w:sz w:val="18"/>
                <w:szCs w:val="18"/>
                <w:u w:val="none"/>
              </w:rPr>
            </w:pPr>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1DF44">
            <w:pPr>
              <w:rPr>
                <w:rFonts w:hint="eastAsia" w:ascii="宋体" w:hAnsi="宋体" w:eastAsia="宋体" w:cs="宋体"/>
                <w:i w:val="0"/>
                <w:iCs w:val="0"/>
                <w:color w:val="000000"/>
                <w:sz w:val="18"/>
                <w:szCs w:val="18"/>
                <w:u w:val="none"/>
              </w:rPr>
            </w:pPr>
          </w:p>
        </w:tc>
      </w:tr>
    </w:tbl>
    <w:p w14:paraId="16B552BC">
      <w:pPr>
        <w:keepNext w:val="0"/>
        <w:keepLines w:val="0"/>
        <w:widowControl/>
        <w:suppressLineNumbers w:val="0"/>
        <w:spacing w:line="240" w:lineRule="auto"/>
        <w:ind w:left="0" w:leftChars="0" w:firstLine="0" w:firstLineChars="0"/>
        <w:jc w:val="center"/>
        <w:textAlignment w:val="center"/>
      </w:pPr>
      <w:r>
        <w:rPr>
          <w:rFonts w:hint="eastAsia" w:ascii="宋体" w:hAnsi="宋体" w:eastAsia="宋体" w:cs="宋体"/>
          <w:i w:val="0"/>
          <w:iCs w:val="0"/>
          <w:color w:val="000000"/>
          <w:kern w:val="0"/>
          <w:sz w:val="20"/>
          <w:szCs w:val="20"/>
          <w:u w:val="none"/>
          <w:lang w:val="en-US" w:eastAsia="zh-CN" w:bidi="ar"/>
        </w:rPr>
        <w:br w:type="page"/>
      </w:r>
    </w:p>
    <w:p w14:paraId="069FC3B7">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158" w:name="_Toc15067"/>
      <w:bookmarkStart w:id="159" w:name="_Toc11223"/>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58"/>
      <w:bookmarkEnd w:id="159"/>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5DB374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0C6F2A0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auto"/>
            <w:noWrap w:val="0"/>
            <w:vAlign w:val="center"/>
          </w:tcPr>
          <w:p w14:paraId="035FB36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20" w:type="dxa"/>
            <w:shd w:val="clear" w:color="auto" w:fill="auto"/>
            <w:noWrap w:val="0"/>
            <w:vAlign w:val="center"/>
          </w:tcPr>
          <w:p w14:paraId="4819062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141" w:type="dxa"/>
            <w:shd w:val="clear" w:color="auto" w:fill="auto"/>
            <w:noWrap w:val="0"/>
            <w:vAlign w:val="center"/>
          </w:tcPr>
          <w:p w14:paraId="2758323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7821" w:type="dxa"/>
            <w:shd w:val="clear" w:color="auto" w:fill="auto"/>
            <w:noWrap w:val="0"/>
            <w:vAlign w:val="center"/>
          </w:tcPr>
          <w:p w14:paraId="095D1A8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785" w:type="dxa"/>
            <w:shd w:val="clear" w:color="auto" w:fill="auto"/>
            <w:noWrap w:val="0"/>
            <w:vAlign w:val="center"/>
          </w:tcPr>
          <w:p w14:paraId="025BD2E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69" w:type="dxa"/>
            <w:shd w:val="clear" w:color="auto" w:fill="auto"/>
            <w:noWrap w:val="0"/>
            <w:vAlign w:val="center"/>
          </w:tcPr>
          <w:p w14:paraId="6F3C291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14:paraId="5356F2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6CAB7E3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14:paraId="2B371C9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5F24B3D0">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auto"/>
            <w:noWrap w:val="0"/>
            <w:vAlign w:val="center"/>
          </w:tcPr>
          <w:p w14:paraId="60C121E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20" w:type="dxa"/>
            <w:shd w:val="clear" w:color="auto" w:fill="auto"/>
            <w:noWrap w:val="0"/>
            <w:vAlign w:val="center"/>
          </w:tcPr>
          <w:p w14:paraId="1B2C107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14:paraId="2CC125C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141" w:type="dxa"/>
            <w:shd w:val="clear" w:color="auto" w:fill="auto"/>
            <w:noWrap w:val="0"/>
            <w:vAlign w:val="center"/>
          </w:tcPr>
          <w:p w14:paraId="70020F4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7821" w:type="dxa"/>
            <w:shd w:val="clear" w:color="auto" w:fill="auto"/>
            <w:noWrap w:val="0"/>
            <w:vAlign w:val="center"/>
          </w:tcPr>
          <w:p w14:paraId="1D4770F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0F9C377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①项目立项是否符合国家法律法规、国民经济发展规划和相关政策；</w:t>
            </w:r>
          </w:p>
          <w:p w14:paraId="607105E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②项目立项是否符合行业发展规划和政策要求；</w:t>
            </w:r>
          </w:p>
          <w:p w14:paraId="529AE17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③项目立项是否与部门职责范围相符，属于部门履职所需；</w:t>
            </w:r>
          </w:p>
          <w:p w14:paraId="6BCB692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④项目是否属于公共财政支持范围，是否符合中央、地方事权支出责任划分原则；</w:t>
            </w:r>
          </w:p>
          <w:p w14:paraId="5C6039AB">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auto"/>
            <w:noWrap w:val="0"/>
            <w:vAlign w:val="center"/>
          </w:tcPr>
          <w:p w14:paraId="0233169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77BF490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6F9108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0C726F37">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7AB2163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50676C1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14:paraId="762F0BC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141" w:type="dxa"/>
            <w:shd w:val="clear" w:color="auto" w:fill="auto"/>
            <w:noWrap w:val="0"/>
            <w:vAlign w:val="center"/>
          </w:tcPr>
          <w:p w14:paraId="73C69DD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7821" w:type="dxa"/>
            <w:shd w:val="clear" w:color="auto" w:fill="auto"/>
            <w:noWrap w:val="0"/>
            <w:vAlign w:val="center"/>
          </w:tcPr>
          <w:p w14:paraId="6F02B3F5">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7E8AD0D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①项目是否按照规定的程序申请设立；</w:t>
            </w:r>
          </w:p>
          <w:p w14:paraId="78F5AC2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②审批文件、材料是否符合相关要求；</w:t>
            </w:r>
          </w:p>
          <w:p w14:paraId="575FEB91">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auto"/>
            <w:noWrap w:val="0"/>
            <w:vAlign w:val="center"/>
          </w:tcPr>
          <w:p w14:paraId="273FCC2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4240EBF4">
            <w:pPr>
              <w:pageBreakBefore w:val="0"/>
              <w:widowControl/>
              <w:kinsoku/>
              <w:wordWrap/>
              <w:overflowPunct/>
              <w:topLinePunct w:val="0"/>
              <w:autoSpaceDE/>
              <w:autoSpaceDN/>
              <w:bidi w:val="0"/>
              <w:spacing w:line="240" w:lineRule="auto"/>
              <w:ind w:firstLine="0" w:firstLineChars="0"/>
              <w:jc w:val="left"/>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2.2</w:t>
            </w:r>
          </w:p>
        </w:tc>
      </w:tr>
      <w:tr w14:paraId="3C4A18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5F2959B9">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shd w:val="clear" w:color="auto" w:fill="auto"/>
            <w:noWrap w:val="0"/>
            <w:vAlign w:val="center"/>
          </w:tcPr>
          <w:p w14:paraId="318137B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20" w:type="dxa"/>
            <w:shd w:val="clear" w:color="auto" w:fill="auto"/>
            <w:noWrap w:val="0"/>
            <w:vAlign w:val="center"/>
          </w:tcPr>
          <w:p w14:paraId="6BD4BC0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14:paraId="03E2732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7A72CCF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0A9D6D4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43552E6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（如未设定预算绩效目标，也可考核其他工作任务目标）</w:t>
            </w:r>
          </w:p>
          <w:p w14:paraId="5F76543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①项目是否有绩效目标；</w:t>
            </w:r>
          </w:p>
          <w:p w14:paraId="31B157C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②项目绩效目标与实际工作内容是否具有相关性；</w:t>
            </w:r>
          </w:p>
          <w:p w14:paraId="03CC5A7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③项目预期产出效益和效果是否符合正常的业绩水平；</w:t>
            </w:r>
          </w:p>
          <w:p w14:paraId="75FC8BDD">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auto" w:fill="auto"/>
            <w:noWrap w:val="0"/>
            <w:vAlign w:val="center"/>
          </w:tcPr>
          <w:p w14:paraId="6356123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68DAF5C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4A7645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26CCC5B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auto"/>
            <w:noWrap w:val="0"/>
            <w:vAlign w:val="center"/>
          </w:tcPr>
          <w:p w14:paraId="039BA1F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20" w:type="dxa"/>
            <w:shd w:val="clear" w:color="auto" w:fill="auto"/>
            <w:noWrap w:val="0"/>
            <w:vAlign w:val="center"/>
          </w:tcPr>
          <w:p w14:paraId="002E7F7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14:paraId="70BEB6C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141" w:type="dxa"/>
            <w:shd w:val="clear" w:color="auto" w:fill="auto"/>
            <w:noWrap w:val="0"/>
            <w:vAlign w:val="center"/>
          </w:tcPr>
          <w:p w14:paraId="0968DB5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7821" w:type="dxa"/>
            <w:shd w:val="clear" w:color="auto" w:fill="auto"/>
            <w:noWrap w:val="0"/>
            <w:vAlign w:val="center"/>
          </w:tcPr>
          <w:p w14:paraId="535E7A4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03F9870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①是否将项目绩效目标细化分解为具体的绩效指标；</w:t>
            </w:r>
          </w:p>
          <w:p w14:paraId="4A36A72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②是否通过清晰、可衡量的指标值予以体现；</w:t>
            </w:r>
          </w:p>
          <w:p w14:paraId="1D8381A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③是否与项目目标任务数或计划数相对应。</w:t>
            </w:r>
          </w:p>
          <w:p w14:paraId="785C137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p>
        </w:tc>
        <w:tc>
          <w:tcPr>
            <w:tcW w:w="785" w:type="dxa"/>
            <w:shd w:val="clear" w:color="auto" w:fill="auto"/>
            <w:noWrap w:val="0"/>
            <w:vAlign w:val="center"/>
          </w:tcPr>
          <w:p w14:paraId="4EBFAA4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588A048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0ACD00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53E3DFD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261E4DE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14:paraId="75AD268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6C3BA7D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14:paraId="120AC30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141" w:type="dxa"/>
            <w:shd w:val="clear" w:color="auto" w:fill="auto"/>
            <w:noWrap w:val="0"/>
            <w:vAlign w:val="center"/>
          </w:tcPr>
          <w:p w14:paraId="476D94F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69EBF52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2DF8ADF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①预算编制是否经过科学论证；</w:t>
            </w:r>
          </w:p>
          <w:p w14:paraId="3318C51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②预算内容与项目内容是否匹配；</w:t>
            </w:r>
          </w:p>
          <w:p w14:paraId="528510F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③预算额度测算依据是否充分，是否按照标准编制；</w:t>
            </w:r>
          </w:p>
          <w:p w14:paraId="4327B96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auto"/>
            <w:noWrap w:val="0"/>
            <w:vAlign w:val="center"/>
          </w:tcPr>
          <w:p w14:paraId="6D080E4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7D57DCB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08C10E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14BC8CC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07C4B86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75D4505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14:paraId="7969371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77D958E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6F51D2D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0E38109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①预算资金分配依据是否充分；</w:t>
            </w:r>
          </w:p>
          <w:p w14:paraId="09E3B05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auto"/>
            <w:noWrap w:val="0"/>
            <w:vAlign w:val="center"/>
          </w:tcPr>
          <w:p w14:paraId="758F948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3EDD73B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14:paraId="669870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6797B15E">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auto"/>
            <w:noWrap w:val="0"/>
            <w:vAlign w:val="center"/>
          </w:tcPr>
          <w:p w14:paraId="3723F76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2AFF1E4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141" w:type="dxa"/>
            <w:shd w:val="clear" w:color="auto" w:fill="auto"/>
            <w:noWrap w:val="0"/>
            <w:vAlign w:val="center"/>
          </w:tcPr>
          <w:p w14:paraId="0682BFC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7821" w:type="dxa"/>
            <w:shd w:val="clear" w:color="auto" w:fill="auto"/>
            <w:noWrap w:val="0"/>
            <w:vAlign w:val="center"/>
          </w:tcPr>
          <w:p w14:paraId="0363B75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p w14:paraId="53F1B9D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实际到位资金/预算资金）×100%。</w:t>
            </w:r>
          </w:p>
          <w:p w14:paraId="0C6B008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14:paraId="7AC88BA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785" w:type="dxa"/>
            <w:shd w:val="clear" w:color="auto" w:fill="auto"/>
            <w:noWrap w:val="0"/>
            <w:vAlign w:val="center"/>
          </w:tcPr>
          <w:p w14:paraId="5D14C4E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32E24C4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1EEAE7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1FC6DEB1">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727" w:type="dxa"/>
            <w:vMerge w:val="continue"/>
            <w:shd w:val="clear" w:color="auto" w:fill="auto"/>
            <w:noWrap w:val="0"/>
            <w:vAlign w:val="center"/>
          </w:tcPr>
          <w:p w14:paraId="5AE052E7">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820" w:type="dxa"/>
            <w:shd w:val="clear" w:color="auto" w:fill="auto"/>
            <w:noWrap w:val="0"/>
            <w:vAlign w:val="center"/>
          </w:tcPr>
          <w:p w14:paraId="68C5487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141" w:type="dxa"/>
            <w:shd w:val="clear" w:color="auto" w:fill="auto"/>
            <w:noWrap w:val="0"/>
            <w:vAlign w:val="center"/>
          </w:tcPr>
          <w:p w14:paraId="45A8F0F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7821" w:type="dxa"/>
            <w:shd w:val="clear" w:color="auto" w:fill="auto"/>
            <w:noWrap w:val="0"/>
            <w:vAlign w:val="center"/>
          </w:tcPr>
          <w:p w14:paraId="027606C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预算执行率=（实际支出资金/实际到位资金）×100%。</w:t>
            </w:r>
          </w:p>
          <w:p w14:paraId="30F12EB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实际支出资金：一定时期（本年度或项目期）内项目实际拨付的资金。</w:t>
            </w:r>
          </w:p>
        </w:tc>
        <w:tc>
          <w:tcPr>
            <w:tcW w:w="785" w:type="dxa"/>
            <w:shd w:val="clear" w:color="auto" w:fill="auto"/>
            <w:noWrap w:val="0"/>
            <w:vAlign w:val="center"/>
          </w:tcPr>
          <w:p w14:paraId="2051E16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3F014D8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6E217B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1E02DD9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p w14:paraId="7B5CB5E8">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过程　</w:t>
            </w:r>
          </w:p>
        </w:tc>
        <w:tc>
          <w:tcPr>
            <w:tcW w:w="727" w:type="dxa"/>
            <w:shd w:val="clear" w:color="auto" w:fill="auto"/>
            <w:noWrap w:val="0"/>
            <w:vAlign w:val="center"/>
          </w:tcPr>
          <w:p w14:paraId="1C7DBD8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资金管理</w:t>
            </w:r>
          </w:p>
        </w:tc>
        <w:tc>
          <w:tcPr>
            <w:tcW w:w="820" w:type="dxa"/>
            <w:shd w:val="clear" w:color="auto" w:fill="auto"/>
            <w:noWrap w:val="0"/>
            <w:vAlign w:val="center"/>
          </w:tcPr>
          <w:p w14:paraId="30A46CF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资金使用</w:t>
            </w:r>
          </w:p>
          <w:p w14:paraId="56FFDA6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合规性</w:t>
            </w:r>
          </w:p>
        </w:tc>
        <w:tc>
          <w:tcPr>
            <w:tcW w:w="2141" w:type="dxa"/>
            <w:shd w:val="clear" w:color="auto" w:fill="auto"/>
            <w:noWrap w:val="0"/>
            <w:vAlign w:val="center"/>
          </w:tcPr>
          <w:p w14:paraId="2E9BC4C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项目资金使用是否符合相关的财务管理制度规定，用以反映和考核项目资金的规范运行情况。</w:t>
            </w:r>
          </w:p>
        </w:tc>
        <w:tc>
          <w:tcPr>
            <w:tcW w:w="7821" w:type="dxa"/>
            <w:shd w:val="clear" w:color="auto" w:fill="auto"/>
            <w:noWrap w:val="0"/>
            <w:vAlign w:val="center"/>
          </w:tcPr>
          <w:p w14:paraId="7993FA8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739E611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①是否符合国家财经法规和财务管理制度以及有关专项资金管理办法的规定；</w:t>
            </w:r>
          </w:p>
          <w:p w14:paraId="26B3C5E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②资金的拨付是否有完整的审批程序和手续；</w:t>
            </w:r>
          </w:p>
          <w:p w14:paraId="78DA516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③是否符合项目预算批复或合同规定的用途；</w:t>
            </w:r>
          </w:p>
          <w:p w14:paraId="523B5A6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④是否存在截留、挤占、挪用、虚列支出等情况。</w:t>
            </w:r>
          </w:p>
        </w:tc>
        <w:tc>
          <w:tcPr>
            <w:tcW w:w="785" w:type="dxa"/>
            <w:shd w:val="clear" w:color="auto" w:fill="auto"/>
            <w:noWrap w:val="0"/>
            <w:vAlign w:val="center"/>
          </w:tcPr>
          <w:p w14:paraId="1A2C57E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6D8ABB5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15C36A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416A1AE8">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restart"/>
            <w:shd w:val="clear" w:color="auto" w:fill="auto"/>
            <w:noWrap w:val="0"/>
            <w:vAlign w:val="center"/>
          </w:tcPr>
          <w:p w14:paraId="1200AFE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组织实施</w:t>
            </w:r>
          </w:p>
          <w:p w14:paraId="6A311CDD">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tc>
        <w:tc>
          <w:tcPr>
            <w:tcW w:w="820" w:type="dxa"/>
            <w:shd w:val="clear" w:color="auto" w:fill="auto"/>
            <w:noWrap w:val="0"/>
            <w:vAlign w:val="center"/>
          </w:tcPr>
          <w:p w14:paraId="1D9BB6E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管理制度</w:t>
            </w:r>
          </w:p>
          <w:p w14:paraId="359753A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健全性</w:t>
            </w:r>
          </w:p>
        </w:tc>
        <w:tc>
          <w:tcPr>
            <w:tcW w:w="2141" w:type="dxa"/>
            <w:shd w:val="clear" w:color="auto" w:fill="auto"/>
            <w:noWrap w:val="0"/>
            <w:vAlign w:val="center"/>
          </w:tcPr>
          <w:p w14:paraId="22D2A74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5697A41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5F4EAB5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①是否已制定或具有相应的财务和业务管理制度；</w:t>
            </w:r>
          </w:p>
          <w:p w14:paraId="4F4699F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②财务和业务管理制度是否合法、合规、完整。</w:t>
            </w:r>
          </w:p>
        </w:tc>
        <w:tc>
          <w:tcPr>
            <w:tcW w:w="785" w:type="dxa"/>
            <w:shd w:val="clear" w:color="auto" w:fill="auto"/>
            <w:noWrap w:val="0"/>
            <w:vAlign w:val="center"/>
          </w:tcPr>
          <w:p w14:paraId="38407C7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B5276E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08FC48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41F8829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3E947B2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14:paraId="54C08EA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制度执行</w:t>
            </w:r>
          </w:p>
          <w:p w14:paraId="0928208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有效性</w:t>
            </w:r>
          </w:p>
        </w:tc>
        <w:tc>
          <w:tcPr>
            <w:tcW w:w="2141" w:type="dxa"/>
            <w:shd w:val="clear" w:color="auto" w:fill="auto"/>
            <w:noWrap w:val="0"/>
            <w:vAlign w:val="center"/>
          </w:tcPr>
          <w:p w14:paraId="61E6DC7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项目实施是否符合相关管理规定，用以反映和考核相关管理制度的有效执行情况。</w:t>
            </w:r>
          </w:p>
        </w:tc>
        <w:tc>
          <w:tcPr>
            <w:tcW w:w="7821" w:type="dxa"/>
            <w:shd w:val="clear" w:color="auto" w:fill="auto"/>
            <w:noWrap w:val="0"/>
            <w:vAlign w:val="center"/>
          </w:tcPr>
          <w:p w14:paraId="47FC0C5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53DE562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①是否遵守相关法律法规和相关管理规定；</w:t>
            </w:r>
          </w:p>
          <w:p w14:paraId="5AF6396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②项目调整及支出调整手续是否完备；</w:t>
            </w:r>
          </w:p>
          <w:p w14:paraId="416F00D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③项目合同书、验收报告、技术鉴定等资料是否齐全并及时归档；</w:t>
            </w:r>
          </w:p>
          <w:p w14:paraId="75A8A5A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④项目实施的人员条件、场地设备、信息支撑等是否落实到位。</w:t>
            </w:r>
          </w:p>
        </w:tc>
        <w:tc>
          <w:tcPr>
            <w:tcW w:w="785" w:type="dxa"/>
            <w:shd w:val="clear" w:color="auto" w:fill="auto"/>
            <w:noWrap w:val="0"/>
            <w:vAlign w:val="center"/>
          </w:tcPr>
          <w:p w14:paraId="658A871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566991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725A6E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081AE78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shd w:val="clear" w:color="auto" w:fill="auto"/>
            <w:noWrap w:val="0"/>
            <w:vAlign w:val="center"/>
          </w:tcPr>
          <w:p w14:paraId="6220164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产出数量</w:t>
            </w:r>
          </w:p>
        </w:tc>
        <w:tc>
          <w:tcPr>
            <w:tcW w:w="820" w:type="dxa"/>
            <w:shd w:val="clear" w:color="auto" w:fill="auto"/>
            <w:noWrap w:val="0"/>
            <w:vAlign w:val="center"/>
          </w:tcPr>
          <w:p w14:paraId="51CF821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在校学生人数</w:t>
            </w:r>
          </w:p>
        </w:tc>
        <w:tc>
          <w:tcPr>
            <w:tcW w:w="2141" w:type="dxa"/>
            <w:shd w:val="clear" w:color="auto" w:fill="auto"/>
            <w:noWrap w:val="0"/>
            <w:vAlign w:val="center"/>
          </w:tcPr>
          <w:p w14:paraId="199ACA3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4801810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实际完成率=（实际产出数/计划产出数）×100%。</w:t>
            </w:r>
          </w:p>
          <w:p w14:paraId="00CEFCE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实际产出数：一定时期（本年度或项目期）内项目实际产出的产品或提供的服务数量。</w:t>
            </w:r>
          </w:p>
          <w:p w14:paraId="71CDF0B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159AAC61">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w:t>
            </w:r>
          </w:p>
        </w:tc>
        <w:tc>
          <w:tcPr>
            <w:tcW w:w="769" w:type="dxa"/>
            <w:shd w:val="clear" w:color="auto" w:fill="auto"/>
            <w:noWrap w:val="0"/>
            <w:vAlign w:val="center"/>
          </w:tcPr>
          <w:p w14:paraId="5048B1B3">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w:t>
            </w:r>
          </w:p>
        </w:tc>
      </w:tr>
      <w:tr w14:paraId="79D08F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762CD8B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vMerge w:val="restart"/>
            <w:shd w:val="clear" w:color="auto" w:fill="auto"/>
            <w:noWrap w:val="0"/>
            <w:vAlign w:val="center"/>
          </w:tcPr>
          <w:p w14:paraId="32269D0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产出质量</w:t>
            </w:r>
          </w:p>
        </w:tc>
        <w:tc>
          <w:tcPr>
            <w:tcW w:w="820" w:type="dxa"/>
            <w:shd w:val="clear" w:color="auto" w:fill="auto"/>
            <w:noWrap w:val="0"/>
            <w:vAlign w:val="center"/>
          </w:tcPr>
          <w:p w14:paraId="3AFA4CB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公用经费享受比例</w:t>
            </w:r>
          </w:p>
        </w:tc>
        <w:tc>
          <w:tcPr>
            <w:tcW w:w="2141" w:type="dxa"/>
            <w:shd w:val="clear" w:color="auto" w:fill="auto"/>
            <w:noWrap w:val="0"/>
            <w:vAlign w:val="center"/>
          </w:tcPr>
          <w:p w14:paraId="45B2CE4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4887EB7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质量达标率=（质量达标产出数/实际产出数）×100%。</w:t>
            </w:r>
          </w:p>
          <w:p w14:paraId="78DD217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6B7C4428">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14:paraId="386F65A7">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170365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14:paraId="40D041A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56B6BFB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14:paraId="3716136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教师培训结业率</w:t>
            </w:r>
          </w:p>
        </w:tc>
        <w:tc>
          <w:tcPr>
            <w:tcW w:w="2141" w:type="dxa"/>
            <w:shd w:val="clear" w:color="auto" w:fill="auto"/>
            <w:noWrap w:val="0"/>
            <w:vAlign w:val="center"/>
          </w:tcPr>
          <w:p w14:paraId="03528E0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65A7484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质量达标率=（质量达标产出数/实际产出数）×100%。</w:t>
            </w:r>
          </w:p>
          <w:p w14:paraId="3112927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2B0D2F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14:paraId="7220264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7CE113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658E6B23">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shd w:val="clear" w:color="auto" w:fill="auto"/>
            <w:noWrap w:val="0"/>
            <w:vAlign w:val="center"/>
          </w:tcPr>
          <w:p w14:paraId="20E7BD57">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产出时效</w:t>
            </w:r>
          </w:p>
        </w:tc>
        <w:tc>
          <w:tcPr>
            <w:tcW w:w="820" w:type="dxa"/>
            <w:shd w:val="clear" w:color="auto" w:fill="auto"/>
            <w:noWrap w:val="0"/>
            <w:vAlign w:val="center"/>
          </w:tcPr>
          <w:p w14:paraId="40603E7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公用经费支出及时率</w:t>
            </w:r>
          </w:p>
        </w:tc>
        <w:tc>
          <w:tcPr>
            <w:tcW w:w="2141" w:type="dxa"/>
            <w:shd w:val="clear" w:color="auto" w:fill="auto"/>
            <w:noWrap w:val="0"/>
            <w:vAlign w:val="center"/>
          </w:tcPr>
          <w:p w14:paraId="5DB8842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68A19B3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实际完成时间：项目实施单位完成该项目实际所耗用的时间。</w:t>
            </w:r>
          </w:p>
          <w:p w14:paraId="0B0EEA1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72710525">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w:t>
            </w:r>
          </w:p>
        </w:tc>
        <w:tc>
          <w:tcPr>
            <w:tcW w:w="769" w:type="dxa"/>
            <w:shd w:val="clear" w:color="auto" w:fill="auto"/>
            <w:noWrap w:val="0"/>
            <w:vAlign w:val="center"/>
          </w:tcPr>
          <w:p w14:paraId="4460AD0A">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w:t>
            </w:r>
          </w:p>
        </w:tc>
      </w:tr>
      <w:tr w14:paraId="1069D8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71E88BA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shd w:val="clear" w:color="auto" w:fill="auto"/>
            <w:noWrap w:val="0"/>
            <w:vAlign w:val="center"/>
          </w:tcPr>
          <w:p w14:paraId="5EDDA6C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产出成本</w:t>
            </w:r>
          </w:p>
        </w:tc>
        <w:tc>
          <w:tcPr>
            <w:tcW w:w="820" w:type="dxa"/>
            <w:shd w:val="clear" w:color="auto" w:fill="auto"/>
            <w:noWrap w:val="0"/>
            <w:vAlign w:val="center"/>
          </w:tcPr>
          <w:p w14:paraId="6F043520">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公用经费标准</w:t>
            </w:r>
          </w:p>
        </w:tc>
        <w:tc>
          <w:tcPr>
            <w:tcW w:w="2141" w:type="dxa"/>
            <w:shd w:val="clear" w:color="auto" w:fill="auto"/>
            <w:noWrap w:val="0"/>
            <w:vAlign w:val="center"/>
          </w:tcPr>
          <w:p w14:paraId="201AFB1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0FDE611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p>
          <w:p w14:paraId="26C3A2A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成本节约率=[（计划成本-实际成本）/计划成本]×100%。</w:t>
            </w:r>
          </w:p>
          <w:p w14:paraId="0F67109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实际成本：项目实施单位如期、保质、保量完成既定工作目标实际所耗费的支出。</w:t>
            </w:r>
          </w:p>
          <w:p w14:paraId="03D4E2E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64B8D8F6">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w:t>
            </w:r>
          </w:p>
        </w:tc>
        <w:tc>
          <w:tcPr>
            <w:tcW w:w="769" w:type="dxa"/>
            <w:shd w:val="clear" w:color="auto" w:fill="auto"/>
            <w:noWrap w:val="0"/>
            <w:vAlign w:val="center"/>
          </w:tcPr>
          <w:p w14:paraId="64085E41">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w:t>
            </w:r>
          </w:p>
        </w:tc>
      </w:tr>
      <w:tr w14:paraId="61DFDC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55E878A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效益　</w:t>
            </w:r>
          </w:p>
        </w:tc>
        <w:tc>
          <w:tcPr>
            <w:tcW w:w="727" w:type="dxa"/>
            <w:vMerge w:val="restart"/>
            <w:shd w:val="clear" w:color="auto" w:fill="auto"/>
            <w:noWrap w:val="0"/>
            <w:vAlign w:val="center"/>
          </w:tcPr>
          <w:p w14:paraId="618BE62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项目效益　</w:t>
            </w:r>
          </w:p>
        </w:tc>
        <w:tc>
          <w:tcPr>
            <w:tcW w:w="820" w:type="dxa"/>
            <w:shd w:val="clear" w:color="auto" w:fill="auto"/>
            <w:noWrap w:val="0"/>
            <w:vAlign w:val="center"/>
          </w:tcPr>
          <w:p w14:paraId="4B38AD6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幼儿园正常运转率</w:t>
            </w:r>
          </w:p>
        </w:tc>
        <w:tc>
          <w:tcPr>
            <w:tcW w:w="2141" w:type="dxa"/>
            <w:shd w:val="clear" w:color="auto" w:fill="auto"/>
            <w:noWrap w:val="0"/>
            <w:vAlign w:val="center"/>
          </w:tcPr>
          <w:p w14:paraId="3C55038E">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项目实施所产生的效益。</w:t>
            </w:r>
          </w:p>
        </w:tc>
        <w:tc>
          <w:tcPr>
            <w:tcW w:w="7821" w:type="dxa"/>
            <w:shd w:val="clear" w:color="auto" w:fill="auto"/>
            <w:noWrap w:val="0"/>
            <w:vAlign w:val="center"/>
          </w:tcPr>
          <w:p w14:paraId="466E60A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0915F65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14:paraId="1E9C330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28508C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continue"/>
            <w:shd w:val="clear" w:color="auto" w:fill="auto"/>
            <w:noWrap w:val="0"/>
            <w:vAlign w:val="center"/>
          </w:tcPr>
          <w:p w14:paraId="180BBF1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07C4E25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14:paraId="3A5F303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改善教学环境，提供良好的学生成长条件</w:t>
            </w:r>
          </w:p>
        </w:tc>
        <w:tc>
          <w:tcPr>
            <w:tcW w:w="2141" w:type="dxa"/>
            <w:shd w:val="clear" w:color="auto" w:fill="auto"/>
            <w:noWrap w:val="0"/>
            <w:vAlign w:val="center"/>
          </w:tcPr>
          <w:p w14:paraId="199E16F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项目实施所产生的效益。</w:t>
            </w:r>
          </w:p>
        </w:tc>
        <w:tc>
          <w:tcPr>
            <w:tcW w:w="7821" w:type="dxa"/>
            <w:shd w:val="clear" w:color="auto" w:fill="auto"/>
            <w:noWrap w:val="0"/>
            <w:vAlign w:val="center"/>
          </w:tcPr>
          <w:p w14:paraId="58EBDE4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4C0B0A9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7</w:t>
            </w:r>
          </w:p>
        </w:tc>
        <w:tc>
          <w:tcPr>
            <w:tcW w:w="769" w:type="dxa"/>
            <w:shd w:val="clear" w:color="auto" w:fill="auto"/>
            <w:noWrap w:val="0"/>
            <w:vAlign w:val="center"/>
          </w:tcPr>
          <w:p w14:paraId="0169967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7</w:t>
            </w:r>
          </w:p>
        </w:tc>
      </w:tr>
      <w:tr w14:paraId="3CD48B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286EB23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6D77F22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14:paraId="3134C564">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师生满意度</w:t>
            </w:r>
          </w:p>
        </w:tc>
        <w:tc>
          <w:tcPr>
            <w:tcW w:w="2141" w:type="dxa"/>
            <w:shd w:val="clear" w:color="auto" w:fill="auto"/>
            <w:noWrap w:val="0"/>
            <w:vAlign w:val="center"/>
          </w:tcPr>
          <w:p w14:paraId="1998722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社会公众或服务对象对项目实施效果的满意程度。</w:t>
            </w:r>
          </w:p>
        </w:tc>
        <w:tc>
          <w:tcPr>
            <w:tcW w:w="7821" w:type="dxa"/>
            <w:shd w:val="clear" w:color="auto" w:fill="auto"/>
            <w:noWrap w:val="0"/>
            <w:vAlign w:val="center"/>
          </w:tcPr>
          <w:p w14:paraId="7DDCBFF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2B4E301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8</w:t>
            </w:r>
          </w:p>
        </w:tc>
        <w:tc>
          <w:tcPr>
            <w:tcW w:w="769" w:type="dxa"/>
            <w:shd w:val="clear" w:color="auto" w:fill="auto"/>
            <w:noWrap w:val="0"/>
            <w:vAlign w:val="center"/>
          </w:tcPr>
          <w:p w14:paraId="5BB2967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8</w:t>
            </w:r>
          </w:p>
        </w:tc>
      </w:tr>
      <w:tr w14:paraId="183054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3875753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合计</w:t>
            </w:r>
          </w:p>
        </w:tc>
        <w:tc>
          <w:tcPr>
            <w:tcW w:w="7821" w:type="dxa"/>
            <w:shd w:val="clear" w:color="auto" w:fill="auto"/>
            <w:noWrap w:val="0"/>
            <w:vAlign w:val="center"/>
          </w:tcPr>
          <w:p w14:paraId="23920C7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p>
        </w:tc>
        <w:tc>
          <w:tcPr>
            <w:tcW w:w="785" w:type="dxa"/>
            <w:shd w:val="clear" w:color="auto" w:fill="auto"/>
            <w:noWrap w:val="0"/>
            <w:vAlign w:val="center"/>
          </w:tcPr>
          <w:p w14:paraId="62B6F89B">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100</w:t>
            </w:r>
          </w:p>
        </w:tc>
        <w:tc>
          <w:tcPr>
            <w:tcW w:w="769" w:type="dxa"/>
            <w:shd w:val="clear" w:color="auto" w:fill="auto"/>
            <w:noWrap w:val="0"/>
            <w:vAlign w:val="center"/>
          </w:tcPr>
          <w:p w14:paraId="054D4724">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99.2</w:t>
            </w:r>
          </w:p>
        </w:tc>
      </w:tr>
    </w:tbl>
    <w:p w14:paraId="562B0EAC">
      <w:pPr>
        <w:pageBreakBefore w:val="0"/>
        <w:kinsoku/>
        <w:wordWrap/>
        <w:overflowPunct/>
        <w:topLinePunct w:val="0"/>
        <w:autoSpaceDE/>
        <w:autoSpaceDN/>
        <w:bidi w:val="0"/>
        <w:spacing w:line="560" w:lineRule="exact"/>
        <w:ind w:firstLine="0" w:firstLineChars="0"/>
        <w:textAlignment w:val="auto"/>
        <w:rPr>
          <w:rFonts w:ascii="Times New Roman" w:hAnsi="Times New Roman" w:eastAsia="仿宋_GB2312" w:cs="Times New Roman"/>
          <w:sz w:val="30"/>
          <w:szCs w:val="24"/>
        </w:rPr>
      </w:pPr>
    </w:p>
    <w:p w14:paraId="03781239">
      <w:pPr>
        <w:pageBreakBefore w:val="0"/>
        <w:kinsoku/>
        <w:wordWrap/>
        <w:overflowPunct/>
        <w:topLinePunct w:val="0"/>
        <w:autoSpaceDE/>
        <w:autoSpaceDN/>
        <w:bidi w:val="0"/>
        <w:spacing w:line="560" w:lineRule="exact"/>
        <w:textAlignment w:val="auto"/>
        <w:rPr>
          <w:rFonts w:hint="default"/>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79582">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060727">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B060727">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78D0DE69"/>
    <w:multiLevelType w:val="singleLevel"/>
    <w:tmpl w:val="78D0DE69"/>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E23C81"/>
    <w:rsid w:val="01253350"/>
    <w:rsid w:val="01282E62"/>
    <w:rsid w:val="014029CF"/>
    <w:rsid w:val="01470C4C"/>
    <w:rsid w:val="014F6641"/>
    <w:rsid w:val="01C25065"/>
    <w:rsid w:val="0204742C"/>
    <w:rsid w:val="02200440"/>
    <w:rsid w:val="02284B43"/>
    <w:rsid w:val="025263E9"/>
    <w:rsid w:val="02532161"/>
    <w:rsid w:val="02B015E2"/>
    <w:rsid w:val="02DC08FA"/>
    <w:rsid w:val="02FF5E45"/>
    <w:rsid w:val="033B569D"/>
    <w:rsid w:val="03457CFC"/>
    <w:rsid w:val="03806F86"/>
    <w:rsid w:val="039C3BA0"/>
    <w:rsid w:val="03A845BB"/>
    <w:rsid w:val="03B45AD1"/>
    <w:rsid w:val="046046C1"/>
    <w:rsid w:val="04832134"/>
    <w:rsid w:val="049F343C"/>
    <w:rsid w:val="04D12EE4"/>
    <w:rsid w:val="04D63993"/>
    <w:rsid w:val="060E6ACB"/>
    <w:rsid w:val="06C90C44"/>
    <w:rsid w:val="071E0F8F"/>
    <w:rsid w:val="07890F4F"/>
    <w:rsid w:val="080C0DE8"/>
    <w:rsid w:val="0865499C"/>
    <w:rsid w:val="08892439"/>
    <w:rsid w:val="08EB30F3"/>
    <w:rsid w:val="09237408"/>
    <w:rsid w:val="09594501"/>
    <w:rsid w:val="09781BD6"/>
    <w:rsid w:val="09D771D4"/>
    <w:rsid w:val="09F359DF"/>
    <w:rsid w:val="0A5371A2"/>
    <w:rsid w:val="0A575E65"/>
    <w:rsid w:val="0ABF65E6"/>
    <w:rsid w:val="0ACA0AB6"/>
    <w:rsid w:val="0B2E72C7"/>
    <w:rsid w:val="0BB35A1E"/>
    <w:rsid w:val="0BC86E4F"/>
    <w:rsid w:val="0C032502"/>
    <w:rsid w:val="0C27698C"/>
    <w:rsid w:val="0D4452F3"/>
    <w:rsid w:val="0D674D12"/>
    <w:rsid w:val="0D6D057B"/>
    <w:rsid w:val="0DC10601"/>
    <w:rsid w:val="0DE2190D"/>
    <w:rsid w:val="0E4018D9"/>
    <w:rsid w:val="0EA77ABC"/>
    <w:rsid w:val="0ED14B39"/>
    <w:rsid w:val="0F0767AD"/>
    <w:rsid w:val="0F2C7FC2"/>
    <w:rsid w:val="0F5E5042"/>
    <w:rsid w:val="0FE95707"/>
    <w:rsid w:val="10510571"/>
    <w:rsid w:val="107439CE"/>
    <w:rsid w:val="10787A20"/>
    <w:rsid w:val="108672DE"/>
    <w:rsid w:val="10EC685A"/>
    <w:rsid w:val="10F90377"/>
    <w:rsid w:val="11812847"/>
    <w:rsid w:val="11FA6155"/>
    <w:rsid w:val="12CF0947"/>
    <w:rsid w:val="12E806A4"/>
    <w:rsid w:val="12F1313F"/>
    <w:rsid w:val="13201BEB"/>
    <w:rsid w:val="13645F7C"/>
    <w:rsid w:val="136C678E"/>
    <w:rsid w:val="13EB2FF5"/>
    <w:rsid w:val="14ED4CAC"/>
    <w:rsid w:val="153768DF"/>
    <w:rsid w:val="15A46B04"/>
    <w:rsid w:val="15E6711C"/>
    <w:rsid w:val="165825BC"/>
    <w:rsid w:val="169528F0"/>
    <w:rsid w:val="16BC5D73"/>
    <w:rsid w:val="16F74821"/>
    <w:rsid w:val="176F36D7"/>
    <w:rsid w:val="1795226D"/>
    <w:rsid w:val="179901BE"/>
    <w:rsid w:val="17BD20FF"/>
    <w:rsid w:val="17FD24FB"/>
    <w:rsid w:val="18456B1E"/>
    <w:rsid w:val="18820C52"/>
    <w:rsid w:val="18DD5C74"/>
    <w:rsid w:val="195919B3"/>
    <w:rsid w:val="1968587F"/>
    <w:rsid w:val="196D1903"/>
    <w:rsid w:val="1A9A6727"/>
    <w:rsid w:val="1AC76DF0"/>
    <w:rsid w:val="1ACB068F"/>
    <w:rsid w:val="1ACB68E1"/>
    <w:rsid w:val="1B216501"/>
    <w:rsid w:val="1B50290F"/>
    <w:rsid w:val="1B8F079A"/>
    <w:rsid w:val="1BE0460E"/>
    <w:rsid w:val="1C1171C5"/>
    <w:rsid w:val="1C4A5F2B"/>
    <w:rsid w:val="1C915908"/>
    <w:rsid w:val="1D265138"/>
    <w:rsid w:val="1D7B6BCA"/>
    <w:rsid w:val="1D9531D6"/>
    <w:rsid w:val="1DA41A79"/>
    <w:rsid w:val="1DC35F95"/>
    <w:rsid w:val="1DF24184"/>
    <w:rsid w:val="1DF53469"/>
    <w:rsid w:val="1DFE521F"/>
    <w:rsid w:val="1E2F24F2"/>
    <w:rsid w:val="1E4A2212"/>
    <w:rsid w:val="1E58492F"/>
    <w:rsid w:val="1E5B6757"/>
    <w:rsid w:val="1ED10AC6"/>
    <w:rsid w:val="1F1D343E"/>
    <w:rsid w:val="1F4629DA"/>
    <w:rsid w:val="1F503858"/>
    <w:rsid w:val="1F89225F"/>
    <w:rsid w:val="1F900A1F"/>
    <w:rsid w:val="1FB87FC7"/>
    <w:rsid w:val="1FC0575D"/>
    <w:rsid w:val="1FFE1506"/>
    <w:rsid w:val="2020147D"/>
    <w:rsid w:val="206132C7"/>
    <w:rsid w:val="20A43E5C"/>
    <w:rsid w:val="20D61B3B"/>
    <w:rsid w:val="212136FE"/>
    <w:rsid w:val="21B00C1D"/>
    <w:rsid w:val="226A2E83"/>
    <w:rsid w:val="22E36792"/>
    <w:rsid w:val="23031BEB"/>
    <w:rsid w:val="23917691"/>
    <w:rsid w:val="2419690F"/>
    <w:rsid w:val="242157C3"/>
    <w:rsid w:val="242B219E"/>
    <w:rsid w:val="244D65B8"/>
    <w:rsid w:val="245E1E24"/>
    <w:rsid w:val="247C6E9E"/>
    <w:rsid w:val="2492046F"/>
    <w:rsid w:val="249D7540"/>
    <w:rsid w:val="251470D6"/>
    <w:rsid w:val="25AD5E5D"/>
    <w:rsid w:val="262A4E03"/>
    <w:rsid w:val="264A7253"/>
    <w:rsid w:val="265005E2"/>
    <w:rsid w:val="26684A8F"/>
    <w:rsid w:val="27215DC3"/>
    <w:rsid w:val="2732478D"/>
    <w:rsid w:val="275D2FB6"/>
    <w:rsid w:val="27661469"/>
    <w:rsid w:val="276C144B"/>
    <w:rsid w:val="27900EAD"/>
    <w:rsid w:val="279B538A"/>
    <w:rsid w:val="28237D5C"/>
    <w:rsid w:val="28302479"/>
    <w:rsid w:val="286F545C"/>
    <w:rsid w:val="29314FBC"/>
    <w:rsid w:val="299D769A"/>
    <w:rsid w:val="29EF381F"/>
    <w:rsid w:val="2A7A3E7F"/>
    <w:rsid w:val="2AA2081A"/>
    <w:rsid w:val="2AC84BEB"/>
    <w:rsid w:val="2AFE685E"/>
    <w:rsid w:val="2B514BE0"/>
    <w:rsid w:val="2B51698E"/>
    <w:rsid w:val="2B597F39"/>
    <w:rsid w:val="2B8A1EA0"/>
    <w:rsid w:val="2C024B86"/>
    <w:rsid w:val="2C1C3440"/>
    <w:rsid w:val="2C2422F5"/>
    <w:rsid w:val="2C293467"/>
    <w:rsid w:val="2C5801F0"/>
    <w:rsid w:val="2C927671"/>
    <w:rsid w:val="2CC6306F"/>
    <w:rsid w:val="2CCD64E8"/>
    <w:rsid w:val="2CFE12B0"/>
    <w:rsid w:val="2D2307FE"/>
    <w:rsid w:val="2D410C84"/>
    <w:rsid w:val="2D594220"/>
    <w:rsid w:val="2D6329A9"/>
    <w:rsid w:val="2D7C5CD6"/>
    <w:rsid w:val="2DF126AA"/>
    <w:rsid w:val="2E3D58F0"/>
    <w:rsid w:val="2E483E7E"/>
    <w:rsid w:val="2E690493"/>
    <w:rsid w:val="2E9372BE"/>
    <w:rsid w:val="2E9854BD"/>
    <w:rsid w:val="2F0D407F"/>
    <w:rsid w:val="2F454B19"/>
    <w:rsid w:val="2F662C24"/>
    <w:rsid w:val="30552308"/>
    <w:rsid w:val="306B04F2"/>
    <w:rsid w:val="30BC70DA"/>
    <w:rsid w:val="310224D9"/>
    <w:rsid w:val="3143321D"/>
    <w:rsid w:val="31B4621C"/>
    <w:rsid w:val="31E16592"/>
    <w:rsid w:val="31E3230A"/>
    <w:rsid w:val="330957E0"/>
    <w:rsid w:val="33356F64"/>
    <w:rsid w:val="33944516"/>
    <w:rsid w:val="33D04B10"/>
    <w:rsid w:val="34B62907"/>
    <w:rsid w:val="34BD32E6"/>
    <w:rsid w:val="35661675"/>
    <w:rsid w:val="36394BEF"/>
    <w:rsid w:val="36BD137C"/>
    <w:rsid w:val="37620175"/>
    <w:rsid w:val="37D44BCF"/>
    <w:rsid w:val="37FC2378"/>
    <w:rsid w:val="38053EDF"/>
    <w:rsid w:val="380812A4"/>
    <w:rsid w:val="382275F5"/>
    <w:rsid w:val="385D37E7"/>
    <w:rsid w:val="38782EDD"/>
    <w:rsid w:val="38A670F1"/>
    <w:rsid w:val="39305678"/>
    <w:rsid w:val="3A563FC1"/>
    <w:rsid w:val="3A687850"/>
    <w:rsid w:val="3A7E7074"/>
    <w:rsid w:val="3AA82343"/>
    <w:rsid w:val="3B42664A"/>
    <w:rsid w:val="3CAD1E92"/>
    <w:rsid w:val="3CD76F0F"/>
    <w:rsid w:val="3D836A4E"/>
    <w:rsid w:val="3DCE20C0"/>
    <w:rsid w:val="3DFC6C2D"/>
    <w:rsid w:val="3E216694"/>
    <w:rsid w:val="3E94330A"/>
    <w:rsid w:val="3EA37E97"/>
    <w:rsid w:val="3EEC6CA2"/>
    <w:rsid w:val="3F2C52F0"/>
    <w:rsid w:val="3FBE0BC5"/>
    <w:rsid w:val="4048103A"/>
    <w:rsid w:val="40556AC9"/>
    <w:rsid w:val="40736643"/>
    <w:rsid w:val="40D24A7A"/>
    <w:rsid w:val="41B63597"/>
    <w:rsid w:val="41D028AB"/>
    <w:rsid w:val="42621029"/>
    <w:rsid w:val="42982C9D"/>
    <w:rsid w:val="42E83C24"/>
    <w:rsid w:val="435241E2"/>
    <w:rsid w:val="438A4CDB"/>
    <w:rsid w:val="43975C51"/>
    <w:rsid w:val="439E3FA7"/>
    <w:rsid w:val="43E73EDC"/>
    <w:rsid w:val="44411790"/>
    <w:rsid w:val="44B32266"/>
    <w:rsid w:val="44C304A5"/>
    <w:rsid w:val="44FC64F4"/>
    <w:rsid w:val="4588754D"/>
    <w:rsid w:val="45F94EA0"/>
    <w:rsid w:val="463F7FFF"/>
    <w:rsid w:val="46671304"/>
    <w:rsid w:val="466A4950"/>
    <w:rsid w:val="467F4585"/>
    <w:rsid w:val="470628CB"/>
    <w:rsid w:val="471F573B"/>
    <w:rsid w:val="4729480B"/>
    <w:rsid w:val="47555BD4"/>
    <w:rsid w:val="47BC2DB1"/>
    <w:rsid w:val="47E96399"/>
    <w:rsid w:val="47F76025"/>
    <w:rsid w:val="484E4529"/>
    <w:rsid w:val="486E33F5"/>
    <w:rsid w:val="48994F34"/>
    <w:rsid w:val="48BF5427"/>
    <w:rsid w:val="48E12B50"/>
    <w:rsid w:val="49492F43"/>
    <w:rsid w:val="499441BE"/>
    <w:rsid w:val="499A6C1C"/>
    <w:rsid w:val="499F0DB5"/>
    <w:rsid w:val="49D97E23"/>
    <w:rsid w:val="4A195607"/>
    <w:rsid w:val="4A2138F0"/>
    <w:rsid w:val="4A4638A0"/>
    <w:rsid w:val="4A583887"/>
    <w:rsid w:val="4A930919"/>
    <w:rsid w:val="4B187071"/>
    <w:rsid w:val="4B7E5126"/>
    <w:rsid w:val="4B9F6E02"/>
    <w:rsid w:val="4C89637B"/>
    <w:rsid w:val="4CB15087"/>
    <w:rsid w:val="4CE511D4"/>
    <w:rsid w:val="4D74696D"/>
    <w:rsid w:val="4D77007F"/>
    <w:rsid w:val="4E6E48A8"/>
    <w:rsid w:val="4E7410B4"/>
    <w:rsid w:val="4EC512BE"/>
    <w:rsid w:val="4EE03A01"/>
    <w:rsid w:val="4EEC036B"/>
    <w:rsid w:val="4F0537F9"/>
    <w:rsid w:val="4F714FA1"/>
    <w:rsid w:val="501D2673"/>
    <w:rsid w:val="502B33A2"/>
    <w:rsid w:val="50C80BF1"/>
    <w:rsid w:val="51256043"/>
    <w:rsid w:val="51852833"/>
    <w:rsid w:val="52224331"/>
    <w:rsid w:val="52BC4786"/>
    <w:rsid w:val="52F11AC8"/>
    <w:rsid w:val="534D3630"/>
    <w:rsid w:val="534F49D9"/>
    <w:rsid w:val="53555F0F"/>
    <w:rsid w:val="535D23D5"/>
    <w:rsid w:val="537A08C9"/>
    <w:rsid w:val="53EE4D91"/>
    <w:rsid w:val="54240834"/>
    <w:rsid w:val="54EF0E42"/>
    <w:rsid w:val="556D1D67"/>
    <w:rsid w:val="557B26D6"/>
    <w:rsid w:val="55BB0D24"/>
    <w:rsid w:val="561A3C9D"/>
    <w:rsid w:val="567809C3"/>
    <w:rsid w:val="56F4341A"/>
    <w:rsid w:val="57212E09"/>
    <w:rsid w:val="575A7321"/>
    <w:rsid w:val="57AC4DC9"/>
    <w:rsid w:val="580C3AB9"/>
    <w:rsid w:val="583C7AE0"/>
    <w:rsid w:val="586C1E9A"/>
    <w:rsid w:val="586E0800"/>
    <w:rsid w:val="59216F96"/>
    <w:rsid w:val="598C4145"/>
    <w:rsid w:val="59957D1B"/>
    <w:rsid w:val="59A9126B"/>
    <w:rsid w:val="59D4294E"/>
    <w:rsid w:val="59E009DF"/>
    <w:rsid w:val="5ABD553F"/>
    <w:rsid w:val="5AD84127"/>
    <w:rsid w:val="5ADC3C17"/>
    <w:rsid w:val="5B242EC8"/>
    <w:rsid w:val="5B634312"/>
    <w:rsid w:val="5B9D2CCD"/>
    <w:rsid w:val="5B9E71EA"/>
    <w:rsid w:val="5C642116"/>
    <w:rsid w:val="5D355860"/>
    <w:rsid w:val="5D4B578F"/>
    <w:rsid w:val="5E226FBC"/>
    <w:rsid w:val="5E4D2736"/>
    <w:rsid w:val="5EE96902"/>
    <w:rsid w:val="5F954394"/>
    <w:rsid w:val="5FA840C8"/>
    <w:rsid w:val="5FE72BD2"/>
    <w:rsid w:val="6005151A"/>
    <w:rsid w:val="60120613"/>
    <w:rsid w:val="612105D5"/>
    <w:rsid w:val="61265BEC"/>
    <w:rsid w:val="61834DEC"/>
    <w:rsid w:val="618D5292"/>
    <w:rsid w:val="622E78FA"/>
    <w:rsid w:val="63100901"/>
    <w:rsid w:val="631101D6"/>
    <w:rsid w:val="632223E3"/>
    <w:rsid w:val="63343F70"/>
    <w:rsid w:val="633B5253"/>
    <w:rsid w:val="63827325"/>
    <w:rsid w:val="63B95A6A"/>
    <w:rsid w:val="64296E1C"/>
    <w:rsid w:val="64386FCC"/>
    <w:rsid w:val="649E64A2"/>
    <w:rsid w:val="65E5270A"/>
    <w:rsid w:val="66252916"/>
    <w:rsid w:val="663D3C54"/>
    <w:rsid w:val="667A6962"/>
    <w:rsid w:val="66862C89"/>
    <w:rsid w:val="66A31A8D"/>
    <w:rsid w:val="66BB486D"/>
    <w:rsid w:val="67394C7D"/>
    <w:rsid w:val="676C6322"/>
    <w:rsid w:val="67A1421E"/>
    <w:rsid w:val="67EE4F89"/>
    <w:rsid w:val="68126B38"/>
    <w:rsid w:val="68282249"/>
    <w:rsid w:val="68291A1A"/>
    <w:rsid w:val="68352BB8"/>
    <w:rsid w:val="68C006D4"/>
    <w:rsid w:val="691327EB"/>
    <w:rsid w:val="691B1594"/>
    <w:rsid w:val="693A016B"/>
    <w:rsid w:val="6A17429C"/>
    <w:rsid w:val="6A567EA3"/>
    <w:rsid w:val="6B4B4368"/>
    <w:rsid w:val="6B79100E"/>
    <w:rsid w:val="6B916358"/>
    <w:rsid w:val="6C24541E"/>
    <w:rsid w:val="6C314E5C"/>
    <w:rsid w:val="6C844C00"/>
    <w:rsid w:val="6CD45901"/>
    <w:rsid w:val="6D0D5EB2"/>
    <w:rsid w:val="6D910891"/>
    <w:rsid w:val="6DA32372"/>
    <w:rsid w:val="6DCF13B9"/>
    <w:rsid w:val="6E10212C"/>
    <w:rsid w:val="6E43561A"/>
    <w:rsid w:val="6E557973"/>
    <w:rsid w:val="6E9568DB"/>
    <w:rsid w:val="6F0D6C22"/>
    <w:rsid w:val="6F210EE5"/>
    <w:rsid w:val="6F47657F"/>
    <w:rsid w:val="6F914B78"/>
    <w:rsid w:val="6FA26D85"/>
    <w:rsid w:val="6FAF23D9"/>
    <w:rsid w:val="70635CF6"/>
    <w:rsid w:val="70670707"/>
    <w:rsid w:val="709D4651"/>
    <w:rsid w:val="70AE3508"/>
    <w:rsid w:val="71B608C6"/>
    <w:rsid w:val="720E3691"/>
    <w:rsid w:val="7249173A"/>
    <w:rsid w:val="724E244C"/>
    <w:rsid w:val="72DA6946"/>
    <w:rsid w:val="732764B3"/>
    <w:rsid w:val="73553E03"/>
    <w:rsid w:val="73D75556"/>
    <w:rsid w:val="74026044"/>
    <w:rsid w:val="7420296E"/>
    <w:rsid w:val="742D0BE7"/>
    <w:rsid w:val="74325A77"/>
    <w:rsid w:val="74402983"/>
    <w:rsid w:val="74746410"/>
    <w:rsid w:val="750D2EF3"/>
    <w:rsid w:val="753A7A60"/>
    <w:rsid w:val="75C8506C"/>
    <w:rsid w:val="75E5007C"/>
    <w:rsid w:val="76B05236"/>
    <w:rsid w:val="76C03F95"/>
    <w:rsid w:val="76C53359"/>
    <w:rsid w:val="77476464"/>
    <w:rsid w:val="77534E09"/>
    <w:rsid w:val="77636B63"/>
    <w:rsid w:val="77813724"/>
    <w:rsid w:val="77861774"/>
    <w:rsid w:val="77D777E8"/>
    <w:rsid w:val="77E51F05"/>
    <w:rsid w:val="780A196C"/>
    <w:rsid w:val="78F31435"/>
    <w:rsid w:val="78FD6DDA"/>
    <w:rsid w:val="79273E57"/>
    <w:rsid w:val="79300B45"/>
    <w:rsid w:val="794D3E18"/>
    <w:rsid w:val="79AD6A52"/>
    <w:rsid w:val="79BD656A"/>
    <w:rsid w:val="79F3729A"/>
    <w:rsid w:val="7A6D61E2"/>
    <w:rsid w:val="7A880722"/>
    <w:rsid w:val="7AB20098"/>
    <w:rsid w:val="7ABE6120"/>
    <w:rsid w:val="7ACB0498"/>
    <w:rsid w:val="7AED0B4D"/>
    <w:rsid w:val="7B05466C"/>
    <w:rsid w:val="7BD52290"/>
    <w:rsid w:val="7C1E4487"/>
    <w:rsid w:val="7C215E02"/>
    <w:rsid w:val="7C9A0DE4"/>
    <w:rsid w:val="7CA13F21"/>
    <w:rsid w:val="7CF130FA"/>
    <w:rsid w:val="7CF23764"/>
    <w:rsid w:val="7D851A94"/>
    <w:rsid w:val="7D99569A"/>
    <w:rsid w:val="7E0D5D12"/>
    <w:rsid w:val="7E797F74"/>
    <w:rsid w:val="7E977CD1"/>
    <w:rsid w:val="7EE03426"/>
    <w:rsid w:val="7F875650"/>
    <w:rsid w:val="7F924011"/>
    <w:rsid w:val="7FC52DC2"/>
    <w:rsid w:val="7FDD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3">
    <w:name w:val="heading 2"/>
    <w:basedOn w:val="1"/>
    <w:next w:val="1"/>
    <w:link w:val="20"/>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4">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pPr>
      <w:spacing w:before="240" w:after="240" w:line="360" w:lineRule="auto"/>
      <w:jc w:val="center"/>
    </w:pPr>
    <w:rPr>
      <w:b/>
      <w:sz w:val="44"/>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6"/>
    <w:qFormat/>
    <w:uiPriority w:val="0"/>
    <w:pPr>
      <w:spacing w:after="0"/>
      <w:ind w:firstLine="200" w:firstLineChars="200"/>
    </w:pPr>
  </w:style>
  <w:style w:type="character" w:styleId="18">
    <w:name w:val="Strong"/>
    <w:basedOn w:val="17"/>
    <w:qFormat/>
    <w:uiPriority w:val="0"/>
    <w:rPr>
      <w:b/>
      <w:bCs/>
    </w:rPr>
  </w:style>
  <w:style w:type="paragraph" w:customStyle="1" w:styleId="19">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20">
    <w:name w:val="标题 2 Char"/>
    <w:link w:val="3"/>
    <w:qFormat/>
    <w:uiPriority w:val="0"/>
    <w:rPr>
      <w:rFonts w:ascii="Arial" w:hAnsi="Arial" w:eastAsia="楷体"/>
      <w:b/>
      <w:sz w:val="32"/>
    </w:rPr>
  </w:style>
  <w:style w:type="paragraph" w:customStyle="1" w:styleId="21">
    <w:name w:val="WPSOffice手动目录 1"/>
    <w:qFormat/>
    <w:uiPriority w:val="0"/>
    <w:pPr>
      <w:ind w:leftChars="0"/>
    </w:pPr>
    <w:rPr>
      <w:rFonts w:ascii="Times New Roman" w:hAnsi="Times New Roman" w:eastAsia="宋体" w:cs="Times New Roman"/>
      <w:sz w:val="20"/>
      <w:szCs w:val="20"/>
    </w:rPr>
  </w:style>
  <w:style w:type="paragraph" w:customStyle="1" w:styleId="22">
    <w:name w:val="WPSOffice手动目录 2"/>
    <w:qFormat/>
    <w:uiPriority w:val="0"/>
    <w:pPr>
      <w:ind w:leftChars="200"/>
    </w:pPr>
    <w:rPr>
      <w:rFonts w:ascii="Times New Roman" w:hAnsi="Times New Roman" w:eastAsia="宋体" w:cs="Times New Roman"/>
      <w:sz w:val="20"/>
      <w:szCs w:val="20"/>
    </w:rPr>
  </w:style>
  <w:style w:type="paragraph" w:customStyle="1" w:styleId="23">
    <w:name w:val="WPSOffice手动目录 3"/>
    <w:qFormat/>
    <w:uiPriority w:val="0"/>
    <w:pPr>
      <w:ind w:leftChars="400"/>
    </w:pPr>
    <w:rPr>
      <w:rFonts w:ascii="Times New Roman" w:hAnsi="Times New Roman" w:eastAsia="宋体" w:cs="Times New Roman"/>
      <w:sz w:val="20"/>
      <w:szCs w:val="20"/>
    </w:rPr>
  </w:style>
  <w:style w:type="character" w:customStyle="1" w:styleId="24">
    <w:name w:val="font11"/>
    <w:basedOn w:val="17"/>
    <w:qFormat/>
    <w:uiPriority w:val="0"/>
    <w:rPr>
      <w:rFonts w:hint="eastAsia" w:ascii="宋体" w:hAnsi="宋体" w:eastAsia="宋体" w:cs="宋体"/>
      <w:color w:val="000000"/>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10456</Words>
  <Characters>11135</Characters>
  <Lines>0</Lines>
  <Paragraphs>0</Paragraphs>
  <TotalTime>0</TotalTime>
  <ScaleCrop>false</ScaleCrop>
  <LinksUpToDate>false</LinksUpToDate>
  <CharactersWithSpaces>11208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2025-10-23T04:15:04Z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2F294BBEAAF140C7B8ACCA3C4FA29F1F_13</vt:lpwstr>
  </property>
  <property fmtid="{D5CDD505-2E9C-101B-9397-08002B2CF9AE}" pid="4" name="KSOTemplateDocerSaveRecord">
    <vt:lpwstr>eyJoZGlkIjoiNTY3MmI4ODZmMjljZWZhNGFkN2U2N2Y4ODgwYjM5ZGIiLCJ1c2VySWQiOiIzNjI1MzY3NzcifQ==</vt:lpwstr>
  </property>
</Properties>
</file>