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45E70F">
      <w:pPr>
        <w:pageBreakBefore w:val="0"/>
        <w:kinsoku/>
        <w:wordWrap/>
        <w:overflowPunct/>
        <w:topLinePunct w:val="0"/>
        <w:autoSpaceDE/>
        <w:autoSpaceDN/>
        <w:bidi w:val="0"/>
        <w:adjustRightInd/>
        <w:spacing w:line="560" w:lineRule="exact"/>
        <w:ind w:firstLine="1142" w:firstLineChars="316"/>
        <w:jc w:val="center"/>
        <w:textAlignment w:val="auto"/>
        <w:rPr>
          <w:rFonts w:hint="eastAsia" w:ascii="宋体" w:hAnsi="宋体" w:eastAsia="宋体" w:cs="宋体"/>
          <w:b/>
          <w:bCs/>
          <w:color w:val="auto"/>
          <w:sz w:val="36"/>
          <w:szCs w:val="36"/>
          <w:highlight w:val="none"/>
          <w:shd w:val="clear" w:color="auto" w:fill="auto"/>
        </w:rPr>
      </w:pPr>
    </w:p>
    <w:p w14:paraId="6D0CF298">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577E6288">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066068B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sz w:val="40"/>
          <w:szCs w:val="40"/>
          <w:highlight w:val="none"/>
          <w:shd w:val="clear" w:color="auto" w:fill="auto"/>
        </w:rPr>
      </w:pPr>
      <w:bookmarkStart w:id="0" w:name="_Toc29123"/>
      <w:bookmarkStart w:id="1" w:name="_Toc1949"/>
      <w:bookmarkStart w:id="2" w:name="_Toc15679"/>
      <w:bookmarkStart w:id="3" w:name="_Toc25575"/>
      <w:r>
        <w:rPr>
          <w:rFonts w:hint="eastAsia" w:ascii="宋体" w:hAnsi="宋体" w:eastAsia="宋体" w:cs="宋体"/>
          <w:b/>
          <w:bCs/>
          <w:color w:val="auto"/>
          <w:sz w:val="40"/>
          <w:szCs w:val="40"/>
          <w:highlight w:val="none"/>
          <w:shd w:val="clear" w:color="auto" w:fill="auto"/>
        </w:rPr>
        <w:t>2024年学前教育生均经费</w:t>
      </w:r>
      <w:r>
        <w:rPr>
          <w:rFonts w:hint="eastAsia" w:ascii="宋体" w:hAnsi="宋体" w:eastAsia="宋体" w:cs="宋体"/>
          <w:b/>
          <w:bCs/>
          <w:color w:val="auto"/>
          <w:sz w:val="40"/>
          <w:szCs w:val="40"/>
          <w:highlight w:val="none"/>
          <w:shd w:val="clear" w:color="auto" w:fill="auto"/>
          <w:lang w:val="en-US" w:eastAsia="zh-CN"/>
        </w:rPr>
        <w:t>项目</w:t>
      </w:r>
      <w:r>
        <w:rPr>
          <w:rFonts w:hint="eastAsia" w:ascii="宋体" w:hAnsi="宋体" w:eastAsia="宋体" w:cs="宋体"/>
          <w:b/>
          <w:bCs/>
          <w:color w:val="auto"/>
          <w:sz w:val="40"/>
          <w:szCs w:val="40"/>
          <w:highlight w:val="none"/>
          <w:shd w:val="clear" w:color="auto" w:fill="auto"/>
        </w:rPr>
        <w:t>支出绩效</w:t>
      </w:r>
    </w:p>
    <w:p w14:paraId="52CEF69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sz w:val="40"/>
          <w:szCs w:val="40"/>
          <w:highlight w:val="none"/>
          <w:shd w:val="clear" w:color="auto" w:fill="auto"/>
        </w:rPr>
      </w:pPr>
      <w:r>
        <w:rPr>
          <w:rFonts w:hint="eastAsia" w:ascii="宋体" w:hAnsi="宋体" w:eastAsia="宋体" w:cs="宋体"/>
          <w:b/>
          <w:bCs/>
          <w:color w:val="auto"/>
          <w:sz w:val="40"/>
          <w:szCs w:val="40"/>
          <w:highlight w:val="none"/>
          <w:shd w:val="clear" w:color="auto" w:fill="auto"/>
        </w:rPr>
        <w:t>评价报告</w:t>
      </w:r>
      <w:bookmarkEnd w:id="0"/>
      <w:bookmarkEnd w:id="1"/>
      <w:bookmarkEnd w:id="2"/>
      <w:bookmarkEnd w:id="3"/>
    </w:p>
    <w:p w14:paraId="26A21699">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3DDD8EF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7C5008D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32C76B0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7E9326B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65A2F53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08E1AF88">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6AAADC36">
      <w:pPr>
        <w:spacing w:line="360" w:lineRule="auto"/>
        <w:ind w:firstLine="0" w:firstLineChars="0"/>
        <w:jc w:val="left"/>
        <w:rPr>
          <w:rFonts w:ascii="黑体" w:hAnsi="Times New Roman" w:eastAsia="黑体"/>
          <w:b w:val="0"/>
          <w:bCs/>
          <w:color w:val="auto"/>
          <w:sz w:val="30"/>
          <w:szCs w:val="30"/>
          <w:highlight w:val="none"/>
        </w:rPr>
      </w:pPr>
      <w:r>
        <w:rPr>
          <w:rFonts w:hint="eastAsia" w:ascii="黑体" w:hAnsi="Times New Roman" w:eastAsia="黑体"/>
          <w:b w:val="0"/>
          <w:bCs/>
          <w:color w:val="auto"/>
          <w:sz w:val="30"/>
          <w:szCs w:val="30"/>
          <w:highlight w:val="none"/>
        </w:rPr>
        <w:t>项目名称：2024年学前教育生均经费</w:t>
      </w:r>
    </w:p>
    <w:p w14:paraId="7CB8A243">
      <w:pPr>
        <w:spacing w:line="360" w:lineRule="auto"/>
        <w:ind w:firstLine="0" w:firstLineChars="0"/>
        <w:jc w:val="left"/>
        <w:rPr>
          <w:rFonts w:hint="default" w:ascii="黑体" w:hAnsi="Times New Roman" w:eastAsia="黑体"/>
          <w:b w:val="0"/>
          <w:bCs/>
          <w:color w:val="auto"/>
          <w:sz w:val="30"/>
          <w:szCs w:val="30"/>
          <w:highlight w:val="none"/>
          <w:lang w:val="en-US" w:eastAsia="zh-CN"/>
        </w:rPr>
      </w:pPr>
      <w:r>
        <w:rPr>
          <w:rFonts w:hint="eastAsia" w:ascii="黑体" w:hAnsi="Times New Roman" w:eastAsia="黑体"/>
          <w:b w:val="0"/>
          <w:bCs/>
          <w:color w:val="auto"/>
          <w:sz w:val="30"/>
          <w:szCs w:val="30"/>
          <w:highlight w:val="none"/>
        </w:rPr>
        <w:t>实施单位：</w:t>
      </w:r>
      <w:r>
        <w:rPr>
          <w:rFonts w:hint="eastAsia" w:ascii="黑体" w:hAnsi="Times New Roman" w:eastAsia="黑体"/>
          <w:b w:val="0"/>
          <w:bCs/>
          <w:color w:val="auto"/>
          <w:sz w:val="30"/>
          <w:szCs w:val="30"/>
          <w:highlight w:val="none"/>
          <w:lang w:eastAsia="zh-CN"/>
        </w:rPr>
        <w:t>阜康市第六幼儿园</w:t>
      </w:r>
    </w:p>
    <w:p w14:paraId="1CD13478">
      <w:pPr>
        <w:spacing w:line="360" w:lineRule="auto"/>
        <w:ind w:firstLine="0" w:firstLineChars="0"/>
        <w:jc w:val="left"/>
        <w:rPr>
          <w:rFonts w:hint="eastAsia" w:ascii="黑体" w:hAnsi="Times New Roman" w:eastAsia="黑体"/>
          <w:b w:val="0"/>
          <w:bCs/>
          <w:color w:val="auto"/>
          <w:sz w:val="30"/>
          <w:szCs w:val="30"/>
          <w:highlight w:val="none"/>
          <w:lang w:eastAsia="zh-CN"/>
        </w:rPr>
      </w:pPr>
      <w:r>
        <w:rPr>
          <w:rFonts w:hint="eastAsia" w:ascii="黑体" w:hAnsi="Times New Roman" w:eastAsia="黑体"/>
          <w:b w:val="0"/>
          <w:bCs/>
          <w:color w:val="auto"/>
          <w:sz w:val="30"/>
          <w:szCs w:val="30"/>
          <w:highlight w:val="none"/>
        </w:rPr>
        <w:t>主管部门：</w:t>
      </w:r>
      <w:r>
        <w:rPr>
          <w:rFonts w:hint="eastAsia" w:ascii="黑体" w:hAnsi="Times New Roman" w:eastAsia="黑体"/>
          <w:b w:val="0"/>
          <w:bCs/>
          <w:color w:val="auto"/>
          <w:sz w:val="30"/>
          <w:szCs w:val="30"/>
          <w:highlight w:val="none"/>
          <w:lang w:eastAsia="zh-CN"/>
        </w:rPr>
        <w:t>阜康市教育局</w:t>
      </w:r>
    </w:p>
    <w:p w14:paraId="065BEE39">
      <w:pPr>
        <w:spacing w:line="360" w:lineRule="auto"/>
        <w:ind w:firstLine="0" w:firstLineChars="0"/>
        <w:jc w:val="left"/>
        <w:rPr>
          <w:rFonts w:hint="eastAsia" w:ascii="黑体" w:hAnsi="Times New Roman" w:eastAsia="宋体"/>
          <w:b w:val="0"/>
          <w:bCs/>
          <w:color w:val="auto"/>
          <w:sz w:val="30"/>
          <w:szCs w:val="30"/>
          <w:highlight w:val="none"/>
          <w:lang w:eastAsia="zh-CN"/>
        </w:rPr>
      </w:pPr>
      <w:r>
        <w:rPr>
          <w:rFonts w:hint="eastAsia" w:ascii="黑体" w:hAnsi="Times New Roman" w:eastAsia="黑体"/>
          <w:b w:val="0"/>
          <w:bCs/>
          <w:color w:val="auto"/>
          <w:sz w:val="30"/>
          <w:szCs w:val="30"/>
          <w:highlight w:val="none"/>
          <w:lang w:eastAsia="zh-CN"/>
        </w:rPr>
        <w:t>项目负责人：谢娇</w:t>
      </w:r>
    </w:p>
    <w:p w14:paraId="50706B4B">
      <w:pPr>
        <w:spacing w:line="360" w:lineRule="auto"/>
        <w:ind w:firstLine="0" w:firstLineChars="0"/>
        <w:jc w:val="left"/>
        <w:rPr>
          <w:rFonts w:hint="default"/>
          <w:b w:val="0"/>
          <w:bCs/>
          <w:color w:val="auto"/>
          <w:highlight w:val="none"/>
          <w:lang w:val="en-US" w:eastAsia="zh-CN"/>
        </w:rPr>
      </w:pPr>
      <w:r>
        <w:rPr>
          <w:rFonts w:hint="eastAsia" w:ascii="黑体" w:hAnsi="Times New Roman" w:eastAsia="黑体"/>
          <w:b w:val="0"/>
          <w:bCs/>
          <w:color w:val="auto"/>
          <w:sz w:val="30"/>
          <w:szCs w:val="30"/>
          <w:highlight w:val="none"/>
          <w:lang w:eastAsia="zh-CN"/>
        </w:rPr>
        <w:t>填报时间：</w:t>
      </w:r>
      <w:r>
        <w:rPr>
          <w:rFonts w:hint="eastAsia" w:ascii="黑体" w:hAnsi="Times New Roman" w:eastAsia="黑体"/>
          <w:b w:val="0"/>
          <w:bCs/>
          <w:color w:val="auto"/>
          <w:sz w:val="30"/>
          <w:szCs w:val="30"/>
          <w:highlight w:val="none"/>
          <w:lang w:val="en-US" w:eastAsia="zh-CN"/>
        </w:rPr>
        <w:t>2025年3月31日</w:t>
      </w:r>
    </w:p>
    <w:p w14:paraId="5E9F2796">
      <w:pPr>
        <w:pStyle w:val="14"/>
        <w:pageBreakBefore w:val="0"/>
        <w:kinsoku/>
        <w:wordWrap/>
        <w:overflowPunct/>
        <w:topLinePunct w:val="0"/>
        <w:autoSpaceDE/>
        <w:autoSpaceDN/>
        <w:bidi w:val="0"/>
        <w:spacing w:line="560" w:lineRule="exact"/>
        <w:textAlignment w:val="auto"/>
        <w:outlineLvl w:val="9"/>
        <w:rPr>
          <w:rFonts w:hint="eastAsia" w:ascii="宋体" w:hAnsi="宋体" w:eastAsia="宋体" w:cs="宋体"/>
          <w:b/>
          <w:color w:val="auto"/>
          <w:kern w:val="2"/>
          <w:sz w:val="28"/>
          <w:szCs w:val="28"/>
          <w:highlight w:val="none"/>
          <w:shd w:val="clear" w:color="auto" w:fill="auto"/>
          <w:lang w:val="en-US" w:eastAsia="zh-CN"/>
        </w:rPr>
      </w:pPr>
    </w:p>
    <w:p w14:paraId="172711C6">
      <w:pPr>
        <w:pageBreakBefore w:val="0"/>
        <w:kinsoku/>
        <w:wordWrap/>
        <w:overflowPunct/>
        <w:topLinePunct w:val="0"/>
        <w:autoSpaceDE/>
        <w:autoSpaceDN/>
        <w:bidi w:val="0"/>
        <w:spacing w:line="560" w:lineRule="exact"/>
        <w:textAlignment w:val="auto"/>
        <w:rPr>
          <w:rFonts w:hint="eastAsia"/>
          <w:color w:val="auto"/>
          <w:highlight w:val="none"/>
          <w:lang w:val="en-US" w:eastAsia="zh-CN"/>
        </w:rPr>
      </w:pPr>
      <w:r>
        <w:rPr>
          <w:rFonts w:hint="eastAsia"/>
          <w:color w:val="auto"/>
          <w:highlight w:val="none"/>
          <w:lang w:val="en-US" w:eastAsia="zh-CN"/>
        </w:rPr>
        <w:br w:type="page"/>
      </w:r>
    </w:p>
    <w:p w14:paraId="48C440DF">
      <w:pPr>
        <w:pageBreakBefore w:val="0"/>
        <w:kinsoku/>
        <w:wordWrap/>
        <w:overflowPunct/>
        <w:topLinePunct w:val="0"/>
        <w:autoSpaceDE/>
        <w:autoSpaceDN/>
        <w:bidi w:val="0"/>
        <w:spacing w:line="560" w:lineRule="exact"/>
        <w:textAlignment w:val="auto"/>
        <w:rPr>
          <w:rFonts w:hint="eastAsia"/>
          <w:color w:val="auto"/>
          <w:highlight w:val="none"/>
          <w:lang w:val="en-US" w:eastAsia="zh-CN"/>
        </w:rPr>
      </w:pPr>
    </w:p>
    <w:sdt>
      <w:sdtPr>
        <w:rPr>
          <w:rFonts w:ascii="宋体" w:hAnsi="宋体" w:eastAsia="宋体" w:cs="宋体"/>
          <w:b/>
          <w:bCs/>
          <w:color w:val="auto"/>
          <w:kern w:val="2"/>
          <w:sz w:val="28"/>
          <w:szCs w:val="40"/>
          <w:highlight w:val="none"/>
          <w:lang w:val="en-US" w:eastAsia="zh-CN" w:bidi="ar-SA"/>
        </w:rPr>
        <w:id w:val="147474046"/>
        <w15:color w:val="DBDBDB"/>
        <w:docPartObj>
          <w:docPartGallery w:val="Table of Contents"/>
          <w:docPartUnique/>
        </w:docPartObj>
      </w:sdtPr>
      <w:sdtEndPr>
        <w:rPr>
          <w:rFonts w:hint="eastAsia" w:ascii="宋体" w:hAnsi="宋体" w:eastAsia="宋体" w:cs="宋体"/>
          <w:b/>
          <w:bCs/>
          <w:color w:val="auto"/>
          <w:kern w:val="2"/>
          <w:sz w:val="28"/>
          <w:szCs w:val="28"/>
          <w:highlight w:val="none"/>
          <w:lang w:val="en-US" w:eastAsia="zh-CN" w:bidi="ar-SA"/>
        </w:rPr>
      </w:sdtEndPr>
      <w:sdtContent>
        <w:p w14:paraId="2C77D8D6">
          <w:pPr>
            <w:keepNext w:val="0"/>
            <w:keepLines w:val="0"/>
            <w:pageBreakBefore w:val="0"/>
            <w:shd w:val="clear"/>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b/>
              <w:bCs/>
              <w:color w:val="auto"/>
              <w:sz w:val="40"/>
              <w:szCs w:val="40"/>
              <w:highlight w:val="none"/>
            </w:rPr>
          </w:pPr>
          <w:r>
            <w:rPr>
              <w:rFonts w:ascii="宋体" w:hAnsi="宋体" w:eastAsia="宋体"/>
              <w:b/>
              <w:bCs/>
              <w:color w:val="auto"/>
              <w:sz w:val="40"/>
              <w:szCs w:val="40"/>
              <w:highlight w:val="none"/>
            </w:rPr>
            <w:t>目录</w:t>
          </w:r>
        </w:p>
        <w:p w14:paraId="7A85C49B">
          <w:pPr>
            <w:pStyle w:val="10"/>
            <w:tabs>
              <w:tab w:val="right" w:leader="dot" w:pos="8844"/>
            </w:tabs>
            <w:rPr>
              <w:color w:val="auto"/>
              <w:highlight w:val="none"/>
            </w:rPr>
          </w:pPr>
          <w:r>
            <w:rPr>
              <w:rFonts w:hint="eastAsia"/>
              <w:color w:val="auto"/>
              <w:sz w:val="28"/>
              <w:szCs w:val="28"/>
              <w:highlight w:val="none"/>
              <w:lang w:val="en-US" w:eastAsia="zh-CN"/>
            </w:rPr>
            <w:fldChar w:fldCharType="begin"/>
          </w:r>
          <w:r>
            <w:rPr>
              <w:rFonts w:hint="eastAsia"/>
              <w:color w:val="auto"/>
              <w:sz w:val="28"/>
              <w:szCs w:val="28"/>
              <w:highlight w:val="none"/>
              <w:lang w:val="en-US" w:eastAsia="zh-CN"/>
            </w:rPr>
            <w:instrText xml:space="preserve">TOC \o "1-3" \h \u </w:instrText>
          </w:r>
          <w:r>
            <w:rPr>
              <w:rFonts w:hint="eastAsia"/>
              <w:color w:val="auto"/>
              <w:sz w:val="28"/>
              <w:szCs w:val="28"/>
              <w:highlight w:val="none"/>
              <w:lang w:val="en-US" w:eastAsia="zh-CN"/>
            </w:rPr>
            <w:fldChar w:fldCharType="separate"/>
          </w:r>
        </w:p>
        <w:p w14:paraId="2212584B">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_Toc18485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rPr>
            <w:t>一、基本情况</w:t>
          </w:r>
          <w:r>
            <w:rPr>
              <w:color w:val="auto"/>
              <w:highlight w:val="none"/>
            </w:rPr>
            <w:tab/>
          </w:r>
          <w:r>
            <w:rPr>
              <w:color w:val="auto"/>
              <w:highlight w:val="none"/>
            </w:rPr>
            <w:fldChar w:fldCharType="begin"/>
          </w:r>
          <w:r>
            <w:rPr>
              <w:color w:val="auto"/>
              <w:highlight w:val="none"/>
            </w:rPr>
            <w:instrText xml:space="preserve"> PAGEREF _Toc18485 \h </w:instrText>
          </w:r>
          <w:r>
            <w:rPr>
              <w:color w:val="auto"/>
              <w:highlight w:val="none"/>
            </w:rPr>
            <w:fldChar w:fldCharType="separate"/>
          </w:r>
          <w:r>
            <w:rPr>
              <w:color w:val="auto"/>
              <w:highlight w:val="none"/>
            </w:rPr>
            <w:t>4</w:t>
          </w:r>
          <w:r>
            <w:rPr>
              <w:color w:val="auto"/>
              <w:highlight w:val="none"/>
            </w:rPr>
            <w:fldChar w:fldCharType="end"/>
          </w:r>
          <w:r>
            <w:rPr>
              <w:rFonts w:hint="eastAsia"/>
              <w:color w:val="auto"/>
              <w:szCs w:val="28"/>
              <w:highlight w:val="none"/>
              <w:lang w:val="en-US" w:eastAsia="zh-CN"/>
            </w:rPr>
            <w:fldChar w:fldCharType="end"/>
          </w:r>
        </w:p>
        <w:p w14:paraId="3912E34D">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_Toc23184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（一）项目概况</w:t>
          </w:r>
          <w:r>
            <w:rPr>
              <w:color w:val="auto"/>
              <w:highlight w:val="none"/>
            </w:rPr>
            <w:tab/>
          </w:r>
          <w:r>
            <w:rPr>
              <w:color w:val="auto"/>
              <w:highlight w:val="none"/>
            </w:rPr>
            <w:fldChar w:fldCharType="begin"/>
          </w:r>
          <w:r>
            <w:rPr>
              <w:color w:val="auto"/>
              <w:highlight w:val="none"/>
            </w:rPr>
            <w:instrText xml:space="preserve"> PAGEREF _Toc23184 \h </w:instrText>
          </w:r>
          <w:r>
            <w:rPr>
              <w:color w:val="auto"/>
              <w:highlight w:val="none"/>
            </w:rPr>
            <w:fldChar w:fldCharType="separate"/>
          </w:r>
          <w:r>
            <w:rPr>
              <w:color w:val="auto"/>
              <w:highlight w:val="none"/>
            </w:rPr>
            <w:t>4</w:t>
          </w:r>
          <w:r>
            <w:rPr>
              <w:color w:val="auto"/>
              <w:highlight w:val="none"/>
            </w:rPr>
            <w:fldChar w:fldCharType="end"/>
          </w:r>
          <w:r>
            <w:rPr>
              <w:rFonts w:hint="eastAsia"/>
              <w:color w:val="auto"/>
              <w:szCs w:val="28"/>
              <w:highlight w:val="none"/>
              <w:lang w:val="en-US" w:eastAsia="zh-CN"/>
            </w:rPr>
            <w:fldChar w:fldCharType="end"/>
          </w:r>
        </w:p>
        <w:p w14:paraId="17B41E73">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_Toc9109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（二）项目绩效目标</w:t>
          </w:r>
          <w:r>
            <w:rPr>
              <w:color w:val="auto"/>
              <w:highlight w:val="none"/>
            </w:rPr>
            <w:tab/>
          </w:r>
          <w:r>
            <w:rPr>
              <w:color w:val="auto"/>
              <w:highlight w:val="none"/>
            </w:rPr>
            <w:fldChar w:fldCharType="begin"/>
          </w:r>
          <w:r>
            <w:rPr>
              <w:color w:val="auto"/>
              <w:highlight w:val="none"/>
            </w:rPr>
            <w:instrText xml:space="preserve"> PAGEREF _Toc9109 \h </w:instrText>
          </w:r>
          <w:r>
            <w:rPr>
              <w:color w:val="auto"/>
              <w:highlight w:val="none"/>
            </w:rPr>
            <w:fldChar w:fldCharType="separate"/>
          </w:r>
          <w:r>
            <w:rPr>
              <w:color w:val="auto"/>
              <w:highlight w:val="none"/>
            </w:rPr>
            <w:t>5</w:t>
          </w:r>
          <w:r>
            <w:rPr>
              <w:color w:val="auto"/>
              <w:highlight w:val="none"/>
            </w:rPr>
            <w:fldChar w:fldCharType="end"/>
          </w:r>
          <w:r>
            <w:rPr>
              <w:rFonts w:hint="eastAsia"/>
              <w:color w:val="auto"/>
              <w:szCs w:val="28"/>
              <w:highlight w:val="none"/>
              <w:lang w:val="en-US" w:eastAsia="zh-CN"/>
            </w:rPr>
            <w:fldChar w:fldCharType="end"/>
          </w:r>
        </w:p>
        <w:p w14:paraId="37F756E6">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_Toc26567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rPr>
            <w:t>二、绩效评价工作开展情况</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_Toc26567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7</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4ED330E9">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_Toc22839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（一）绩效评价的目的、对象和范围</w:t>
          </w:r>
          <w:r>
            <w:rPr>
              <w:color w:val="auto"/>
              <w:highlight w:val="none"/>
            </w:rPr>
            <w:tab/>
          </w:r>
          <w:r>
            <w:rPr>
              <w:color w:val="auto"/>
              <w:highlight w:val="none"/>
            </w:rPr>
            <w:fldChar w:fldCharType="begin"/>
          </w:r>
          <w:r>
            <w:rPr>
              <w:color w:val="auto"/>
              <w:highlight w:val="none"/>
            </w:rPr>
            <w:instrText xml:space="preserve"> PAGEREF _Toc22839 \h </w:instrText>
          </w:r>
          <w:r>
            <w:rPr>
              <w:color w:val="auto"/>
              <w:highlight w:val="none"/>
            </w:rPr>
            <w:fldChar w:fldCharType="separate"/>
          </w:r>
          <w:r>
            <w:rPr>
              <w:color w:val="auto"/>
              <w:highlight w:val="none"/>
            </w:rPr>
            <w:t>7</w:t>
          </w:r>
          <w:r>
            <w:rPr>
              <w:color w:val="auto"/>
              <w:highlight w:val="none"/>
            </w:rPr>
            <w:fldChar w:fldCharType="end"/>
          </w:r>
          <w:r>
            <w:rPr>
              <w:rFonts w:hint="eastAsia"/>
              <w:color w:val="auto"/>
              <w:szCs w:val="28"/>
              <w:highlight w:val="none"/>
              <w:lang w:val="en-US" w:eastAsia="zh-CN"/>
            </w:rPr>
            <w:fldChar w:fldCharType="end"/>
          </w:r>
        </w:p>
        <w:p w14:paraId="41477607">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_Toc29785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（二）绩效评价原则、评价指标体系（</w:t>
          </w:r>
          <w:r>
            <w:rPr>
              <w:rFonts w:hint="default" w:ascii="Times New Roman" w:hAnsi="Times New Roman" w:eastAsia="楷体_GB2312" w:cs="Times New Roman"/>
              <w:color w:val="auto"/>
              <w:kern w:val="28"/>
              <w:highlight w:val="none"/>
              <w:lang w:val="en-US" w:eastAsia="zh-CN"/>
            </w:rPr>
            <w:t>详情见</w:t>
          </w:r>
          <w:r>
            <w:rPr>
              <w:rFonts w:hint="eastAsia" w:ascii="Times New Roman" w:hAnsi="Times New Roman" w:eastAsia="楷体_GB2312" w:cs="Times New Roman"/>
              <w:color w:val="auto"/>
              <w:kern w:val="28"/>
              <w:highlight w:val="none"/>
              <w:lang w:val="en-US" w:eastAsia="zh-CN"/>
            </w:rPr>
            <w:t>附件二）、评价方法、评价标准</w:t>
          </w:r>
          <w:r>
            <w:rPr>
              <w:color w:val="auto"/>
              <w:highlight w:val="none"/>
            </w:rPr>
            <w:tab/>
          </w:r>
          <w:r>
            <w:rPr>
              <w:color w:val="auto"/>
              <w:highlight w:val="none"/>
            </w:rPr>
            <w:fldChar w:fldCharType="begin"/>
          </w:r>
          <w:r>
            <w:rPr>
              <w:color w:val="auto"/>
              <w:highlight w:val="none"/>
            </w:rPr>
            <w:instrText xml:space="preserve"> PAGEREF _Toc29785 \h </w:instrText>
          </w:r>
          <w:r>
            <w:rPr>
              <w:color w:val="auto"/>
              <w:highlight w:val="none"/>
            </w:rPr>
            <w:fldChar w:fldCharType="separate"/>
          </w:r>
          <w:r>
            <w:rPr>
              <w:color w:val="auto"/>
              <w:highlight w:val="none"/>
            </w:rPr>
            <w:t>11</w:t>
          </w:r>
          <w:r>
            <w:rPr>
              <w:color w:val="auto"/>
              <w:highlight w:val="none"/>
            </w:rPr>
            <w:fldChar w:fldCharType="end"/>
          </w:r>
          <w:r>
            <w:rPr>
              <w:rFonts w:hint="eastAsia"/>
              <w:color w:val="auto"/>
              <w:szCs w:val="28"/>
              <w:highlight w:val="none"/>
              <w:lang w:val="en-US" w:eastAsia="zh-CN"/>
            </w:rPr>
            <w:fldChar w:fldCharType="end"/>
          </w:r>
        </w:p>
        <w:p w14:paraId="556FEB0C">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_Toc21435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（三）绩效评价工作过程</w:t>
          </w:r>
          <w:r>
            <w:rPr>
              <w:color w:val="auto"/>
              <w:highlight w:val="none"/>
            </w:rPr>
            <w:tab/>
          </w:r>
          <w:r>
            <w:rPr>
              <w:color w:val="auto"/>
              <w:highlight w:val="none"/>
            </w:rPr>
            <w:fldChar w:fldCharType="begin"/>
          </w:r>
          <w:r>
            <w:rPr>
              <w:color w:val="auto"/>
              <w:highlight w:val="none"/>
            </w:rPr>
            <w:instrText xml:space="preserve"> PAGEREF _Toc21435 \h </w:instrText>
          </w:r>
          <w:r>
            <w:rPr>
              <w:color w:val="auto"/>
              <w:highlight w:val="none"/>
            </w:rPr>
            <w:fldChar w:fldCharType="separate"/>
          </w:r>
          <w:r>
            <w:rPr>
              <w:color w:val="auto"/>
              <w:highlight w:val="none"/>
            </w:rPr>
            <w:t>14</w:t>
          </w:r>
          <w:r>
            <w:rPr>
              <w:color w:val="auto"/>
              <w:highlight w:val="none"/>
            </w:rPr>
            <w:fldChar w:fldCharType="end"/>
          </w:r>
          <w:r>
            <w:rPr>
              <w:rFonts w:hint="eastAsia"/>
              <w:color w:val="auto"/>
              <w:szCs w:val="28"/>
              <w:highlight w:val="none"/>
              <w:lang w:val="en-US" w:eastAsia="zh-CN"/>
            </w:rPr>
            <w:fldChar w:fldCharType="end"/>
          </w:r>
        </w:p>
        <w:p w14:paraId="3B815655">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_Toc19261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三、</w:t>
          </w:r>
          <w:r>
            <w:rPr>
              <w:rFonts w:hint="eastAsia" w:ascii="黑体" w:hAnsi="黑体" w:eastAsia="黑体" w:cs="黑体"/>
              <w:bCs w:val="0"/>
              <w:color w:val="auto"/>
              <w:highlight w:val="none"/>
              <w:shd w:val="clear" w:color="auto" w:fill="auto"/>
            </w:rPr>
            <w:t>综合评价情况及评价结论</w:t>
          </w:r>
          <w:r>
            <w:rPr>
              <w:color w:val="auto"/>
              <w:highlight w:val="none"/>
            </w:rPr>
            <w:tab/>
          </w:r>
          <w:r>
            <w:rPr>
              <w:color w:val="auto"/>
              <w:highlight w:val="none"/>
            </w:rPr>
            <w:fldChar w:fldCharType="begin"/>
          </w:r>
          <w:r>
            <w:rPr>
              <w:color w:val="auto"/>
              <w:highlight w:val="none"/>
            </w:rPr>
            <w:instrText xml:space="preserve"> PAGEREF _Toc19261 \h </w:instrText>
          </w:r>
          <w:r>
            <w:rPr>
              <w:color w:val="auto"/>
              <w:highlight w:val="none"/>
            </w:rPr>
            <w:fldChar w:fldCharType="separate"/>
          </w:r>
          <w:r>
            <w:rPr>
              <w:color w:val="auto"/>
              <w:highlight w:val="none"/>
            </w:rPr>
            <w:t>16</w:t>
          </w:r>
          <w:r>
            <w:rPr>
              <w:color w:val="auto"/>
              <w:highlight w:val="none"/>
            </w:rPr>
            <w:fldChar w:fldCharType="end"/>
          </w:r>
          <w:r>
            <w:rPr>
              <w:rFonts w:hint="eastAsia"/>
              <w:color w:val="auto"/>
              <w:szCs w:val="28"/>
              <w:highlight w:val="none"/>
              <w:lang w:val="en-US" w:eastAsia="zh-CN"/>
            </w:rPr>
            <w:fldChar w:fldCharType="end"/>
          </w:r>
        </w:p>
        <w:p w14:paraId="0A9E6E01">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_Toc23319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（一）综合评价情况及评价结论</w:t>
          </w:r>
          <w:r>
            <w:rPr>
              <w:color w:val="auto"/>
              <w:highlight w:val="none"/>
            </w:rPr>
            <w:tab/>
          </w:r>
          <w:r>
            <w:rPr>
              <w:color w:val="auto"/>
              <w:highlight w:val="none"/>
            </w:rPr>
            <w:fldChar w:fldCharType="begin"/>
          </w:r>
          <w:r>
            <w:rPr>
              <w:color w:val="auto"/>
              <w:highlight w:val="none"/>
            </w:rPr>
            <w:instrText xml:space="preserve"> PAGEREF _Toc23319 \h </w:instrText>
          </w:r>
          <w:r>
            <w:rPr>
              <w:color w:val="auto"/>
              <w:highlight w:val="none"/>
            </w:rPr>
            <w:fldChar w:fldCharType="separate"/>
          </w:r>
          <w:r>
            <w:rPr>
              <w:color w:val="auto"/>
              <w:highlight w:val="none"/>
            </w:rPr>
            <w:t>16</w:t>
          </w:r>
          <w:r>
            <w:rPr>
              <w:color w:val="auto"/>
              <w:highlight w:val="none"/>
            </w:rPr>
            <w:fldChar w:fldCharType="end"/>
          </w:r>
          <w:r>
            <w:rPr>
              <w:rFonts w:hint="eastAsia"/>
              <w:color w:val="auto"/>
              <w:szCs w:val="28"/>
              <w:highlight w:val="none"/>
              <w:lang w:val="en-US" w:eastAsia="zh-CN"/>
            </w:rPr>
            <w:fldChar w:fldCharType="end"/>
          </w:r>
        </w:p>
        <w:p w14:paraId="59A17E56">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_Toc11863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（二）相关评分表</w:t>
          </w:r>
          <w:r>
            <w:rPr>
              <w:color w:val="auto"/>
              <w:highlight w:val="none"/>
            </w:rPr>
            <w:tab/>
          </w:r>
          <w:r>
            <w:rPr>
              <w:color w:val="auto"/>
              <w:highlight w:val="none"/>
            </w:rPr>
            <w:fldChar w:fldCharType="begin"/>
          </w:r>
          <w:r>
            <w:rPr>
              <w:color w:val="auto"/>
              <w:highlight w:val="none"/>
            </w:rPr>
            <w:instrText xml:space="preserve"> PAGEREF _Toc11863 \h </w:instrText>
          </w:r>
          <w:r>
            <w:rPr>
              <w:color w:val="auto"/>
              <w:highlight w:val="none"/>
            </w:rPr>
            <w:fldChar w:fldCharType="separate"/>
          </w:r>
          <w:r>
            <w:rPr>
              <w:color w:val="auto"/>
              <w:highlight w:val="none"/>
            </w:rPr>
            <w:t>16</w:t>
          </w:r>
          <w:r>
            <w:rPr>
              <w:color w:val="auto"/>
              <w:highlight w:val="none"/>
            </w:rPr>
            <w:fldChar w:fldCharType="end"/>
          </w:r>
          <w:r>
            <w:rPr>
              <w:rFonts w:hint="eastAsia"/>
              <w:color w:val="auto"/>
              <w:szCs w:val="28"/>
              <w:highlight w:val="none"/>
              <w:lang w:val="en-US" w:eastAsia="zh-CN"/>
            </w:rPr>
            <w:fldChar w:fldCharType="end"/>
          </w:r>
        </w:p>
        <w:p w14:paraId="41287B22">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_Toc14941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四、绩效评价指标分析</w:t>
          </w:r>
          <w:r>
            <w:rPr>
              <w:color w:val="auto"/>
              <w:highlight w:val="none"/>
            </w:rPr>
            <w:tab/>
          </w:r>
          <w:r>
            <w:rPr>
              <w:color w:val="auto"/>
              <w:highlight w:val="none"/>
            </w:rPr>
            <w:fldChar w:fldCharType="begin"/>
          </w:r>
          <w:r>
            <w:rPr>
              <w:color w:val="auto"/>
              <w:highlight w:val="none"/>
            </w:rPr>
            <w:instrText xml:space="preserve"> PAGEREF _Toc14941 \h </w:instrText>
          </w:r>
          <w:r>
            <w:rPr>
              <w:color w:val="auto"/>
              <w:highlight w:val="none"/>
            </w:rPr>
            <w:fldChar w:fldCharType="separate"/>
          </w:r>
          <w:r>
            <w:rPr>
              <w:color w:val="auto"/>
              <w:highlight w:val="none"/>
            </w:rPr>
            <w:t>17</w:t>
          </w:r>
          <w:r>
            <w:rPr>
              <w:color w:val="auto"/>
              <w:highlight w:val="none"/>
            </w:rPr>
            <w:fldChar w:fldCharType="end"/>
          </w:r>
          <w:r>
            <w:rPr>
              <w:rFonts w:hint="eastAsia"/>
              <w:color w:val="auto"/>
              <w:szCs w:val="28"/>
              <w:highlight w:val="none"/>
              <w:lang w:val="en-US" w:eastAsia="zh-CN"/>
            </w:rPr>
            <w:fldChar w:fldCharType="end"/>
          </w:r>
        </w:p>
        <w:p w14:paraId="4403B4F1">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_Toc6759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rPr>
            <w:t>（一）项目决策情况</w:t>
          </w:r>
          <w:r>
            <w:rPr>
              <w:color w:val="auto"/>
              <w:highlight w:val="none"/>
            </w:rPr>
            <w:tab/>
          </w:r>
          <w:r>
            <w:rPr>
              <w:color w:val="auto"/>
              <w:highlight w:val="none"/>
            </w:rPr>
            <w:fldChar w:fldCharType="begin"/>
          </w:r>
          <w:r>
            <w:rPr>
              <w:color w:val="auto"/>
              <w:highlight w:val="none"/>
            </w:rPr>
            <w:instrText xml:space="preserve"> PAGEREF _Toc6759 \h </w:instrText>
          </w:r>
          <w:r>
            <w:rPr>
              <w:color w:val="auto"/>
              <w:highlight w:val="none"/>
            </w:rPr>
            <w:fldChar w:fldCharType="separate"/>
          </w:r>
          <w:r>
            <w:rPr>
              <w:color w:val="auto"/>
              <w:highlight w:val="none"/>
            </w:rPr>
            <w:t>17</w:t>
          </w:r>
          <w:r>
            <w:rPr>
              <w:color w:val="auto"/>
              <w:highlight w:val="none"/>
            </w:rPr>
            <w:fldChar w:fldCharType="end"/>
          </w:r>
          <w:r>
            <w:rPr>
              <w:rFonts w:hint="eastAsia"/>
              <w:color w:val="auto"/>
              <w:szCs w:val="28"/>
              <w:highlight w:val="none"/>
              <w:lang w:val="en-US" w:eastAsia="zh-CN"/>
            </w:rPr>
            <w:fldChar w:fldCharType="end"/>
          </w:r>
        </w:p>
        <w:p w14:paraId="5BC5DC5C">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_Toc10564 </w:instrText>
          </w:r>
          <w:r>
            <w:rPr>
              <w:rFonts w:hint="eastAsia"/>
              <w:color w:val="auto"/>
              <w:szCs w:val="28"/>
              <w:highlight w:val="none"/>
              <w:lang w:val="en-US" w:eastAsia="zh-CN"/>
            </w:rPr>
            <w:fldChar w:fldCharType="separate"/>
          </w:r>
          <w:r>
            <w:rPr>
              <w:rFonts w:hint="eastAsia" w:ascii="Times New Roman" w:hAnsi="Times New Roman" w:eastAsia="楷体" w:cs="Times New Roman"/>
              <w:color w:val="auto"/>
              <w:kern w:val="28"/>
              <w:highlight w:val="none"/>
              <w:lang w:eastAsia="zh-CN"/>
            </w:rPr>
            <w:t>（</w:t>
          </w:r>
          <w:r>
            <w:rPr>
              <w:rFonts w:hint="eastAsia" w:ascii="Times New Roman" w:hAnsi="Times New Roman" w:eastAsia="楷体" w:cs="Times New Roman"/>
              <w:color w:val="auto"/>
              <w:kern w:val="28"/>
              <w:highlight w:val="none"/>
              <w:lang w:val="en-US" w:eastAsia="zh-CN"/>
            </w:rPr>
            <w:t>二</w:t>
          </w:r>
          <w:r>
            <w:rPr>
              <w:rFonts w:hint="eastAsia" w:ascii="Times New Roman" w:hAnsi="Times New Roman" w:eastAsia="楷体" w:cs="Times New Roman"/>
              <w:color w:val="auto"/>
              <w:kern w:val="28"/>
              <w:highlight w:val="none"/>
              <w:lang w:eastAsia="zh-CN"/>
            </w:rPr>
            <w:t>）</w:t>
          </w:r>
          <w:r>
            <w:rPr>
              <w:rFonts w:hint="eastAsia" w:ascii="Times New Roman" w:hAnsi="Times New Roman" w:eastAsia="楷体" w:cs="Times New Roman"/>
              <w:color w:val="auto"/>
              <w:kern w:val="28"/>
              <w:highlight w:val="none"/>
            </w:rPr>
            <w:t>项目过程情况</w:t>
          </w:r>
          <w:r>
            <w:rPr>
              <w:color w:val="auto"/>
              <w:highlight w:val="none"/>
            </w:rPr>
            <w:tab/>
          </w:r>
          <w:r>
            <w:rPr>
              <w:color w:val="auto"/>
              <w:highlight w:val="none"/>
            </w:rPr>
            <w:fldChar w:fldCharType="begin"/>
          </w:r>
          <w:r>
            <w:rPr>
              <w:color w:val="auto"/>
              <w:highlight w:val="none"/>
            </w:rPr>
            <w:instrText xml:space="preserve"> PAGEREF _Toc10564 \h </w:instrText>
          </w:r>
          <w:r>
            <w:rPr>
              <w:color w:val="auto"/>
              <w:highlight w:val="none"/>
            </w:rPr>
            <w:fldChar w:fldCharType="separate"/>
          </w:r>
          <w:r>
            <w:rPr>
              <w:color w:val="auto"/>
              <w:highlight w:val="none"/>
            </w:rPr>
            <w:t>20</w:t>
          </w:r>
          <w:r>
            <w:rPr>
              <w:color w:val="auto"/>
              <w:highlight w:val="none"/>
            </w:rPr>
            <w:fldChar w:fldCharType="end"/>
          </w:r>
          <w:r>
            <w:rPr>
              <w:rFonts w:hint="eastAsia"/>
              <w:color w:val="auto"/>
              <w:szCs w:val="28"/>
              <w:highlight w:val="none"/>
              <w:lang w:val="en-US" w:eastAsia="zh-CN"/>
            </w:rPr>
            <w:fldChar w:fldCharType="end"/>
          </w:r>
        </w:p>
        <w:p w14:paraId="639A1B48">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_Toc2441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（三）项目产出情况</w:t>
          </w:r>
          <w:r>
            <w:rPr>
              <w:color w:val="auto"/>
              <w:highlight w:val="none"/>
            </w:rPr>
            <w:tab/>
          </w:r>
          <w:r>
            <w:rPr>
              <w:color w:val="auto"/>
              <w:highlight w:val="none"/>
            </w:rPr>
            <w:fldChar w:fldCharType="begin"/>
          </w:r>
          <w:r>
            <w:rPr>
              <w:color w:val="auto"/>
              <w:highlight w:val="none"/>
            </w:rPr>
            <w:instrText xml:space="preserve"> PAGEREF _Toc2441 \h </w:instrText>
          </w:r>
          <w:r>
            <w:rPr>
              <w:color w:val="auto"/>
              <w:highlight w:val="none"/>
            </w:rPr>
            <w:fldChar w:fldCharType="separate"/>
          </w:r>
          <w:r>
            <w:rPr>
              <w:color w:val="auto"/>
              <w:highlight w:val="none"/>
            </w:rPr>
            <w:t>23</w:t>
          </w:r>
          <w:r>
            <w:rPr>
              <w:color w:val="auto"/>
              <w:highlight w:val="none"/>
            </w:rPr>
            <w:fldChar w:fldCharType="end"/>
          </w:r>
          <w:r>
            <w:rPr>
              <w:rFonts w:hint="eastAsia"/>
              <w:color w:val="auto"/>
              <w:szCs w:val="28"/>
              <w:highlight w:val="none"/>
              <w:lang w:val="en-US" w:eastAsia="zh-CN"/>
            </w:rPr>
            <w:fldChar w:fldCharType="end"/>
          </w:r>
        </w:p>
        <w:p w14:paraId="285AC912">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_Toc19424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（四）项目效益情况</w:t>
          </w:r>
          <w:r>
            <w:rPr>
              <w:color w:val="auto"/>
              <w:highlight w:val="none"/>
            </w:rPr>
            <w:tab/>
          </w:r>
          <w:r>
            <w:rPr>
              <w:color w:val="auto"/>
              <w:highlight w:val="none"/>
            </w:rPr>
            <w:fldChar w:fldCharType="begin"/>
          </w:r>
          <w:r>
            <w:rPr>
              <w:color w:val="auto"/>
              <w:highlight w:val="none"/>
            </w:rPr>
            <w:instrText xml:space="preserve"> PAGEREF _Toc19424 \h </w:instrText>
          </w:r>
          <w:r>
            <w:rPr>
              <w:color w:val="auto"/>
              <w:highlight w:val="none"/>
            </w:rPr>
            <w:fldChar w:fldCharType="separate"/>
          </w:r>
          <w:r>
            <w:rPr>
              <w:color w:val="auto"/>
              <w:highlight w:val="none"/>
            </w:rPr>
            <w:t>24</w:t>
          </w:r>
          <w:r>
            <w:rPr>
              <w:color w:val="auto"/>
              <w:highlight w:val="none"/>
            </w:rPr>
            <w:fldChar w:fldCharType="end"/>
          </w:r>
          <w:r>
            <w:rPr>
              <w:rFonts w:hint="eastAsia"/>
              <w:color w:val="auto"/>
              <w:szCs w:val="28"/>
              <w:highlight w:val="none"/>
              <w:lang w:val="en-US" w:eastAsia="zh-CN"/>
            </w:rPr>
            <w:fldChar w:fldCharType="end"/>
          </w:r>
        </w:p>
        <w:p w14:paraId="28EABBB7">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_Toc23313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（五）满意度指标完成情况分析</w:t>
          </w:r>
          <w:r>
            <w:rPr>
              <w:color w:val="auto"/>
              <w:highlight w:val="none"/>
            </w:rPr>
            <w:tab/>
          </w:r>
          <w:r>
            <w:rPr>
              <w:color w:val="auto"/>
              <w:highlight w:val="none"/>
            </w:rPr>
            <w:fldChar w:fldCharType="begin"/>
          </w:r>
          <w:r>
            <w:rPr>
              <w:color w:val="auto"/>
              <w:highlight w:val="none"/>
            </w:rPr>
            <w:instrText xml:space="preserve"> PAGEREF _Toc23313 \h </w:instrText>
          </w:r>
          <w:r>
            <w:rPr>
              <w:color w:val="auto"/>
              <w:highlight w:val="none"/>
            </w:rPr>
            <w:fldChar w:fldCharType="separate"/>
          </w:r>
          <w:r>
            <w:rPr>
              <w:color w:val="auto"/>
              <w:highlight w:val="none"/>
            </w:rPr>
            <w:t>25</w:t>
          </w:r>
          <w:r>
            <w:rPr>
              <w:color w:val="auto"/>
              <w:highlight w:val="none"/>
            </w:rPr>
            <w:fldChar w:fldCharType="end"/>
          </w:r>
          <w:r>
            <w:rPr>
              <w:rFonts w:hint="eastAsia"/>
              <w:color w:val="auto"/>
              <w:szCs w:val="28"/>
              <w:highlight w:val="none"/>
              <w:lang w:val="en-US" w:eastAsia="zh-CN"/>
            </w:rPr>
            <w:fldChar w:fldCharType="end"/>
          </w:r>
        </w:p>
        <w:p w14:paraId="1E847F20">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_Toc6622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五、主要经验及做法、存在的问题及原因分析</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_Toc6622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25</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7F56B39E">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_Toc15449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（一）主要经验及做法</w:t>
          </w:r>
          <w:r>
            <w:rPr>
              <w:color w:val="auto"/>
              <w:highlight w:val="none"/>
            </w:rPr>
            <w:tab/>
          </w:r>
          <w:r>
            <w:rPr>
              <w:color w:val="auto"/>
              <w:highlight w:val="none"/>
            </w:rPr>
            <w:fldChar w:fldCharType="begin"/>
          </w:r>
          <w:r>
            <w:rPr>
              <w:color w:val="auto"/>
              <w:highlight w:val="none"/>
            </w:rPr>
            <w:instrText xml:space="preserve"> PAGEREF _Toc15449 \h </w:instrText>
          </w:r>
          <w:r>
            <w:rPr>
              <w:color w:val="auto"/>
              <w:highlight w:val="none"/>
            </w:rPr>
            <w:fldChar w:fldCharType="separate"/>
          </w:r>
          <w:r>
            <w:rPr>
              <w:color w:val="auto"/>
              <w:highlight w:val="none"/>
            </w:rPr>
            <w:t>25</w:t>
          </w:r>
          <w:r>
            <w:rPr>
              <w:color w:val="auto"/>
              <w:highlight w:val="none"/>
            </w:rPr>
            <w:fldChar w:fldCharType="end"/>
          </w:r>
          <w:r>
            <w:rPr>
              <w:rFonts w:hint="eastAsia"/>
              <w:color w:val="auto"/>
              <w:szCs w:val="28"/>
              <w:highlight w:val="none"/>
              <w:lang w:val="en-US" w:eastAsia="zh-CN"/>
            </w:rPr>
            <w:fldChar w:fldCharType="end"/>
          </w:r>
        </w:p>
        <w:p w14:paraId="1991B234">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_Toc29168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（二）存在的问题及原因分析</w:t>
          </w:r>
          <w:r>
            <w:rPr>
              <w:color w:val="auto"/>
              <w:highlight w:val="none"/>
            </w:rPr>
            <w:tab/>
          </w:r>
          <w:r>
            <w:rPr>
              <w:color w:val="auto"/>
              <w:highlight w:val="none"/>
            </w:rPr>
            <w:fldChar w:fldCharType="begin"/>
          </w:r>
          <w:r>
            <w:rPr>
              <w:color w:val="auto"/>
              <w:highlight w:val="none"/>
            </w:rPr>
            <w:instrText xml:space="preserve"> PAGEREF _Toc29168 \h </w:instrText>
          </w:r>
          <w:r>
            <w:rPr>
              <w:color w:val="auto"/>
              <w:highlight w:val="none"/>
            </w:rPr>
            <w:fldChar w:fldCharType="separate"/>
          </w:r>
          <w:r>
            <w:rPr>
              <w:color w:val="auto"/>
              <w:highlight w:val="none"/>
            </w:rPr>
            <w:t>26</w:t>
          </w:r>
          <w:r>
            <w:rPr>
              <w:color w:val="auto"/>
              <w:highlight w:val="none"/>
            </w:rPr>
            <w:fldChar w:fldCharType="end"/>
          </w:r>
          <w:r>
            <w:rPr>
              <w:rFonts w:hint="eastAsia"/>
              <w:color w:val="auto"/>
              <w:szCs w:val="28"/>
              <w:highlight w:val="none"/>
              <w:lang w:val="en-US" w:eastAsia="zh-CN"/>
            </w:rPr>
            <w:fldChar w:fldCharType="end"/>
          </w:r>
        </w:p>
        <w:p w14:paraId="740F1495">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_Toc3333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六、有关建议</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_Toc3333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26</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2DBAE4F1">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_Toc14256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七、其他需要说明的问题</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_Toc14256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26</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57FE964F">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_Toc28971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lang w:val="en-US" w:eastAsia="zh-CN"/>
            </w:rPr>
            <w:t>附件一、项目支出绩效自评表</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_Toc28971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27</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792CC8F2">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_Toc11223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lang w:val="en-US" w:eastAsia="zh-CN"/>
            </w:rPr>
            <w:t>附件二、项目支出绩效评价指标体系打分表</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_Toc11223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31</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61914C9A">
          <w:pPr>
            <w:keepNext w:val="0"/>
            <w:keepLines w:val="0"/>
            <w:pageBreakBefore w:val="0"/>
            <w:shd w:val="clear"/>
            <w:kinsoku/>
            <w:wordWrap/>
            <w:overflowPunct/>
            <w:topLinePunct w:val="0"/>
            <w:autoSpaceDE/>
            <w:autoSpaceDN/>
            <w:bidi w:val="0"/>
            <w:adjustRightInd/>
            <w:snapToGrid/>
            <w:spacing w:line="560" w:lineRule="exact"/>
            <w:textAlignment w:val="auto"/>
            <w:rPr>
              <w:rFonts w:hint="eastAsia"/>
              <w:color w:val="auto"/>
              <w:highlight w:val="none"/>
              <w:lang w:val="en-US" w:eastAsia="zh-CN"/>
            </w:rPr>
            <w:sectPr>
              <w:pgSz w:w="11906" w:h="16838"/>
              <w:pgMar w:top="1928" w:right="1531" w:bottom="1701" w:left="1531" w:header="737" w:footer="851" w:gutter="0"/>
              <w:cols w:space="720" w:num="1"/>
              <w:docGrid w:type="lines" w:linePitch="408" w:charSpace="0"/>
            </w:sectPr>
          </w:pPr>
          <w:r>
            <w:rPr>
              <w:rFonts w:hint="eastAsia"/>
              <w:color w:val="auto"/>
              <w:szCs w:val="28"/>
              <w:highlight w:val="none"/>
              <w:lang w:val="en-US" w:eastAsia="zh-CN"/>
            </w:rPr>
            <w:fldChar w:fldCharType="end"/>
          </w:r>
        </w:p>
      </w:sdtContent>
    </w:sdt>
    <w:p w14:paraId="602C501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sz w:val="36"/>
          <w:szCs w:val="36"/>
          <w:highlight w:val="none"/>
          <w:shd w:val="clear" w:color="auto" w:fill="auto"/>
        </w:rPr>
      </w:pPr>
      <w:bookmarkStart w:id="4" w:name="_Toc20432"/>
      <w:bookmarkStart w:id="5" w:name="_Toc3663"/>
      <w:bookmarkStart w:id="6" w:name="_Toc1194"/>
      <w:bookmarkStart w:id="7" w:name="_Toc22946"/>
      <w:r>
        <w:rPr>
          <w:rFonts w:hint="eastAsia" w:ascii="宋体" w:hAnsi="宋体" w:eastAsia="宋体" w:cs="宋体"/>
          <w:b/>
          <w:bCs/>
          <w:color w:val="auto"/>
          <w:sz w:val="36"/>
          <w:szCs w:val="36"/>
          <w:highlight w:val="none"/>
          <w:shd w:val="clear" w:color="auto" w:fill="auto"/>
        </w:rPr>
        <w:t>2024年学前教育生均经费</w:t>
      </w:r>
      <w:r>
        <w:rPr>
          <w:rFonts w:hint="eastAsia" w:ascii="宋体" w:hAnsi="宋体" w:eastAsia="宋体" w:cs="宋体"/>
          <w:b/>
          <w:bCs/>
          <w:color w:val="auto"/>
          <w:sz w:val="36"/>
          <w:szCs w:val="36"/>
          <w:highlight w:val="none"/>
          <w:shd w:val="clear" w:color="auto" w:fill="auto"/>
          <w:lang w:val="en-US" w:eastAsia="zh-CN"/>
        </w:rPr>
        <w:t>项目</w:t>
      </w:r>
      <w:r>
        <w:rPr>
          <w:rFonts w:hint="eastAsia" w:ascii="宋体" w:hAnsi="宋体" w:eastAsia="宋体" w:cs="宋体"/>
          <w:b/>
          <w:bCs/>
          <w:color w:val="auto"/>
          <w:sz w:val="36"/>
          <w:szCs w:val="36"/>
          <w:highlight w:val="none"/>
          <w:shd w:val="clear" w:color="auto" w:fill="auto"/>
        </w:rPr>
        <w:t>支出绩效评价</w:t>
      </w:r>
    </w:p>
    <w:p w14:paraId="7E69E18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highlight w:val="none"/>
          <w:shd w:val="clear" w:color="auto" w:fill="auto"/>
        </w:rPr>
      </w:pPr>
      <w:r>
        <w:rPr>
          <w:rFonts w:hint="eastAsia" w:ascii="宋体" w:hAnsi="宋体" w:eastAsia="宋体" w:cs="宋体"/>
          <w:b/>
          <w:bCs/>
          <w:color w:val="auto"/>
          <w:sz w:val="36"/>
          <w:szCs w:val="36"/>
          <w:highlight w:val="none"/>
          <w:shd w:val="clear" w:color="auto" w:fill="auto"/>
        </w:rPr>
        <w:t>报告</w:t>
      </w:r>
      <w:bookmarkEnd w:id="4"/>
      <w:bookmarkEnd w:id="5"/>
      <w:bookmarkEnd w:id="6"/>
      <w:bookmarkEnd w:id="7"/>
    </w:p>
    <w:p w14:paraId="6F6F00AD">
      <w:pPr>
        <w:pStyle w:val="2"/>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auto"/>
          <w:highlight w:val="none"/>
          <w:shd w:val="clear" w:color="auto" w:fill="auto"/>
        </w:rPr>
      </w:pPr>
      <w:bookmarkStart w:id="8" w:name="_Toc18485"/>
      <w:r>
        <w:rPr>
          <w:rFonts w:hint="eastAsia" w:ascii="黑体" w:hAnsi="黑体" w:eastAsia="黑体" w:cs="黑体"/>
          <w:b w:val="0"/>
          <w:bCs w:val="0"/>
          <w:color w:val="auto"/>
          <w:highlight w:val="none"/>
          <w:shd w:val="clear" w:color="auto" w:fill="auto"/>
        </w:rPr>
        <w:t>一、基本情况</w:t>
      </w:r>
      <w:bookmarkEnd w:id="8"/>
    </w:p>
    <w:p w14:paraId="57D21E5B">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9" w:name="_Toc23184"/>
      <w:r>
        <w:rPr>
          <w:rFonts w:hint="eastAsia" w:ascii="Times New Roman" w:hAnsi="Times New Roman" w:eastAsia="楷体_GB2312" w:cs="Times New Roman"/>
          <w:color w:val="auto"/>
          <w:kern w:val="28"/>
          <w:sz w:val="32"/>
          <w:highlight w:val="none"/>
          <w:lang w:val="en-US" w:eastAsia="zh-CN"/>
        </w:rPr>
        <w:t>（一）项目概况</w:t>
      </w:r>
      <w:bookmarkEnd w:id="9"/>
    </w:p>
    <w:p w14:paraId="625E81A0">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bookmarkStart w:id="10" w:name="_Toc29812"/>
      <w:bookmarkStart w:id="11" w:name="_Toc5043"/>
      <w:bookmarkStart w:id="12" w:name="_Toc22346"/>
      <w:bookmarkStart w:id="13" w:name="_Toc10645"/>
      <w:r>
        <w:rPr>
          <w:rFonts w:hint="eastAsia" w:ascii="仿宋_GB2312" w:hAnsi="仿宋_GB2312" w:eastAsia="仿宋_GB2312" w:cs="仿宋_GB2312"/>
          <w:color w:val="auto"/>
          <w:sz w:val="32"/>
          <w:szCs w:val="32"/>
          <w:highlight w:val="none"/>
          <w:shd w:val="clear" w:color="auto" w:fill="auto"/>
          <w:lang w:val="en-US" w:eastAsia="zh-CN"/>
        </w:rPr>
        <w:t>1.</w:t>
      </w:r>
      <w:r>
        <w:rPr>
          <w:rFonts w:hint="eastAsia" w:ascii="仿宋_GB2312" w:hAnsi="仿宋_GB2312" w:eastAsia="仿宋_GB2312" w:cs="仿宋_GB2312"/>
          <w:color w:val="auto"/>
          <w:sz w:val="32"/>
          <w:szCs w:val="32"/>
          <w:highlight w:val="none"/>
          <w:shd w:val="clear" w:color="auto" w:fill="auto"/>
        </w:rPr>
        <w:t>项目背景</w:t>
      </w:r>
      <w:bookmarkEnd w:id="10"/>
      <w:bookmarkEnd w:id="11"/>
      <w:bookmarkEnd w:id="12"/>
      <w:bookmarkEnd w:id="13"/>
    </w:p>
    <w:p w14:paraId="33D1C297">
      <w:pPr>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根据新疆维吾尔自治区关于《自治区学前三年免费教育经费保障机制管理办法》的通知（新财教[ 2017]19号）文件</w:t>
      </w:r>
      <w:r>
        <w:rPr>
          <w:rFonts w:hint="eastAsia" w:ascii="仿宋_GB2312" w:hAnsi="仿宋_GB2312" w:eastAsia="仿宋_GB2312" w:cs="仿宋_GB2312"/>
          <w:color w:val="auto"/>
          <w:sz w:val="32"/>
          <w:szCs w:val="32"/>
          <w:highlight w:val="none"/>
        </w:rPr>
        <w:t>要求，</w:t>
      </w:r>
      <w:r>
        <w:rPr>
          <w:rFonts w:hint="eastAsia" w:ascii="仿宋_GB2312" w:eastAsia="仿宋_GB2312"/>
          <w:color w:val="auto"/>
          <w:sz w:val="32"/>
          <w:szCs w:val="32"/>
          <w:highlight w:val="none"/>
          <w:lang w:eastAsia="zh-CN"/>
        </w:rPr>
        <w:t>为3-6岁学龄前儿童提供保育与教育，落实好学前三年教育目标，改善幼儿园的办学条件，保障幼儿在园教学需求，为幼儿提供优质的保教环境，</w:t>
      </w:r>
      <w:r>
        <w:rPr>
          <w:rFonts w:hint="eastAsia" w:ascii="仿宋_GB2312" w:hAnsi="仿宋_GB2312" w:eastAsia="仿宋_GB2312" w:cs="仿宋_GB2312"/>
          <w:color w:val="auto"/>
          <w:sz w:val="32"/>
          <w:szCs w:val="32"/>
          <w:highlight w:val="none"/>
        </w:rPr>
        <w:t>提升幼儿园教育质量，保障幼儿能接受优质、均衡的学前教育</w:t>
      </w:r>
      <w:r>
        <w:rPr>
          <w:rFonts w:hint="eastAsia" w:ascii="仿宋_GB2312" w:hAnsi="仿宋_GB2312" w:eastAsia="仿宋_GB2312" w:cs="仿宋_GB2312"/>
          <w:color w:val="auto"/>
          <w:sz w:val="32"/>
          <w:szCs w:val="32"/>
          <w:highlight w:val="none"/>
          <w:lang w:eastAsia="zh-CN"/>
        </w:rPr>
        <w:t>。</w:t>
      </w:r>
    </w:p>
    <w:p w14:paraId="4F5AE66B">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rPr>
      </w:pPr>
      <w:bookmarkStart w:id="14" w:name="_Toc27343"/>
      <w:bookmarkStart w:id="15" w:name="_Toc17880"/>
      <w:bookmarkStart w:id="16" w:name="_Toc1630"/>
      <w:bookmarkStart w:id="17" w:name="_Toc10730"/>
      <w:r>
        <w:rPr>
          <w:rFonts w:hint="eastAsia" w:ascii="仿宋_GB2312" w:hAnsi="仿宋_GB2312" w:eastAsia="仿宋_GB2312" w:cs="仿宋_GB2312"/>
          <w:color w:val="auto"/>
          <w:sz w:val="32"/>
          <w:szCs w:val="32"/>
          <w:highlight w:val="none"/>
          <w:shd w:val="clear" w:color="auto" w:fill="auto"/>
          <w:lang w:val="en-US" w:eastAsia="zh-CN"/>
        </w:rPr>
        <w:t>2.</w:t>
      </w:r>
      <w:r>
        <w:rPr>
          <w:rFonts w:hint="eastAsia" w:ascii="仿宋_GB2312" w:hAnsi="仿宋_GB2312" w:eastAsia="仿宋_GB2312" w:cs="仿宋_GB2312"/>
          <w:color w:val="auto"/>
          <w:sz w:val="32"/>
          <w:szCs w:val="32"/>
          <w:highlight w:val="none"/>
          <w:shd w:val="clear" w:color="auto" w:fill="auto"/>
        </w:rPr>
        <w:t>主要内容及实施情况</w:t>
      </w:r>
      <w:bookmarkEnd w:id="14"/>
      <w:bookmarkEnd w:id="15"/>
      <w:bookmarkEnd w:id="16"/>
      <w:bookmarkEnd w:id="17"/>
    </w:p>
    <w:p w14:paraId="69D307F4">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bookmarkStart w:id="18" w:name="_Toc21898"/>
      <w:bookmarkStart w:id="19" w:name="_Toc27409"/>
      <w:bookmarkStart w:id="20" w:name="_Toc16592"/>
      <w:bookmarkStart w:id="21" w:name="_Toc27245"/>
      <w:r>
        <w:rPr>
          <w:rFonts w:hint="eastAsia" w:ascii="仿宋_GB2312" w:hAnsi="仿宋_GB2312" w:eastAsia="仿宋_GB2312" w:cs="仿宋_GB2312"/>
          <w:color w:val="auto"/>
          <w:sz w:val="32"/>
          <w:szCs w:val="32"/>
          <w:highlight w:val="none"/>
          <w:shd w:val="clear" w:color="auto" w:fill="auto"/>
          <w:lang w:val="en-US" w:eastAsia="zh-CN"/>
        </w:rPr>
        <w:t>项目主要内容：</w:t>
      </w:r>
      <w:bookmarkEnd w:id="18"/>
      <w:bookmarkEnd w:id="19"/>
      <w:bookmarkEnd w:id="20"/>
      <w:bookmarkEnd w:id="21"/>
      <w:r>
        <w:rPr>
          <w:rFonts w:hint="eastAsia" w:ascii="仿宋_GB2312" w:hAnsi="仿宋_GB2312" w:eastAsia="仿宋_GB2312" w:cs="仿宋_GB2312"/>
          <w:b w:val="0"/>
          <w:bCs w:val="0"/>
          <w:color w:val="auto"/>
          <w:kern w:val="2"/>
          <w:sz w:val="32"/>
          <w:szCs w:val="32"/>
          <w:highlight w:val="none"/>
          <w:lang w:val="en-US" w:eastAsia="zh-CN" w:bidi="ar-SA"/>
        </w:rPr>
        <w:t>依据幼儿园在园幼儿人数，按一定标准核算并下发生均经费。经费主要用于教师工资待遇提升，吸引和留住优秀师资；购置先进的教学设备，如多媒体教学工具、益智玩具等；开发适合幼儿的特色课程，丰富教学内容；完善幼儿园的安全防护设施，包括门禁系统、监控设备等。</w:t>
      </w:r>
    </w:p>
    <w:p w14:paraId="75064B9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b/>
          <w:bCs/>
          <w:color w:val="auto"/>
          <w:sz w:val="32"/>
          <w:szCs w:val="32"/>
          <w:highlight w:val="none"/>
          <w:shd w:val="clear" w:color="auto" w:fill="auto"/>
          <w:lang w:val="en-US" w:eastAsia="zh-CN"/>
        </w:rPr>
        <w:t>项目实施情况</w:t>
      </w:r>
      <w:r>
        <w:rPr>
          <w:rFonts w:hint="eastAsia" w:ascii="仿宋_GB2312" w:hAnsi="仿宋_GB2312" w:eastAsia="仿宋_GB2312" w:cs="仿宋_GB2312"/>
          <w:color w:val="auto"/>
          <w:sz w:val="32"/>
          <w:szCs w:val="32"/>
          <w:highlight w:val="none"/>
          <w:shd w:val="clear" w:color="auto" w:fill="auto"/>
          <w:lang w:val="en-US" w:eastAsia="zh-CN"/>
        </w:rPr>
        <w:t>：本项目自2024年2月1日经阜康市财政局关于部门预算的文件批复，经阜康市第六幼儿园财经会议，确定了项目领导小组，明确了责任分工：组长为李彬，副组长为张玉梅，项目负责人为谢娇,组员为张璐、叶璐，其中：叶璐负责监管工作，张璐负责项目档案资料，张玉梅负责资金拨付工作。</w:t>
      </w:r>
    </w:p>
    <w:p w14:paraId="2081218E">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截至2024年12月31日，本项目涉及学生人数352人，公用经费享受比例达到100%，教师培训结业率达到100%，公用经费标准以1100元/人/年完成，达到幼儿园正常运转率提高，改善教学环境，提供良好的学生成长条件，保障幼儿园各项工作平稳进行的效益。</w:t>
      </w:r>
    </w:p>
    <w:p w14:paraId="6DB630F1">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22" w:name="_Toc12348"/>
      <w:bookmarkStart w:id="23" w:name="_Toc10240"/>
      <w:bookmarkStart w:id="24" w:name="_Toc569"/>
      <w:bookmarkStart w:id="25" w:name="_Toc1858"/>
      <w:r>
        <w:rPr>
          <w:rFonts w:hint="eastAsia" w:ascii="仿宋_GB2312" w:hAnsi="仿宋_GB2312" w:eastAsia="仿宋_GB2312" w:cs="仿宋_GB2312"/>
          <w:color w:val="auto"/>
          <w:sz w:val="32"/>
          <w:szCs w:val="32"/>
          <w:highlight w:val="none"/>
          <w:shd w:val="clear" w:color="auto" w:fill="auto"/>
          <w:lang w:val="en-US" w:eastAsia="zh-CN"/>
        </w:rPr>
        <w:t>3.资金投入和使用情况</w:t>
      </w:r>
      <w:bookmarkEnd w:id="22"/>
      <w:bookmarkEnd w:id="23"/>
      <w:bookmarkEnd w:id="24"/>
      <w:bookmarkEnd w:id="25"/>
    </w:p>
    <w:p w14:paraId="1943662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6" w:name="_Toc26369"/>
      <w:bookmarkStart w:id="27" w:name="_Toc694"/>
      <w:bookmarkStart w:id="28" w:name="_Toc23509"/>
      <w:r>
        <w:rPr>
          <w:rFonts w:hint="eastAsia" w:ascii="仿宋_GB2312" w:hAnsi="仿宋_GB2312" w:eastAsia="仿宋_GB2312" w:cs="仿宋_GB2312"/>
          <w:color w:val="auto"/>
          <w:sz w:val="32"/>
          <w:szCs w:val="32"/>
          <w:highlight w:val="none"/>
          <w:lang w:val="en-US" w:eastAsia="zh-CN"/>
        </w:rPr>
        <w:t>（1）资金投入情况</w:t>
      </w:r>
      <w:bookmarkEnd w:id="26"/>
      <w:bookmarkEnd w:id="27"/>
      <w:bookmarkEnd w:id="28"/>
    </w:p>
    <w:p w14:paraId="4C93AA70">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9" w:name="_Toc9464"/>
      <w:bookmarkStart w:id="30" w:name="_Toc29190"/>
      <w:bookmarkStart w:id="31" w:name="_Toc5573"/>
      <w:r>
        <w:rPr>
          <w:rFonts w:hint="eastAsia" w:ascii="仿宋_GB2312" w:hAnsi="仿宋_GB2312" w:eastAsia="仿宋_GB2312" w:cs="仿宋_GB2312"/>
          <w:color w:val="auto"/>
          <w:sz w:val="32"/>
          <w:szCs w:val="32"/>
          <w:highlight w:val="none"/>
          <w:lang w:val="en-US" w:eastAsia="zh-CN"/>
        </w:rPr>
        <w:t>该项目年初预算数98.56万元，全年预算数69.79万元，该项目资金已全部落实到位，资金来源为财政拨款。</w:t>
      </w:r>
      <w:bookmarkEnd w:id="29"/>
      <w:bookmarkEnd w:id="30"/>
      <w:bookmarkEnd w:id="31"/>
      <w:bookmarkStart w:id="32" w:name="_Toc3409"/>
      <w:bookmarkStart w:id="33" w:name="_Toc1166"/>
      <w:bookmarkStart w:id="34" w:name="_Toc28187"/>
    </w:p>
    <w:p w14:paraId="0493974A">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（2）资金使用情况</w:t>
      </w:r>
      <w:bookmarkEnd w:id="32"/>
      <w:bookmarkEnd w:id="33"/>
      <w:bookmarkEnd w:id="34"/>
    </w:p>
    <w:p w14:paraId="0457426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35" w:name="_Toc29121"/>
      <w:bookmarkStart w:id="36" w:name="_Toc11647"/>
      <w:bookmarkStart w:id="37" w:name="_Toc1430"/>
      <w:r>
        <w:rPr>
          <w:rFonts w:hint="eastAsia" w:ascii="仿宋_GB2312" w:hAnsi="仿宋_GB2312" w:eastAsia="仿宋_GB2312" w:cs="仿宋_GB2312"/>
          <w:color w:val="auto"/>
          <w:sz w:val="32"/>
          <w:szCs w:val="32"/>
          <w:highlight w:val="none"/>
          <w:lang w:val="en-US" w:eastAsia="zh-CN"/>
        </w:rPr>
        <w:t>该项目年初预算数98.56万元，全年预算数69.79万元，</w:t>
      </w:r>
      <w:r>
        <w:rPr>
          <w:rFonts w:hint="eastAsia" w:ascii="仿宋_GB2312" w:hAnsi="仿宋_GB2312" w:eastAsia="仿宋_GB2312" w:cs="仿宋_GB2312"/>
          <w:color w:val="auto"/>
          <w:sz w:val="32"/>
          <w:szCs w:val="32"/>
          <w:highlight w:val="none"/>
          <w:shd w:val="clear" w:color="auto" w:fill="auto"/>
          <w:lang w:val="en-US" w:eastAsia="zh-CN"/>
        </w:rPr>
        <w:t>截至2024年12月31日，</w:t>
      </w:r>
      <w:r>
        <w:rPr>
          <w:rFonts w:hint="eastAsia" w:ascii="仿宋_GB2312" w:hAnsi="仿宋_GB2312" w:eastAsia="仿宋_GB2312" w:cs="仿宋_GB2312"/>
          <w:color w:val="auto"/>
          <w:sz w:val="32"/>
          <w:szCs w:val="32"/>
          <w:highlight w:val="none"/>
          <w:lang w:val="en-US" w:eastAsia="zh-CN"/>
        </w:rPr>
        <w:t>全年执行数69.79万元，预算执行率为100%，主要用于：主要用于支付日常办公用品采购、卫生用品购置、水费、电费、邮电费、取暖费缴纳、幼儿园设施设备维修及幼儿伙食补助发放等。</w:t>
      </w:r>
      <w:bookmarkEnd w:id="35"/>
      <w:bookmarkEnd w:id="36"/>
      <w:bookmarkEnd w:id="37"/>
    </w:p>
    <w:p w14:paraId="2DCACF36">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38" w:name="_Toc9109"/>
      <w:r>
        <w:rPr>
          <w:rFonts w:hint="eastAsia" w:ascii="Times New Roman" w:hAnsi="Times New Roman" w:eastAsia="楷体_GB2312" w:cs="Times New Roman"/>
          <w:color w:val="auto"/>
          <w:kern w:val="28"/>
          <w:sz w:val="32"/>
          <w:highlight w:val="none"/>
          <w:lang w:val="en-US" w:eastAsia="zh-CN"/>
        </w:rPr>
        <w:t>（二）项目绩效目标</w:t>
      </w:r>
      <w:bookmarkEnd w:id="38"/>
    </w:p>
    <w:p w14:paraId="799BBCD3">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39" w:name="_Toc2547"/>
      <w:bookmarkStart w:id="40" w:name="_Toc14758"/>
      <w:bookmarkStart w:id="41" w:name="_Toc10047"/>
      <w:bookmarkStart w:id="42" w:name="_Toc8528"/>
      <w:r>
        <w:rPr>
          <w:rFonts w:hint="eastAsia" w:ascii="仿宋_GB2312" w:hAnsi="仿宋_GB2312" w:eastAsia="仿宋_GB2312" w:cs="仿宋_GB2312"/>
          <w:color w:val="auto"/>
          <w:sz w:val="32"/>
          <w:szCs w:val="32"/>
          <w:highlight w:val="none"/>
          <w:shd w:val="clear" w:color="auto" w:fill="auto"/>
          <w:lang w:val="en-US" w:eastAsia="zh-CN"/>
        </w:rPr>
        <w:t>1.总体目标</w:t>
      </w:r>
      <w:bookmarkEnd w:id="39"/>
      <w:bookmarkEnd w:id="40"/>
      <w:bookmarkEnd w:id="41"/>
      <w:bookmarkEnd w:id="42"/>
    </w:p>
    <w:p w14:paraId="6B8735D0">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2024年学前教育生均经费项目绩效总体目标为：2024年阜康市第六幼儿园计划保障幼儿园正常运转，教学活动及其他日常业务的正常运转。计划完成每学年以1100元每生每学年的标准使用公用经费,总计在园幼儿人数352人。通过开展各类教育教学活动，促进幼儿园各项活动有序开展，实现幼儿园年初制定的各项工作目标，进一步提高幼儿园教育教学水平。</w:t>
      </w:r>
    </w:p>
    <w:p w14:paraId="37B75223">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43" w:name="_Toc4487"/>
      <w:bookmarkStart w:id="44" w:name="_Toc3255"/>
      <w:bookmarkStart w:id="45" w:name="_Toc4007"/>
      <w:bookmarkStart w:id="46" w:name="_Toc8990"/>
      <w:r>
        <w:rPr>
          <w:rFonts w:hint="eastAsia" w:ascii="仿宋_GB2312" w:hAnsi="仿宋_GB2312" w:eastAsia="仿宋_GB2312" w:cs="仿宋_GB2312"/>
          <w:color w:val="auto"/>
          <w:sz w:val="32"/>
          <w:szCs w:val="32"/>
          <w:highlight w:val="none"/>
          <w:shd w:val="clear" w:color="auto" w:fill="auto"/>
          <w:lang w:val="en-US" w:eastAsia="zh-CN"/>
        </w:rPr>
        <w:t>2.阶段性目标</w:t>
      </w:r>
      <w:bookmarkEnd w:id="43"/>
      <w:bookmarkEnd w:id="44"/>
      <w:bookmarkEnd w:id="45"/>
      <w:bookmarkEnd w:id="46"/>
    </w:p>
    <w:p w14:paraId="6472F4B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eastAsia="zh-CN"/>
        </w:rPr>
      </w:pPr>
      <w:r>
        <w:rPr>
          <w:rFonts w:hint="eastAsia" w:ascii="仿宋_GB2312" w:hAnsi="仿宋_GB2312" w:eastAsia="仿宋_GB2312" w:cs="仿宋_GB2312"/>
          <w:bCs/>
          <w:color w:val="auto"/>
          <w:sz w:val="32"/>
          <w:szCs w:val="32"/>
          <w:highlight w:val="none"/>
          <w:shd w:val="clear" w:color="auto" w:fill="auto"/>
          <w:lang w:eastAsia="zh-CN"/>
        </w:rPr>
        <w:t>根据《预算法》《财政支出绩效评价管理暂行办法》（财预〔20</w:t>
      </w:r>
      <w:r>
        <w:rPr>
          <w:rFonts w:hint="eastAsia" w:ascii="仿宋_GB2312" w:hAnsi="仿宋_GB2312" w:eastAsia="仿宋_GB2312" w:cs="仿宋_GB2312"/>
          <w:bCs/>
          <w:color w:val="auto"/>
          <w:sz w:val="32"/>
          <w:szCs w:val="32"/>
          <w:highlight w:val="none"/>
          <w:shd w:val="clear" w:color="auto" w:fill="auto"/>
          <w:lang w:val="en-US" w:eastAsia="zh-CN"/>
        </w:rPr>
        <w:t>20</w:t>
      </w:r>
      <w:r>
        <w:rPr>
          <w:rFonts w:hint="eastAsia" w:ascii="仿宋_GB2312" w:hAnsi="仿宋_GB2312" w:eastAsia="仿宋_GB2312" w:cs="仿宋_GB2312"/>
          <w:bCs/>
          <w:color w:val="auto"/>
          <w:sz w:val="32"/>
          <w:szCs w:val="32"/>
          <w:highlight w:val="none"/>
          <w:shd w:val="clear" w:color="auto" w:fill="auto"/>
          <w:lang w:eastAsia="zh-CN"/>
        </w:rPr>
        <w:t>〕</w:t>
      </w:r>
      <w:r>
        <w:rPr>
          <w:rFonts w:hint="eastAsia" w:ascii="仿宋_GB2312" w:hAnsi="仿宋_GB2312" w:eastAsia="仿宋_GB2312" w:cs="仿宋_GB2312"/>
          <w:bCs/>
          <w:color w:val="auto"/>
          <w:sz w:val="32"/>
          <w:szCs w:val="32"/>
          <w:highlight w:val="none"/>
          <w:shd w:val="clear" w:color="auto" w:fill="auto"/>
          <w:lang w:val="en-US" w:eastAsia="zh-CN"/>
        </w:rPr>
        <w:t>10</w:t>
      </w:r>
      <w:r>
        <w:rPr>
          <w:rFonts w:hint="eastAsia" w:ascii="仿宋_GB2312" w:hAnsi="仿宋_GB2312" w:eastAsia="仿宋_GB2312" w:cs="仿宋_GB2312"/>
          <w:bCs/>
          <w:color w:val="auto"/>
          <w:sz w:val="32"/>
          <w:szCs w:val="32"/>
          <w:highlight w:val="none"/>
          <w:shd w:val="clear" w:color="auto" w:fill="auto"/>
          <w:lang w:eastAsia="zh-CN"/>
        </w:rPr>
        <w:t>号）</w:t>
      </w:r>
      <w:r>
        <w:rPr>
          <w:rFonts w:hint="eastAsia" w:ascii="仿宋_GB2312" w:hAnsi="仿宋_GB2312" w:eastAsia="仿宋_GB2312" w:cs="仿宋_GB2312"/>
          <w:color w:val="auto"/>
          <w:sz w:val="32"/>
          <w:szCs w:val="32"/>
          <w:highlight w:val="none"/>
          <w:shd w:val="clear" w:color="auto" w:fill="auto"/>
          <w:lang w:val="en-US" w:eastAsia="zh-CN"/>
        </w:rPr>
        <w:t>等文件</w:t>
      </w:r>
      <w:r>
        <w:rPr>
          <w:rFonts w:hint="eastAsia" w:ascii="仿宋_GB2312" w:hAnsi="仿宋_GB2312" w:eastAsia="仿宋_GB2312" w:cs="仿宋_GB2312"/>
          <w:bCs/>
          <w:color w:val="auto"/>
          <w:sz w:val="32"/>
          <w:szCs w:val="32"/>
          <w:highlight w:val="none"/>
          <w:shd w:val="clear" w:color="auto" w:fill="auto"/>
          <w:lang w:eastAsia="zh-CN"/>
        </w:rPr>
        <w:t>的规定，结合项目实施单位的规章制度以及财务相关资料，评价小组对项目绩效目标进行了进一步的完善，完善</w:t>
      </w:r>
      <w:r>
        <w:rPr>
          <w:rFonts w:hint="eastAsia" w:ascii="仿宋_GB2312" w:hAnsi="仿宋_GB2312" w:eastAsia="仿宋_GB2312" w:cs="仿宋_GB2312"/>
          <w:bCs/>
          <w:color w:val="auto"/>
          <w:sz w:val="32"/>
          <w:szCs w:val="32"/>
          <w:highlight w:val="none"/>
          <w:shd w:val="clear" w:color="auto" w:fill="auto"/>
          <w:lang w:val="en-US" w:eastAsia="zh-CN"/>
        </w:rPr>
        <w:t>后</w:t>
      </w:r>
      <w:r>
        <w:rPr>
          <w:rFonts w:hint="eastAsia" w:ascii="仿宋_GB2312" w:hAnsi="仿宋_GB2312" w:eastAsia="仿宋_GB2312" w:cs="仿宋_GB2312"/>
          <w:bCs/>
          <w:color w:val="auto"/>
          <w:sz w:val="32"/>
          <w:szCs w:val="32"/>
          <w:highlight w:val="none"/>
          <w:shd w:val="clear" w:color="auto" w:fill="auto"/>
          <w:lang w:eastAsia="zh-CN"/>
        </w:rPr>
        <w:t>绩效目标如下：</w:t>
      </w:r>
    </w:p>
    <w:p w14:paraId="7C0DB60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1</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rPr>
        <w:t>项目产出</w:t>
      </w:r>
      <w:r>
        <w:rPr>
          <w:rFonts w:hint="eastAsia" w:ascii="仿宋_GB2312" w:hAnsi="仿宋_GB2312" w:eastAsia="仿宋_GB2312" w:cs="仿宋_GB2312"/>
          <w:color w:val="auto"/>
          <w:sz w:val="32"/>
          <w:szCs w:val="32"/>
          <w:highlight w:val="none"/>
          <w:shd w:val="clear" w:color="auto" w:fill="auto"/>
          <w:lang w:val="en-US" w:eastAsia="zh-CN"/>
        </w:rPr>
        <w:t>目标</w:t>
      </w:r>
    </w:p>
    <w:p w14:paraId="09399C9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①数量指标</w:t>
      </w:r>
    </w:p>
    <w:p w14:paraId="071F693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在校学生人数</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指标，预期目标值为=352人；</w:t>
      </w:r>
    </w:p>
    <w:p w14:paraId="72A85A5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②质量指标</w:t>
      </w:r>
    </w:p>
    <w:p w14:paraId="0DA9105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公用经费享受比例</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25B568D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质量指标</w:t>
      </w:r>
    </w:p>
    <w:p w14:paraId="11E54BC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教师培训结业率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246DB6C0">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③时效指标</w:t>
      </w:r>
    </w:p>
    <w:p w14:paraId="5BC0D72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公用经费支出及时率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4061558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（2）成本指标</w:t>
      </w:r>
    </w:p>
    <w:p w14:paraId="0ED89BF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公用经费标准</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指标，预期目标值为=1100元/人/年；</w:t>
      </w:r>
    </w:p>
    <w:p w14:paraId="19C85988">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rPr>
        <w:t>）项目效益</w:t>
      </w:r>
      <w:r>
        <w:rPr>
          <w:rFonts w:hint="eastAsia" w:ascii="仿宋_GB2312" w:hAnsi="仿宋_GB2312" w:eastAsia="仿宋_GB2312" w:cs="仿宋_GB2312"/>
          <w:color w:val="auto"/>
          <w:sz w:val="32"/>
          <w:szCs w:val="32"/>
          <w:highlight w:val="none"/>
          <w:shd w:val="clear" w:color="auto" w:fill="auto"/>
          <w:lang w:val="en-US" w:eastAsia="zh-CN"/>
        </w:rPr>
        <w:t>目标</w:t>
      </w:r>
    </w:p>
    <w:p w14:paraId="7D37E2DE">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①经济效益指标</w:t>
      </w:r>
    </w:p>
    <w:p w14:paraId="7A9678EA">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项目不涉及经济效益指标。</w:t>
      </w:r>
    </w:p>
    <w:p w14:paraId="6508294A">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②社会效益指标</w:t>
      </w:r>
    </w:p>
    <w:p w14:paraId="2460CB55">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幼儿园正常运转率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1262EB1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改善教学环境，提供良好的学生成长条件</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指标，预期目标值为改善；</w:t>
      </w:r>
    </w:p>
    <w:p w14:paraId="0F46EDE8">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③生态效益指标</w:t>
      </w:r>
    </w:p>
    <w:p w14:paraId="418799A1">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项目不涉及生态效益指标。</w:t>
      </w:r>
    </w:p>
    <w:p w14:paraId="16E49F38">
      <w:pPr>
        <w:pageBreakBefore w:val="0"/>
        <w:widowControl w:val="0"/>
        <w:kinsoku/>
        <w:wordWrap/>
        <w:overflowPunct/>
        <w:topLinePunct w:val="0"/>
        <w:autoSpaceDE/>
        <w:autoSpaceDN/>
        <w:bidi w:val="0"/>
        <w:adjustRightInd/>
        <w:snapToGrid/>
        <w:spacing w:line="560" w:lineRule="exact"/>
        <w:textAlignment w:val="auto"/>
        <w:rPr>
          <w:rFonts w:hint="default"/>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④可持续影响指标</w:t>
      </w:r>
    </w:p>
    <w:p w14:paraId="2952EF41">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项目不涉及可持续影响指标。</w:t>
      </w:r>
    </w:p>
    <w:p w14:paraId="198AC47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⑤满意度指标</w:t>
      </w:r>
    </w:p>
    <w:p w14:paraId="0A708DED">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师生满意度</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指标，预期目标值为≥90%；</w:t>
      </w:r>
    </w:p>
    <w:p w14:paraId="123E4843">
      <w:pPr>
        <w:pStyle w:val="2"/>
        <w:pageBreakBefore w:val="0"/>
        <w:kinsoku/>
        <w:wordWrap/>
        <w:overflowPunct/>
        <w:topLinePunct w:val="0"/>
        <w:autoSpaceDE/>
        <w:autoSpaceDN/>
        <w:bidi w:val="0"/>
        <w:adjustRightInd/>
        <w:snapToGrid/>
        <w:spacing w:beforeLines="0" w:afterLines="0" w:line="560" w:lineRule="exact"/>
        <w:textAlignment w:val="auto"/>
        <w:rPr>
          <w:rFonts w:hint="eastAsia" w:ascii="宋体" w:hAnsi="宋体" w:eastAsia="宋体" w:cs="宋体"/>
          <w:b/>
          <w:bCs/>
          <w:color w:val="auto"/>
          <w:highlight w:val="none"/>
          <w:shd w:val="clear" w:color="auto" w:fill="auto"/>
          <w:lang w:val="en-US" w:eastAsia="zh-CN"/>
        </w:rPr>
      </w:pPr>
      <w:bookmarkStart w:id="47" w:name="_Toc26567"/>
      <w:r>
        <w:rPr>
          <w:rFonts w:hint="eastAsia" w:ascii="宋体" w:hAnsi="宋体" w:eastAsia="宋体" w:cs="宋体"/>
          <w:b/>
          <w:bCs/>
          <w:color w:val="auto"/>
          <w:highlight w:val="none"/>
          <w:shd w:val="clear" w:color="auto" w:fill="auto"/>
        </w:rPr>
        <w:t>二、绩效评价工作开展情况</w:t>
      </w:r>
      <w:bookmarkEnd w:id="47"/>
    </w:p>
    <w:p w14:paraId="2CC9CEB1">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48" w:name="_Toc26632"/>
      <w:bookmarkStart w:id="49" w:name="_Toc22169_WPSOffice_Level2"/>
      <w:bookmarkStart w:id="50" w:name="_Toc12868"/>
      <w:bookmarkStart w:id="51" w:name="_Toc480473081"/>
      <w:bookmarkStart w:id="52" w:name="_Toc21664"/>
      <w:bookmarkStart w:id="53" w:name="_Toc5462343"/>
      <w:bookmarkStart w:id="54" w:name="_Toc22922"/>
      <w:bookmarkStart w:id="55" w:name="_Toc5258"/>
      <w:bookmarkStart w:id="56" w:name="_Toc22839"/>
      <w:r>
        <w:rPr>
          <w:rFonts w:hint="eastAsia" w:ascii="Times New Roman" w:hAnsi="Times New Roman" w:eastAsia="楷体_GB2312" w:cs="Times New Roman"/>
          <w:color w:val="auto"/>
          <w:kern w:val="28"/>
          <w:sz w:val="32"/>
          <w:highlight w:val="none"/>
          <w:lang w:val="en-US" w:eastAsia="zh-CN"/>
        </w:rPr>
        <w:t>（一）绩效评价的目的</w:t>
      </w:r>
      <w:bookmarkEnd w:id="48"/>
      <w:bookmarkEnd w:id="49"/>
      <w:bookmarkEnd w:id="50"/>
      <w:bookmarkEnd w:id="51"/>
      <w:bookmarkEnd w:id="52"/>
      <w:bookmarkEnd w:id="53"/>
      <w:bookmarkEnd w:id="54"/>
      <w:bookmarkEnd w:id="55"/>
      <w:r>
        <w:rPr>
          <w:rFonts w:hint="eastAsia" w:ascii="Times New Roman" w:hAnsi="Times New Roman" w:eastAsia="楷体_GB2312" w:cs="Times New Roman"/>
          <w:color w:val="auto"/>
          <w:kern w:val="28"/>
          <w:sz w:val="32"/>
          <w:highlight w:val="none"/>
          <w:lang w:val="en-US" w:eastAsia="zh-CN"/>
        </w:rPr>
        <w:t>、对象和范围</w:t>
      </w:r>
      <w:bookmarkEnd w:id="56"/>
    </w:p>
    <w:p w14:paraId="5F8BEEC9">
      <w:pPr>
        <w:pStyle w:val="14"/>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default" w:ascii="Times New Roman" w:hAnsi="Times New Roman" w:eastAsia="仿宋_GB2312" w:cs="Times New Roman"/>
          <w:b/>
          <w:bCs/>
          <w:color w:val="auto"/>
          <w:kern w:val="2"/>
          <w:sz w:val="32"/>
          <w:szCs w:val="32"/>
          <w:highlight w:val="none"/>
          <w:lang w:val="en-US" w:eastAsia="zh-CN" w:bidi="ar-SA"/>
        </w:rPr>
      </w:pPr>
      <w:bookmarkStart w:id="57" w:name="_Toc15732"/>
      <w:r>
        <w:rPr>
          <w:rFonts w:hint="default" w:ascii="Times New Roman" w:hAnsi="Times New Roman" w:eastAsia="仿宋_GB2312" w:cs="Times New Roman"/>
          <w:b/>
          <w:bCs/>
          <w:color w:val="auto"/>
          <w:kern w:val="2"/>
          <w:sz w:val="32"/>
          <w:szCs w:val="32"/>
          <w:highlight w:val="none"/>
          <w:lang w:val="en-US" w:eastAsia="zh-CN" w:bidi="ar-SA"/>
        </w:rPr>
        <w:t>1.绩效评价完整性</w:t>
      </w:r>
    </w:p>
    <w:p w14:paraId="4E57CD83">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51F6FBE0">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p w14:paraId="6E47BAB8">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30060005">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73017763">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7800A579">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58" w:name="_Toc21770"/>
      <w:bookmarkStart w:id="59" w:name="_Toc417"/>
      <w:r>
        <w:rPr>
          <w:rFonts w:hint="eastAsia" w:cs="仿宋_GB2312"/>
          <w:color w:val="auto"/>
          <w:sz w:val="32"/>
          <w:szCs w:val="32"/>
          <w:highlight w:val="none"/>
          <w:shd w:val="clear" w:color="auto" w:fill="auto"/>
          <w:lang w:val="en-US" w:eastAsia="zh-CN"/>
        </w:rPr>
        <w:t>2</w:t>
      </w:r>
      <w:r>
        <w:rPr>
          <w:rFonts w:hint="eastAsia" w:ascii="仿宋_GB2312" w:hAnsi="仿宋_GB2312" w:eastAsia="仿宋_GB2312" w:cs="仿宋_GB2312"/>
          <w:color w:val="auto"/>
          <w:sz w:val="32"/>
          <w:szCs w:val="32"/>
          <w:highlight w:val="none"/>
          <w:shd w:val="clear" w:color="auto" w:fill="auto"/>
          <w:lang w:val="en-US" w:eastAsia="zh-CN"/>
        </w:rPr>
        <w:t>.</w:t>
      </w:r>
      <w:r>
        <w:rPr>
          <w:rFonts w:hint="eastAsia" w:ascii="仿宋_GB2312" w:hAnsi="仿宋_GB2312" w:eastAsia="仿宋_GB2312" w:cs="仿宋_GB2312"/>
          <w:color w:val="auto"/>
          <w:sz w:val="32"/>
          <w:szCs w:val="32"/>
          <w:highlight w:val="none"/>
          <w:shd w:val="clear" w:color="auto" w:fill="auto"/>
          <w:lang w:eastAsia="zh-CN"/>
        </w:rPr>
        <w:t>绩效评价的目的</w:t>
      </w:r>
      <w:bookmarkEnd w:id="57"/>
      <w:bookmarkEnd w:id="58"/>
      <w:bookmarkEnd w:id="59"/>
    </w:p>
    <w:p w14:paraId="3E225F32">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lang w:eastAsia="zh-CN"/>
        </w:rPr>
        <w:t>为全面了解</w:t>
      </w:r>
      <w:r>
        <w:rPr>
          <w:rFonts w:hint="eastAsia" w:ascii="仿宋_GB2312" w:hAnsi="仿宋_GB2312" w:eastAsia="仿宋_GB2312" w:cs="仿宋_GB2312"/>
          <w:color w:val="auto"/>
          <w:sz w:val="32"/>
          <w:szCs w:val="32"/>
          <w:highlight w:val="none"/>
          <w:shd w:val="clear" w:color="auto" w:fill="auto"/>
          <w:lang w:val="en-US" w:eastAsia="zh-CN"/>
        </w:rPr>
        <w:t>该</w:t>
      </w:r>
      <w:r>
        <w:rPr>
          <w:rFonts w:hint="eastAsia" w:ascii="仿宋_GB2312" w:hAnsi="仿宋_GB2312" w:eastAsia="仿宋_GB2312" w:cs="仿宋_GB2312"/>
          <w:color w:val="auto"/>
          <w:sz w:val="32"/>
          <w:szCs w:val="32"/>
          <w:highlight w:val="none"/>
          <w:shd w:val="clear" w:color="auto" w:fill="auto"/>
          <w:lang w:eastAsia="zh-CN"/>
        </w:rPr>
        <w:t>项目预算编制合理性、资金使用合规性、项目管理的规范性、</w:t>
      </w:r>
      <w:r>
        <w:rPr>
          <w:rFonts w:hint="eastAsia" w:ascii="仿宋_GB2312" w:hAnsi="仿宋_GB2312" w:eastAsia="仿宋_GB2312" w:cs="仿宋_GB2312"/>
          <w:color w:val="auto"/>
          <w:sz w:val="32"/>
          <w:szCs w:val="32"/>
          <w:highlight w:val="none"/>
          <w:shd w:val="clear" w:color="auto" w:fill="auto"/>
          <w:lang w:val="en-US" w:eastAsia="zh-CN"/>
        </w:rPr>
        <w:t>绩效</w:t>
      </w:r>
      <w:r>
        <w:rPr>
          <w:rFonts w:hint="eastAsia" w:ascii="仿宋_GB2312" w:hAnsi="仿宋_GB2312" w:eastAsia="仿宋_GB2312" w:cs="仿宋_GB2312"/>
          <w:color w:val="auto"/>
          <w:sz w:val="32"/>
          <w:szCs w:val="32"/>
          <w:highlight w:val="none"/>
          <w:shd w:val="clear" w:color="auto" w:fill="auto"/>
          <w:lang w:eastAsia="zh-CN"/>
        </w:rPr>
        <w:t>目标的实现情况、服务对象的满意度等，通过本次</w:t>
      </w:r>
      <w:r>
        <w:rPr>
          <w:rFonts w:hint="eastAsia" w:ascii="仿宋_GB2312" w:hAnsi="仿宋_GB2312" w:eastAsia="仿宋_GB2312" w:cs="仿宋_GB2312"/>
          <w:color w:val="auto"/>
          <w:sz w:val="32"/>
          <w:szCs w:val="32"/>
          <w:highlight w:val="none"/>
          <w:shd w:val="clear" w:color="auto" w:fill="auto"/>
          <w:lang w:val="en-US" w:eastAsia="zh-CN"/>
        </w:rPr>
        <w:t>部门</w:t>
      </w:r>
      <w:r>
        <w:rPr>
          <w:rFonts w:hint="eastAsia" w:ascii="仿宋_GB2312" w:hAnsi="仿宋_GB2312" w:eastAsia="仿宋_GB2312" w:cs="仿宋_GB2312"/>
          <w:color w:val="auto"/>
          <w:sz w:val="32"/>
          <w:szCs w:val="32"/>
          <w:highlight w:val="none"/>
          <w:shd w:val="clear" w:color="auto" w:fill="auto"/>
          <w:lang w:eastAsia="zh-CN"/>
        </w:rPr>
        <w:t>绩效评价来总结经验和教训，促进项目成果转化和应用，为今后类似项目的长效管理，提供可行性参考建议。</w:t>
      </w:r>
    </w:p>
    <w:p w14:paraId="4A05E6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bookmarkStart w:id="60" w:name="_Toc30609"/>
      <w:r>
        <w:rPr>
          <w:rFonts w:hint="default" w:ascii="Times New Roman" w:hAnsi="Times New Roman" w:eastAsia="仿宋_GB2312" w:cs="Times New Roman"/>
          <w:color w:val="auto"/>
          <w:sz w:val="32"/>
          <w:szCs w:val="32"/>
          <w:highlight w:val="none"/>
        </w:rPr>
        <w:t>（1）评估项目实施效果</w:t>
      </w:r>
    </w:p>
    <w:p w14:paraId="3187A1F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通过对项目预算执行情况及各项绩效目标达成程度的系统性分析，全面、客观地评估项目在预定周期内的实施效果，包括社会效益等多维度指标，为项目后续的改进与优化提供科学依据。</w:t>
      </w:r>
    </w:p>
    <w:p w14:paraId="2F44733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（2）提升资源利用效率</w:t>
      </w:r>
    </w:p>
    <w:p w14:paraId="753B14E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5F51AD6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（3）强化项目管理责任</w:t>
      </w:r>
    </w:p>
    <w:p w14:paraId="4D9115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03AE9C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（4）为决策提供支持</w:t>
      </w:r>
    </w:p>
    <w:p w14:paraId="6E4343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09067A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（5）促进项目持续改进</w:t>
      </w:r>
    </w:p>
    <w:p w14:paraId="211041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522829E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3472B7E2">
      <w:pPr>
        <w:pStyle w:val="4"/>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color w:val="auto"/>
          <w:kern w:val="2"/>
          <w:sz w:val="32"/>
          <w:szCs w:val="32"/>
          <w:highlight w:val="none"/>
          <w:lang w:val="en-US" w:eastAsia="zh-CN" w:bidi="ar-SA"/>
        </w:rPr>
      </w:pPr>
      <w:bookmarkStart w:id="61" w:name="_Toc31970"/>
      <w:bookmarkStart w:id="62" w:name="_Toc16346"/>
      <w:r>
        <w:rPr>
          <w:rFonts w:hint="eastAsia" w:ascii="Times New Roman" w:hAnsi="Times New Roman" w:eastAsia="仿宋_GB2312" w:cs="Times New Roman"/>
          <w:b w:val="0"/>
          <w:bCs w:val="0"/>
          <w:color w:val="auto"/>
          <w:kern w:val="2"/>
          <w:sz w:val="32"/>
          <w:szCs w:val="32"/>
          <w:highlight w:val="none"/>
          <w:lang w:val="en-US" w:eastAsia="zh-CN" w:bidi="ar-SA"/>
        </w:rPr>
        <w:t>3.绩效评价的对象</w:t>
      </w:r>
      <w:bookmarkEnd w:id="60"/>
      <w:bookmarkEnd w:id="61"/>
      <w:bookmarkEnd w:id="62"/>
    </w:p>
    <w:p w14:paraId="08712F71">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Times New Roman"/>
          <w:b w:val="0"/>
          <w:bCs w:val="0"/>
          <w:color w:val="auto"/>
          <w:kern w:val="2"/>
          <w:sz w:val="32"/>
          <w:szCs w:val="32"/>
          <w:highlight w:val="none"/>
          <w:lang w:val="en-US" w:eastAsia="zh-CN" w:bidi="ar-SA"/>
        </w:rPr>
      </w:pPr>
      <w:r>
        <w:rPr>
          <w:rFonts w:hint="eastAsia" w:ascii="Times New Roman" w:hAnsi="Times New Roman" w:eastAsia="仿宋_GB2312" w:cs="Times New Roman"/>
          <w:b w:val="0"/>
          <w:bCs w:val="0"/>
          <w:color w:val="auto"/>
          <w:kern w:val="2"/>
          <w:sz w:val="32"/>
          <w:szCs w:val="32"/>
          <w:highlight w:val="none"/>
          <w:lang w:val="en-US" w:eastAsia="zh-CN" w:bidi="ar-SA"/>
        </w:rPr>
        <w:t>此次我单位根据《财政支出绩效评价管理暂行办法》（财预〔2020〕10号）文件要求对2024年度我单位实施的2024年学前教育生均经费项目</w:t>
      </w:r>
      <w:r>
        <w:rPr>
          <w:rFonts w:hint="default" w:ascii="Times New Roman" w:hAnsi="Times New Roman" w:eastAsia="仿宋_GB2312" w:cs="Times New Roman"/>
          <w:b w:val="0"/>
          <w:bCs w:val="0"/>
          <w:color w:val="auto"/>
          <w:kern w:val="2"/>
          <w:sz w:val="32"/>
          <w:szCs w:val="32"/>
          <w:highlight w:val="none"/>
          <w:lang w:val="en-US" w:eastAsia="zh-CN" w:bidi="ar-SA"/>
        </w:rPr>
        <w:t>及其预算执行情况</w:t>
      </w:r>
      <w:r>
        <w:rPr>
          <w:rFonts w:hint="eastAsia" w:ascii="Times New Roman" w:hAnsi="Times New Roman" w:eastAsia="仿宋_GB2312" w:cs="Times New Roman"/>
          <w:b w:val="0"/>
          <w:bCs w:val="0"/>
          <w:color w:val="auto"/>
          <w:kern w:val="2"/>
          <w:sz w:val="32"/>
          <w:szCs w:val="32"/>
          <w:highlight w:val="none"/>
          <w:lang w:val="en-US" w:eastAsia="zh-CN" w:bidi="ar-SA"/>
        </w:rPr>
        <w:t>开展部门绩效评价。</w:t>
      </w:r>
    </w:p>
    <w:p w14:paraId="3B0954D7">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lang w:val="en-US" w:eastAsia="zh-CN" w:bidi="ar-SA"/>
        </w:rPr>
        <w:t>该项目由</w:t>
      </w:r>
      <w:r>
        <w:rPr>
          <w:rFonts w:hint="eastAsia" w:ascii="Times New Roman" w:hAnsi="Times New Roman" w:eastAsia="仿宋_GB2312" w:cs="Times New Roman"/>
          <w:b w:val="0"/>
          <w:bCs w:val="0"/>
          <w:color w:val="auto"/>
          <w:kern w:val="2"/>
          <w:sz w:val="32"/>
          <w:szCs w:val="32"/>
          <w:highlight w:val="none"/>
          <w:lang w:val="en-US" w:eastAsia="zh-CN" w:bidi="ar-SA"/>
        </w:rPr>
        <w:t>阜康市第六幼儿园</w:t>
      </w:r>
      <w:r>
        <w:rPr>
          <w:rFonts w:hint="default" w:ascii="Times New Roman" w:hAnsi="Times New Roman" w:eastAsia="仿宋_GB2312" w:cs="Times New Roman"/>
          <w:b w:val="0"/>
          <w:bCs w:val="0"/>
          <w:color w:val="auto"/>
          <w:kern w:val="2"/>
          <w:sz w:val="32"/>
          <w:szCs w:val="32"/>
          <w:highlight w:val="none"/>
          <w:lang w:val="en-US" w:eastAsia="zh-CN" w:bidi="ar-SA"/>
        </w:rPr>
        <w:t>负责实施，旨在提高幼儿园正常运转率，改善教学环境，提供良好的学生成长条件，保障幼儿园各项工作平稳进行</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。项目预算涵盖从</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2024年1月1日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至</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2024年12月31日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的全部资金投入与支出，涉及资金总额为</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69.79</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万元。</w:t>
      </w:r>
    </w:p>
    <w:p w14:paraId="4A012542">
      <w:pPr>
        <w:pStyle w:val="4"/>
        <w:pageBreakBefore w:val="0"/>
        <w:kinsoku/>
        <w:wordWrap/>
        <w:overflowPunct/>
        <w:topLinePunct w:val="0"/>
        <w:autoSpaceDE/>
        <w:autoSpaceDN/>
        <w:bidi w:val="0"/>
        <w:adjustRightInd/>
        <w:spacing w:line="560" w:lineRule="exact"/>
        <w:textAlignment w:val="auto"/>
        <w:rPr>
          <w:rFonts w:hint="default" w:cs="仿宋_GB2312"/>
          <w:color w:val="auto"/>
          <w:sz w:val="32"/>
          <w:szCs w:val="32"/>
          <w:highlight w:val="none"/>
          <w:shd w:val="clear" w:color="auto" w:fill="auto"/>
          <w:lang w:val="en-US" w:eastAsia="zh-CN"/>
        </w:rPr>
      </w:pPr>
      <w:bookmarkStart w:id="63" w:name="_Toc11666"/>
      <w:bookmarkStart w:id="64" w:name="_Toc21311"/>
      <w:r>
        <w:rPr>
          <w:rFonts w:hint="default" w:cs="仿宋_GB2312"/>
          <w:color w:val="auto"/>
          <w:sz w:val="32"/>
          <w:szCs w:val="32"/>
          <w:highlight w:val="none"/>
          <w:shd w:val="clear" w:color="auto" w:fill="auto"/>
          <w:lang w:val="en-US" w:eastAsia="zh-CN"/>
        </w:rPr>
        <w:t>4.绩效评价的范围</w:t>
      </w:r>
      <w:bookmarkEnd w:id="63"/>
      <w:bookmarkEnd w:id="64"/>
    </w:p>
    <w:p w14:paraId="3F83EA6E">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本项目预算绩效评价报告的评价范围广泛而全面，涵盖了从项目立项至评价时点期间的所有关键预算活动和财务流程。具体而言，评价范围包括但不限于以下几个方面：</w:t>
      </w:r>
    </w:p>
    <w:p w14:paraId="19EB23D8">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项目预算编制与执行：全面审视项目预算的编制依据、合理性、科学性以及实际执行情况，包括预算调整的原因和效果。</w:t>
      </w:r>
    </w:p>
    <w:p w14:paraId="267E8AEF">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资金管理：深入分析项目资金的分配、使用和监管情况，确保资金使用的合规性、高效性和透明度。</w:t>
      </w:r>
    </w:p>
    <w:p w14:paraId="19E01CD2">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项目实施进度与产出：评估项目是否按照既定计划顺利推进，各项任务是否按时完成，以及项目产出的数量、质量和时效性是否符合预期。</w:t>
      </w:r>
    </w:p>
    <w:p w14:paraId="1E59BB39">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color w:val="auto"/>
          <w:highlight w:val="none"/>
          <w:lang w:eastAsia="zh-CN"/>
        </w:rPr>
      </w:pP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4</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社会影响：考察项目对社会等方面的综合影响。</w:t>
      </w:r>
    </w:p>
    <w:p w14:paraId="01C5BF3E">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65" w:name="_Toc29785"/>
      <w:bookmarkStart w:id="66" w:name="_Toc1286"/>
      <w:r>
        <w:rPr>
          <w:rFonts w:hint="eastAsia" w:ascii="Times New Roman" w:hAnsi="Times New Roman" w:eastAsia="楷体_GB2312" w:cs="Times New Roman"/>
          <w:color w:val="auto"/>
          <w:kern w:val="28"/>
          <w:sz w:val="32"/>
          <w:highlight w:val="none"/>
          <w:lang w:val="en-US" w:eastAsia="zh-CN"/>
        </w:rPr>
        <w:t>（二）绩效评价原则、评价指标体系（</w:t>
      </w:r>
      <w:r>
        <w:rPr>
          <w:rFonts w:hint="default" w:ascii="Times New Roman" w:hAnsi="Times New Roman" w:eastAsia="楷体_GB2312" w:cs="Times New Roman"/>
          <w:color w:val="auto"/>
          <w:kern w:val="28"/>
          <w:sz w:val="32"/>
          <w:highlight w:val="none"/>
          <w:lang w:val="en-US" w:eastAsia="zh-CN"/>
        </w:rPr>
        <w:t>详情见</w:t>
      </w:r>
      <w:r>
        <w:rPr>
          <w:rFonts w:hint="eastAsia" w:ascii="Times New Roman" w:hAnsi="Times New Roman" w:eastAsia="楷体_GB2312" w:cs="Times New Roman"/>
          <w:color w:val="auto"/>
          <w:kern w:val="28"/>
          <w:sz w:val="32"/>
          <w:highlight w:val="none"/>
          <w:lang w:val="en-US" w:eastAsia="zh-CN"/>
        </w:rPr>
        <w:t>附件二）、评价方法、评价标准</w:t>
      </w:r>
      <w:bookmarkEnd w:id="65"/>
      <w:bookmarkEnd w:id="66"/>
    </w:p>
    <w:p w14:paraId="6DBEF5B2">
      <w:pPr>
        <w:pStyle w:val="4"/>
        <w:pageBreakBefore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b/>
          <w:bCs/>
          <w:color w:val="auto"/>
          <w:kern w:val="2"/>
          <w:sz w:val="32"/>
          <w:szCs w:val="32"/>
          <w:highlight w:val="none"/>
          <w:lang w:val="en-US" w:eastAsia="zh-CN" w:bidi="ar-SA"/>
        </w:rPr>
      </w:pPr>
      <w:bookmarkStart w:id="67" w:name="_Toc13694"/>
      <w:bookmarkStart w:id="68" w:name="_Toc24506"/>
      <w:bookmarkStart w:id="69" w:name="_Toc5354"/>
      <w:r>
        <w:rPr>
          <w:rFonts w:hint="eastAsia" w:ascii="Times New Roman" w:hAnsi="Times New Roman" w:eastAsia="仿宋_GB2312" w:cs="Times New Roman"/>
          <w:b/>
          <w:bCs/>
          <w:color w:val="auto"/>
          <w:kern w:val="2"/>
          <w:sz w:val="32"/>
          <w:szCs w:val="32"/>
          <w:highlight w:val="none"/>
          <w:lang w:val="en-US" w:eastAsia="zh-CN" w:bidi="ar-SA"/>
        </w:rPr>
        <w:t>1.绩效评价原则</w:t>
      </w:r>
      <w:bookmarkEnd w:id="67"/>
      <w:bookmarkEnd w:id="68"/>
      <w:bookmarkEnd w:id="69"/>
    </w:p>
    <w:p w14:paraId="15623C5B">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依据《财政支出绩效评价管理暂行办法》（财预〔20</w:t>
      </w:r>
      <w:r>
        <w:rPr>
          <w:rFonts w:hint="eastAsia" w:ascii="Times New Roman" w:hAnsi="Times New Roman" w:eastAsia="仿宋_GB2312" w:cs="Times New Roman"/>
          <w:color w:val="auto"/>
          <w:sz w:val="32"/>
          <w:szCs w:val="32"/>
          <w:highlight w:val="none"/>
          <w:lang w:val="en-US" w:eastAsia="zh-CN"/>
        </w:rPr>
        <w:t>20</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10</w:t>
      </w:r>
      <w:r>
        <w:rPr>
          <w:rFonts w:hint="eastAsia" w:ascii="Times New Roman" w:hAnsi="Times New Roman" w:eastAsia="仿宋_GB2312" w:cs="Times New Roman"/>
          <w:color w:val="auto"/>
          <w:sz w:val="32"/>
          <w:szCs w:val="32"/>
          <w:highlight w:val="none"/>
          <w:lang w:eastAsia="zh-CN"/>
        </w:rPr>
        <w:t>号）本次绩效评价秉承科学规范、公正公开、分级分类、绩效相关等原则，按照从投入、过程到产出效果和影响的绩效逻辑路径，结合</w:t>
      </w:r>
      <w:r>
        <w:rPr>
          <w:rFonts w:hint="eastAsia" w:ascii="仿宋_GB2312" w:hAnsi="仿宋_GB2312" w:eastAsia="仿宋_GB2312" w:cs="仿宋_GB2312"/>
          <w:color w:val="auto"/>
          <w:sz w:val="32"/>
          <w:szCs w:val="32"/>
          <w:highlight w:val="none"/>
          <w:shd w:val="clear" w:color="auto" w:fill="auto"/>
          <w:lang w:val="en-US" w:eastAsia="zh-CN"/>
        </w:rPr>
        <w:t>2024年学前教育生均经费项目</w:t>
      </w:r>
      <w:r>
        <w:rPr>
          <w:rFonts w:hint="eastAsia" w:ascii="Times New Roman" w:hAnsi="Times New Roman" w:eastAsia="仿宋_GB2312" w:cs="Times New Roman"/>
          <w:color w:val="auto"/>
          <w:sz w:val="32"/>
          <w:szCs w:val="32"/>
          <w:highlight w:val="none"/>
          <w:lang w:eastAsia="zh-CN"/>
        </w:rPr>
        <w:t>实际开展情况，运用定量和定性分析相结合的方法，总结经验做法，反思项目实施和管理中的问题，以切实提升财政资金管理的科学化、规范化和精细化水平。</w:t>
      </w:r>
    </w:p>
    <w:p w14:paraId="7860D5DF">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根据以上原则，绩效评价应遵循如下要求：</w:t>
      </w:r>
    </w:p>
    <w:p w14:paraId="5280BE66">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1</w:t>
      </w:r>
      <w:r>
        <w:rPr>
          <w:rFonts w:hint="eastAsia" w:ascii="Times New Roman" w:hAnsi="Times New Roman" w:eastAsia="仿宋_GB2312" w:cs="Times New Roman"/>
          <w:color w:val="auto"/>
          <w:sz w:val="32"/>
          <w:szCs w:val="32"/>
          <w:highlight w:val="none"/>
          <w:lang w:eastAsia="zh-CN"/>
        </w:rPr>
        <w:t>）科学公正。绩效评价应当运用科学合理的方法，按照规范的程序，对项目绩效进行客观、公正的反映。</w:t>
      </w:r>
    </w:p>
    <w:p w14:paraId="48CD034E">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2</w:t>
      </w:r>
      <w:r>
        <w:rPr>
          <w:rFonts w:hint="eastAsia" w:ascii="Times New Roman" w:hAnsi="Times New Roman" w:eastAsia="仿宋_GB2312" w:cs="Times New Roman"/>
          <w:color w:val="auto"/>
          <w:sz w:val="32"/>
          <w:szCs w:val="32"/>
          <w:highlight w:val="none"/>
          <w:lang w:eastAsia="zh-CN"/>
        </w:rPr>
        <w:t>）统筹兼顾。单位自评、部门评价和财政评价应职责明确，各有侧重，相互衔接。单位自评应由项目单位自主实施，即“谁支出、谁自评”。</w:t>
      </w:r>
    </w:p>
    <w:p w14:paraId="50F6CF1A">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3</w:t>
      </w:r>
      <w:r>
        <w:rPr>
          <w:rFonts w:hint="eastAsia" w:ascii="Times New Roman" w:hAnsi="Times New Roman" w:eastAsia="仿宋_GB2312" w:cs="Times New Roman"/>
          <w:color w:val="auto"/>
          <w:sz w:val="32"/>
          <w:szCs w:val="32"/>
          <w:highlight w:val="none"/>
          <w:lang w:eastAsia="zh-CN"/>
        </w:rPr>
        <w:t>）激励约束。绩效评价结果应与预算安排、政策调整、改进管理实质性挂钩，体现奖优罚劣和激励相容导向，有效要安排、低效要压减、无效要问责。</w:t>
      </w:r>
    </w:p>
    <w:p w14:paraId="273EE924">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4</w:t>
      </w:r>
      <w:r>
        <w:rPr>
          <w:rFonts w:hint="eastAsia" w:ascii="Times New Roman" w:hAnsi="Times New Roman" w:eastAsia="仿宋_GB2312" w:cs="Times New Roman"/>
          <w:color w:val="auto"/>
          <w:sz w:val="32"/>
          <w:szCs w:val="32"/>
          <w:highlight w:val="none"/>
          <w:lang w:eastAsia="zh-CN"/>
        </w:rPr>
        <w:t>）公开透明。绩效评价结果应依法依规公开，并自觉接受社会监督。</w:t>
      </w:r>
    </w:p>
    <w:p w14:paraId="317F1C9A">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eastAsia="zh-CN"/>
        </w:rPr>
      </w:pPr>
      <w:bookmarkStart w:id="70" w:name="_Toc24396"/>
      <w:bookmarkStart w:id="71" w:name="_Toc1913"/>
      <w:bookmarkStart w:id="72" w:name="_Toc26131"/>
      <w:bookmarkStart w:id="73" w:name="_Toc428278230"/>
      <w:bookmarkStart w:id="74" w:name="_Toc419984722"/>
      <w:r>
        <w:rPr>
          <w:rFonts w:hint="eastAsia" w:ascii="仿宋_GB2312" w:hAnsi="仿宋_GB2312" w:eastAsia="仿宋_GB2312" w:cs="仿宋_GB2312"/>
          <w:b/>
          <w:bCs/>
          <w:color w:val="auto"/>
          <w:sz w:val="32"/>
          <w:szCs w:val="32"/>
          <w:highlight w:val="none"/>
          <w:lang w:val="en-US" w:eastAsia="zh-CN"/>
        </w:rPr>
        <w:t>2.</w:t>
      </w:r>
      <w:r>
        <w:rPr>
          <w:rFonts w:hint="eastAsia" w:ascii="仿宋_GB2312" w:hAnsi="仿宋_GB2312" w:eastAsia="仿宋_GB2312" w:cs="仿宋_GB2312"/>
          <w:b/>
          <w:bCs/>
          <w:color w:val="auto"/>
          <w:sz w:val="32"/>
          <w:szCs w:val="32"/>
          <w:highlight w:val="none"/>
          <w:lang w:eastAsia="zh-CN"/>
        </w:rPr>
        <w:t>绩效评价指标体系</w:t>
      </w:r>
      <w:bookmarkEnd w:id="70"/>
      <w:bookmarkEnd w:id="71"/>
      <w:bookmarkEnd w:id="72"/>
      <w:bookmarkEnd w:id="73"/>
      <w:bookmarkEnd w:id="74"/>
    </w:p>
    <w:p w14:paraId="3AE91BB1">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bookmarkStart w:id="75" w:name="_Toc9941"/>
      <w:r>
        <w:rPr>
          <w:rFonts w:hint="eastAsia" w:ascii="仿宋_GB2312" w:hAnsi="仿宋_GB2312" w:eastAsia="仿宋_GB2312" w:cs="仿宋_GB2312"/>
          <w:color w:val="auto"/>
          <w:spacing w:val="17"/>
          <w:sz w:val="32"/>
          <w:szCs w:val="32"/>
          <w:highlight w:val="none"/>
        </w:rPr>
        <w:t>绩效评价框架是开展绩效评价的核心。绩效评价框架包括评价准则、关键评价问题、评价指标、数据来源、数据收集方法等。指标体系建立过程如下：</w:t>
      </w:r>
    </w:p>
    <w:p w14:paraId="1D02F596">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（1）确定评价指标</w:t>
      </w:r>
    </w:p>
    <w:p w14:paraId="3EC09052">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4ADEEF27">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（2）确定权重</w:t>
      </w:r>
    </w:p>
    <w:p w14:paraId="74E07D02">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lang w:eastAsia="zh-CN"/>
        </w:rPr>
      </w:pPr>
      <w:r>
        <w:rPr>
          <w:rFonts w:hint="eastAsia" w:ascii="仿宋_GB2312" w:hAnsi="仿宋_GB2312" w:eastAsia="仿宋_GB2312" w:cs="仿宋_GB2312"/>
          <w:color w:val="auto"/>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6FA1C4A1">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（3）确定指标标准值</w:t>
      </w:r>
    </w:p>
    <w:p w14:paraId="7CBC3BBF">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14:paraId="23FDC03B">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绩效评价总分值100分，根据综合评分结果，90（含）-100分为优、80（含）-90分为良、60（含）-80分为中、60分以下为差。</w:t>
      </w:r>
    </w:p>
    <w:p w14:paraId="236F16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我单位</w:t>
      </w:r>
      <w:r>
        <w:rPr>
          <w:rFonts w:hint="eastAsia" w:ascii="仿宋_GB2312" w:hAnsi="仿宋_GB2312" w:eastAsia="仿宋_GB2312" w:cs="仿宋_GB2312"/>
          <w:color w:val="auto"/>
          <w:sz w:val="32"/>
          <w:szCs w:val="32"/>
          <w:highlight w:val="none"/>
          <w:lang w:val="zh-TW" w:eastAsia="zh-TW"/>
        </w:rPr>
        <w:t>根据项目的</w:t>
      </w:r>
      <w:r>
        <w:rPr>
          <w:rFonts w:hint="eastAsia" w:ascii="仿宋_GB2312" w:hAnsi="仿宋_GB2312" w:eastAsia="仿宋_GB2312" w:cs="仿宋_GB2312"/>
          <w:color w:val="auto"/>
          <w:sz w:val="32"/>
          <w:szCs w:val="32"/>
          <w:highlight w:val="none"/>
          <w:lang w:val="en-US" w:eastAsia="zh-CN"/>
        </w:rPr>
        <w:t>实施</w:t>
      </w:r>
      <w:r>
        <w:rPr>
          <w:rFonts w:hint="eastAsia" w:ascii="仿宋_GB2312" w:hAnsi="仿宋_GB2312" w:eastAsia="仿宋_GB2312" w:cs="仿宋_GB2312"/>
          <w:color w:val="auto"/>
          <w:sz w:val="32"/>
          <w:szCs w:val="32"/>
          <w:highlight w:val="none"/>
          <w:lang w:val="zh-TW" w:eastAsia="zh-TW"/>
        </w:rPr>
        <w:t>资料研读及前期调研，结合项目的实际开展情况，最终形成了项目绩效评价指标体系</w:t>
      </w:r>
      <w:r>
        <w:rPr>
          <w:rFonts w:hint="eastAsia" w:ascii="仿宋_GB2312" w:hAnsi="仿宋_GB2312" w:eastAsia="仿宋_GB2312" w:cs="仿宋_GB2312"/>
          <w:color w:val="auto"/>
          <w:sz w:val="32"/>
          <w:szCs w:val="32"/>
          <w:highlight w:val="none"/>
          <w:lang w:val="zh-TW" w:eastAsia="zh-CN"/>
        </w:rPr>
        <w:t>，</w:t>
      </w:r>
      <w:r>
        <w:rPr>
          <w:rFonts w:hint="eastAsia" w:ascii="仿宋_GB2312" w:hAnsi="仿宋_GB2312" w:eastAsia="仿宋_GB2312" w:cs="仿宋_GB2312"/>
          <w:color w:val="auto"/>
          <w:sz w:val="32"/>
          <w:szCs w:val="32"/>
          <w:highlight w:val="none"/>
          <w:lang w:val="en-US" w:eastAsia="zh-CN"/>
        </w:rPr>
        <w:t>详见上传的附件二。</w:t>
      </w:r>
    </w:p>
    <w:p w14:paraId="2FEBA0E2">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76" w:name="_Toc30114"/>
      <w:bookmarkStart w:id="77" w:name="_Toc5690"/>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rPr>
        <w:t>评价</w:t>
      </w:r>
      <w:r>
        <w:rPr>
          <w:rFonts w:hint="eastAsia" w:ascii="仿宋_GB2312" w:hAnsi="仿宋_GB2312" w:eastAsia="仿宋_GB2312" w:cs="仿宋_GB2312"/>
          <w:color w:val="auto"/>
          <w:sz w:val="32"/>
          <w:szCs w:val="32"/>
          <w:highlight w:val="none"/>
          <w:shd w:val="clear" w:color="auto" w:fill="auto"/>
          <w:lang w:val="en-US" w:eastAsia="zh-CN"/>
        </w:rPr>
        <w:t>方法</w:t>
      </w:r>
      <w:bookmarkEnd w:id="75"/>
      <w:bookmarkEnd w:id="76"/>
      <w:bookmarkEnd w:id="77"/>
    </w:p>
    <w:p w14:paraId="4EF86CD3">
      <w:pPr>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bookmarkStart w:id="78" w:name="_Toc25391"/>
      <w:r>
        <w:rPr>
          <w:rFonts w:hint="eastAsia" w:ascii="仿宋_GB2312" w:hAnsi="仿宋_GB2312" w:eastAsia="仿宋_GB2312" w:cs="仿宋_GB2312"/>
          <w:color w:val="auto"/>
          <w:spacing w:val="17"/>
          <w:sz w:val="32"/>
          <w:szCs w:val="32"/>
          <w:highlight w:val="none"/>
        </w:rPr>
        <w:t>绩效评价从项目决策、项目过程、项目产出、项目效益四个维度进行评价。评价对象为项目目标实施情况</w:t>
      </w:r>
      <w:r>
        <w:rPr>
          <w:rFonts w:hint="eastAsia" w:ascii="仿宋_GB2312" w:hAnsi="仿宋_GB2312" w:eastAsia="仿宋_GB2312" w:cs="仿宋_GB2312"/>
          <w:color w:val="auto"/>
          <w:spacing w:val="17"/>
          <w:sz w:val="32"/>
          <w:szCs w:val="32"/>
          <w:highlight w:val="none"/>
          <w:lang w:eastAsia="zh-CN"/>
        </w:rPr>
        <w:t>，</w:t>
      </w:r>
      <w:r>
        <w:rPr>
          <w:rFonts w:hint="eastAsia" w:ascii="仿宋_GB2312" w:hAnsi="仿宋_GB2312" w:eastAsia="仿宋_GB2312" w:cs="仿宋_GB2312"/>
          <w:color w:val="auto"/>
          <w:spacing w:val="17"/>
          <w:sz w:val="32"/>
          <w:szCs w:val="32"/>
          <w:highlight w:val="none"/>
        </w:rPr>
        <w:t>评价核心为资金的支出完成情况和项目的产出效益。</w:t>
      </w:r>
    </w:p>
    <w:p w14:paraId="57ABCB45">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4440403D">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ascii="Times New Roman" w:hAnsi="Times New Roman" w:eastAsia="仿宋_GB2312" w:cs="Times New Roman"/>
          <w:color w:val="000000"/>
          <w:spacing w:val="17"/>
          <w:sz w:val="32"/>
          <w:szCs w:val="32"/>
          <w:highlight w:val="none"/>
          <w:lang w:val="en-US" w:eastAsia="zh-CN"/>
        </w:rPr>
        <w:t>1</w:t>
      </w:r>
      <w:r>
        <w:rPr>
          <w:rFonts w:hint="default" w:ascii="Times New Roman" w:hAnsi="Times New Roman" w:eastAsia="仿宋_GB2312" w:cs="Times New Roman"/>
          <w:color w:val="000000"/>
          <w:spacing w:val="17"/>
          <w:sz w:val="32"/>
          <w:szCs w:val="32"/>
          <w:highlight w:val="none"/>
        </w:rPr>
        <w:t>）比较法。是指将实施情况与绩效目标、历史情况、不同部门和地区同类支出情况进行比较的方法。</w:t>
      </w:r>
    </w:p>
    <w:p w14:paraId="6AFCA546">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ascii="Times New Roman" w:hAnsi="Times New Roman" w:eastAsia="仿宋_GB2312" w:cs="Times New Roman"/>
          <w:color w:val="000000"/>
          <w:spacing w:val="17"/>
          <w:sz w:val="32"/>
          <w:szCs w:val="32"/>
          <w:highlight w:val="none"/>
          <w:lang w:val="en-US" w:eastAsia="zh-CN"/>
        </w:rPr>
        <w:t>2</w:t>
      </w:r>
      <w:r>
        <w:rPr>
          <w:rFonts w:hint="default" w:ascii="Times New Roman" w:hAnsi="Times New Roman" w:eastAsia="仿宋_GB2312" w:cs="Times New Roman"/>
          <w:color w:val="000000"/>
          <w:spacing w:val="17"/>
          <w:sz w:val="32"/>
          <w:szCs w:val="32"/>
          <w:highlight w:val="none"/>
        </w:rPr>
        <w:t>）因素分析法。是指综合分析影响绩效目标实现、实施效果的内外部因素的方法。</w:t>
      </w:r>
    </w:p>
    <w:p w14:paraId="2BC541A9">
      <w:pPr>
        <w:spacing w:line="560" w:lineRule="exact"/>
        <w:ind w:firstLine="708" w:firstLineChars="200"/>
        <w:rPr>
          <w:rFonts w:hint="eastAsia" w:ascii="仿宋_GB2312" w:hAnsi="仿宋_GB2312" w:eastAsia="仿宋_GB2312" w:cs="仿宋_GB2312"/>
          <w:color w:val="auto"/>
          <w:spacing w:val="17"/>
          <w:sz w:val="32"/>
          <w:szCs w:val="32"/>
          <w:highlight w:val="none"/>
          <w:lang w:val="en-US" w:eastAsia="zh-CN"/>
        </w:rPr>
      </w:pPr>
      <w:r>
        <w:rPr>
          <w:rFonts w:hint="default" w:ascii="Times New Roman" w:hAnsi="Times New Roman" w:eastAsia="仿宋_GB2312" w:cs="Times New Roman"/>
          <w:color w:val="000000"/>
          <w:spacing w:val="17"/>
          <w:sz w:val="32"/>
          <w:szCs w:val="32"/>
          <w:highlight w:val="none"/>
        </w:rPr>
        <w:t>（</w:t>
      </w:r>
      <w:r>
        <w:rPr>
          <w:rFonts w:hint="eastAsia" w:ascii="Times New Roman" w:hAnsi="Times New Roman" w:eastAsia="仿宋_GB2312" w:cs="Times New Roman"/>
          <w:color w:val="000000"/>
          <w:spacing w:val="17"/>
          <w:sz w:val="32"/>
          <w:szCs w:val="32"/>
          <w:highlight w:val="none"/>
          <w:lang w:val="en-US" w:eastAsia="zh-CN"/>
        </w:rPr>
        <w:t>3</w:t>
      </w:r>
      <w:r>
        <w:rPr>
          <w:rFonts w:hint="default" w:ascii="Times New Roman" w:hAnsi="Times New Roman" w:eastAsia="仿宋_GB2312" w:cs="Times New Roman"/>
          <w:color w:val="000000"/>
          <w:spacing w:val="17"/>
          <w:sz w:val="32"/>
          <w:szCs w:val="32"/>
          <w:highlight w:val="none"/>
        </w:rPr>
        <w:t>）最低成本法。是指在绩效目标确定的前提下，成本最小者为优的方法</w:t>
      </w:r>
      <w:r>
        <w:rPr>
          <w:rFonts w:hint="eastAsia" w:ascii="仿宋_GB2312" w:hAnsi="仿宋_GB2312" w:eastAsia="仿宋_GB2312" w:cs="仿宋_GB2312"/>
          <w:color w:val="auto"/>
          <w:spacing w:val="17"/>
          <w:sz w:val="32"/>
          <w:szCs w:val="32"/>
          <w:highlight w:val="none"/>
          <w:lang w:val="en-US" w:eastAsia="zh-CN"/>
        </w:rPr>
        <w:t>。</w:t>
      </w:r>
    </w:p>
    <w:p w14:paraId="1BCF9B2D">
      <w:pPr>
        <w:pStyle w:val="4"/>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79" w:name="_Toc6081"/>
      <w:bookmarkStart w:id="80" w:name="_Toc25651"/>
      <w:r>
        <w:rPr>
          <w:rFonts w:hint="eastAsia" w:ascii="仿宋_GB2312" w:hAnsi="仿宋_GB2312" w:eastAsia="仿宋_GB2312" w:cs="仿宋_GB2312"/>
          <w:color w:val="auto"/>
          <w:sz w:val="32"/>
          <w:szCs w:val="32"/>
          <w:highlight w:val="none"/>
          <w:shd w:val="clear" w:color="auto" w:fill="auto"/>
          <w:lang w:val="en-US" w:eastAsia="zh-CN"/>
        </w:rPr>
        <w:t>4.评价标准</w:t>
      </w:r>
      <w:bookmarkEnd w:id="78"/>
      <w:bookmarkEnd w:id="79"/>
      <w:bookmarkEnd w:id="80"/>
    </w:p>
    <w:p w14:paraId="33275686">
      <w:pPr>
        <w:spacing w:line="560" w:lineRule="exact"/>
        <w:ind w:firstLine="708" w:firstLineChars="200"/>
        <w:rPr>
          <w:rFonts w:hint="default" w:ascii="Times New Roman" w:hAnsi="Times New Roman" w:eastAsia="仿宋_GB2312" w:cs="Times New Roman"/>
          <w:color w:val="auto"/>
          <w:spacing w:val="17"/>
          <w:sz w:val="32"/>
          <w:szCs w:val="32"/>
          <w:highlight w:val="none"/>
          <w:lang w:eastAsia="zh-CN"/>
        </w:rPr>
      </w:pPr>
      <w:r>
        <w:rPr>
          <w:rFonts w:hint="default" w:ascii="Times New Roman" w:hAnsi="Times New Roman" w:eastAsia="仿宋_GB2312" w:cs="Times New Roman"/>
          <w:color w:val="auto"/>
          <w:spacing w:val="17"/>
          <w:sz w:val="32"/>
          <w:szCs w:val="32"/>
          <w:highlight w:val="none"/>
        </w:rPr>
        <w:t>绩效评价标准通常包括计划标准、行业标准、历史标准等，用于对绩效指标完成情况进行比较、分析、评价。本次评价主要采用了计划标准</w:t>
      </w:r>
      <w:r>
        <w:rPr>
          <w:rFonts w:hint="eastAsia"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历史标准。</w:t>
      </w:r>
    </w:p>
    <w:p w14:paraId="67322669">
      <w:pPr>
        <w:numPr>
          <w:ilvl w:val="0"/>
          <w:numId w:val="2"/>
        </w:num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计划标准。指以预先制定的目标、计划、预算、定额等作为评价标准。</w:t>
      </w:r>
    </w:p>
    <w:p w14:paraId="42DB83E7">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历史标准。指参照历史数据制定的评价标准，为体现绩效改进的原则，在可实现的条件下应当确定相对较高的评价标准。</w:t>
      </w:r>
    </w:p>
    <w:p w14:paraId="692A02F9">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81" w:name="_Toc21435"/>
      <w:r>
        <w:rPr>
          <w:rFonts w:hint="eastAsia" w:ascii="Times New Roman" w:hAnsi="Times New Roman" w:eastAsia="楷体_GB2312" w:cs="Times New Roman"/>
          <w:color w:val="auto"/>
          <w:kern w:val="28"/>
          <w:sz w:val="32"/>
          <w:highlight w:val="none"/>
          <w:lang w:val="en-US" w:eastAsia="zh-CN"/>
        </w:rPr>
        <w:t>（三）绩效评价工作过程</w:t>
      </w:r>
      <w:bookmarkEnd w:id="81"/>
    </w:p>
    <w:p w14:paraId="20DA0768">
      <w:pPr>
        <w:spacing w:line="560" w:lineRule="exact"/>
        <w:ind w:firstLine="711" w:firstLineChars="200"/>
        <w:rPr>
          <w:rFonts w:hint="eastAsia" w:ascii="Times New Roman" w:hAnsi="Times New Roman" w:eastAsia="仿宋_GB2312" w:cs="Times New Roman"/>
          <w:b/>
          <w:bCs/>
          <w:color w:val="auto"/>
          <w:spacing w:val="17"/>
          <w:sz w:val="32"/>
          <w:szCs w:val="32"/>
          <w:highlight w:val="none"/>
          <w:lang w:val="en-US" w:eastAsia="zh-CN"/>
        </w:rPr>
      </w:pPr>
      <w:bookmarkStart w:id="82" w:name="_Toc12862"/>
      <w:r>
        <w:rPr>
          <w:rFonts w:hint="eastAsia" w:ascii="Times New Roman" w:hAnsi="Times New Roman" w:eastAsia="仿宋_GB2312" w:cs="Times New Roman"/>
          <w:b/>
          <w:bCs/>
          <w:color w:val="auto"/>
          <w:spacing w:val="17"/>
          <w:sz w:val="32"/>
          <w:szCs w:val="32"/>
          <w:highlight w:val="none"/>
          <w:lang w:val="en-US" w:eastAsia="zh-CN"/>
        </w:rPr>
        <w:t>1.前期准备</w:t>
      </w:r>
      <w:bookmarkEnd w:id="82"/>
    </w:p>
    <w:p w14:paraId="793607D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（1）成立绩效评价项目小组</w:t>
      </w:r>
    </w:p>
    <w:p w14:paraId="445CAEA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为确保该项目绩效评价的顺利实施，评价机构组建了绩效评价项目小组。项目小组负责建立联络制度、明确评价责任人、制定评价方案、实施具体评价等工作。</w:t>
      </w:r>
    </w:p>
    <w:p w14:paraId="517C9A92">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3" w:name="_Toc31571"/>
      <w:r>
        <w:rPr>
          <w:rFonts w:hint="eastAsia" w:ascii="Times New Roman" w:hAnsi="Times New Roman" w:eastAsia="仿宋_GB2312" w:cs="Times New Roman"/>
          <w:color w:val="auto"/>
          <w:spacing w:val="17"/>
          <w:sz w:val="32"/>
          <w:szCs w:val="32"/>
          <w:highlight w:val="none"/>
          <w:lang w:val="en-US" w:eastAsia="zh-CN"/>
        </w:rPr>
        <w:t>（2）开展前期调研</w:t>
      </w:r>
      <w:bookmarkEnd w:id="83"/>
    </w:p>
    <w:p w14:paraId="621EA8E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4" w:name="_Toc21240"/>
      <w:r>
        <w:rPr>
          <w:rFonts w:hint="eastAsia" w:ascii="Times New Roman" w:hAnsi="Times New Roman" w:eastAsia="仿宋_GB2312" w:cs="Times New Roman"/>
          <w:color w:val="auto"/>
          <w:spacing w:val="17"/>
          <w:sz w:val="32"/>
          <w:szCs w:val="32"/>
          <w:highlight w:val="none"/>
          <w:lang w:val="en-US" w:eastAsia="zh-CN"/>
        </w:rPr>
        <w:t>绩效评价项目小组依据此次绩效评价受委托内容，对拟评价的项目实施前期调研。通过调研对</w:t>
      </w:r>
      <w:r>
        <w:rPr>
          <w:rFonts w:hint="eastAsia" w:ascii="仿宋_GB2312" w:hAnsi="仿宋_GB2312" w:eastAsia="仿宋_GB2312" w:cs="仿宋_GB2312"/>
          <w:color w:val="auto"/>
          <w:sz w:val="32"/>
          <w:szCs w:val="32"/>
          <w:highlight w:val="none"/>
          <w:shd w:val="clear" w:color="auto" w:fill="auto"/>
          <w:lang w:val="en-US" w:eastAsia="zh-CN"/>
        </w:rPr>
        <w:t>2024年学前教育生均经费项目</w:t>
      </w:r>
      <w:r>
        <w:rPr>
          <w:rFonts w:hint="eastAsia" w:ascii="Times New Roman" w:hAnsi="Times New Roman" w:eastAsia="仿宋_GB2312" w:cs="Times New Roman"/>
          <w:color w:val="auto"/>
          <w:spacing w:val="17"/>
          <w:sz w:val="32"/>
          <w:szCs w:val="32"/>
          <w:highlight w:val="none"/>
          <w:lang w:val="en-US" w:eastAsia="zh-CN"/>
        </w:rPr>
        <w:t>实施内容、目标信息、预算信息以及其他的一些项目基本信息，有了初步了解，为制定绩效评价工作方案做好准备。</w:t>
      </w:r>
      <w:bookmarkEnd w:id="84"/>
    </w:p>
    <w:p w14:paraId="3DD54E12">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5" w:name="_Toc27977"/>
      <w:r>
        <w:rPr>
          <w:rFonts w:hint="eastAsia" w:ascii="Times New Roman" w:hAnsi="Times New Roman" w:eastAsia="仿宋_GB2312" w:cs="Times New Roman"/>
          <w:color w:val="auto"/>
          <w:spacing w:val="17"/>
          <w:sz w:val="32"/>
          <w:szCs w:val="32"/>
          <w:highlight w:val="none"/>
          <w:lang w:val="en-US" w:eastAsia="zh-CN"/>
        </w:rPr>
        <w:t>（3）制订绩效评价工作方案</w:t>
      </w:r>
      <w:bookmarkEnd w:id="85"/>
    </w:p>
    <w:p w14:paraId="6C3C6704">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6" w:name="_Toc19659"/>
      <w:r>
        <w:rPr>
          <w:rFonts w:hint="eastAsia" w:ascii="Times New Roman" w:hAnsi="Times New Roman" w:eastAsia="仿宋_GB2312" w:cs="Times New Roman"/>
          <w:color w:val="auto"/>
          <w:spacing w:val="17"/>
          <w:sz w:val="32"/>
          <w:szCs w:val="32"/>
          <w:highlight w:val="none"/>
          <w:lang w:val="en-US" w:eastAsia="zh-CN"/>
        </w:rPr>
        <w:t>绩效评价项目小组根据有关规定和评价对象的特点以及前期调研收集的一些信息，拟定详细的绩效评价工作方案。</w:t>
      </w:r>
      <w:bookmarkEnd w:id="86"/>
    </w:p>
    <w:p w14:paraId="13E7367A">
      <w:pPr>
        <w:spacing w:line="560" w:lineRule="exact"/>
        <w:ind w:firstLine="711" w:firstLineChars="200"/>
        <w:rPr>
          <w:rFonts w:hint="eastAsia" w:ascii="Times New Roman" w:hAnsi="Times New Roman" w:eastAsia="仿宋_GB2312" w:cs="Times New Roman"/>
          <w:b/>
          <w:bCs/>
          <w:color w:val="auto"/>
          <w:spacing w:val="17"/>
          <w:sz w:val="32"/>
          <w:szCs w:val="32"/>
          <w:highlight w:val="none"/>
          <w:lang w:val="en-US" w:eastAsia="zh-CN"/>
        </w:rPr>
      </w:pPr>
      <w:bookmarkStart w:id="87" w:name="_Toc11353"/>
      <w:r>
        <w:rPr>
          <w:rFonts w:hint="eastAsia" w:ascii="Times New Roman" w:hAnsi="Times New Roman" w:eastAsia="仿宋_GB2312" w:cs="Times New Roman"/>
          <w:b/>
          <w:bCs/>
          <w:color w:val="auto"/>
          <w:spacing w:val="17"/>
          <w:sz w:val="32"/>
          <w:szCs w:val="32"/>
          <w:highlight w:val="none"/>
          <w:lang w:val="en-US" w:eastAsia="zh-CN"/>
        </w:rPr>
        <w:t>2.具体实施</w:t>
      </w:r>
      <w:bookmarkEnd w:id="87"/>
    </w:p>
    <w:p w14:paraId="6048500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8" w:name="_Toc14111"/>
      <w:r>
        <w:rPr>
          <w:rFonts w:hint="eastAsia" w:ascii="Times New Roman" w:hAnsi="Times New Roman" w:eastAsia="仿宋_GB2312" w:cs="Times New Roman"/>
          <w:color w:val="auto"/>
          <w:spacing w:val="17"/>
          <w:sz w:val="32"/>
          <w:szCs w:val="32"/>
          <w:highlight w:val="none"/>
          <w:lang w:val="en-US" w:eastAsia="zh-CN"/>
        </w:rPr>
        <w:t>（1）收集基础资料</w:t>
      </w:r>
      <w:bookmarkEnd w:id="88"/>
    </w:p>
    <w:p w14:paraId="5AEB6FC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9" w:name="_Toc28524"/>
      <w:r>
        <w:rPr>
          <w:rFonts w:hint="eastAsia" w:ascii="Times New Roman" w:hAnsi="Times New Roman" w:eastAsia="仿宋_GB2312" w:cs="Times New Roman"/>
          <w:color w:val="auto"/>
          <w:spacing w:val="17"/>
          <w:sz w:val="32"/>
          <w:szCs w:val="32"/>
          <w:highlight w:val="none"/>
          <w:lang w:val="en-US" w:eastAsia="zh-CN"/>
        </w:rPr>
        <w:t>根据评价工作的需要和要求，在前期调研的基础上，通过多种渠道全面收集项目基础信息资料，主要包括：</w:t>
      </w:r>
      <w:bookmarkEnd w:id="89"/>
    </w:p>
    <w:p w14:paraId="29673273">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0" w:name="_Toc32216"/>
      <w:r>
        <w:rPr>
          <w:rFonts w:hint="eastAsia" w:ascii="Times New Roman" w:hAnsi="Times New Roman" w:eastAsia="仿宋_GB2312" w:cs="Times New Roman"/>
          <w:color w:val="auto"/>
          <w:spacing w:val="17"/>
          <w:sz w:val="32"/>
          <w:szCs w:val="32"/>
          <w:highlight w:val="none"/>
          <w:lang w:val="en-US" w:eastAsia="zh-CN"/>
        </w:rPr>
        <w:t>①被评价单位基本概况，如单位职能、事业发展规划、预决算情况、项目立项依据等；</w:t>
      </w:r>
      <w:bookmarkEnd w:id="90"/>
    </w:p>
    <w:p w14:paraId="6B9C66C2">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1" w:name="_Toc10505"/>
      <w:r>
        <w:rPr>
          <w:rFonts w:hint="eastAsia" w:ascii="Times New Roman" w:hAnsi="Times New Roman" w:eastAsia="仿宋_GB2312" w:cs="Times New Roman"/>
          <w:color w:val="auto"/>
          <w:spacing w:val="17"/>
          <w:sz w:val="32"/>
          <w:szCs w:val="32"/>
          <w:highlight w:val="none"/>
          <w:lang w:val="en-US" w:eastAsia="zh-CN"/>
        </w:rPr>
        <w:t>②绩效目标及其设立依据和调整情况；</w:t>
      </w:r>
      <w:bookmarkEnd w:id="91"/>
    </w:p>
    <w:p w14:paraId="57EE145A">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2" w:name="_Toc28365"/>
      <w:r>
        <w:rPr>
          <w:rFonts w:hint="eastAsia" w:ascii="Times New Roman" w:hAnsi="Times New Roman" w:eastAsia="仿宋_GB2312" w:cs="Times New Roman"/>
          <w:color w:val="auto"/>
          <w:spacing w:val="17"/>
          <w:sz w:val="32"/>
          <w:szCs w:val="32"/>
          <w:highlight w:val="none"/>
          <w:lang w:val="en-US" w:eastAsia="zh-CN"/>
        </w:rPr>
        <w:t>③管理措施及组织实施情况；</w:t>
      </w:r>
      <w:bookmarkEnd w:id="92"/>
    </w:p>
    <w:p w14:paraId="1827BE15">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3" w:name="_Toc10091"/>
      <w:r>
        <w:rPr>
          <w:rFonts w:hint="eastAsia" w:ascii="Times New Roman" w:hAnsi="Times New Roman" w:eastAsia="仿宋_GB2312" w:cs="Times New Roman"/>
          <w:color w:val="auto"/>
          <w:spacing w:val="17"/>
          <w:sz w:val="32"/>
          <w:szCs w:val="32"/>
          <w:highlight w:val="none"/>
          <w:lang w:val="en-US" w:eastAsia="zh-CN"/>
        </w:rPr>
        <w:t>④被评价单位总结分析的绩效目标完成情况及绩效报告；</w:t>
      </w:r>
      <w:bookmarkEnd w:id="93"/>
    </w:p>
    <w:p w14:paraId="6550E0FD">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4" w:name="_Toc1"/>
      <w:r>
        <w:rPr>
          <w:rFonts w:hint="eastAsia" w:ascii="Times New Roman" w:hAnsi="Times New Roman" w:eastAsia="仿宋_GB2312" w:cs="Times New Roman"/>
          <w:color w:val="auto"/>
          <w:spacing w:val="17"/>
          <w:sz w:val="32"/>
          <w:szCs w:val="32"/>
          <w:highlight w:val="none"/>
          <w:lang w:val="en-US" w:eastAsia="zh-CN"/>
        </w:rPr>
        <w:t>⑤与绩效评价相关的计划标准、行业标准、历史标准等；</w:t>
      </w:r>
      <w:bookmarkEnd w:id="94"/>
    </w:p>
    <w:p w14:paraId="61B742B4">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5" w:name="_Toc20059"/>
      <w:r>
        <w:rPr>
          <w:rFonts w:hint="eastAsia" w:ascii="Times New Roman" w:hAnsi="Times New Roman" w:eastAsia="仿宋_GB2312" w:cs="Times New Roman"/>
          <w:color w:val="auto"/>
          <w:spacing w:val="17"/>
          <w:sz w:val="32"/>
          <w:szCs w:val="32"/>
          <w:highlight w:val="none"/>
          <w:lang w:val="en-US" w:eastAsia="zh-CN"/>
        </w:rPr>
        <w:t>⑥其他必要的相关资料等。</w:t>
      </w:r>
      <w:bookmarkEnd w:id="95"/>
    </w:p>
    <w:p w14:paraId="4F57C6EE">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6" w:name="_Toc31911"/>
      <w:r>
        <w:rPr>
          <w:rFonts w:hint="eastAsia" w:ascii="Times New Roman" w:hAnsi="Times New Roman" w:eastAsia="仿宋_GB2312" w:cs="Times New Roman"/>
          <w:color w:val="auto"/>
          <w:spacing w:val="17"/>
          <w:sz w:val="32"/>
          <w:szCs w:val="32"/>
          <w:highlight w:val="none"/>
          <w:lang w:val="en-US" w:eastAsia="zh-CN"/>
        </w:rPr>
        <w:t>（2）整理、研读基础资料</w:t>
      </w:r>
      <w:bookmarkEnd w:id="96"/>
    </w:p>
    <w:p w14:paraId="6C9CEE8A">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7" w:name="_Toc167"/>
      <w:r>
        <w:rPr>
          <w:rFonts w:hint="eastAsia" w:ascii="Times New Roman" w:hAnsi="Times New Roman" w:eastAsia="仿宋_GB2312" w:cs="Times New Roman"/>
          <w:color w:val="auto"/>
          <w:spacing w:val="17"/>
          <w:sz w:val="32"/>
          <w:szCs w:val="32"/>
          <w:highlight w:val="none"/>
          <w:lang w:val="en-US" w:eastAsia="zh-CN"/>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97"/>
    </w:p>
    <w:p w14:paraId="37DBEE66">
      <w:pPr>
        <w:spacing w:line="560" w:lineRule="exact"/>
        <w:ind w:firstLine="711" w:firstLineChars="200"/>
        <w:rPr>
          <w:rFonts w:hint="default" w:ascii="Times New Roman" w:hAnsi="Times New Roman" w:eastAsia="仿宋_GB2312" w:cs="Times New Roman"/>
          <w:b/>
          <w:bCs/>
          <w:color w:val="auto"/>
          <w:spacing w:val="17"/>
          <w:sz w:val="32"/>
          <w:szCs w:val="32"/>
          <w:highlight w:val="none"/>
          <w:lang w:val="en-US" w:eastAsia="zh-CN"/>
        </w:rPr>
      </w:pPr>
      <w:bookmarkStart w:id="98" w:name="_Toc30513"/>
      <w:r>
        <w:rPr>
          <w:rFonts w:hint="eastAsia" w:ascii="Times New Roman" w:hAnsi="Times New Roman" w:eastAsia="仿宋_GB2312" w:cs="Times New Roman"/>
          <w:b/>
          <w:bCs/>
          <w:color w:val="auto"/>
          <w:spacing w:val="17"/>
          <w:sz w:val="32"/>
          <w:szCs w:val="32"/>
          <w:highlight w:val="none"/>
          <w:lang w:val="en-US" w:eastAsia="zh-CN"/>
        </w:rPr>
        <w:t>3.分析评价和撰写报告</w:t>
      </w:r>
      <w:bookmarkEnd w:id="98"/>
    </w:p>
    <w:p w14:paraId="5E4DF139">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9" w:name="_Toc15974"/>
      <w:r>
        <w:rPr>
          <w:rFonts w:hint="eastAsia" w:ascii="Times New Roman" w:hAnsi="Times New Roman" w:eastAsia="仿宋_GB2312" w:cs="Times New Roman"/>
          <w:color w:val="auto"/>
          <w:spacing w:val="17"/>
          <w:sz w:val="32"/>
          <w:szCs w:val="32"/>
          <w:highlight w:val="none"/>
          <w:lang w:eastAsia="zh-CN"/>
        </w:rPr>
        <w:t>（</w:t>
      </w:r>
      <w:r>
        <w:rPr>
          <w:rFonts w:hint="eastAsia" w:ascii="Times New Roman" w:hAnsi="Times New Roman" w:eastAsia="仿宋_GB2312" w:cs="Times New Roman"/>
          <w:color w:val="auto"/>
          <w:spacing w:val="17"/>
          <w:sz w:val="32"/>
          <w:szCs w:val="32"/>
          <w:highlight w:val="none"/>
          <w:lang w:val="en-US" w:eastAsia="zh-CN"/>
        </w:rPr>
        <w:t>1）综合分析评价</w:t>
      </w:r>
      <w:bookmarkEnd w:id="99"/>
    </w:p>
    <w:p w14:paraId="13CACCD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0" w:name="_Toc4352"/>
      <w:r>
        <w:rPr>
          <w:rFonts w:hint="eastAsia" w:ascii="Times New Roman" w:hAnsi="Times New Roman" w:eastAsia="仿宋_GB2312" w:cs="Times New Roman"/>
          <w:color w:val="auto"/>
          <w:spacing w:val="17"/>
          <w:sz w:val="32"/>
          <w:szCs w:val="32"/>
          <w:highlight w:val="none"/>
          <w:lang w:val="en-US" w:eastAsia="zh-CN"/>
        </w:rPr>
        <w:t>①根据所收集的基础资料，结合现场核查的有关情况，整理出绩效评价所需的项目材料和基础数据。</w:t>
      </w:r>
      <w:bookmarkEnd w:id="100"/>
    </w:p>
    <w:p w14:paraId="6CD1F84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1" w:name="_Toc26231"/>
      <w:r>
        <w:rPr>
          <w:rFonts w:hint="eastAsia" w:ascii="Times New Roman" w:hAnsi="Times New Roman" w:eastAsia="仿宋_GB2312" w:cs="Times New Roman"/>
          <w:color w:val="auto"/>
          <w:spacing w:val="17"/>
          <w:sz w:val="32"/>
          <w:szCs w:val="32"/>
          <w:highlight w:val="none"/>
          <w:lang w:val="en-US" w:eastAsia="zh-CN"/>
        </w:rPr>
        <w:t>②将初步评价结论、调整事项、专家咨询意见和有关说明等提交单位内部讨论并征求意见。之后，对所征求的意见及时地进行收集和整理。</w:t>
      </w:r>
      <w:bookmarkEnd w:id="101"/>
    </w:p>
    <w:p w14:paraId="245EACF4">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2" w:name="_Toc27759"/>
      <w:r>
        <w:rPr>
          <w:rFonts w:hint="eastAsia" w:ascii="Times New Roman" w:hAnsi="Times New Roman" w:eastAsia="仿宋_GB2312" w:cs="Times New Roman"/>
          <w:color w:val="auto"/>
          <w:spacing w:val="17"/>
          <w:sz w:val="32"/>
          <w:szCs w:val="32"/>
          <w:highlight w:val="none"/>
          <w:lang w:val="en-US" w:eastAsia="zh-CN"/>
        </w:rPr>
        <w:t>（2）撰写报告</w:t>
      </w:r>
      <w:bookmarkEnd w:id="102"/>
    </w:p>
    <w:p w14:paraId="27760CB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3" w:name="_Toc15579"/>
      <w:r>
        <w:rPr>
          <w:rFonts w:hint="eastAsia" w:ascii="Times New Roman" w:hAnsi="Times New Roman" w:eastAsia="仿宋_GB2312" w:cs="Times New Roman"/>
          <w:color w:val="auto"/>
          <w:spacing w:val="17"/>
          <w:sz w:val="32"/>
          <w:szCs w:val="32"/>
          <w:highlight w:val="none"/>
          <w:lang w:val="en-US" w:eastAsia="zh-CN"/>
        </w:rPr>
        <w:t>绩效评价项目小组依照整理、分析后的项目材料、数据资料，依据评价形成的初步结论，按照既定的格式和内容要求撰写绩效评价初步报告，最终形成评价结果。</w:t>
      </w:r>
      <w:bookmarkEnd w:id="103"/>
    </w:p>
    <w:p w14:paraId="5F3A7C48">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rPr>
      </w:pPr>
      <w:bookmarkStart w:id="104" w:name="_Toc19261"/>
      <w:r>
        <w:rPr>
          <w:rFonts w:hint="eastAsia" w:ascii="黑体" w:hAnsi="黑体" w:eastAsia="黑体" w:cs="黑体"/>
          <w:b w:val="0"/>
          <w:bCs w:val="0"/>
          <w:color w:val="auto"/>
          <w:highlight w:val="none"/>
          <w:shd w:val="clear" w:color="auto" w:fill="auto"/>
          <w:lang w:val="en-US" w:eastAsia="zh-CN"/>
        </w:rPr>
        <w:t>三、</w:t>
      </w:r>
      <w:r>
        <w:rPr>
          <w:rFonts w:hint="eastAsia" w:ascii="黑体" w:hAnsi="黑体" w:eastAsia="黑体" w:cs="黑体"/>
          <w:b w:val="0"/>
          <w:bCs w:val="0"/>
          <w:color w:val="auto"/>
          <w:highlight w:val="none"/>
          <w:shd w:val="clear" w:color="auto" w:fill="auto"/>
        </w:rPr>
        <w:t>综合评价情况及评价结论</w:t>
      </w:r>
      <w:bookmarkEnd w:id="104"/>
    </w:p>
    <w:p w14:paraId="4DBDF30C">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05" w:name="_Toc23319"/>
      <w:r>
        <w:rPr>
          <w:rFonts w:hint="eastAsia" w:ascii="Times New Roman" w:hAnsi="Times New Roman" w:eastAsia="楷体_GB2312" w:cs="Times New Roman"/>
          <w:color w:val="auto"/>
          <w:kern w:val="28"/>
          <w:sz w:val="32"/>
          <w:highlight w:val="none"/>
          <w:lang w:val="en-US" w:eastAsia="zh-CN"/>
        </w:rPr>
        <w:t>（一）综合评价情况及评价结论</w:t>
      </w:r>
      <w:bookmarkEnd w:id="105"/>
    </w:p>
    <w:p w14:paraId="71000528">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本项目的综合评价基于对项目各方面绩效的深入分析与评估。从项目目标的达成情况来看，</w:t>
      </w:r>
      <w:r>
        <w:rPr>
          <w:rFonts w:hint="eastAsia" w:ascii="仿宋_GB2312" w:hAnsi="仿宋_GB2312" w:eastAsia="仿宋_GB2312" w:cs="仿宋_GB2312"/>
          <w:color w:val="auto"/>
          <w:sz w:val="32"/>
          <w:szCs w:val="32"/>
          <w:highlight w:val="none"/>
          <w:shd w:val="clear" w:color="auto" w:fill="auto"/>
          <w:lang w:val="en-US" w:eastAsia="zh-CN"/>
        </w:rPr>
        <w:t>2024年学前教育生均经费项目</w:t>
      </w:r>
      <w:r>
        <w:rPr>
          <w:rFonts w:hint="default" w:ascii="Times New Roman" w:hAnsi="Times New Roman" w:eastAsia="仿宋_GB2312" w:cs="Times New Roman"/>
          <w:color w:val="auto"/>
          <w:sz w:val="32"/>
          <w:szCs w:val="32"/>
          <w:highlight w:val="none"/>
        </w:rPr>
        <w:t>在</w:t>
      </w:r>
      <w:r>
        <w:rPr>
          <w:rFonts w:hint="eastAsia" w:ascii="Times New Roman" w:hAnsi="Times New Roman" w:eastAsia="仿宋_GB2312" w:cs="Times New Roman"/>
          <w:color w:val="auto"/>
          <w:sz w:val="32"/>
          <w:szCs w:val="32"/>
          <w:highlight w:val="none"/>
          <w:lang w:val="en-US" w:eastAsia="zh-CN"/>
        </w:rPr>
        <w:t>项目产出方面完成较好</w:t>
      </w:r>
      <w:r>
        <w:rPr>
          <w:rFonts w:hint="default" w:ascii="Times New Roman" w:hAnsi="Times New Roman" w:eastAsia="仿宋_GB2312" w:cs="Times New Roman"/>
          <w:color w:val="auto"/>
          <w:sz w:val="32"/>
          <w:szCs w:val="32"/>
          <w:highlight w:val="none"/>
        </w:rPr>
        <w:t>，达到了预期的标准与要求。</w:t>
      </w:r>
    </w:p>
    <w:p w14:paraId="5D343ED6">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在项目管理方面，</w:t>
      </w:r>
      <w:r>
        <w:rPr>
          <w:rFonts w:hint="eastAsia" w:ascii="Times New Roman" w:hAnsi="Times New Roman" w:eastAsia="仿宋_GB2312" w:cs="Times New Roman"/>
          <w:color w:val="auto"/>
          <w:sz w:val="32"/>
          <w:szCs w:val="32"/>
          <w:highlight w:val="none"/>
          <w:lang w:val="en-US" w:eastAsia="zh-CN"/>
        </w:rPr>
        <w:t>阜康市第六幼儿园</w:t>
      </w:r>
      <w:r>
        <w:rPr>
          <w:rFonts w:hint="default" w:ascii="Times New Roman" w:hAnsi="Times New Roman" w:eastAsia="仿宋_GB2312" w:cs="Times New Roman"/>
          <w:color w:val="auto"/>
          <w:sz w:val="32"/>
          <w:szCs w:val="32"/>
          <w:highlight w:val="none"/>
        </w:rPr>
        <w:t>通过有效的规划、组织与协调，项目得以顺利实施，并在预算与时间上保持了良好的控制。</w:t>
      </w:r>
    </w:p>
    <w:p w14:paraId="7AA1D552">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从项目效益的角度来看，本项目不仅实现了预期的社会效益等方面产生了积极的影响。具体而言，</w:t>
      </w:r>
      <w:r>
        <w:rPr>
          <w:rFonts w:hint="eastAsia" w:ascii="Times New Roman" w:hAnsi="Times New Roman" w:eastAsia="仿宋_GB2312" w:cs="Times New Roman"/>
          <w:color w:val="auto"/>
          <w:sz w:val="32"/>
          <w:szCs w:val="32"/>
          <w:highlight w:val="none"/>
          <w:lang w:val="en-US" w:eastAsia="zh-CN"/>
        </w:rPr>
        <w:t>幼儿园正常运转率、改善教学环境，提供良好的学生成长条件</w:t>
      </w:r>
      <w:r>
        <w:rPr>
          <w:rFonts w:hint="default" w:ascii="Times New Roman" w:hAnsi="Times New Roman" w:eastAsia="仿宋_GB2312" w:cs="Times New Roman"/>
          <w:color w:val="auto"/>
          <w:sz w:val="32"/>
          <w:szCs w:val="32"/>
          <w:highlight w:val="none"/>
        </w:rPr>
        <w:t>等方面的提升，为项目的利益相关者带来了实实在在的利益。</w:t>
      </w:r>
    </w:p>
    <w:p w14:paraId="65871231">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综上所述，</w:t>
      </w:r>
      <w:r>
        <w:rPr>
          <w:rFonts w:hint="eastAsia" w:ascii="仿宋_GB2312" w:hAnsi="仿宋_GB2312" w:eastAsia="仿宋_GB2312" w:cs="仿宋_GB2312"/>
          <w:color w:val="auto"/>
          <w:sz w:val="32"/>
          <w:szCs w:val="32"/>
          <w:highlight w:val="none"/>
          <w:shd w:val="clear" w:color="auto" w:fill="auto"/>
          <w:lang w:val="en-US" w:eastAsia="zh-CN"/>
        </w:rPr>
        <w:t>2024年学前教育生均经费项目</w:t>
      </w:r>
      <w:r>
        <w:rPr>
          <w:rFonts w:hint="default" w:ascii="Times New Roman" w:hAnsi="Times New Roman" w:eastAsia="仿宋_GB2312" w:cs="Times New Roman"/>
          <w:color w:val="auto"/>
          <w:sz w:val="32"/>
          <w:szCs w:val="32"/>
          <w:highlight w:val="none"/>
        </w:rPr>
        <w:t>在绩效评价中表现出色，达到了项目的预期目标，并在多个方面取得了显著的成效</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评价等级为优</w:t>
      </w:r>
      <w:r>
        <w:rPr>
          <w:rFonts w:hint="default" w:ascii="Times New Roman" w:hAnsi="Times New Roman" w:eastAsia="仿宋_GB2312" w:cs="Times New Roman"/>
          <w:color w:val="auto"/>
          <w:sz w:val="32"/>
          <w:szCs w:val="32"/>
          <w:highlight w:val="none"/>
        </w:rPr>
        <w:t>。</w:t>
      </w:r>
    </w:p>
    <w:p w14:paraId="2E2A7084">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06" w:name="_Toc11863"/>
      <w:r>
        <w:rPr>
          <w:rFonts w:hint="eastAsia" w:ascii="Times New Roman" w:hAnsi="Times New Roman" w:eastAsia="楷体_GB2312" w:cs="Times New Roman"/>
          <w:color w:val="auto"/>
          <w:kern w:val="28"/>
          <w:sz w:val="32"/>
          <w:highlight w:val="none"/>
          <w:lang w:val="en-US" w:eastAsia="zh-CN"/>
        </w:rPr>
        <w:t>（二）相关评分表</w:t>
      </w:r>
      <w:bookmarkEnd w:id="106"/>
    </w:p>
    <w:p w14:paraId="4DD2BB49">
      <w:pPr>
        <w:spacing w:line="560" w:lineRule="exact"/>
        <w:ind w:firstLine="708" w:firstLineChars="200"/>
        <w:rPr>
          <w:rFonts w:hint="eastAsia" w:ascii="Times New Roman" w:hAnsi="Times New Roman" w:eastAsia="仿宋_GB2312" w:cs="Times New Roman"/>
          <w:color w:val="auto"/>
          <w:spacing w:val="17"/>
          <w:sz w:val="32"/>
          <w:szCs w:val="32"/>
          <w:highlight w:val="none"/>
          <w:lang w:val="zh-TW" w:eastAsia="zh-TW"/>
        </w:rPr>
      </w:pPr>
      <w:r>
        <w:rPr>
          <w:rFonts w:hint="eastAsia" w:ascii="Times New Roman" w:hAnsi="Times New Roman" w:eastAsia="仿宋_GB2312" w:cs="Times New Roman"/>
          <w:color w:val="auto"/>
          <w:spacing w:val="17"/>
          <w:sz w:val="32"/>
          <w:szCs w:val="32"/>
          <w:highlight w:val="none"/>
          <w:lang w:val="en-US" w:eastAsia="zh-CN"/>
        </w:rPr>
        <w:t>此次绩效评价</w:t>
      </w:r>
      <w:r>
        <w:rPr>
          <w:rFonts w:hint="eastAsia" w:ascii="Times New Roman" w:hAnsi="Times New Roman" w:eastAsia="仿宋_GB2312" w:cs="Times New Roman"/>
          <w:color w:val="auto"/>
          <w:spacing w:val="17"/>
          <w:sz w:val="32"/>
          <w:szCs w:val="32"/>
          <w:highlight w:val="none"/>
          <w:lang w:val="zh-TW" w:eastAsia="zh-TW"/>
        </w:rPr>
        <w:t>通过组论证的评价指标体系及评分标准，</w:t>
      </w:r>
      <w:r>
        <w:rPr>
          <w:rFonts w:hint="eastAsia" w:ascii="Times New Roman" w:hAnsi="Times New Roman" w:eastAsia="仿宋_GB2312" w:cs="Times New Roman"/>
          <w:color w:val="auto"/>
          <w:spacing w:val="17"/>
          <w:sz w:val="32"/>
          <w:szCs w:val="32"/>
          <w:highlight w:val="none"/>
          <w:lang w:val="en-US" w:eastAsia="zh-CN"/>
        </w:rPr>
        <w:t>采用的方法比较法、因素分析法、</w:t>
      </w:r>
      <w:r>
        <w:rPr>
          <w:rFonts w:hint="default" w:ascii="Times New Roman" w:hAnsi="Times New Roman" w:eastAsia="仿宋_GB2312" w:cs="Times New Roman"/>
          <w:color w:val="auto"/>
          <w:spacing w:val="17"/>
          <w:sz w:val="32"/>
          <w:szCs w:val="32"/>
          <w:highlight w:val="none"/>
        </w:rPr>
        <w:t>最低成本法</w:t>
      </w:r>
      <w:r>
        <w:rPr>
          <w:rFonts w:hint="eastAsia" w:ascii="Times New Roman" w:hAnsi="Times New Roman" w:eastAsia="仿宋_GB2312" w:cs="Times New Roman"/>
          <w:color w:val="auto"/>
          <w:spacing w:val="17"/>
          <w:sz w:val="32"/>
          <w:szCs w:val="32"/>
          <w:highlight w:val="none"/>
          <w:lang w:val="en-US" w:eastAsia="zh-CN"/>
        </w:rPr>
        <w:t>，</w:t>
      </w:r>
      <w:r>
        <w:rPr>
          <w:rFonts w:hint="eastAsia" w:ascii="Times New Roman" w:hAnsi="Times New Roman" w:eastAsia="仿宋_GB2312" w:cs="Times New Roman"/>
          <w:color w:val="auto"/>
          <w:spacing w:val="17"/>
          <w:sz w:val="32"/>
          <w:szCs w:val="32"/>
          <w:highlight w:val="none"/>
          <w:lang w:val="zh-TW" w:eastAsia="zh-TW"/>
        </w:rPr>
        <w:t>对</w:t>
      </w:r>
      <w:r>
        <w:rPr>
          <w:rFonts w:hint="eastAsia" w:ascii="仿宋_GB2312" w:hAnsi="仿宋_GB2312" w:eastAsia="仿宋_GB2312" w:cs="仿宋_GB2312"/>
          <w:color w:val="auto"/>
          <w:sz w:val="32"/>
          <w:szCs w:val="32"/>
          <w:highlight w:val="none"/>
          <w:shd w:val="clear" w:color="auto" w:fill="auto"/>
          <w:lang w:val="en-US" w:eastAsia="zh-CN"/>
        </w:rPr>
        <w:t>2024年学前教育生均经费项目</w:t>
      </w:r>
      <w:r>
        <w:rPr>
          <w:rFonts w:hint="eastAsia" w:ascii="Times New Roman" w:hAnsi="Times New Roman" w:eastAsia="仿宋_GB2312" w:cs="Times New Roman"/>
          <w:color w:val="auto"/>
          <w:spacing w:val="17"/>
          <w:sz w:val="32"/>
          <w:szCs w:val="32"/>
          <w:highlight w:val="none"/>
          <w:lang w:val="zh-TW" w:eastAsia="zh-TW"/>
        </w:rPr>
        <w:t>绩效进行客观评价，最终评分结果：</w:t>
      </w:r>
      <w:r>
        <w:rPr>
          <w:rFonts w:hint="default" w:ascii="Times New Roman" w:hAnsi="Times New Roman" w:eastAsia="仿宋_GB2312" w:cs="Times New Roman"/>
          <w:color w:val="auto"/>
          <w:spacing w:val="17"/>
          <w:sz w:val="32"/>
          <w:szCs w:val="32"/>
          <w:highlight w:val="none"/>
          <w:lang w:val="en-US" w:eastAsia="zh-CN"/>
        </w:rPr>
        <w:t>总得分为</w:t>
      </w:r>
      <w:r>
        <w:rPr>
          <w:rFonts w:hint="eastAsia" w:ascii="Times New Roman" w:hAnsi="Times New Roman" w:eastAsia="仿宋_GB2312" w:cs="Times New Roman"/>
          <w:color w:val="auto"/>
          <w:spacing w:val="17"/>
          <w:sz w:val="32"/>
          <w:szCs w:val="32"/>
          <w:highlight w:val="none"/>
          <w:lang w:val="en-US" w:eastAsia="zh-CN"/>
        </w:rPr>
        <w:t>98.92</w:t>
      </w:r>
      <w:r>
        <w:rPr>
          <w:rFonts w:hint="default" w:ascii="Times New Roman" w:hAnsi="Times New Roman" w:eastAsia="仿宋_GB2312" w:cs="Times New Roman"/>
          <w:color w:val="auto"/>
          <w:spacing w:val="17"/>
          <w:sz w:val="32"/>
          <w:szCs w:val="32"/>
          <w:highlight w:val="none"/>
          <w:lang w:val="en-US" w:eastAsia="zh-CN"/>
        </w:rPr>
        <w:t>分，属于“优”。其中，项目决策类指标权重为20分，得分为</w:t>
      </w:r>
      <w:r>
        <w:rPr>
          <w:rFonts w:hint="eastAsia" w:ascii="Times New Roman" w:hAnsi="Times New Roman" w:eastAsia="仿宋_GB2312" w:cs="Times New Roman"/>
          <w:color w:val="auto"/>
          <w:spacing w:val="17"/>
          <w:sz w:val="32"/>
          <w:szCs w:val="32"/>
          <w:highlight w:val="none"/>
          <w:lang w:val="en-US" w:eastAsia="zh-CN"/>
        </w:rPr>
        <w:t>19.2</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96</w:t>
      </w:r>
      <w:r>
        <w:rPr>
          <w:rFonts w:hint="default" w:ascii="Times New Roman" w:hAnsi="Times New Roman" w:eastAsia="仿宋_GB2312" w:cs="Times New Roman"/>
          <w:color w:val="auto"/>
          <w:spacing w:val="17"/>
          <w:sz w:val="32"/>
          <w:szCs w:val="32"/>
          <w:highlight w:val="none"/>
          <w:lang w:val="en-US" w:eastAsia="zh-CN"/>
        </w:rPr>
        <w:t>%。项目过程类指标权重为20分，得分为</w:t>
      </w:r>
      <w:r>
        <w:rPr>
          <w:rFonts w:hint="eastAsia" w:ascii="Times New Roman" w:hAnsi="Times New Roman" w:eastAsia="仿宋_GB2312" w:cs="Times New Roman"/>
          <w:color w:val="auto"/>
          <w:spacing w:val="17"/>
          <w:sz w:val="32"/>
          <w:szCs w:val="32"/>
          <w:highlight w:val="none"/>
          <w:lang w:val="en-US" w:eastAsia="zh-CN"/>
        </w:rPr>
        <w:t>20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%。项目产出类指标权重为40分，得分为</w:t>
      </w:r>
      <w:r>
        <w:rPr>
          <w:rFonts w:hint="eastAsia" w:ascii="Times New Roman" w:hAnsi="Times New Roman" w:eastAsia="仿宋_GB2312" w:cs="Times New Roman"/>
          <w:color w:val="auto"/>
          <w:spacing w:val="17"/>
          <w:sz w:val="32"/>
          <w:szCs w:val="32"/>
          <w:highlight w:val="none"/>
          <w:lang w:val="en-US" w:eastAsia="zh-CN"/>
        </w:rPr>
        <w:t>39.34</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98.35</w:t>
      </w:r>
      <w:r>
        <w:rPr>
          <w:rFonts w:hint="default" w:ascii="Times New Roman" w:hAnsi="Times New Roman" w:eastAsia="仿宋_GB2312" w:cs="Times New Roman"/>
          <w:color w:val="auto"/>
          <w:spacing w:val="17"/>
          <w:sz w:val="32"/>
          <w:szCs w:val="32"/>
          <w:highlight w:val="none"/>
          <w:lang w:val="en-US" w:eastAsia="zh-CN"/>
        </w:rPr>
        <w:t>%。项目效益类指标权重为20分，得分为</w:t>
      </w:r>
      <w:r>
        <w:rPr>
          <w:rFonts w:hint="eastAsia" w:ascii="Times New Roman" w:hAnsi="Times New Roman" w:eastAsia="仿宋_GB2312" w:cs="Times New Roman"/>
          <w:color w:val="auto"/>
          <w:spacing w:val="17"/>
          <w:sz w:val="32"/>
          <w:szCs w:val="32"/>
          <w:highlight w:val="none"/>
          <w:shd w:val="clear"/>
          <w:lang w:val="en-US" w:eastAsia="zh-CN"/>
        </w:rPr>
        <w:t>20</w:t>
      </w:r>
      <w:r>
        <w:rPr>
          <w:rFonts w:hint="default" w:ascii="Times New Roman" w:hAnsi="Times New Roman" w:eastAsia="仿宋_GB2312" w:cs="Times New Roman"/>
          <w:color w:val="auto"/>
          <w:spacing w:val="17"/>
          <w:sz w:val="32"/>
          <w:szCs w:val="32"/>
          <w:highlight w:val="none"/>
          <w:shd w:val="clear"/>
          <w:lang w:val="en-US" w:eastAsia="zh-CN"/>
        </w:rPr>
        <w:t>分，</w:t>
      </w:r>
      <w:r>
        <w:rPr>
          <w:rFonts w:hint="default" w:ascii="Times New Roman" w:hAnsi="Times New Roman" w:eastAsia="仿宋_GB2312" w:cs="Times New Roman"/>
          <w:color w:val="auto"/>
          <w:spacing w:val="17"/>
          <w:sz w:val="32"/>
          <w:szCs w:val="32"/>
          <w:highlight w:val="none"/>
          <w:lang w:val="en-US" w:eastAsia="zh-CN"/>
        </w:rPr>
        <w:t>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w:t>
      </w:r>
      <w:r>
        <w:rPr>
          <w:rFonts w:hint="eastAsia" w:ascii="Times New Roman" w:hAnsi="Times New Roman" w:eastAsia="仿宋_GB2312" w:cs="Times New Roman"/>
          <w:color w:val="auto"/>
          <w:spacing w:val="17"/>
          <w:sz w:val="32"/>
          <w:szCs w:val="32"/>
          <w:highlight w:val="none"/>
          <w:lang w:val="zh-TW" w:eastAsia="zh-TW"/>
        </w:rPr>
        <w:t>各部分权重和绩效</w:t>
      </w:r>
      <w:r>
        <w:rPr>
          <w:rFonts w:hint="eastAsia" w:ascii="Times New Roman" w:hAnsi="Times New Roman" w:eastAsia="仿宋_GB2312" w:cs="Times New Roman"/>
          <w:color w:val="auto"/>
          <w:spacing w:val="17"/>
          <w:sz w:val="32"/>
          <w:szCs w:val="32"/>
          <w:highlight w:val="none"/>
          <w:lang w:val="en-US" w:eastAsia="zh-CN"/>
        </w:rPr>
        <w:t>汇总</w:t>
      </w:r>
      <w:r>
        <w:rPr>
          <w:rFonts w:hint="eastAsia" w:ascii="Times New Roman" w:hAnsi="Times New Roman" w:eastAsia="仿宋_GB2312" w:cs="Times New Roman"/>
          <w:color w:val="auto"/>
          <w:spacing w:val="17"/>
          <w:sz w:val="32"/>
          <w:szCs w:val="32"/>
          <w:highlight w:val="none"/>
          <w:lang w:val="zh-TW" w:eastAsia="zh-TW"/>
        </w:rPr>
        <w:t>分值如下表</w:t>
      </w:r>
      <w:r>
        <w:rPr>
          <w:rFonts w:hint="eastAsia" w:ascii="Times New Roman" w:hAnsi="Times New Roman" w:eastAsia="仿宋_GB2312" w:cs="Times New Roman"/>
          <w:color w:val="auto"/>
          <w:spacing w:val="17"/>
          <w:sz w:val="32"/>
          <w:szCs w:val="32"/>
          <w:highlight w:val="none"/>
          <w:lang w:val="en-US" w:eastAsia="zh-CN"/>
        </w:rPr>
        <w:t>3-1</w:t>
      </w:r>
      <w:r>
        <w:rPr>
          <w:rFonts w:hint="eastAsia" w:ascii="Times New Roman" w:hAnsi="Times New Roman" w:eastAsia="仿宋_GB2312" w:cs="Times New Roman"/>
          <w:color w:val="auto"/>
          <w:spacing w:val="17"/>
          <w:sz w:val="32"/>
          <w:szCs w:val="32"/>
          <w:highlight w:val="none"/>
          <w:lang w:val="zh-TW" w:eastAsia="zh-TW"/>
        </w:rPr>
        <w:t>所示</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en-US" w:eastAsia="zh-CN"/>
        </w:rPr>
        <w:t>详见上传的附件</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zh-TW" w:eastAsia="zh-TW"/>
        </w:rPr>
        <w:t>：</w:t>
      </w:r>
    </w:p>
    <w:tbl>
      <w:tblPr>
        <w:tblStyle w:val="16"/>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14:paraId="6D455F59">
        <w:tblPrEx>
          <w:shd w:val="clear" w:color="auto" w:fill="auto"/>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7D592F2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4"/>
                <w:szCs w:val="24"/>
                <w:highlight w:val="none"/>
                <w:shd w:val="clear" w:color="auto" w:fill="auto"/>
              </w:rPr>
            </w:pPr>
            <w:r>
              <w:rPr>
                <w:rFonts w:hint="eastAsia" w:ascii="宋体" w:hAnsi="宋体" w:eastAsia="宋体" w:cs="宋体"/>
                <w:b/>
                <w:bCs/>
                <w:color w:val="auto"/>
                <w:kern w:val="0"/>
                <w:sz w:val="28"/>
                <w:szCs w:val="28"/>
                <w:highlight w:val="none"/>
                <w:shd w:val="clear" w:color="auto" w:fill="auto"/>
                <w:lang w:val="en-US" w:eastAsia="zh-CN"/>
              </w:rPr>
              <w:t>表3-1：2024年学前教育生均经费项目得分表</w:t>
            </w:r>
          </w:p>
        </w:tc>
      </w:tr>
      <w:tr w14:paraId="324D323D">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601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9CAB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A701B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F1E28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06214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0486B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合计</w:t>
            </w:r>
          </w:p>
        </w:tc>
      </w:tr>
      <w:tr w14:paraId="23E39D81">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96A92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0BF16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F25EF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1C15F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DE23C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EC22F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14:paraId="1A0D520A">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2B10A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86F0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19.2</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2EBE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0619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39.34</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427C5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14A8D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98.54</w:t>
            </w:r>
          </w:p>
        </w:tc>
      </w:tr>
      <w:tr w14:paraId="6DB5027B">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61672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76C82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96</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70287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F4715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98.35</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68210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BD33B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98.54</w:t>
            </w:r>
            <w:r>
              <w:rPr>
                <w:rFonts w:hint="eastAsia" w:ascii="宋体" w:hAnsi="宋体" w:eastAsia="宋体" w:cs="宋体"/>
                <w:color w:val="auto"/>
                <w:kern w:val="0"/>
                <w:sz w:val="21"/>
                <w:szCs w:val="21"/>
                <w:highlight w:val="none"/>
                <w:shd w:val="clear" w:color="auto" w:fill="auto"/>
                <w:lang w:val="en-US" w:eastAsia="zh-CN"/>
              </w:rPr>
              <w:t>%</w:t>
            </w:r>
          </w:p>
        </w:tc>
      </w:tr>
    </w:tbl>
    <w:p w14:paraId="2E966D18">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07" w:name="_Toc14941"/>
      <w:r>
        <w:rPr>
          <w:rFonts w:hint="eastAsia" w:ascii="黑体" w:hAnsi="黑体" w:eastAsia="黑体" w:cs="黑体"/>
          <w:b w:val="0"/>
          <w:bCs w:val="0"/>
          <w:color w:val="auto"/>
          <w:highlight w:val="none"/>
          <w:shd w:val="clear" w:color="auto" w:fill="auto"/>
          <w:lang w:val="en-US" w:eastAsia="zh-CN"/>
        </w:rPr>
        <w:t>四、绩效评价指标分析</w:t>
      </w:r>
      <w:bookmarkEnd w:id="107"/>
    </w:p>
    <w:p w14:paraId="3E674E9E">
      <w:pPr>
        <w:pStyle w:val="14"/>
        <w:widowControl/>
        <w:spacing w:before="0" w:beforeLines="-2147483648" w:after="0" w:afterLines="-2147483648" w:line="560" w:lineRule="exact"/>
        <w:ind w:firstLine="643" w:firstLineChars="200"/>
        <w:jc w:val="both"/>
        <w:rPr>
          <w:rFonts w:hint="eastAsia" w:ascii="Times New Roman" w:hAnsi="Times New Roman" w:eastAsia="楷体_GB2312" w:cs="Times New Roman"/>
          <w:color w:val="auto"/>
          <w:kern w:val="28"/>
          <w:sz w:val="32"/>
          <w:highlight w:val="none"/>
        </w:rPr>
      </w:pPr>
      <w:bookmarkStart w:id="108" w:name="_Toc6759"/>
      <w:r>
        <w:rPr>
          <w:rFonts w:hint="eastAsia" w:ascii="Times New Roman" w:hAnsi="Times New Roman" w:eastAsia="楷体_GB2312" w:cs="Times New Roman"/>
          <w:color w:val="auto"/>
          <w:kern w:val="28"/>
          <w:sz w:val="32"/>
          <w:highlight w:val="none"/>
        </w:rPr>
        <w:t>（一）项目决策情况</w:t>
      </w:r>
      <w:bookmarkEnd w:id="108"/>
    </w:p>
    <w:p w14:paraId="140D37CE">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项目决策由3个二级指标和6个三级指标构成，权重分20分，实际得分19.2分，</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4</w:t>
      </w:r>
      <w:r>
        <w:rPr>
          <w:rFonts w:hint="eastAsia" w:ascii="仿宋_GB2312" w:hAnsi="仿宋_GB2312" w:eastAsia="仿宋_GB2312" w:cs="仿宋_GB2312"/>
          <w:b/>
          <w:bCs/>
          <w:color w:val="auto"/>
          <w:kern w:val="2"/>
          <w:sz w:val="32"/>
          <w:szCs w:val="32"/>
          <w:highlight w:val="none"/>
          <w:u w:color="000000"/>
          <w:shd w:val="clear" w:color="auto" w:fill="auto"/>
          <w:lang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b/>
          <w:bCs/>
          <w:color w:val="auto"/>
          <w:sz w:val="32"/>
          <w:szCs w:val="32"/>
          <w:highlight w:val="none"/>
          <w:shd w:val="clear" w:color="auto" w:fill="auto"/>
          <w:lang w:val="en-US" w:eastAsia="zh-CN"/>
        </w:rPr>
        <w:t>详见上传的附件二</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w:t>
      </w:r>
    </w:p>
    <w:p w14:paraId="156CEFF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auto"/>
          <w:kern w:val="0"/>
          <w:sz w:val="32"/>
          <w:szCs w:val="32"/>
          <w:highlight w:val="none"/>
          <w:shd w:val="clear" w:color="auto" w:fill="auto"/>
          <w:lang w:val="en-US" w:eastAsia="zh-CN"/>
        </w:rPr>
      </w:pPr>
      <w:r>
        <w:rPr>
          <w:rFonts w:hint="eastAsia" w:ascii="仿宋_GB2312" w:hAnsi="仿宋_GB2312" w:eastAsia="仿宋_GB2312" w:cs="仿宋_GB2312"/>
          <w:b/>
          <w:bCs/>
          <w:color w:val="auto"/>
          <w:kern w:val="0"/>
          <w:sz w:val="32"/>
          <w:szCs w:val="32"/>
          <w:highlight w:val="none"/>
          <w:shd w:val="clear" w:color="auto" w:fill="auto"/>
          <w:lang w:val="zh-TW" w:eastAsia="zh-TW"/>
        </w:rPr>
        <w:t>表</w:t>
      </w:r>
      <w:r>
        <w:rPr>
          <w:rFonts w:hint="eastAsia" w:ascii="仿宋_GB2312" w:hAnsi="仿宋_GB2312" w:eastAsia="仿宋_GB2312" w:cs="仿宋_GB2312"/>
          <w:b/>
          <w:bCs/>
          <w:color w:val="auto"/>
          <w:kern w:val="0"/>
          <w:sz w:val="32"/>
          <w:szCs w:val="32"/>
          <w:highlight w:val="none"/>
          <w:shd w:val="clear" w:color="auto" w:fill="auto"/>
          <w:lang w:val="en-US" w:eastAsia="zh-CN"/>
        </w:rPr>
        <w:t>4-1</w:t>
      </w:r>
      <w:r>
        <w:rPr>
          <w:rFonts w:hint="eastAsia" w:ascii="仿宋_GB2312" w:hAnsi="仿宋_GB2312" w:eastAsia="仿宋_GB2312" w:cs="仿宋_GB2312"/>
          <w:b/>
          <w:bCs/>
          <w:color w:val="auto"/>
          <w:kern w:val="0"/>
          <w:sz w:val="32"/>
          <w:szCs w:val="32"/>
          <w:highlight w:val="none"/>
          <w:shd w:val="clear" w:color="auto" w:fill="auto"/>
          <w:lang w:val="zh-TW" w:eastAsia="zh-TW"/>
        </w:rPr>
        <w:t>项目决策指标及分值</w:t>
      </w:r>
    </w:p>
    <w:tbl>
      <w:tblPr>
        <w:tblStyle w:val="16"/>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3A5D8762">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692D8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9B27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7597F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FAA47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B9B23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AA6DD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1ACF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1F49E47F">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7ECCBA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741B86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06DC74C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CF4783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44E2F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444E5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9A39D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47441DCA">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CEA81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3A2F82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86919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21558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1A057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24864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E4C3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2.2</w:t>
            </w:r>
          </w:p>
        </w:tc>
      </w:tr>
      <w:tr w14:paraId="0E4B74A1">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10A960D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2F2C34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277CA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30C89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C7F97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1129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1BA5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E331485">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A38AE9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89BEE5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83748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46090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7C1E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422E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0D66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3276798">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DA528D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71176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9F6E7E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5D8EEC6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7388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49901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EDF92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2740BD85">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F56A2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9F1F5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A96D8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5A13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DB53B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3033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DB1DD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73D5FDBF">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111E8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CD24B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A6A3B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2F58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02E12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19.2</w:t>
            </w:r>
          </w:p>
        </w:tc>
      </w:tr>
    </w:tbl>
    <w:p w14:paraId="7269E4AF">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09" w:name="_Toc13522"/>
      <w:bookmarkStart w:id="110" w:name="_Toc28069"/>
      <w:r>
        <w:rPr>
          <w:rFonts w:hint="eastAsia" w:ascii="仿宋_GB2312" w:hAnsi="仿宋_GB2312" w:eastAsia="仿宋_GB2312" w:cs="仿宋_GB2312"/>
          <w:b/>
          <w:bCs/>
          <w:color w:val="auto"/>
          <w:sz w:val="32"/>
          <w:szCs w:val="32"/>
          <w:highlight w:val="none"/>
          <w:lang w:val="en-US" w:eastAsia="zh-CN"/>
        </w:rPr>
        <w:t>1.立项依据充分性</w:t>
      </w:r>
      <w:bookmarkEnd w:id="109"/>
      <w:bookmarkEnd w:id="110"/>
    </w:p>
    <w:p w14:paraId="61FBEA8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①项目立项符合新疆维吾尔自治区关于《自治区农村学前三年免费教育经费保障机制管理办法》的通知（新财教[ 2017]19号）文件；</w:t>
      </w:r>
    </w:p>
    <w:p w14:paraId="69F8C85D">
      <w:pPr>
        <w:pageBreakBefore w:val="0"/>
        <w:kinsoku/>
        <w:wordWrap/>
        <w:overflowPunct/>
        <w:topLinePunct w:val="0"/>
        <w:autoSpaceDE/>
        <w:autoSpaceDN/>
        <w:bidi w:val="0"/>
        <w:spacing w:line="560" w:lineRule="exact"/>
        <w:textAlignment w:val="auto"/>
        <w:rPr>
          <w:rFonts w:hint="eastAsia"/>
          <w:color w:val="auto"/>
          <w:highlight w:val="none"/>
          <w:lang w:eastAsia="zh-CN"/>
        </w:rPr>
      </w:pPr>
      <w:r>
        <w:rPr>
          <w:rFonts w:hint="eastAsia" w:ascii="仿宋_GB2312" w:hAnsi="仿宋_GB2312" w:eastAsia="仿宋_GB2312" w:cs="仿宋_GB2312"/>
          <w:color w:val="auto"/>
          <w:sz w:val="32"/>
          <w:szCs w:val="32"/>
          <w:highlight w:val="none"/>
          <w:lang w:eastAsia="zh-CN"/>
        </w:rPr>
        <w:t>②项目立项符合项目立项符合《</w:t>
      </w:r>
      <w:r>
        <w:rPr>
          <w:rFonts w:hint="eastAsia" w:ascii="仿宋_GB2312" w:hAnsi="仿宋_GB2312" w:eastAsia="仿宋_GB2312" w:cs="仿宋_GB2312"/>
          <w:color w:val="auto"/>
          <w:sz w:val="32"/>
          <w:szCs w:val="32"/>
          <w:highlight w:val="none"/>
          <w:lang w:val="en-US" w:eastAsia="zh-CN"/>
        </w:rPr>
        <w:t>阜康市教育扶贫惠民政策宣传手册</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相关</w:t>
      </w:r>
      <w:r>
        <w:rPr>
          <w:rFonts w:hint="eastAsia" w:ascii="仿宋_GB2312" w:hAnsi="仿宋_GB2312" w:eastAsia="仿宋_GB2312" w:cs="仿宋_GB2312"/>
          <w:color w:val="auto"/>
          <w:sz w:val="32"/>
          <w:szCs w:val="32"/>
          <w:highlight w:val="none"/>
          <w:lang w:eastAsia="zh-CN"/>
        </w:rPr>
        <w:t>政策要求；</w:t>
      </w:r>
    </w:p>
    <w:p w14:paraId="216424D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③项目立项</w:t>
      </w:r>
      <w:r>
        <w:rPr>
          <w:rFonts w:hint="eastAsia" w:ascii="仿宋_GB2312" w:hAnsi="仿宋_GB2312" w:eastAsia="仿宋_GB2312" w:cs="仿宋_GB2312"/>
          <w:color w:val="auto"/>
          <w:sz w:val="32"/>
          <w:szCs w:val="32"/>
          <w:highlight w:val="none"/>
          <w:lang w:val="en-US" w:eastAsia="zh-CN"/>
        </w:rPr>
        <w:t>与宣传贯彻党和国家的教育方针、教育政策、教育法律法规、贯彻执行上级教育行政部门的各项规章制度的</w:t>
      </w:r>
      <w:r>
        <w:rPr>
          <w:rFonts w:hint="eastAsia" w:ascii="仿宋_GB2312" w:hAnsi="仿宋_GB2312" w:eastAsia="仿宋_GB2312" w:cs="仿宋_GB2312"/>
          <w:color w:val="auto"/>
          <w:sz w:val="32"/>
          <w:szCs w:val="32"/>
          <w:highlight w:val="none"/>
          <w:lang w:eastAsia="zh-CN"/>
        </w:rPr>
        <w:t>部门职责范围相符，属于部门履职所需；</w:t>
      </w:r>
    </w:p>
    <w:p w14:paraId="1D0AF5B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④项目属于公共财政支持范围，符合中央、地方事权支出责任划分原则；</w:t>
      </w:r>
    </w:p>
    <w:p w14:paraId="78F82CF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⑤项目与相关部门同类项目、部门内部相关项目</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lang w:eastAsia="zh-CN"/>
        </w:rPr>
        <w:t>重复。</w:t>
      </w:r>
    </w:p>
    <w:p w14:paraId="2905845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综上，该项指标满分2分，得分2分。</w:t>
      </w:r>
    </w:p>
    <w:p w14:paraId="608C1C87">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1" w:name="_Toc23240"/>
      <w:bookmarkStart w:id="112" w:name="_Toc21976"/>
      <w:r>
        <w:rPr>
          <w:rFonts w:hint="eastAsia" w:ascii="仿宋_GB2312" w:hAnsi="仿宋_GB2312" w:eastAsia="仿宋_GB2312" w:cs="仿宋_GB2312"/>
          <w:b/>
          <w:bCs/>
          <w:color w:val="auto"/>
          <w:sz w:val="32"/>
          <w:szCs w:val="32"/>
          <w:highlight w:val="none"/>
          <w:lang w:val="en-US" w:eastAsia="zh-CN"/>
        </w:rPr>
        <w:t>2.立项程序规范性</w:t>
      </w:r>
      <w:bookmarkEnd w:id="111"/>
      <w:bookmarkEnd w:id="112"/>
    </w:p>
    <w:p w14:paraId="4437F2B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①项目按照规定的程序申请设立；</w:t>
      </w:r>
    </w:p>
    <w:p w14:paraId="767B16C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②审批文件、材料符合相关要求；</w:t>
      </w:r>
    </w:p>
    <w:p w14:paraId="54F2D6F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③事前经过必要的集体决策，</w:t>
      </w:r>
      <w:r>
        <w:rPr>
          <w:rFonts w:hint="eastAsia" w:ascii="仿宋_GB2312" w:hAnsi="仿宋_GB2312" w:eastAsia="仿宋_GB2312" w:cs="仿宋_GB2312"/>
          <w:color w:val="auto"/>
          <w:sz w:val="32"/>
          <w:szCs w:val="32"/>
          <w:highlight w:val="none"/>
          <w:lang w:val="en-US" w:eastAsia="zh-CN"/>
        </w:rPr>
        <w:t>未经过可行性研究、</w:t>
      </w:r>
      <w:r>
        <w:rPr>
          <w:rFonts w:hint="eastAsia" w:ascii="仿宋_GB2312" w:hAnsi="仿宋_GB2312" w:eastAsia="仿宋_GB2312" w:cs="仿宋_GB2312"/>
          <w:sz w:val="32"/>
          <w:szCs w:val="32"/>
          <w:highlight w:val="none"/>
          <w:lang w:eastAsia="zh-CN"/>
        </w:rPr>
        <w:t>风险评估、绩效评估</w:t>
      </w:r>
      <w:r>
        <w:rPr>
          <w:rFonts w:hint="eastAsia" w:ascii="仿宋_GB2312" w:hAnsi="仿宋_GB2312" w:eastAsia="仿宋_GB2312" w:cs="仿宋_GB2312"/>
          <w:color w:val="auto"/>
          <w:sz w:val="32"/>
          <w:szCs w:val="32"/>
          <w:highlight w:val="none"/>
          <w:lang w:eastAsia="zh-CN"/>
        </w:rPr>
        <w:t>。</w:t>
      </w:r>
    </w:p>
    <w:p w14:paraId="5997C79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综上，该项指标满分3分，得分2.2分。</w:t>
      </w:r>
    </w:p>
    <w:p w14:paraId="28BD80F3">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3" w:name="_Toc15382"/>
      <w:bookmarkStart w:id="114" w:name="_Toc23542"/>
      <w:r>
        <w:rPr>
          <w:rFonts w:hint="eastAsia" w:ascii="仿宋_GB2312" w:hAnsi="仿宋_GB2312" w:eastAsia="仿宋_GB2312" w:cs="仿宋_GB2312"/>
          <w:b/>
          <w:bCs/>
          <w:color w:val="auto"/>
          <w:sz w:val="32"/>
          <w:szCs w:val="32"/>
          <w:highlight w:val="none"/>
          <w:lang w:val="en-US" w:eastAsia="zh-CN"/>
        </w:rPr>
        <w:t>3.绩效目标合理性</w:t>
      </w:r>
      <w:bookmarkEnd w:id="113"/>
      <w:bookmarkEnd w:id="114"/>
    </w:p>
    <w:p w14:paraId="58940D6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①该项目已设置年度绩效目标。</w:t>
      </w:r>
    </w:p>
    <w:p w14:paraId="194251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该项目实际工作内容为：保障幼儿园正常运转，教学活动及其他日常业务的正常运转，完成每学年以1100元每生每学年的标准使用公用经费,总计在园幼儿人数352人。绩效目标与实际工作内容一致，两者具有相关性。</w:t>
      </w:r>
    </w:p>
    <w:p w14:paraId="498D421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③该项目按照绩效目标完成数量指标、质量指标、时效指标、成本指标，达到幼儿园正常运转率</w:t>
      </w:r>
      <w:r>
        <w:rPr>
          <w:rFonts w:hint="eastAsia" w:ascii="仿宋_GB2312" w:hAnsi="仿宋_GB2312" w:eastAsia="仿宋_GB2312" w:cs="仿宋_GB2312"/>
          <w:color w:val="auto"/>
          <w:sz w:val="32"/>
          <w:szCs w:val="32"/>
          <w:highlight w:val="none"/>
          <w:lang w:val="en-US" w:eastAsia="zh-CN"/>
        </w:rPr>
        <w:t>提高、改善教学环境，提供良好的学生成长条件</w:t>
      </w:r>
      <w:r>
        <w:rPr>
          <w:rFonts w:hint="eastAsia" w:ascii="仿宋_GB2312" w:hAnsi="仿宋_GB2312" w:eastAsia="仿宋_GB2312" w:cs="仿宋_GB2312"/>
          <w:color w:val="auto"/>
          <w:sz w:val="32"/>
          <w:szCs w:val="32"/>
          <w:highlight w:val="none"/>
          <w:lang w:eastAsia="zh-CN"/>
        </w:rPr>
        <w:t>效益，预期产出效益和效果是否符合正常的业绩水平。</w:t>
      </w:r>
    </w:p>
    <w:p w14:paraId="1CC57E8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④《项目支出绩效目标表》中预算金额为69.79万元，预算确定的项目资金与预算确定的项目投资额相匹配。</w:t>
      </w:r>
    </w:p>
    <w:p w14:paraId="030D250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04408554">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5" w:name="_Toc18198"/>
      <w:bookmarkStart w:id="116" w:name="_Toc10650"/>
      <w:r>
        <w:rPr>
          <w:rFonts w:hint="eastAsia" w:ascii="仿宋_GB2312" w:hAnsi="仿宋_GB2312" w:eastAsia="仿宋_GB2312" w:cs="仿宋_GB2312"/>
          <w:b/>
          <w:bCs/>
          <w:color w:val="auto"/>
          <w:sz w:val="32"/>
          <w:szCs w:val="32"/>
          <w:highlight w:val="none"/>
          <w:lang w:val="en-US" w:eastAsia="zh-CN"/>
        </w:rPr>
        <w:t>4.绩效指标明确性</w:t>
      </w:r>
      <w:bookmarkEnd w:id="115"/>
      <w:bookmarkEnd w:id="116"/>
    </w:p>
    <w:p w14:paraId="262887E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①将项目绩效目标细化分解为具体的绩效指标，</w:t>
      </w:r>
      <w:r>
        <w:rPr>
          <w:rFonts w:hint="eastAsia" w:ascii="仿宋_GB2312" w:hAnsi="仿宋_GB2312" w:eastAsia="仿宋_GB2312" w:cs="仿宋_GB2312"/>
          <w:color w:val="auto"/>
          <w:sz w:val="32"/>
          <w:szCs w:val="32"/>
          <w:highlight w:val="none"/>
          <w:lang w:val="en-US" w:eastAsia="zh-CN"/>
        </w:rPr>
        <w:t>其中三级指标共计8个</w:t>
      </w:r>
      <w:r>
        <w:rPr>
          <w:rFonts w:hint="eastAsia" w:ascii="仿宋_GB2312" w:hAnsi="仿宋_GB2312" w:eastAsia="仿宋_GB2312" w:cs="仿宋_GB2312"/>
          <w:color w:val="auto"/>
          <w:sz w:val="32"/>
          <w:szCs w:val="32"/>
          <w:highlight w:val="none"/>
          <w:lang w:eastAsia="zh-CN"/>
        </w:rPr>
        <w:t>；</w:t>
      </w:r>
    </w:p>
    <w:p w14:paraId="6E34D40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②通过清晰、可衡量的指标值予以体现，</w:t>
      </w:r>
      <w:r>
        <w:rPr>
          <w:rFonts w:hint="eastAsia" w:ascii="仿宋_GB2312" w:hAnsi="仿宋_GB2312" w:eastAsia="仿宋_GB2312" w:cs="仿宋_GB2312"/>
          <w:color w:val="auto"/>
          <w:sz w:val="32"/>
          <w:szCs w:val="32"/>
          <w:highlight w:val="none"/>
          <w:lang w:val="en-US" w:eastAsia="zh-CN"/>
        </w:rPr>
        <w:t>量化率达到87.5%</w:t>
      </w:r>
      <w:r>
        <w:rPr>
          <w:rFonts w:hint="eastAsia" w:ascii="仿宋_GB2312" w:hAnsi="仿宋_GB2312" w:eastAsia="仿宋_GB2312" w:cs="仿宋_GB2312"/>
          <w:color w:val="auto"/>
          <w:sz w:val="32"/>
          <w:szCs w:val="32"/>
          <w:highlight w:val="none"/>
          <w:lang w:eastAsia="zh-CN"/>
        </w:rPr>
        <w:t>；</w:t>
      </w:r>
    </w:p>
    <w:p w14:paraId="63658DB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③《项目绩效目标申报表》中，三级指标的年度指标值与年度绩效目标中任务数一致。</w:t>
      </w:r>
    </w:p>
    <w:p w14:paraId="1CD74B0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已设置的绩效目标具备明确性、可衡量性、可实现性、相关性、时限性。</w:t>
      </w:r>
    </w:p>
    <w:p w14:paraId="737124D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50D43F8C">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7" w:name="_Toc8296"/>
      <w:bookmarkStart w:id="118" w:name="_Toc19401"/>
      <w:r>
        <w:rPr>
          <w:rFonts w:hint="eastAsia" w:ascii="仿宋_GB2312" w:hAnsi="仿宋_GB2312" w:eastAsia="仿宋_GB2312" w:cs="仿宋_GB2312"/>
          <w:b/>
          <w:bCs/>
          <w:color w:val="auto"/>
          <w:sz w:val="32"/>
          <w:szCs w:val="32"/>
          <w:highlight w:val="none"/>
          <w:lang w:val="en-US" w:eastAsia="zh-CN"/>
        </w:rPr>
        <w:t>5.预算编制科学性</w:t>
      </w:r>
      <w:bookmarkEnd w:id="117"/>
      <w:bookmarkEnd w:id="118"/>
    </w:p>
    <w:p w14:paraId="425D618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lang w:val="en-US" w:eastAsia="zh-CN"/>
        </w:rPr>
        <w:t>根据项目预算批复，项目的</w:t>
      </w:r>
      <w:r>
        <w:rPr>
          <w:rFonts w:hint="eastAsia" w:ascii="仿宋_GB2312" w:hAnsi="仿宋_GB2312" w:eastAsia="仿宋_GB2312" w:cs="仿宋_GB2312"/>
          <w:color w:val="auto"/>
          <w:sz w:val="32"/>
          <w:szCs w:val="32"/>
          <w:highlight w:val="none"/>
          <w:lang w:eastAsia="zh-CN"/>
        </w:rPr>
        <w:t>预算编制经过科学论证；</w:t>
      </w:r>
    </w:p>
    <w:p w14:paraId="40C9450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②</w:t>
      </w:r>
      <w:r>
        <w:rPr>
          <w:rFonts w:hint="eastAsia" w:ascii="仿宋_GB2312" w:hAnsi="仿宋_GB2312" w:eastAsia="仿宋_GB2312" w:cs="仿宋_GB2312"/>
          <w:color w:val="auto"/>
          <w:sz w:val="32"/>
          <w:szCs w:val="32"/>
          <w:highlight w:val="none"/>
          <w:lang w:eastAsia="zh-CN"/>
        </w:rPr>
        <w:t>预算申请内容为提高幼儿园正常运转率，改善教学环境，提供良好的学生成长条件，保障幼儿园各项工作平稳进行，项目实际内容为改善教学环境，提供良好的学生成长条件，预算申请与项目内容匹配；</w:t>
      </w:r>
    </w:p>
    <w:p w14:paraId="6352541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③</w:t>
      </w:r>
      <w:r>
        <w:rPr>
          <w:rFonts w:hint="eastAsia" w:ascii="仿宋_GB2312" w:hAnsi="仿宋_GB2312" w:eastAsia="仿宋_GB2312" w:cs="仿宋_GB2312"/>
          <w:color w:val="auto"/>
          <w:sz w:val="32"/>
          <w:szCs w:val="32"/>
          <w:highlight w:val="none"/>
          <w:lang w:eastAsia="zh-CN"/>
        </w:rPr>
        <w:t>项目预算申请资金</w:t>
      </w:r>
      <w:r>
        <w:rPr>
          <w:rFonts w:hint="eastAsia" w:ascii="仿宋_GB2312" w:hAnsi="仿宋_GB2312" w:eastAsia="仿宋_GB2312" w:cs="仿宋_GB2312"/>
          <w:color w:val="auto"/>
          <w:sz w:val="32"/>
          <w:szCs w:val="32"/>
          <w:highlight w:val="none"/>
          <w:lang w:val="en-US" w:eastAsia="zh-CN"/>
        </w:rPr>
        <w:t>69.79万</w:t>
      </w:r>
      <w:r>
        <w:rPr>
          <w:rFonts w:hint="eastAsia" w:ascii="仿宋_GB2312" w:hAnsi="仿宋_GB2312" w:eastAsia="仿宋_GB2312" w:cs="仿宋_GB2312"/>
          <w:color w:val="auto"/>
          <w:sz w:val="32"/>
          <w:szCs w:val="32"/>
          <w:highlight w:val="none"/>
          <w:lang w:eastAsia="zh-CN"/>
        </w:rPr>
        <w:t>元，我单位在预算申请中严格按照项目实施内容及测算标准进行核算，其中：办公费用</w:t>
      </w:r>
      <w:r>
        <w:rPr>
          <w:rFonts w:hint="eastAsia" w:ascii="仿宋_GB2312" w:hAnsi="仿宋_GB2312" w:eastAsia="仿宋_GB2312" w:cs="仿宋_GB2312"/>
          <w:color w:val="auto"/>
          <w:sz w:val="32"/>
          <w:szCs w:val="32"/>
          <w:highlight w:val="none"/>
          <w:lang w:val="en-US" w:eastAsia="zh-CN"/>
        </w:rPr>
        <w:t>5.51</w:t>
      </w:r>
      <w:r>
        <w:rPr>
          <w:rFonts w:hint="eastAsia" w:ascii="仿宋_GB2312" w:hAnsi="仿宋_GB2312" w:eastAsia="仿宋_GB2312" w:cs="仿宋_GB2312"/>
          <w:color w:val="auto"/>
          <w:sz w:val="32"/>
          <w:szCs w:val="32"/>
          <w:highlight w:val="none"/>
          <w:lang w:eastAsia="zh-CN"/>
        </w:rPr>
        <w:t>万元、印刷费用</w:t>
      </w:r>
      <w:r>
        <w:rPr>
          <w:rFonts w:hint="eastAsia" w:ascii="仿宋_GB2312" w:hAnsi="仿宋_GB2312" w:eastAsia="仿宋_GB2312" w:cs="仿宋_GB2312"/>
          <w:color w:val="auto"/>
          <w:sz w:val="32"/>
          <w:szCs w:val="32"/>
          <w:highlight w:val="none"/>
          <w:lang w:val="en-US" w:eastAsia="zh-CN"/>
        </w:rPr>
        <w:t>3.65</w:t>
      </w:r>
      <w:r>
        <w:rPr>
          <w:rFonts w:hint="eastAsia" w:ascii="仿宋_GB2312" w:hAnsi="仿宋_GB2312" w:eastAsia="仿宋_GB2312" w:cs="仿宋_GB2312"/>
          <w:color w:val="auto"/>
          <w:sz w:val="32"/>
          <w:szCs w:val="32"/>
          <w:highlight w:val="none"/>
          <w:lang w:eastAsia="zh-CN"/>
        </w:rPr>
        <w:t>万元、维修费</w:t>
      </w:r>
      <w:r>
        <w:rPr>
          <w:rFonts w:hint="eastAsia" w:ascii="仿宋_GB2312" w:hAnsi="仿宋_GB2312" w:eastAsia="仿宋_GB2312" w:cs="仿宋_GB2312"/>
          <w:color w:val="auto"/>
          <w:sz w:val="32"/>
          <w:szCs w:val="32"/>
          <w:highlight w:val="none"/>
          <w:lang w:val="en-US" w:eastAsia="zh-CN"/>
        </w:rPr>
        <w:t>7.2万元、劳务费0.7万元、</w:t>
      </w:r>
      <w:r>
        <w:rPr>
          <w:rFonts w:hint="eastAsia" w:ascii="仿宋_GB2312" w:hAnsi="仿宋_GB2312" w:eastAsia="仿宋_GB2312" w:cs="仿宋_GB2312"/>
          <w:color w:val="auto"/>
          <w:sz w:val="32"/>
          <w:szCs w:val="32"/>
          <w:highlight w:val="none"/>
          <w:lang w:eastAsia="zh-CN"/>
        </w:rPr>
        <w:t>水费</w:t>
      </w:r>
      <w:r>
        <w:rPr>
          <w:rFonts w:hint="eastAsia" w:ascii="仿宋_GB2312" w:hAnsi="仿宋_GB2312" w:eastAsia="仿宋_GB2312" w:cs="仿宋_GB2312"/>
          <w:color w:val="auto"/>
          <w:sz w:val="32"/>
          <w:szCs w:val="32"/>
          <w:highlight w:val="none"/>
          <w:lang w:val="en-US" w:eastAsia="zh-CN"/>
        </w:rPr>
        <w:t>2.23</w:t>
      </w:r>
      <w:r>
        <w:rPr>
          <w:rFonts w:hint="eastAsia" w:ascii="仿宋_GB2312" w:hAnsi="仿宋_GB2312" w:eastAsia="仿宋_GB2312" w:cs="仿宋_GB2312"/>
          <w:color w:val="auto"/>
          <w:sz w:val="32"/>
          <w:szCs w:val="32"/>
          <w:highlight w:val="none"/>
          <w:lang w:eastAsia="zh-CN"/>
        </w:rPr>
        <w:t>万元、电费</w:t>
      </w:r>
      <w:r>
        <w:rPr>
          <w:rFonts w:hint="eastAsia" w:ascii="仿宋_GB2312" w:hAnsi="仿宋_GB2312" w:eastAsia="仿宋_GB2312" w:cs="仿宋_GB2312"/>
          <w:color w:val="auto"/>
          <w:sz w:val="32"/>
          <w:szCs w:val="32"/>
          <w:highlight w:val="none"/>
          <w:lang w:val="en-US" w:eastAsia="zh-CN"/>
        </w:rPr>
        <w:t>2.23</w:t>
      </w:r>
      <w:r>
        <w:rPr>
          <w:rFonts w:hint="eastAsia" w:ascii="仿宋_GB2312" w:hAnsi="仿宋_GB2312" w:eastAsia="仿宋_GB2312" w:cs="仿宋_GB2312"/>
          <w:color w:val="auto"/>
          <w:sz w:val="32"/>
          <w:szCs w:val="32"/>
          <w:highlight w:val="none"/>
          <w:lang w:eastAsia="zh-CN"/>
        </w:rPr>
        <w:t>万元、邮电费</w:t>
      </w:r>
      <w:r>
        <w:rPr>
          <w:rFonts w:hint="eastAsia" w:ascii="仿宋_GB2312" w:hAnsi="仿宋_GB2312" w:eastAsia="仿宋_GB2312" w:cs="仿宋_GB2312"/>
          <w:color w:val="auto"/>
          <w:sz w:val="32"/>
          <w:szCs w:val="32"/>
          <w:highlight w:val="none"/>
          <w:lang w:val="en-US" w:eastAsia="zh-CN"/>
        </w:rPr>
        <w:t>2.29</w:t>
      </w:r>
      <w:r>
        <w:rPr>
          <w:rFonts w:hint="eastAsia" w:ascii="仿宋_GB2312" w:hAnsi="仿宋_GB2312" w:eastAsia="仿宋_GB2312" w:cs="仿宋_GB2312"/>
          <w:color w:val="auto"/>
          <w:sz w:val="32"/>
          <w:szCs w:val="32"/>
          <w:highlight w:val="none"/>
          <w:lang w:eastAsia="zh-CN"/>
        </w:rPr>
        <w:t>万元、取暖费</w:t>
      </w:r>
      <w:r>
        <w:rPr>
          <w:rFonts w:hint="eastAsia" w:ascii="仿宋_GB2312" w:hAnsi="仿宋_GB2312" w:eastAsia="仿宋_GB2312" w:cs="仿宋_GB2312"/>
          <w:color w:val="auto"/>
          <w:sz w:val="32"/>
          <w:szCs w:val="32"/>
          <w:highlight w:val="none"/>
          <w:lang w:val="en-US" w:eastAsia="zh-CN"/>
        </w:rPr>
        <w:t>4.5万元、物业管理费2.2万元、培训费2.4万元、交通费0.1万元、助学金27.73万元、专用设备购置8.8万元、其他商品服务支出0.25万元</w:t>
      </w:r>
      <w:r>
        <w:rPr>
          <w:rFonts w:hint="eastAsia" w:ascii="仿宋_GB2312" w:hAnsi="仿宋_GB2312" w:eastAsia="仿宋_GB2312" w:cs="仿宋_GB2312"/>
          <w:color w:val="auto"/>
          <w:sz w:val="32"/>
          <w:szCs w:val="32"/>
          <w:highlight w:val="none"/>
          <w:lang w:eastAsia="zh-CN"/>
        </w:rPr>
        <w:t>。</w:t>
      </w:r>
    </w:p>
    <w:p w14:paraId="0F6CBF3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④</w:t>
      </w:r>
      <w:r>
        <w:rPr>
          <w:rFonts w:hint="eastAsia" w:ascii="仿宋_GB2312" w:hAnsi="仿宋_GB2312" w:eastAsia="仿宋_GB2312" w:cs="仿宋_GB2312"/>
          <w:color w:val="auto"/>
          <w:sz w:val="32"/>
          <w:szCs w:val="32"/>
          <w:highlight w:val="none"/>
          <w:lang w:eastAsia="zh-CN"/>
        </w:rPr>
        <w:t>预算确定资金量与实际工作任务相匹配。项目预算额度测算依据充分，严格按照标准编制，项目资金量与</w:t>
      </w:r>
      <w:r>
        <w:rPr>
          <w:rFonts w:hint="eastAsia" w:ascii="仿宋_GB2312" w:hAnsi="仿宋_GB2312" w:eastAsia="仿宋_GB2312" w:cs="仿宋_GB2312"/>
          <w:color w:val="auto"/>
          <w:sz w:val="32"/>
          <w:szCs w:val="32"/>
          <w:highlight w:val="none"/>
          <w:lang w:val="en-US" w:eastAsia="zh-CN"/>
        </w:rPr>
        <w:t>项目实施内容</w:t>
      </w:r>
      <w:r>
        <w:rPr>
          <w:rFonts w:hint="eastAsia" w:ascii="仿宋_GB2312" w:hAnsi="仿宋_GB2312" w:eastAsia="仿宋_GB2312" w:cs="仿宋_GB2312"/>
          <w:color w:val="auto"/>
          <w:sz w:val="32"/>
          <w:szCs w:val="32"/>
          <w:highlight w:val="none"/>
          <w:lang w:eastAsia="zh-CN"/>
        </w:rPr>
        <w:t>相匹配。</w:t>
      </w:r>
    </w:p>
    <w:p w14:paraId="4015F21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综上，该项指标满分2分，得分2分。</w:t>
      </w:r>
    </w:p>
    <w:p w14:paraId="04DEE1CE">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9" w:name="_Toc20556"/>
      <w:bookmarkStart w:id="120" w:name="_Toc697"/>
      <w:r>
        <w:rPr>
          <w:rFonts w:hint="eastAsia" w:ascii="仿宋_GB2312" w:hAnsi="仿宋_GB2312" w:eastAsia="仿宋_GB2312" w:cs="仿宋_GB2312"/>
          <w:b/>
          <w:bCs/>
          <w:color w:val="auto"/>
          <w:sz w:val="32"/>
          <w:szCs w:val="32"/>
          <w:highlight w:val="none"/>
          <w:lang w:val="en-US" w:eastAsia="zh-CN"/>
        </w:rPr>
        <w:t>6.资金分配合理性</w:t>
      </w:r>
      <w:bookmarkEnd w:id="119"/>
      <w:bookmarkEnd w:id="120"/>
    </w:p>
    <w:p w14:paraId="781EF93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①项目实际分配资金以《财政支出预算管理办法》</w:t>
      </w:r>
      <w:r>
        <w:rPr>
          <w:rFonts w:hint="eastAsia" w:cs="宋体"/>
          <w:bCs/>
          <w:color w:val="auto"/>
          <w:highlight w:val="none"/>
          <w:shd w:val="clear" w:color="auto" w:fill="auto"/>
          <w:lang w:eastAsia="zh-CN"/>
        </w:rPr>
        <w:t>、</w:t>
      </w:r>
      <w:r>
        <w:rPr>
          <w:rFonts w:hint="eastAsia" w:ascii="仿宋_GB2312" w:hAnsi="仿宋_GB2312" w:eastAsia="仿宋_GB2312" w:cs="仿宋_GB2312"/>
          <w:color w:val="auto"/>
          <w:sz w:val="32"/>
          <w:szCs w:val="32"/>
          <w:highlight w:val="none"/>
          <w:lang w:eastAsia="zh-Hans"/>
        </w:rPr>
        <w:t>《202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eastAsia="zh-Hans"/>
        </w:rPr>
        <w:t>年公用经费收支预算表》为依据进行资金分配，预算资金分配依据充分</w:t>
      </w:r>
      <w:r>
        <w:rPr>
          <w:rFonts w:hint="eastAsia" w:ascii="仿宋_GB2312" w:hAnsi="仿宋_GB2312" w:eastAsia="仿宋_GB2312" w:cs="仿宋_GB2312"/>
          <w:color w:val="auto"/>
          <w:sz w:val="32"/>
          <w:szCs w:val="32"/>
          <w:highlight w:val="none"/>
          <w:lang w:eastAsia="zh-CN"/>
        </w:rPr>
        <w:t>。</w:t>
      </w:r>
    </w:p>
    <w:p w14:paraId="18C386C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②项目实际到位资金</w:t>
      </w:r>
      <w:r>
        <w:rPr>
          <w:rFonts w:hint="eastAsia" w:ascii="仿宋_GB2312" w:hAnsi="仿宋_GB2312" w:eastAsia="仿宋_GB2312" w:cs="仿宋_GB2312"/>
          <w:color w:val="auto"/>
          <w:sz w:val="32"/>
          <w:szCs w:val="32"/>
          <w:highlight w:val="none"/>
          <w:lang w:val="en-US" w:eastAsia="zh-CN"/>
        </w:rPr>
        <w:t>69.79</w:t>
      </w:r>
      <w:r>
        <w:rPr>
          <w:rFonts w:hint="eastAsia" w:ascii="仿宋_GB2312" w:hAnsi="仿宋_GB2312" w:eastAsia="仿宋_GB2312" w:cs="仿宋_GB2312"/>
          <w:color w:val="auto"/>
          <w:sz w:val="32"/>
          <w:szCs w:val="32"/>
          <w:highlight w:val="none"/>
          <w:lang w:eastAsia="zh-CN"/>
        </w:rPr>
        <w:t>万元，资金分配额度合理，与项目单位</w:t>
      </w:r>
      <w:r>
        <w:rPr>
          <w:rFonts w:hint="eastAsia" w:ascii="仿宋_GB2312" w:hAnsi="仿宋_GB2312" w:eastAsia="仿宋_GB2312" w:cs="仿宋_GB2312"/>
          <w:color w:val="auto"/>
          <w:sz w:val="32"/>
          <w:szCs w:val="32"/>
          <w:highlight w:val="none"/>
          <w:lang w:val="en-US" w:eastAsia="zh-CN"/>
        </w:rPr>
        <w:t>及项目实际实施情况相</w:t>
      </w:r>
      <w:r>
        <w:rPr>
          <w:rFonts w:hint="eastAsia" w:ascii="仿宋_GB2312" w:hAnsi="仿宋_GB2312" w:eastAsia="仿宋_GB2312" w:cs="仿宋_GB2312"/>
          <w:color w:val="auto"/>
          <w:sz w:val="32"/>
          <w:szCs w:val="32"/>
          <w:highlight w:val="none"/>
          <w:lang w:eastAsia="zh-CN"/>
        </w:rPr>
        <w:t>适应。</w:t>
      </w:r>
    </w:p>
    <w:p w14:paraId="683C57FD">
      <w:pPr>
        <w:pageBreakBefore w:val="0"/>
        <w:kinsoku/>
        <w:wordWrap/>
        <w:overflowPunct/>
        <w:topLinePunct w:val="0"/>
        <w:autoSpaceDE/>
        <w:autoSpaceDN/>
        <w:bidi w:val="0"/>
        <w:spacing w:line="560" w:lineRule="exact"/>
        <w:textAlignment w:val="auto"/>
        <w:rPr>
          <w:rFonts w:hint="eastAsia"/>
          <w:color w:val="auto"/>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综上，该项指标满分3分，得分3分。</w:t>
      </w:r>
    </w:p>
    <w:p w14:paraId="50155C4C">
      <w:pPr>
        <w:pStyle w:val="14"/>
        <w:widowControl/>
        <w:numPr>
          <w:ilvl w:val="0"/>
          <w:numId w:val="0"/>
        </w:numPr>
        <w:spacing w:before="0" w:beforeLines="-2147483648" w:after="0" w:afterLines="-2147483648" w:line="560" w:lineRule="exact"/>
        <w:ind w:firstLine="643" w:firstLineChars="200"/>
        <w:jc w:val="both"/>
        <w:rPr>
          <w:rFonts w:hint="eastAsia" w:ascii="Times New Roman" w:hAnsi="Times New Roman" w:eastAsia="楷体" w:cs="Times New Roman"/>
          <w:color w:val="auto"/>
          <w:kern w:val="28"/>
          <w:sz w:val="32"/>
          <w:highlight w:val="none"/>
        </w:rPr>
      </w:pPr>
      <w:bookmarkStart w:id="121" w:name="_Toc10564"/>
      <w:r>
        <w:rPr>
          <w:rFonts w:hint="eastAsia" w:ascii="Times New Roman" w:hAnsi="Times New Roman" w:eastAsia="楷体" w:cs="Times New Roman"/>
          <w:color w:val="auto"/>
          <w:kern w:val="28"/>
          <w:sz w:val="32"/>
          <w:highlight w:val="none"/>
          <w:lang w:eastAsia="zh-CN"/>
        </w:rPr>
        <w:t>（</w:t>
      </w:r>
      <w:r>
        <w:rPr>
          <w:rFonts w:hint="eastAsia" w:ascii="Times New Roman" w:hAnsi="Times New Roman" w:eastAsia="楷体" w:cs="Times New Roman"/>
          <w:color w:val="auto"/>
          <w:kern w:val="28"/>
          <w:sz w:val="32"/>
          <w:highlight w:val="none"/>
          <w:lang w:val="en-US" w:eastAsia="zh-CN"/>
        </w:rPr>
        <w:t>二</w:t>
      </w:r>
      <w:r>
        <w:rPr>
          <w:rFonts w:hint="eastAsia" w:ascii="Times New Roman" w:hAnsi="Times New Roman" w:eastAsia="楷体" w:cs="Times New Roman"/>
          <w:color w:val="auto"/>
          <w:kern w:val="28"/>
          <w:sz w:val="32"/>
          <w:highlight w:val="none"/>
          <w:lang w:eastAsia="zh-CN"/>
        </w:rPr>
        <w:t>）</w:t>
      </w:r>
      <w:r>
        <w:rPr>
          <w:rFonts w:hint="eastAsia" w:ascii="Times New Roman" w:hAnsi="Times New Roman" w:eastAsia="楷体" w:cs="Times New Roman"/>
          <w:color w:val="auto"/>
          <w:kern w:val="28"/>
          <w:sz w:val="32"/>
          <w:highlight w:val="none"/>
        </w:rPr>
        <w:t>项目过程情况</w:t>
      </w:r>
      <w:bookmarkEnd w:id="121"/>
    </w:p>
    <w:p w14:paraId="538990C4">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rPr>
        <w:t>过程</w:t>
      </w:r>
      <w:r>
        <w:rPr>
          <w:rFonts w:hint="eastAsia" w:ascii="仿宋_GB2312" w:hAnsi="仿宋_GB2312" w:eastAsia="仿宋_GB2312" w:cs="仿宋_GB2312"/>
          <w:color w:val="auto"/>
          <w:kern w:val="2"/>
          <w:sz w:val="32"/>
          <w:szCs w:val="32"/>
          <w:highlight w:val="none"/>
          <w:u w:color="000000"/>
          <w:shd w:val="clear" w:color="auto" w:fill="auto"/>
          <w:lang w:eastAsia="zh-CN"/>
        </w:rPr>
        <w:t>管理</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类指标由</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详见上传的附件二</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368A07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4-2</w:t>
      </w:r>
      <w:r>
        <w:rPr>
          <w:rFonts w:hint="eastAsia" w:ascii="宋体" w:hAnsi="宋体" w:eastAsia="宋体" w:cs="宋体"/>
          <w:b/>
          <w:bCs/>
          <w:color w:val="auto"/>
          <w:kern w:val="0"/>
          <w:sz w:val="28"/>
          <w:szCs w:val="28"/>
          <w:highlight w:val="none"/>
          <w:shd w:val="clear" w:color="auto" w:fill="auto"/>
          <w:lang w:val="zh-TW" w:eastAsia="zh-TW"/>
        </w:rPr>
        <w:t>项目</w:t>
      </w:r>
      <w:r>
        <w:rPr>
          <w:rFonts w:hint="eastAsia" w:cs="宋体"/>
          <w:b/>
          <w:bCs/>
          <w:color w:val="auto"/>
          <w:kern w:val="0"/>
          <w:sz w:val="28"/>
          <w:szCs w:val="28"/>
          <w:highlight w:val="none"/>
          <w:shd w:val="clear" w:color="auto" w:fill="auto"/>
          <w:lang w:val="en-US" w:eastAsia="zh-CN"/>
        </w:rPr>
        <w:t>过程</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139AE5C3">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1EBDB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854DE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D811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4B1F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369B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8345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0B9B6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1CE8DA16">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EC7F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38A69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CE9C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9EC60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7C5D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923E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84961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14:paraId="3B43B54E">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19D01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FBE2F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A9642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31B0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D907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715AA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73267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14:paraId="1179F358">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0A86B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2398C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C7C23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1F6B8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DEF9F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B76E7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B6983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14:paraId="420327C7">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54C51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5E69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D312E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3B149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E0FA6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FD0EF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C5215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14:paraId="22EE0DE7">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B66E5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FCDBD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02C2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909F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0704C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B66B6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EFABE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14:paraId="7DFBF3F7">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7083C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DED22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DF815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1384A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8D2D5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r>
    </w:tbl>
    <w:p w14:paraId="537A6D46">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2" w:name="_Toc20449"/>
      <w:bookmarkStart w:id="123" w:name="_Toc3886"/>
      <w:r>
        <w:rPr>
          <w:rFonts w:hint="eastAsia" w:ascii="仿宋_GB2312" w:hAnsi="仿宋_GB2312" w:eastAsia="仿宋_GB2312" w:cs="仿宋_GB2312"/>
          <w:b/>
          <w:bCs/>
          <w:color w:val="auto"/>
          <w:sz w:val="32"/>
          <w:szCs w:val="32"/>
          <w:highlight w:val="none"/>
          <w:lang w:val="en-US" w:eastAsia="zh-CN"/>
        </w:rPr>
        <w:t>1.资金到位率</w:t>
      </w:r>
      <w:bookmarkEnd w:id="122"/>
      <w:bookmarkEnd w:id="123"/>
    </w:p>
    <w:p w14:paraId="4C03DE5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项目预算资金为</w:t>
      </w:r>
      <w:r>
        <w:rPr>
          <w:rFonts w:hint="eastAsia" w:ascii="仿宋_GB2312" w:hAnsi="仿宋_GB2312" w:eastAsia="仿宋_GB2312" w:cs="仿宋_GB2312"/>
          <w:b w:val="0"/>
          <w:bCs w:val="0"/>
          <w:color w:val="auto"/>
          <w:sz w:val="32"/>
          <w:szCs w:val="32"/>
          <w:highlight w:val="none"/>
          <w:lang w:val="en-US" w:eastAsia="zh-CN"/>
        </w:rPr>
        <w:t>69.79</w:t>
      </w:r>
      <w:r>
        <w:rPr>
          <w:rFonts w:hint="eastAsia" w:ascii="仿宋_GB2312" w:hAnsi="仿宋_GB2312" w:eastAsia="仿宋_GB2312" w:cs="仿宋_GB2312"/>
          <w:b w:val="0"/>
          <w:bCs w:val="0"/>
          <w:color w:val="auto"/>
          <w:sz w:val="32"/>
          <w:szCs w:val="32"/>
          <w:highlight w:val="none"/>
        </w:rPr>
        <w:t>万元，其中：财政安排资金</w:t>
      </w:r>
      <w:r>
        <w:rPr>
          <w:rFonts w:hint="eastAsia" w:ascii="仿宋_GB2312" w:hAnsi="仿宋_GB2312" w:eastAsia="仿宋_GB2312" w:cs="仿宋_GB2312"/>
          <w:b w:val="0"/>
          <w:bCs w:val="0"/>
          <w:color w:val="auto"/>
          <w:sz w:val="32"/>
          <w:szCs w:val="32"/>
          <w:highlight w:val="none"/>
          <w:lang w:val="en-US" w:eastAsia="zh-CN"/>
        </w:rPr>
        <w:t>69.79</w:t>
      </w:r>
      <w:r>
        <w:rPr>
          <w:rFonts w:hint="eastAsia" w:ascii="仿宋_GB2312" w:hAnsi="仿宋_GB2312" w:eastAsia="仿宋_GB2312" w:cs="仿宋_GB2312"/>
          <w:b w:val="0"/>
          <w:bCs w:val="0"/>
          <w:color w:val="auto"/>
          <w:sz w:val="32"/>
          <w:szCs w:val="32"/>
          <w:highlight w:val="none"/>
        </w:rPr>
        <w:t>万元，其他资金</w:t>
      </w:r>
      <w:r>
        <w:rPr>
          <w:rFonts w:hint="eastAsia" w:ascii="仿宋_GB2312" w:hAnsi="仿宋_GB2312" w:eastAsia="仿宋_GB2312" w:cs="仿宋_GB2312"/>
          <w:b w:val="0"/>
          <w:bCs w:val="0"/>
          <w:color w:val="auto"/>
          <w:sz w:val="32"/>
          <w:szCs w:val="32"/>
          <w:highlight w:val="none"/>
          <w:lang w:val="en-US" w:eastAsia="zh-CN"/>
        </w:rPr>
        <w:t>0</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b w:val="0"/>
          <w:bCs w:val="0"/>
          <w:color w:val="auto"/>
          <w:sz w:val="32"/>
          <w:szCs w:val="32"/>
          <w:highlight w:val="none"/>
          <w:lang w:eastAsia="zh-CN"/>
        </w:rPr>
        <w:t>。</w:t>
      </w:r>
    </w:p>
    <w:p w14:paraId="6FCBA2AF">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资金到位率=（</w:t>
      </w:r>
      <w:r>
        <w:rPr>
          <w:rFonts w:hint="eastAsia" w:ascii="仿宋_GB2312" w:hAnsi="仿宋_GB2312" w:eastAsia="仿宋_GB2312" w:cs="仿宋_GB2312"/>
          <w:b w:val="0"/>
          <w:bCs w:val="0"/>
          <w:color w:val="auto"/>
          <w:sz w:val="32"/>
          <w:szCs w:val="32"/>
          <w:highlight w:val="none"/>
          <w:lang w:val="en-US" w:eastAsia="zh-CN"/>
        </w:rPr>
        <w:t>69.79</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69.79</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b/>
          <w:bCs/>
          <w:color w:val="auto"/>
          <w:sz w:val="32"/>
          <w:szCs w:val="32"/>
          <w:highlight w:val="none"/>
          <w:lang w:val="en-US" w:eastAsia="zh-CN"/>
        </w:rPr>
        <w:t>=</w:t>
      </w:r>
      <w:r>
        <w:rPr>
          <w:rFonts w:hint="eastAsia" w:ascii="仿宋_GB2312" w:hAnsi="仿宋_GB2312" w:eastAsia="仿宋_GB2312" w:cs="仿宋_GB2312"/>
          <w:b w:val="0"/>
          <w:bCs w:val="0"/>
          <w:color w:val="auto"/>
          <w:sz w:val="32"/>
          <w:szCs w:val="32"/>
          <w:highlight w:val="none"/>
          <w:lang w:val="en-US" w:eastAsia="zh-CN"/>
        </w:rPr>
        <w:t>100%</w:t>
      </w:r>
    </w:p>
    <w:p w14:paraId="0E1C3C5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514C7CE4">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4" w:name="_Toc9705"/>
      <w:bookmarkStart w:id="125" w:name="_Toc17709"/>
      <w:r>
        <w:rPr>
          <w:rFonts w:hint="eastAsia" w:ascii="仿宋_GB2312" w:hAnsi="仿宋_GB2312" w:eastAsia="仿宋_GB2312" w:cs="仿宋_GB2312"/>
          <w:b/>
          <w:bCs/>
          <w:color w:val="auto"/>
          <w:sz w:val="32"/>
          <w:szCs w:val="32"/>
          <w:highlight w:val="none"/>
          <w:lang w:val="en-US" w:eastAsia="zh-CN"/>
        </w:rPr>
        <w:t>2.预算执行率</w:t>
      </w:r>
      <w:bookmarkEnd w:id="124"/>
      <w:bookmarkEnd w:id="125"/>
    </w:p>
    <w:p w14:paraId="4FA95D6E">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截至2024年12月31日，项目实际支出</w:t>
      </w:r>
      <w:r>
        <w:rPr>
          <w:rFonts w:hint="eastAsia" w:ascii="仿宋_GB2312" w:hAnsi="仿宋_GB2312" w:eastAsia="仿宋_GB2312" w:cs="仿宋_GB2312"/>
          <w:b w:val="0"/>
          <w:bCs w:val="0"/>
          <w:color w:val="auto"/>
          <w:sz w:val="32"/>
          <w:szCs w:val="32"/>
          <w:highlight w:val="none"/>
          <w:lang w:val="en-US" w:eastAsia="zh-CN"/>
        </w:rPr>
        <w:t>69.79</w:t>
      </w:r>
      <w:r>
        <w:rPr>
          <w:rFonts w:hint="eastAsia" w:ascii="仿宋_GB2312" w:hAnsi="仿宋_GB2312" w:eastAsia="仿宋_GB2312" w:cs="仿宋_GB2312"/>
          <w:color w:val="auto"/>
          <w:sz w:val="32"/>
          <w:szCs w:val="32"/>
          <w:highlight w:val="none"/>
          <w:lang w:val="en-US" w:eastAsia="zh-CN"/>
        </w:rPr>
        <w:t>万元。</w:t>
      </w:r>
    </w:p>
    <w:p w14:paraId="289266C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预算执行率=（</w:t>
      </w:r>
      <w:r>
        <w:rPr>
          <w:rFonts w:hint="eastAsia" w:ascii="仿宋_GB2312" w:hAnsi="仿宋_GB2312" w:eastAsia="仿宋_GB2312" w:cs="仿宋_GB2312"/>
          <w:b w:val="0"/>
          <w:bCs w:val="0"/>
          <w:color w:val="auto"/>
          <w:sz w:val="32"/>
          <w:szCs w:val="32"/>
          <w:highlight w:val="none"/>
          <w:lang w:val="en-US" w:eastAsia="zh-CN"/>
        </w:rPr>
        <w:t>69.79</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69.79</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b/>
          <w:bCs/>
          <w:color w:val="auto"/>
          <w:sz w:val="32"/>
          <w:szCs w:val="32"/>
          <w:highlight w:val="none"/>
          <w:lang w:val="en-US" w:eastAsia="zh-CN"/>
        </w:rPr>
        <w:t>=</w:t>
      </w:r>
      <w:r>
        <w:rPr>
          <w:rFonts w:hint="eastAsia" w:ascii="仿宋_GB2312" w:hAnsi="仿宋_GB2312" w:eastAsia="仿宋_GB2312" w:cs="仿宋_GB2312"/>
          <w:b w:val="0"/>
          <w:bCs w:val="0"/>
          <w:color w:val="auto"/>
          <w:sz w:val="32"/>
          <w:szCs w:val="32"/>
          <w:highlight w:val="none"/>
          <w:lang w:val="en-US" w:eastAsia="zh-CN"/>
        </w:rPr>
        <w:t>100%</w:t>
      </w:r>
    </w:p>
    <w:p w14:paraId="5540FCF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32D3A950">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6" w:name="_Toc28875"/>
      <w:bookmarkStart w:id="127" w:name="_Toc18691"/>
      <w:r>
        <w:rPr>
          <w:rFonts w:hint="eastAsia" w:ascii="仿宋_GB2312" w:hAnsi="仿宋_GB2312" w:eastAsia="仿宋_GB2312" w:cs="仿宋_GB2312"/>
          <w:b/>
          <w:bCs/>
          <w:color w:val="auto"/>
          <w:sz w:val="32"/>
          <w:szCs w:val="32"/>
          <w:highlight w:val="none"/>
          <w:lang w:val="en-US" w:eastAsia="zh-CN"/>
        </w:rPr>
        <w:t>3.资金使用合规性</w:t>
      </w:r>
      <w:bookmarkEnd w:id="126"/>
      <w:bookmarkEnd w:id="127"/>
    </w:p>
    <w:p w14:paraId="4CDEE3C8">
      <w:pPr>
        <w:pageBreakBefore w:val="0"/>
        <w:kinsoku/>
        <w:wordWrap/>
        <w:overflowPunct/>
        <w:topLinePunct w:val="0"/>
        <w:autoSpaceDE/>
        <w:autoSpaceDN/>
        <w:bidi w:val="0"/>
        <w:spacing w:line="560" w:lineRule="exact"/>
        <w:textAlignment w:val="auto"/>
        <w:rPr>
          <w:rFonts w:hint="eastAsia" w:ascii="方正仿宋_GBK" w:hAnsi="方正仿宋_GBK" w:eastAsia="方正仿宋_GBK" w:cs="方正仿宋_GBK"/>
          <w:color w:val="auto"/>
          <w:sz w:val="32"/>
          <w:szCs w:val="32"/>
          <w:highlight w:val="none"/>
        </w:rPr>
      </w:pPr>
      <w:r>
        <w:rPr>
          <w:rFonts w:hint="eastAsia" w:ascii="仿宋_GB2312" w:hAnsi="仿宋_GB2312" w:eastAsia="仿宋_GB2312" w:cs="仿宋_GB2312"/>
          <w:color w:val="auto"/>
          <w:sz w:val="32"/>
          <w:szCs w:val="32"/>
          <w:highlight w:val="none"/>
          <w:lang w:eastAsia="zh-CN"/>
        </w:rPr>
        <w:t>①本项目资金支出符合国家财经法规、《政府会计制度》《阜康市第六幼儿园单位资金管理办法》《阜康市第六幼儿园专项资金管理办法》；</w:t>
      </w:r>
    </w:p>
    <w:p w14:paraId="3CF9268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②资金的拨付有完整的审批程序和手续；</w:t>
      </w:r>
    </w:p>
    <w:p w14:paraId="20CC77B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③符合项目预算批复或合同规定的用途；</w:t>
      </w:r>
    </w:p>
    <w:p w14:paraId="3245222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lang w:eastAsia="zh-CN"/>
        </w:rPr>
        <w:t>存在截留、挤占、挪用、虚列支出等情况。</w:t>
      </w:r>
    </w:p>
    <w:p w14:paraId="710D9ADD">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Times New Roman" w:hAnsi="Times New Roman" w:eastAsia="仿宋_GB2312" w:cs="Times New Roman"/>
          <w:color w:val="auto"/>
          <w:sz w:val="32"/>
          <w:szCs w:val="32"/>
          <w:highlight w:val="none"/>
          <w:lang w:val="en-US" w:eastAsia="zh-CN"/>
        </w:rPr>
        <w:t xml:space="preserve"> </w:t>
      </w:r>
    </w:p>
    <w:p w14:paraId="7058F4C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478CFE1C">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kern w:val="2"/>
          <w:sz w:val="32"/>
          <w:szCs w:val="32"/>
          <w:highlight w:val="none"/>
          <w:lang w:val="en-US" w:eastAsia="zh-CN" w:bidi="ar-SA"/>
        </w:rPr>
        <w:t>4.</w:t>
      </w:r>
      <w:r>
        <w:rPr>
          <w:rFonts w:hint="eastAsia" w:ascii="仿宋_GB2312" w:hAnsi="仿宋_GB2312" w:eastAsia="仿宋_GB2312" w:cs="仿宋_GB2312"/>
          <w:b/>
          <w:bCs/>
          <w:color w:val="auto"/>
          <w:sz w:val="32"/>
          <w:szCs w:val="32"/>
          <w:highlight w:val="none"/>
          <w:lang w:val="en-US" w:eastAsia="zh-CN"/>
        </w:rPr>
        <w:t>管理制度健全性</w:t>
      </w:r>
    </w:p>
    <w:p w14:paraId="479D108A">
      <w:pPr>
        <w:pageBreakBefore w:val="0"/>
        <w:kinsoku/>
        <w:wordWrap/>
        <w:overflowPunct/>
        <w:topLinePunct w:val="0"/>
        <w:autoSpaceDE/>
        <w:autoSpaceDN/>
        <w:bidi w:val="0"/>
        <w:spacing w:line="560" w:lineRule="exact"/>
        <w:textAlignment w:val="auto"/>
        <w:rPr>
          <w:rFonts w:hint="eastAsia" w:ascii="Times New Roman" w:hAnsi="Times New Roman" w:eastAsia="仿宋_GB2312" w:cs="Times New Roman"/>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①</w:t>
      </w:r>
      <w:r>
        <w:rPr>
          <w:rFonts w:hint="eastAsia" w:ascii="仿宋_GB2312" w:hAnsi="仿宋_GB2312" w:eastAsia="仿宋_GB2312" w:cs="仿宋_GB2312"/>
          <w:color w:val="auto"/>
          <w:sz w:val="32"/>
          <w:szCs w:val="32"/>
          <w:highlight w:val="none"/>
          <w:lang w:eastAsia="zh-CN"/>
        </w:rPr>
        <w:t>我单位已制定</w:t>
      </w:r>
      <w:r>
        <w:rPr>
          <w:rFonts w:hint="eastAsia" w:ascii="Times New Roman" w:hAnsi="Times New Roman" w:eastAsia="仿宋_GB2312" w:cs="Times New Roman"/>
          <w:color w:val="auto"/>
          <w:sz w:val="32"/>
          <w:szCs w:val="32"/>
          <w:highlight w:val="none"/>
          <w:lang w:eastAsia="zh-CN"/>
        </w:rPr>
        <w:t>《阜康市第六幼儿园资金管理办法》《阜康市第六幼儿园收支业务管理制度》《阜康市第六幼儿园政府采购业务管理制度》《阜康市第六幼儿园合同管理制度》，</w:t>
      </w:r>
      <w:r>
        <w:rPr>
          <w:rFonts w:hint="eastAsia" w:ascii="Times New Roman" w:hAnsi="Times New Roman" w:eastAsia="仿宋_GB2312" w:cs="Times New Roman"/>
          <w:color w:val="auto"/>
          <w:sz w:val="32"/>
          <w:szCs w:val="32"/>
          <w:highlight w:val="none"/>
          <w:lang w:val="en-US" w:eastAsia="zh-CN"/>
        </w:rPr>
        <w:t>相关</w:t>
      </w:r>
      <w:r>
        <w:rPr>
          <w:rFonts w:hint="eastAsia" w:ascii="Times New Roman" w:hAnsi="Times New Roman" w:eastAsia="仿宋_GB2312" w:cs="Times New Roman"/>
          <w:color w:val="auto"/>
          <w:sz w:val="32"/>
          <w:szCs w:val="32"/>
          <w:highlight w:val="none"/>
          <w:lang w:eastAsia="zh-CN"/>
        </w:rPr>
        <w:t>制度均符合行政事业单位内控管理要求；</w:t>
      </w:r>
    </w:p>
    <w:p w14:paraId="558AE56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②已制定的</w:t>
      </w:r>
      <w:r>
        <w:rPr>
          <w:rFonts w:hint="eastAsia" w:ascii="仿宋_GB2312" w:hAnsi="仿宋_GB2312" w:eastAsia="仿宋_GB2312" w:cs="仿宋_GB2312"/>
          <w:color w:val="auto"/>
          <w:sz w:val="32"/>
          <w:szCs w:val="32"/>
          <w:highlight w:val="none"/>
          <w:lang w:eastAsia="zh-CN"/>
        </w:rPr>
        <w:t>财务和业务管理制度合法、合规、完整，本项目执行符合上述制度规定。</w:t>
      </w:r>
    </w:p>
    <w:p w14:paraId="445C817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39B00B0E">
      <w:pPr>
        <w:pageBreakBefore w:val="0"/>
        <w:kinsoku/>
        <w:wordWrap/>
        <w:overflowPunct/>
        <w:topLinePunct w:val="0"/>
        <w:autoSpaceDE/>
        <w:autoSpaceDN/>
        <w:bidi w:val="0"/>
        <w:spacing w:line="560" w:lineRule="exact"/>
        <w:ind w:left="1524" w:leftChars="200" w:hanging="964" w:hangingChars="300"/>
        <w:textAlignment w:val="auto"/>
        <w:outlineLvl w:val="2"/>
        <w:rPr>
          <w:rFonts w:hint="eastAsia" w:ascii="仿宋_GB2312" w:hAnsi="仿宋_GB2312" w:eastAsia="仿宋_GB2312" w:cs="仿宋_GB2312"/>
          <w:b/>
          <w:bCs/>
          <w:color w:val="auto"/>
          <w:sz w:val="32"/>
          <w:szCs w:val="32"/>
          <w:highlight w:val="none"/>
          <w:lang w:val="en-US" w:eastAsia="zh-CN"/>
        </w:rPr>
      </w:pPr>
      <w:bookmarkStart w:id="128" w:name="_Toc31684"/>
      <w:bookmarkStart w:id="129" w:name="_Toc13984"/>
      <w:r>
        <w:rPr>
          <w:rFonts w:hint="eastAsia" w:ascii="仿宋_GB2312" w:hAnsi="仿宋_GB2312" w:eastAsia="仿宋_GB2312" w:cs="仿宋_GB2312"/>
          <w:b/>
          <w:bCs/>
          <w:color w:val="auto"/>
          <w:sz w:val="32"/>
          <w:szCs w:val="32"/>
          <w:highlight w:val="none"/>
          <w:lang w:val="en-US" w:eastAsia="zh-CN"/>
        </w:rPr>
        <w:t>5.制度执行有效性</w:t>
      </w:r>
      <w:bookmarkEnd w:id="128"/>
      <w:bookmarkEnd w:id="129"/>
    </w:p>
    <w:p w14:paraId="7A82465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rPr>
        <w:t>项目的实施</w:t>
      </w:r>
      <w:r>
        <w:rPr>
          <w:rFonts w:hint="eastAsia" w:ascii="仿宋_GB2312" w:hAnsi="仿宋_GB2312" w:eastAsia="仿宋_GB2312" w:cs="仿宋_GB2312"/>
          <w:color w:val="auto"/>
          <w:sz w:val="32"/>
          <w:szCs w:val="32"/>
          <w:highlight w:val="none"/>
          <w:lang w:eastAsia="zh-CN"/>
        </w:rPr>
        <w:t>遵守相关法律法规</w:t>
      </w:r>
      <w:r>
        <w:rPr>
          <w:rFonts w:hint="eastAsia" w:ascii="仿宋_GB2312" w:hAnsi="仿宋_GB2312" w:eastAsia="仿宋_GB2312" w:cs="仿宋_GB2312"/>
          <w:color w:val="auto"/>
          <w:sz w:val="32"/>
          <w:szCs w:val="32"/>
          <w:highlight w:val="none"/>
          <w:lang w:val="en-US" w:eastAsia="zh-CN"/>
        </w:rPr>
        <w:t>及</w:t>
      </w:r>
      <w:r>
        <w:rPr>
          <w:rFonts w:hint="eastAsia" w:ascii="仿宋_GB2312" w:hAnsi="仿宋_GB2312" w:eastAsia="仿宋_GB2312" w:cs="仿宋_GB2312"/>
          <w:color w:val="auto"/>
          <w:sz w:val="32"/>
          <w:szCs w:val="32"/>
          <w:highlight w:val="none"/>
          <w:lang w:eastAsia="zh-CN"/>
        </w:rPr>
        <w:t>相关管理规定，</w:t>
      </w:r>
      <w:r>
        <w:rPr>
          <w:rFonts w:hint="eastAsia" w:ascii="仿宋_GB2312" w:hAnsi="仿宋_GB2312" w:eastAsia="仿宋_GB2312" w:cs="仿宋_GB2312"/>
          <w:color w:val="auto"/>
          <w:sz w:val="32"/>
          <w:szCs w:val="32"/>
          <w:highlight w:val="none"/>
        </w:rPr>
        <w:t>符合</w:t>
      </w:r>
      <w:r>
        <w:rPr>
          <w:rFonts w:hint="eastAsia" w:ascii="仿宋_GB2312" w:hAnsi="仿宋_GB2312" w:eastAsia="仿宋_GB2312" w:cs="仿宋_GB2312"/>
          <w:color w:val="auto"/>
          <w:sz w:val="32"/>
          <w:szCs w:val="32"/>
          <w:highlight w:val="none"/>
          <w:lang w:eastAsia="zh-CN"/>
        </w:rPr>
        <w:t>《阜康市第六幼儿园单位资金管理办法》《阜康市第六幼儿园财务管理制度》</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阜康市第六幼儿园</w:t>
      </w:r>
      <w:r>
        <w:rPr>
          <w:rFonts w:hint="eastAsia" w:ascii="仿宋_GB2312" w:hAnsi="仿宋_GB2312" w:eastAsia="仿宋_GB2312" w:cs="仿宋_GB2312"/>
          <w:color w:val="auto"/>
          <w:sz w:val="32"/>
          <w:szCs w:val="32"/>
          <w:highlight w:val="none"/>
        </w:rPr>
        <w:t>采购业务管理制度》《</w:t>
      </w:r>
      <w:r>
        <w:rPr>
          <w:rFonts w:hint="eastAsia" w:ascii="仿宋_GB2312" w:hAnsi="仿宋_GB2312" w:eastAsia="仿宋_GB2312" w:cs="仿宋_GB2312"/>
          <w:color w:val="auto"/>
          <w:sz w:val="32"/>
          <w:szCs w:val="32"/>
          <w:highlight w:val="none"/>
          <w:lang w:eastAsia="zh-CN"/>
        </w:rPr>
        <w:t>阜康市第六幼儿园</w:t>
      </w:r>
      <w:r>
        <w:rPr>
          <w:rFonts w:hint="eastAsia" w:ascii="仿宋_GB2312" w:hAnsi="仿宋_GB2312" w:eastAsia="仿宋_GB2312" w:cs="仿宋_GB2312"/>
          <w:color w:val="auto"/>
          <w:sz w:val="32"/>
          <w:szCs w:val="32"/>
          <w:highlight w:val="none"/>
        </w:rPr>
        <w:t>合同管理制度》等管理规定</w:t>
      </w:r>
      <w:r>
        <w:rPr>
          <w:rFonts w:hint="eastAsia" w:ascii="仿宋_GB2312" w:hAnsi="仿宋_GB2312" w:eastAsia="仿宋_GB2312" w:cs="仿宋_GB2312"/>
          <w:color w:val="auto"/>
          <w:sz w:val="32"/>
          <w:szCs w:val="32"/>
          <w:highlight w:val="none"/>
          <w:lang w:eastAsia="zh-CN"/>
        </w:rPr>
        <w:t>；</w:t>
      </w:r>
    </w:p>
    <w:p w14:paraId="32CE02E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w:t>
      </w:r>
      <w:r>
        <w:rPr>
          <w:rFonts w:hint="eastAsia" w:ascii="仿宋_GB2312" w:hAnsi="仿宋_GB2312" w:eastAsia="仿宋_GB2312" w:cs="仿宋_GB2312"/>
          <w:color w:val="auto"/>
          <w:sz w:val="32"/>
          <w:szCs w:val="32"/>
          <w:highlight w:val="none"/>
        </w:rPr>
        <w:t>项目存在调整，调整手续齐全</w:t>
      </w:r>
      <w:r>
        <w:rPr>
          <w:rFonts w:hint="eastAsia" w:ascii="仿宋_GB2312" w:hAnsi="仿宋_GB2312" w:eastAsia="仿宋_GB2312" w:cs="仿宋_GB2312"/>
          <w:color w:val="auto"/>
          <w:sz w:val="32"/>
          <w:szCs w:val="32"/>
          <w:highlight w:val="none"/>
          <w:lang w:eastAsia="zh-CN"/>
        </w:rPr>
        <w:t>。</w:t>
      </w:r>
    </w:p>
    <w:p w14:paraId="181BF9BA">
      <w:pPr>
        <w:pageBreakBefore w:val="0"/>
        <w:widowControl w:val="0"/>
        <w:kinsoku/>
        <w:wordWrap/>
        <w:topLinePunct w:val="0"/>
        <w:autoSpaceDE/>
        <w:autoSpaceDN/>
        <w:bidi w:val="0"/>
        <w:spacing w:line="560" w:lineRule="exact"/>
        <w:ind w:left="0" w:leftChars="0" w:firstLine="643"/>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③</w:t>
      </w:r>
      <w:r>
        <w:rPr>
          <w:rFonts w:hint="eastAsia" w:ascii="仿宋_GB2312" w:hAnsi="仿宋_GB2312" w:eastAsia="仿宋_GB2312" w:cs="仿宋_GB2312"/>
          <w:color w:val="auto"/>
          <w:sz w:val="32"/>
          <w:szCs w:val="32"/>
          <w:highlight w:val="none"/>
        </w:rPr>
        <w:t>项目合同书、验收评审表、财务支付凭证等资料齐全并及时归档。</w:t>
      </w:r>
    </w:p>
    <w:p w14:paraId="2F3D984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实施所需要的项目人员和场地设备均已落实到位，具体涉及内容包括：项目资金支出严格按照自治区、地区以及本单位资金管理办法执行，项目启动实施后，为了加快本项目的实施，成立了2024年学前教育生均经费项目工作领导小组，由李彬任组长，负责项目的组织工作；谢娇任副组长，负责项目的实施工作；组员包括：张玉梅和张璐，主要负责项目监督管理、验收以及资金核拨等工作。</w:t>
      </w:r>
    </w:p>
    <w:p w14:paraId="730C486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48F76A87">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30" w:name="_Toc2441"/>
      <w:r>
        <w:rPr>
          <w:rFonts w:hint="eastAsia" w:ascii="Times New Roman" w:hAnsi="Times New Roman" w:eastAsia="楷体_GB2312" w:cs="Times New Roman"/>
          <w:color w:val="auto"/>
          <w:kern w:val="28"/>
          <w:sz w:val="32"/>
          <w:highlight w:val="none"/>
          <w:lang w:val="en-US" w:eastAsia="zh-CN"/>
        </w:rPr>
        <w:t>（三）项目产出情况</w:t>
      </w:r>
      <w:bookmarkEnd w:id="130"/>
    </w:p>
    <w:p w14:paraId="3C8B3139">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产出</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包括产出数量、产出质量、产出时效、产出成本四方面的内容，</w:t>
      </w:r>
      <w:r>
        <w:rPr>
          <w:rFonts w:hint="eastAsia" w:ascii="Times New Roman" w:hAnsi="Times New Roman" w:eastAsia="仿宋_GB2312" w:cs="Times New Roman"/>
          <w:color w:val="auto"/>
          <w:sz w:val="32"/>
          <w:szCs w:val="32"/>
          <w:highlight w:val="none"/>
          <w:lang w:val="en-US" w:eastAsia="zh-CN"/>
        </w:rPr>
        <w:t>共</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39.34</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607E300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4-3项目产出</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14:paraId="4B8B3162">
        <w:tblPrEx>
          <w:shd w:val="clear" w:color="auto" w:fill="auto"/>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5B8E1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82552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8F28B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288F1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41F29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80069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D65BA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指标得分</w:t>
            </w:r>
          </w:p>
        </w:tc>
      </w:tr>
      <w:tr w14:paraId="1635B5B3">
        <w:tblPrEx>
          <w:shd w:val="clear" w:color="auto" w:fill="auto"/>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B6EC3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产出</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454EF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119DE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在校学生人数</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E8926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=352人</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CCB2B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93AAC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385人</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E5217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6.34</w:t>
            </w:r>
          </w:p>
        </w:tc>
      </w:tr>
      <w:tr w14:paraId="684F9CA2">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108C6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575A422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0C1BE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公用经费享受比例</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F3EA4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CCD79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1F453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78089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r>
      <w:tr w14:paraId="2CC21047">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FA681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ADE23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93A95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教师培训结业率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C723E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8AE36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9A217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D60A5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r>
      <w:tr w14:paraId="07099D8E">
        <w:tblPrEx>
          <w:shd w:val="clear" w:color="auto" w:fill="auto"/>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2FCAA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D0F02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082C6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公用经费支出及时率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9AFFE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42D26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DEA42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B7E3B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3AEEFAD2">
        <w:tblPrEx>
          <w:shd w:val="clear" w:color="auto" w:fill="auto"/>
          <w:tblCellMar>
            <w:top w:w="0" w:type="dxa"/>
            <w:left w:w="0" w:type="dxa"/>
            <w:bottom w:w="0" w:type="dxa"/>
            <w:right w:w="0" w:type="dxa"/>
          </w:tblCellMar>
        </w:tblPrEx>
        <w:trPr>
          <w:trHeight w:val="42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D057E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C9951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0A232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公用经费标准</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C9317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=1100元/人/年</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1B6AD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1A859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1100元/人/年</w:t>
            </w:r>
          </w:p>
          <w:p w14:paraId="73C050E8">
            <w:pPr>
              <w:keepNext w:val="0"/>
              <w:keepLines w:val="0"/>
              <w:pageBreakBefore w:val="0"/>
              <w:kinsoku/>
              <w:wordWrap/>
              <w:overflowPunct/>
              <w:topLinePunct w:val="0"/>
              <w:autoSpaceDE/>
              <w:autoSpaceDN/>
              <w:bidi w:val="0"/>
              <w:adjustRightInd/>
              <w:spacing w:line="300" w:lineRule="exact"/>
              <w:textAlignment w:val="auto"/>
              <w:rPr>
                <w:color w:val="auto"/>
                <w:highlight w:val="none"/>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E1EED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567D2314">
        <w:tblPrEx>
          <w:shd w:val="clear" w:color="auto" w:fill="auto"/>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EE14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C0200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r>
              <w:rPr>
                <w:rFonts w:hint="eastAsia" w:ascii="宋体" w:hAnsi="宋体" w:eastAsia="宋体" w:cs="宋体"/>
                <w:color w:val="auto"/>
                <w:kern w:val="0"/>
                <w:sz w:val="20"/>
                <w:szCs w:val="20"/>
                <w:highlight w:val="none"/>
                <w:shd w:val="clear" w:color="auto" w:fill="auto"/>
                <w:lang w:val="en-US" w:eastAsia="zh-CN"/>
              </w:rPr>
              <w:t>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60C02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904DB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39.34</w:t>
            </w:r>
          </w:p>
        </w:tc>
      </w:tr>
    </w:tbl>
    <w:p w14:paraId="5DD9B75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bookmarkStart w:id="131" w:name="_Toc26689"/>
      <w:bookmarkStart w:id="132" w:name="_Toc11067"/>
      <w:r>
        <w:rPr>
          <w:rFonts w:hint="eastAsia" w:ascii="仿宋_GB2312" w:hAnsi="仿宋_GB2312" w:eastAsia="仿宋_GB2312" w:cs="仿宋_GB2312"/>
          <w:b/>
          <w:bCs/>
          <w:color w:val="auto"/>
          <w:sz w:val="32"/>
          <w:szCs w:val="32"/>
          <w:highlight w:val="none"/>
          <w:lang w:val="en-US" w:eastAsia="zh-CN"/>
        </w:rPr>
        <w:t>1.数量指标完成情况</w:t>
      </w:r>
      <w:bookmarkEnd w:id="131"/>
      <w:bookmarkEnd w:id="132"/>
    </w:p>
    <w:p w14:paraId="1E14769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在校学生人数</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指标，预期目标值为=352人，实际完成为385人。实际完成率=（3</w:t>
      </w:r>
      <w:r>
        <w:rPr>
          <w:rFonts w:hint="eastAsia" w:ascii="仿宋_GB2312" w:hAnsi="仿宋_GB2312" w:eastAsia="仿宋_GB2312" w:cs="仿宋_GB2312"/>
          <w:b w:val="0"/>
          <w:bCs w:val="0"/>
          <w:color w:val="auto"/>
          <w:sz w:val="32"/>
          <w:szCs w:val="32"/>
          <w:highlight w:val="none"/>
          <w:lang w:val="en-US" w:eastAsia="zh-CN"/>
        </w:rPr>
        <w:t>8</w:t>
      </w:r>
      <w:r>
        <w:rPr>
          <w:rFonts w:hint="eastAsia" w:ascii="仿宋_GB2312" w:hAnsi="仿宋_GB2312" w:eastAsia="仿宋_GB2312" w:cs="仿宋_GB2312"/>
          <w:color w:val="auto"/>
          <w:sz w:val="32"/>
          <w:szCs w:val="32"/>
          <w:highlight w:val="none"/>
          <w:lang w:val="en-US" w:eastAsia="zh-CN"/>
        </w:rPr>
        <w:t>5/352）×100%=109.38%，</w:t>
      </w:r>
      <w:r>
        <w:rPr>
          <w:rFonts w:hint="eastAsia" w:ascii="仿宋_GB2312" w:hAnsi="仿宋_GB2312" w:eastAsia="仿宋_GB2312" w:cs="仿宋_GB2312"/>
          <w:color w:val="auto"/>
          <w:sz w:val="32"/>
          <w:szCs w:val="32"/>
          <w:highlight w:val="none"/>
          <w:lang w:eastAsia="zh-CN"/>
        </w:rPr>
        <w:t>偏差原因：阜康市幼儿园</w:t>
      </w:r>
      <w:r>
        <w:rPr>
          <w:rFonts w:hint="eastAsia" w:ascii="仿宋_GB2312" w:hAnsi="仿宋_GB2312" w:eastAsia="仿宋_GB2312" w:cs="仿宋_GB2312"/>
          <w:color w:val="auto"/>
          <w:sz w:val="32"/>
          <w:szCs w:val="32"/>
          <w:highlight w:val="none"/>
          <w:lang w:val="en-US" w:eastAsia="zh-CN"/>
        </w:rPr>
        <w:t>增加</w:t>
      </w:r>
      <w:r>
        <w:rPr>
          <w:rFonts w:hint="eastAsia" w:ascii="仿宋_GB2312" w:hAnsi="仿宋_GB2312" w:eastAsia="仿宋_GB2312" w:cs="仿宋_GB2312"/>
          <w:color w:val="auto"/>
          <w:sz w:val="32"/>
          <w:szCs w:val="32"/>
          <w:highlight w:val="none"/>
          <w:lang w:eastAsia="zh-CN"/>
        </w:rPr>
        <w:t>拨付33名幼儿</w:t>
      </w:r>
      <w:r>
        <w:rPr>
          <w:rFonts w:hint="eastAsia" w:ascii="仿宋_GB2312" w:hAnsi="仿宋_GB2312" w:eastAsia="仿宋_GB2312" w:cs="仿宋_GB2312"/>
          <w:color w:val="auto"/>
          <w:sz w:val="32"/>
          <w:szCs w:val="32"/>
          <w:highlight w:val="none"/>
          <w:lang w:val="en-US" w:eastAsia="zh-CN"/>
        </w:rPr>
        <w:t>,幼儿人数增加。</w:t>
      </w:r>
    </w:p>
    <w:p w14:paraId="5F8BC03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综上，该项指标满分7分，得分6.34分。</w:t>
      </w:r>
    </w:p>
    <w:p w14:paraId="3B64E8D1">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3" w:name="_Toc31739"/>
      <w:bookmarkStart w:id="134" w:name="_Toc14255"/>
      <w:r>
        <w:rPr>
          <w:rFonts w:hint="eastAsia" w:ascii="仿宋_GB2312" w:hAnsi="仿宋_GB2312" w:eastAsia="仿宋_GB2312" w:cs="仿宋_GB2312"/>
          <w:b/>
          <w:bCs/>
          <w:color w:val="auto"/>
          <w:sz w:val="32"/>
          <w:szCs w:val="32"/>
          <w:highlight w:val="none"/>
          <w:lang w:val="en-US" w:eastAsia="zh-CN"/>
        </w:rPr>
        <w:t>2.</w:t>
      </w:r>
      <w:bookmarkEnd w:id="133"/>
      <w:r>
        <w:rPr>
          <w:rFonts w:hint="eastAsia" w:ascii="仿宋_GB2312" w:hAnsi="仿宋_GB2312" w:eastAsia="仿宋_GB2312" w:cs="仿宋_GB2312"/>
          <w:b/>
          <w:bCs/>
          <w:color w:val="auto"/>
          <w:sz w:val="32"/>
          <w:szCs w:val="32"/>
          <w:highlight w:val="none"/>
          <w:lang w:val="en-US" w:eastAsia="zh-CN"/>
        </w:rPr>
        <w:t>质量指标完成情况</w:t>
      </w:r>
      <w:bookmarkEnd w:id="134"/>
    </w:p>
    <w:p w14:paraId="5997C85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公用经费享受比例</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指标，预期目标值为=100%，实际完成为100%。实际完成率=（100%/100%）×100%=100%。</w:t>
      </w:r>
    </w:p>
    <w:p w14:paraId="373F4AF8">
      <w:pPr>
        <w:pageBreakBefore w:val="0"/>
        <w:kinsoku/>
        <w:wordWrap/>
        <w:overflowPunct/>
        <w:topLinePunct w:val="0"/>
        <w:autoSpaceDE/>
        <w:autoSpaceDN/>
        <w:bidi w:val="0"/>
        <w:spacing w:line="560" w:lineRule="exact"/>
        <w:textAlignment w:val="auto"/>
        <w:rPr>
          <w:rFonts w:hint="eastAsia"/>
          <w:color w:val="auto"/>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教师培训结业率</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指标，预期目标值为=100%，实际完成为100%，实际完成率=（100%/100%）×100%=100%。</w:t>
      </w:r>
    </w:p>
    <w:p w14:paraId="3505598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综上，该项指标满分13分，得分13分。</w:t>
      </w:r>
    </w:p>
    <w:p w14:paraId="10F7C751">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5" w:name="_Toc18307"/>
      <w:bookmarkStart w:id="136" w:name="_Toc28885"/>
      <w:r>
        <w:rPr>
          <w:rFonts w:hint="eastAsia" w:ascii="仿宋_GB2312" w:hAnsi="仿宋_GB2312" w:eastAsia="仿宋_GB2312" w:cs="仿宋_GB2312"/>
          <w:b/>
          <w:bCs/>
          <w:color w:val="auto"/>
          <w:sz w:val="32"/>
          <w:szCs w:val="32"/>
          <w:highlight w:val="none"/>
          <w:lang w:val="en-US" w:eastAsia="zh-CN"/>
        </w:rPr>
        <w:t>3.</w:t>
      </w:r>
      <w:bookmarkEnd w:id="135"/>
      <w:r>
        <w:rPr>
          <w:rFonts w:hint="eastAsia" w:ascii="仿宋_GB2312" w:hAnsi="仿宋_GB2312" w:eastAsia="仿宋_GB2312" w:cs="仿宋_GB2312"/>
          <w:b/>
          <w:bCs/>
          <w:color w:val="auto"/>
          <w:sz w:val="32"/>
          <w:szCs w:val="32"/>
          <w:highlight w:val="none"/>
          <w:lang w:val="en-US" w:eastAsia="zh-CN"/>
        </w:rPr>
        <w:t>时效指标完成情况</w:t>
      </w:r>
      <w:bookmarkEnd w:id="136"/>
    </w:p>
    <w:p w14:paraId="43995B7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公用经费支出及时率</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指标，预期目标值为=100%，实际完成为100%。实际完成率=（100%/100%）×100%=100%。</w:t>
      </w:r>
    </w:p>
    <w:p w14:paraId="7587589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32C7A21C">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7" w:name="_Toc32765"/>
      <w:bookmarkStart w:id="138" w:name="_Toc20607"/>
      <w:r>
        <w:rPr>
          <w:rFonts w:hint="eastAsia" w:ascii="仿宋_GB2312" w:hAnsi="仿宋_GB2312" w:eastAsia="仿宋_GB2312" w:cs="仿宋_GB2312"/>
          <w:b/>
          <w:bCs/>
          <w:color w:val="auto"/>
          <w:sz w:val="32"/>
          <w:szCs w:val="32"/>
          <w:highlight w:val="none"/>
          <w:lang w:val="en-US" w:eastAsia="zh-CN"/>
        </w:rPr>
        <w:t>4.项目</w:t>
      </w:r>
      <w:bookmarkEnd w:id="137"/>
      <w:r>
        <w:rPr>
          <w:rFonts w:hint="eastAsia" w:ascii="仿宋_GB2312" w:hAnsi="仿宋_GB2312" w:eastAsia="仿宋_GB2312" w:cs="仿宋_GB2312"/>
          <w:b/>
          <w:bCs/>
          <w:color w:val="auto"/>
          <w:sz w:val="32"/>
          <w:szCs w:val="32"/>
          <w:highlight w:val="none"/>
          <w:lang w:val="en-US" w:eastAsia="zh-CN"/>
        </w:rPr>
        <w:t>成本情况</w:t>
      </w:r>
      <w:bookmarkEnd w:id="138"/>
    </w:p>
    <w:p w14:paraId="050DD66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经济</w:t>
      </w:r>
      <w:r>
        <w:rPr>
          <w:rFonts w:hint="eastAsia" w:ascii="仿宋_GB2312" w:hAnsi="仿宋_GB2312" w:eastAsia="仿宋_GB2312" w:cs="仿宋_GB2312"/>
          <w:b/>
          <w:bCs/>
          <w:color w:val="auto"/>
          <w:sz w:val="32"/>
          <w:szCs w:val="32"/>
          <w:highlight w:val="none"/>
          <w:lang w:eastAsia="zh-CN"/>
        </w:rPr>
        <w:t>成本指标完成情况</w:t>
      </w:r>
    </w:p>
    <w:p w14:paraId="3E82091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公用经费标准</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指标，预期目标值为=1100元/人/年，实际完成为1100元/人/年。实际完成率=（1100元/人/年/1100元/人/年）×100%=100%。</w:t>
      </w:r>
    </w:p>
    <w:p w14:paraId="1C8D608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7F558F43">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39" w:name="_Toc19424"/>
      <w:r>
        <w:rPr>
          <w:rFonts w:hint="eastAsia" w:ascii="Times New Roman" w:hAnsi="Times New Roman" w:eastAsia="楷体_GB2312" w:cs="Times New Roman"/>
          <w:color w:val="auto"/>
          <w:kern w:val="28"/>
          <w:sz w:val="32"/>
          <w:highlight w:val="none"/>
          <w:lang w:val="en-US" w:eastAsia="zh-CN"/>
        </w:rPr>
        <w:t>（四）项目效益情况</w:t>
      </w:r>
      <w:bookmarkEnd w:id="139"/>
    </w:p>
    <w:p w14:paraId="1BABCF0C">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效益</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包括项目实施效益和满意度两方面的内容，</w:t>
      </w:r>
      <w:r>
        <w:rPr>
          <w:rFonts w:hint="eastAsia" w:ascii="仿宋_GB2312" w:hAnsi="仿宋_GB2312" w:eastAsia="仿宋_GB2312" w:cs="仿宋_GB2312"/>
          <w:color w:val="auto"/>
          <w:kern w:val="2"/>
          <w:sz w:val="32"/>
          <w:szCs w:val="32"/>
          <w:highlight w:val="none"/>
          <w:u w:color="000000"/>
          <w:shd w:val="clear" w:color="auto" w:fill="auto"/>
          <w:lang w:val="zh-TW" w:eastAsia="zh-TW"/>
        </w:rPr>
        <w:t>由</w:t>
      </w:r>
      <w:r>
        <w:rPr>
          <w:rFonts w:hint="eastAsia" w:ascii="仿宋_GB2312" w:hAnsi="仿宋_GB2312" w:eastAsia="仿宋_GB2312" w:cs="仿宋_GB2312"/>
          <w:color w:val="auto"/>
          <w:kern w:val="2"/>
          <w:sz w:val="32"/>
          <w:szCs w:val="32"/>
          <w:highlight w:val="none"/>
          <w:u w:color="000000"/>
          <w:shd w:val="clear" w:color="auto" w:fill="auto"/>
          <w:lang w:val="en-US"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412733B9">
      <w:pPr>
        <w:pageBreakBefore w:val="0"/>
        <w:widowControl w:val="0"/>
        <w:kinsoku/>
        <w:wordWrap/>
        <w:overflowPunct/>
        <w:topLinePunct w:val="0"/>
        <w:autoSpaceDE/>
        <w:autoSpaceDN/>
        <w:bidi w:val="0"/>
        <w:adjustRightInd/>
        <w:spacing w:line="560" w:lineRule="exact"/>
        <w:ind w:firstLine="56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4-4项目效益</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14:paraId="7AADA09F">
        <w:tblPrEx>
          <w:shd w:val="clear" w:color="auto" w:fill="auto"/>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0315369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w:t>
            </w:r>
          </w:p>
          <w:p w14:paraId="4D26E62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79F3077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6900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97C5E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w:t>
            </w:r>
          </w:p>
          <w:p w14:paraId="1DB81B1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B7E31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w:t>
            </w:r>
          </w:p>
          <w:p w14:paraId="5DD311A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42DCE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w:t>
            </w:r>
          </w:p>
          <w:p w14:paraId="64356B2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6968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p w14:paraId="25E2CCA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688F769C">
        <w:tblPrEx>
          <w:shd w:val="clear" w:color="auto" w:fill="auto"/>
          <w:tblCellMar>
            <w:top w:w="0" w:type="dxa"/>
            <w:left w:w="0" w:type="dxa"/>
            <w:bottom w:w="0" w:type="dxa"/>
            <w:right w:w="0" w:type="dxa"/>
          </w:tblCellMar>
        </w:tblPrEx>
        <w:trPr>
          <w:trHeight w:val="436" w:hRule="atLeast"/>
          <w:jc w:val="center"/>
        </w:trPr>
        <w:tc>
          <w:tcPr>
            <w:tcW w:w="685" w:type="dxa"/>
            <w:vMerge w:val="restart"/>
            <w:tcBorders>
              <w:left w:val="single" w:color="auto" w:sz="4" w:space="0"/>
              <w:right w:val="single" w:color="000000" w:sz="4" w:space="0"/>
            </w:tcBorders>
            <w:shd w:val="clear" w:color="auto" w:fill="auto"/>
            <w:tcMar>
              <w:top w:w="15" w:type="dxa"/>
              <w:left w:w="15" w:type="dxa"/>
              <w:right w:w="15" w:type="dxa"/>
            </w:tcMar>
            <w:vAlign w:val="center"/>
          </w:tcPr>
          <w:p w14:paraId="69C4953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vMerge w:val="restart"/>
            <w:tcBorders>
              <w:top w:val="single" w:color="000000" w:sz="4" w:space="0"/>
              <w:left w:val="single" w:color="000000" w:sz="4" w:space="0"/>
              <w:right w:val="single" w:color="auto" w:sz="4" w:space="0"/>
            </w:tcBorders>
            <w:shd w:val="clear" w:color="auto" w:fill="auto"/>
            <w:tcMar>
              <w:top w:w="15" w:type="dxa"/>
              <w:left w:w="15" w:type="dxa"/>
              <w:right w:w="15" w:type="dxa"/>
            </w:tcMar>
            <w:vAlign w:val="center"/>
          </w:tcPr>
          <w:p w14:paraId="76A5696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5A253B5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幼儿园正常运转率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0C622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B2AD9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8C03E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93A8F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1A227505">
        <w:tblPrEx>
          <w:shd w:val="clear" w:color="auto" w:fill="auto"/>
          <w:tblCellMar>
            <w:top w:w="0" w:type="dxa"/>
            <w:left w:w="0" w:type="dxa"/>
            <w:bottom w:w="0" w:type="dxa"/>
            <w:right w:w="0" w:type="dxa"/>
          </w:tblCellMar>
        </w:tblPrEx>
        <w:trPr>
          <w:trHeight w:val="436" w:hRule="atLeast"/>
          <w:jc w:val="center"/>
        </w:trPr>
        <w:tc>
          <w:tcPr>
            <w:tcW w:w="685" w:type="dxa"/>
            <w:vMerge w:val="continue"/>
            <w:tcBorders>
              <w:left w:val="single" w:color="auto" w:sz="4" w:space="0"/>
              <w:right w:val="single" w:color="000000" w:sz="4" w:space="0"/>
            </w:tcBorders>
            <w:shd w:val="clear" w:color="auto" w:fill="auto"/>
            <w:tcMar>
              <w:top w:w="15" w:type="dxa"/>
              <w:left w:w="15" w:type="dxa"/>
              <w:right w:w="15" w:type="dxa"/>
            </w:tcMar>
            <w:vAlign w:val="center"/>
          </w:tcPr>
          <w:p w14:paraId="68DDA58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vMerge w:val="continue"/>
            <w:tcBorders>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32D2E1E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708C042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改善教学环境，提供良好的学生成长条件</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7F56A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改善</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B6969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6162F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达到预期指标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4CE96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r>
      <w:tr w14:paraId="55E3A6DE">
        <w:tblPrEx>
          <w:shd w:val="clear" w:color="auto" w:fill="auto"/>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DD2AEE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A8BF0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9ECE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师生满意度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846C4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FB28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B3328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FB345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r>
      <w:tr w14:paraId="03CF51F4">
        <w:tblPrEx>
          <w:shd w:val="clear" w:color="auto" w:fill="auto"/>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A622F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72131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r>
              <w:rPr>
                <w:rFonts w:hint="eastAsia" w:ascii="宋体" w:hAnsi="宋体" w:eastAsia="宋体" w:cs="宋体"/>
                <w:color w:val="auto"/>
                <w:kern w:val="0"/>
                <w:sz w:val="20"/>
                <w:szCs w:val="20"/>
                <w:highlight w:val="none"/>
                <w:shd w:val="clear" w:color="auto" w:fill="auto"/>
                <w:lang w:val="en-US" w:eastAsia="zh-CN"/>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5C60E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8A2CB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r>
              <w:rPr>
                <w:rFonts w:hint="eastAsia" w:ascii="宋体" w:hAnsi="宋体" w:eastAsia="宋体" w:cs="宋体"/>
                <w:color w:val="auto"/>
                <w:kern w:val="0"/>
                <w:sz w:val="20"/>
                <w:szCs w:val="20"/>
                <w:highlight w:val="none"/>
                <w:shd w:val="clear" w:color="auto" w:fill="auto"/>
                <w:lang w:val="en-US" w:eastAsia="zh-CN"/>
              </w:rPr>
              <w:t>0</w:t>
            </w:r>
          </w:p>
        </w:tc>
      </w:tr>
    </w:tbl>
    <w:p w14:paraId="4C9C6C54">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40" w:name="_Toc8010"/>
      <w:bookmarkStart w:id="141" w:name="_Toc5170"/>
      <w:bookmarkStart w:id="142" w:name="_Toc29606"/>
      <w:bookmarkStart w:id="143" w:name="_Toc27006"/>
      <w:r>
        <w:rPr>
          <w:rFonts w:hint="eastAsia" w:ascii="仿宋_GB2312" w:hAnsi="仿宋_GB2312" w:eastAsia="仿宋_GB2312" w:cs="仿宋_GB2312"/>
          <w:b/>
          <w:bCs/>
          <w:color w:val="auto"/>
          <w:sz w:val="32"/>
          <w:szCs w:val="32"/>
          <w:highlight w:val="none"/>
          <w:lang w:val="en-US" w:eastAsia="zh-CN"/>
        </w:rPr>
        <w:t>1.</w:t>
      </w:r>
      <w:bookmarkEnd w:id="140"/>
      <w:bookmarkEnd w:id="141"/>
      <w:r>
        <w:rPr>
          <w:rFonts w:hint="eastAsia" w:ascii="仿宋_GB2312" w:hAnsi="仿宋_GB2312" w:eastAsia="仿宋_GB2312" w:cs="仿宋_GB2312"/>
          <w:b/>
          <w:bCs/>
          <w:color w:val="auto"/>
          <w:sz w:val="32"/>
          <w:szCs w:val="32"/>
          <w:highlight w:val="none"/>
          <w:lang w:val="en-US" w:eastAsia="zh-CN"/>
        </w:rPr>
        <w:t>社会效益指标完成情况</w:t>
      </w:r>
    </w:p>
    <w:p w14:paraId="0BAE48E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幼儿园正常运转率</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w:t>
      </w:r>
      <w:r>
        <w:rPr>
          <w:rFonts w:hint="eastAsia" w:ascii="仿宋_GB2312" w:hAnsi="仿宋_GB2312" w:eastAsia="仿宋_GB2312" w:cs="仿宋_GB2312"/>
          <w:color w:val="auto"/>
          <w:kern w:val="2"/>
          <w:sz w:val="32"/>
          <w:szCs w:val="32"/>
          <w:highlight w:val="none"/>
          <w:u w:color="000000"/>
          <w:shd w:val="clear" w:color="auto" w:fill="auto"/>
          <w:lang w:val="en-US" w:eastAsia="zh-CN"/>
        </w:rPr>
        <w:t>=100%</w:t>
      </w:r>
      <w:r>
        <w:rPr>
          <w:rFonts w:hint="eastAsia" w:ascii="仿宋_GB2312" w:hAnsi="仿宋_GB2312" w:eastAsia="仿宋_GB2312" w:cs="仿宋_GB2312"/>
          <w:color w:val="auto"/>
          <w:sz w:val="32"/>
          <w:szCs w:val="32"/>
          <w:highlight w:val="none"/>
          <w:lang w:val="en-US" w:eastAsia="zh-CN"/>
        </w:rPr>
        <w:t>，实际完成为</w:t>
      </w:r>
      <w:r>
        <w:rPr>
          <w:rFonts w:hint="eastAsia" w:ascii="仿宋_GB2312" w:hAnsi="仿宋_GB2312" w:eastAsia="仿宋_GB2312" w:cs="仿宋_GB2312"/>
          <w:color w:val="auto"/>
          <w:kern w:val="2"/>
          <w:sz w:val="32"/>
          <w:szCs w:val="32"/>
          <w:highlight w:val="none"/>
          <w:u w:color="000000"/>
          <w:shd w:val="clear" w:color="auto" w:fill="auto"/>
          <w:lang w:val="en-US" w:eastAsia="zh-CN"/>
        </w:rPr>
        <w:t>100%</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b w:val="0"/>
          <w:bCs w:val="0"/>
          <w:color w:val="auto"/>
          <w:sz w:val="32"/>
          <w:szCs w:val="32"/>
          <w:highlight w:val="none"/>
          <w:lang w:val="en-US" w:eastAsia="zh-CN"/>
        </w:rPr>
        <w:t>通过项目的实施，</w:t>
      </w:r>
      <w:r>
        <w:rPr>
          <w:rFonts w:hint="eastAsia" w:ascii="仿宋_GB2312" w:hAnsi="仿宋_GB2312" w:eastAsia="仿宋_GB2312" w:cs="仿宋_GB2312"/>
          <w:color w:val="auto"/>
          <w:kern w:val="2"/>
          <w:sz w:val="32"/>
          <w:szCs w:val="32"/>
          <w:highlight w:val="none"/>
          <w:u w:color="000000"/>
          <w:shd w:val="clear" w:color="auto" w:fill="auto"/>
          <w:lang w:val="en-US" w:eastAsia="zh-CN"/>
        </w:rPr>
        <w:t>幼儿园正常运转率得到了提高。</w:t>
      </w:r>
    </w:p>
    <w:p w14:paraId="0338001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改善教学环境，提供良好的学生成长条件</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w:t>
      </w:r>
      <w:r>
        <w:rPr>
          <w:rFonts w:hint="eastAsia" w:ascii="仿宋_GB2312" w:hAnsi="仿宋_GB2312" w:eastAsia="仿宋_GB2312" w:cs="仿宋_GB2312"/>
          <w:color w:val="auto"/>
          <w:kern w:val="2"/>
          <w:sz w:val="32"/>
          <w:szCs w:val="32"/>
          <w:highlight w:val="none"/>
          <w:u w:color="000000"/>
          <w:shd w:val="clear" w:color="auto" w:fill="auto"/>
          <w:lang w:val="en-US" w:eastAsia="zh-CN"/>
        </w:rPr>
        <w:t>改善</w:t>
      </w:r>
      <w:r>
        <w:rPr>
          <w:rFonts w:hint="eastAsia" w:ascii="仿宋_GB2312" w:hAnsi="仿宋_GB2312" w:eastAsia="仿宋_GB2312" w:cs="仿宋_GB2312"/>
          <w:color w:val="auto"/>
          <w:sz w:val="32"/>
          <w:szCs w:val="32"/>
          <w:highlight w:val="none"/>
          <w:lang w:val="en-US" w:eastAsia="zh-CN"/>
        </w:rPr>
        <w:t>，实际完成为</w:t>
      </w:r>
      <w:r>
        <w:rPr>
          <w:rFonts w:hint="eastAsia" w:ascii="仿宋_GB2312" w:hAnsi="仿宋_GB2312" w:eastAsia="仿宋_GB2312" w:cs="仿宋_GB2312"/>
          <w:color w:val="auto"/>
          <w:kern w:val="2"/>
          <w:sz w:val="32"/>
          <w:szCs w:val="32"/>
          <w:highlight w:val="none"/>
          <w:u w:color="000000"/>
          <w:shd w:val="clear" w:color="auto" w:fill="auto"/>
          <w:lang w:val="en-US" w:eastAsia="zh-CN"/>
        </w:rPr>
        <w:t>达到预期指标</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b w:val="0"/>
          <w:bCs w:val="0"/>
          <w:color w:val="auto"/>
          <w:sz w:val="32"/>
          <w:szCs w:val="32"/>
          <w:highlight w:val="none"/>
          <w:lang w:val="en-US" w:eastAsia="zh-CN"/>
        </w:rPr>
        <w:t>通过项目的实施，改善了</w:t>
      </w:r>
      <w:r>
        <w:rPr>
          <w:rFonts w:hint="eastAsia" w:ascii="仿宋_GB2312" w:hAnsi="仿宋_GB2312" w:eastAsia="仿宋_GB2312" w:cs="仿宋_GB2312"/>
          <w:color w:val="auto"/>
          <w:kern w:val="2"/>
          <w:sz w:val="32"/>
          <w:szCs w:val="32"/>
          <w:highlight w:val="none"/>
          <w:u w:color="000000"/>
          <w:shd w:val="clear" w:color="auto" w:fill="auto"/>
          <w:lang w:val="en-US" w:eastAsia="zh-CN"/>
        </w:rPr>
        <w:t>幼儿园的环境，为幼儿提供了良好的成长条件。</w:t>
      </w:r>
    </w:p>
    <w:p w14:paraId="051B208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bookmarkStart w:id="144" w:name="_Toc23106"/>
      <w:bookmarkStart w:id="145" w:name="_Toc14320"/>
      <w:r>
        <w:rPr>
          <w:rFonts w:hint="eastAsia" w:ascii="仿宋_GB2312" w:hAnsi="仿宋_GB2312" w:eastAsia="仿宋_GB2312" w:cs="仿宋_GB2312"/>
          <w:b/>
          <w:bCs/>
          <w:color w:val="auto"/>
          <w:sz w:val="32"/>
          <w:szCs w:val="32"/>
          <w:highlight w:val="none"/>
          <w:lang w:val="en-US" w:eastAsia="zh-CN"/>
        </w:rPr>
        <w:t>综上，该项指标满分12分，得分12分。</w:t>
      </w:r>
    </w:p>
    <w:bookmarkEnd w:id="142"/>
    <w:bookmarkEnd w:id="143"/>
    <w:bookmarkEnd w:id="144"/>
    <w:bookmarkEnd w:id="145"/>
    <w:p w14:paraId="0415259E">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b/>
          <w:bCs/>
          <w:color w:val="auto"/>
          <w:kern w:val="28"/>
          <w:sz w:val="32"/>
          <w:highlight w:val="none"/>
          <w:lang w:val="en-US" w:eastAsia="zh-CN"/>
        </w:rPr>
      </w:pPr>
      <w:bookmarkStart w:id="146" w:name="_Toc23313"/>
      <w:r>
        <w:rPr>
          <w:rFonts w:hint="eastAsia" w:ascii="Times New Roman" w:hAnsi="Times New Roman" w:eastAsia="楷体_GB2312" w:cs="Times New Roman"/>
          <w:b/>
          <w:bCs/>
          <w:color w:val="auto"/>
          <w:kern w:val="28"/>
          <w:sz w:val="32"/>
          <w:highlight w:val="none"/>
          <w:lang w:val="en-US" w:eastAsia="zh-CN"/>
        </w:rPr>
        <w:t>（五）满意度指标完成情况分析</w:t>
      </w:r>
      <w:bookmarkEnd w:id="146"/>
    </w:p>
    <w:p w14:paraId="3DB44EA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“满意度指标”</w:t>
      </w:r>
      <w:r>
        <w:rPr>
          <w:rFonts w:hint="eastAsia" w:ascii="仿宋_GB2312" w:hAnsi="仿宋_GB2312" w:eastAsia="仿宋_GB2312" w:cs="仿宋_GB2312"/>
          <w:color w:val="auto"/>
          <w:sz w:val="32"/>
          <w:szCs w:val="32"/>
          <w:highlight w:val="none"/>
          <w:lang w:val="en-US" w:eastAsia="zh-CN"/>
        </w:rPr>
        <w:t>指标，预期目标值为≥90%，实际完成为90%。</w:t>
      </w:r>
    </w:p>
    <w:p w14:paraId="3F742AA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综上，该项指标满分8分，得分8分。</w:t>
      </w:r>
    </w:p>
    <w:p w14:paraId="0215C57F">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47" w:name="_Toc6622"/>
      <w:r>
        <w:rPr>
          <w:rFonts w:hint="eastAsia" w:ascii="黑体" w:hAnsi="黑体" w:cs="黑体"/>
          <w:b w:val="0"/>
          <w:bCs w:val="0"/>
          <w:color w:val="auto"/>
          <w:highlight w:val="none"/>
          <w:shd w:val="clear" w:color="auto" w:fill="auto"/>
          <w:lang w:val="en-US" w:eastAsia="zh-CN"/>
        </w:rPr>
        <w:t>五</w:t>
      </w:r>
      <w:r>
        <w:rPr>
          <w:rFonts w:hint="eastAsia" w:ascii="黑体" w:hAnsi="黑体" w:eastAsia="黑体" w:cs="黑体"/>
          <w:b w:val="0"/>
          <w:bCs w:val="0"/>
          <w:color w:val="auto"/>
          <w:highlight w:val="none"/>
          <w:shd w:val="clear" w:color="auto" w:fill="auto"/>
          <w:lang w:val="en-US" w:eastAsia="zh-CN"/>
        </w:rPr>
        <w:t>、主要经验及做法、存在的问题及原因分析</w:t>
      </w:r>
      <w:bookmarkEnd w:id="147"/>
    </w:p>
    <w:p w14:paraId="67DA88AD">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highlight w:val="none"/>
          <w:lang w:val="en-US" w:eastAsia="zh-CN"/>
        </w:rPr>
      </w:pPr>
      <w:bookmarkStart w:id="148" w:name="_Toc15449"/>
      <w:bookmarkStart w:id="149" w:name="_Toc1921"/>
      <w:bookmarkStart w:id="150" w:name="_Toc28290"/>
      <w:r>
        <w:rPr>
          <w:rFonts w:hint="eastAsia" w:ascii="Times New Roman" w:hAnsi="Times New Roman" w:eastAsia="楷体_GB2312" w:cs="Times New Roman"/>
          <w:b/>
          <w:bCs/>
          <w:color w:val="auto"/>
          <w:kern w:val="28"/>
          <w:sz w:val="32"/>
          <w:highlight w:val="none"/>
          <w:lang w:val="en-US" w:eastAsia="zh-CN"/>
        </w:rPr>
        <w:t>（一）主要经验及做法</w:t>
      </w:r>
      <w:bookmarkEnd w:id="148"/>
    </w:p>
    <w:p w14:paraId="604C55E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2024年学前教育生均经费项目</w:t>
      </w:r>
      <w:r>
        <w:rPr>
          <w:rFonts w:hint="eastAsia" w:ascii="仿宋_GB2312" w:hAnsi="仿宋_GB2312" w:eastAsia="仿宋_GB2312" w:cs="仿宋_GB2312"/>
          <w:color w:val="auto"/>
          <w:sz w:val="32"/>
          <w:szCs w:val="32"/>
          <w:highlight w:val="none"/>
          <w:lang w:eastAsia="zh-CN"/>
        </w:rPr>
        <w:t>20</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lang w:eastAsia="zh-CN"/>
        </w:rPr>
        <w:t>年预算</w:t>
      </w:r>
      <w:r>
        <w:rPr>
          <w:rFonts w:hint="eastAsia" w:ascii="仿宋_GB2312" w:hAnsi="仿宋_GB2312" w:eastAsia="仿宋_GB2312" w:cs="仿宋_GB2312"/>
          <w:color w:val="auto"/>
          <w:sz w:val="32"/>
          <w:szCs w:val="32"/>
          <w:highlight w:val="none"/>
          <w:lang w:val="en-US" w:eastAsia="zh-CN"/>
        </w:rPr>
        <w:t>数</w:t>
      </w:r>
      <w:r>
        <w:rPr>
          <w:rFonts w:hint="eastAsia" w:ascii="仿宋_GB2312" w:hAnsi="仿宋_GB2312" w:eastAsia="仿宋_GB2312" w:cs="仿宋_GB2312"/>
          <w:color w:val="auto"/>
          <w:sz w:val="32"/>
          <w:szCs w:val="32"/>
          <w:highlight w:val="none"/>
          <w:lang w:eastAsia="zh-CN"/>
        </w:rPr>
        <w:t>为</w:t>
      </w:r>
      <w:r>
        <w:rPr>
          <w:rFonts w:hint="eastAsia" w:ascii="仿宋_GB2312" w:hAnsi="仿宋_GB2312" w:eastAsia="仿宋_GB2312" w:cs="仿宋_GB2312"/>
          <w:color w:val="auto"/>
          <w:sz w:val="32"/>
          <w:szCs w:val="32"/>
          <w:highlight w:val="none"/>
          <w:lang w:val="en-US" w:eastAsia="zh-CN"/>
        </w:rPr>
        <w:t>69.79</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lang w:val="en-US" w:eastAsia="zh-CN"/>
        </w:rPr>
        <w:t>截至2024年12月31日共</w:t>
      </w:r>
      <w:r>
        <w:rPr>
          <w:rFonts w:hint="eastAsia" w:ascii="仿宋_GB2312" w:hAnsi="仿宋_GB2312" w:eastAsia="仿宋_GB2312" w:cs="仿宋_GB2312"/>
          <w:color w:val="auto"/>
          <w:sz w:val="32"/>
          <w:szCs w:val="32"/>
          <w:highlight w:val="none"/>
          <w:lang w:eastAsia="zh-CN"/>
        </w:rPr>
        <w:t>支出</w:t>
      </w:r>
      <w:r>
        <w:rPr>
          <w:rFonts w:hint="eastAsia" w:ascii="仿宋_GB2312" w:hAnsi="仿宋_GB2312" w:eastAsia="仿宋_GB2312" w:cs="仿宋_GB2312"/>
          <w:color w:val="auto"/>
          <w:sz w:val="32"/>
          <w:szCs w:val="32"/>
          <w:highlight w:val="none"/>
          <w:lang w:val="en-US" w:eastAsia="zh-CN"/>
        </w:rPr>
        <w:t>69.79</w:t>
      </w:r>
      <w:r>
        <w:rPr>
          <w:rFonts w:hint="eastAsia" w:ascii="仿宋_GB2312" w:hAnsi="仿宋_GB2312" w:eastAsia="仿宋_GB2312" w:cs="仿宋_GB2312"/>
          <w:color w:val="auto"/>
          <w:sz w:val="32"/>
          <w:szCs w:val="32"/>
          <w:highlight w:val="none"/>
          <w:lang w:eastAsia="zh-CN"/>
        </w:rPr>
        <w:t>万元，预算</w:t>
      </w:r>
      <w:r>
        <w:rPr>
          <w:rFonts w:hint="eastAsia" w:ascii="仿宋_GB2312" w:hAnsi="仿宋_GB2312" w:eastAsia="仿宋_GB2312" w:cs="仿宋_GB2312"/>
          <w:color w:val="auto"/>
          <w:sz w:val="32"/>
          <w:szCs w:val="32"/>
          <w:highlight w:val="none"/>
          <w:lang w:val="en-US" w:eastAsia="zh-CN"/>
        </w:rPr>
        <w:t>执行</w:t>
      </w:r>
      <w:r>
        <w:rPr>
          <w:rFonts w:hint="eastAsia" w:ascii="仿宋_GB2312" w:hAnsi="仿宋_GB2312" w:eastAsia="仿宋_GB2312" w:cs="仿宋_GB2312"/>
          <w:color w:val="auto"/>
          <w:sz w:val="32"/>
          <w:szCs w:val="32"/>
          <w:highlight w:val="none"/>
          <w:lang w:eastAsia="zh-CN"/>
        </w:rPr>
        <w:t>率为</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eastAsia="zh-CN"/>
        </w:rPr>
        <w:t>%。</w:t>
      </w:r>
    </w:p>
    <w:p w14:paraId="453DF28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阜康市第六幼儿园</w:t>
      </w:r>
      <w:r>
        <w:rPr>
          <w:rFonts w:hint="eastAsia" w:ascii="仿宋_GB2312" w:hAnsi="仿宋_GB2312" w:eastAsia="仿宋_GB2312" w:cs="仿宋_GB2312"/>
          <w:color w:val="auto"/>
          <w:sz w:val="32"/>
          <w:szCs w:val="32"/>
          <w:highlight w:val="none"/>
          <w:lang w:eastAsia="zh-CN"/>
        </w:rPr>
        <w:t>建立健全了预算管理规章制度，各部门严格按照预算编制的原则和要求做好当年预算编制工作，在预算绩效管理工作中，做到合理安排各项资金，重点保障基本支出，按轻重缓急顺序原则，优先安排了</w:t>
      </w:r>
      <w:r>
        <w:rPr>
          <w:rFonts w:hint="eastAsia" w:ascii="仿宋_GB2312" w:hAnsi="仿宋_GB2312" w:eastAsia="仿宋_GB2312" w:cs="仿宋_GB2312"/>
          <w:color w:val="auto"/>
          <w:sz w:val="32"/>
          <w:szCs w:val="32"/>
          <w:highlight w:val="none"/>
          <w:lang w:val="en-US" w:eastAsia="zh-CN"/>
        </w:rPr>
        <w:t>阜康市第六幼儿园</w:t>
      </w:r>
      <w:r>
        <w:rPr>
          <w:rFonts w:hint="eastAsia" w:ascii="仿宋_GB2312" w:hAnsi="仿宋_GB2312" w:eastAsia="仿宋_GB2312" w:cs="仿宋_GB2312"/>
          <w:color w:val="auto"/>
          <w:sz w:val="32"/>
          <w:szCs w:val="32"/>
          <w:highlight w:val="none"/>
          <w:lang w:eastAsia="zh-CN"/>
        </w:rPr>
        <w:t>事业发展中关系民生与稳定的项目，切实优化资源配置，提高了资金使用的效率和效果。</w:t>
      </w:r>
    </w:p>
    <w:bookmarkEnd w:id="149"/>
    <w:bookmarkEnd w:id="150"/>
    <w:p w14:paraId="2C571FBF">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highlight w:val="none"/>
          <w:lang w:val="en-US" w:eastAsia="zh-CN"/>
        </w:rPr>
      </w:pPr>
      <w:bookmarkStart w:id="151" w:name="_Toc29168"/>
      <w:r>
        <w:rPr>
          <w:rFonts w:hint="eastAsia" w:ascii="Times New Roman" w:hAnsi="Times New Roman" w:eastAsia="楷体_GB2312" w:cs="Times New Roman"/>
          <w:b/>
          <w:bCs/>
          <w:color w:val="auto"/>
          <w:kern w:val="28"/>
          <w:sz w:val="32"/>
          <w:highlight w:val="none"/>
          <w:lang w:val="en-US" w:eastAsia="zh-CN"/>
        </w:rPr>
        <w:t>（二）存在的问题及原因分析</w:t>
      </w:r>
      <w:bookmarkEnd w:id="151"/>
    </w:p>
    <w:p w14:paraId="6CBF206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在项目实施期间</w:t>
      </w:r>
      <w:r>
        <w:rPr>
          <w:rFonts w:hint="eastAsia" w:ascii="仿宋_GB2312" w:hAnsi="仿宋_GB2312" w:eastAsia="仿宋_GB2312" w:cs="仿宋_GB2312"/>
          <w:color w:val="auto"/>
          <w:sz w:val="32"/>
          <w:szCs w:val="32"/>
          <w:highlight w:val="none"/>
          <w:lang w:eastAsia="zh-CN"/>
        </w:rPr>
        <w:t>部分业务人员未能全面深入认识理解</w:t>
      </w:r>
      <w:r>
        <w:rPr>
          <w:rFonts w:hint="eastAsia" w:ascii="仿宋_GB2312" w:hAnsi="仿宋_GB2312" w:eastAsia="仿宋_GB2312" w:cs="仿宋_GB2312"/>
          <w:color w:val="auto"/>
          <w:sz w:val="32"/>
          <w:szCs w:val="32"/>
          <w:highlight w:val="none"/>
          <w:lang w:val="en-US" w:eastAsia="zh-CN"/>
        </w:rPr>
        <w:t>项目</w:t>
      </w:r>
      <w:r>
        <w:rPr>
          <w:rFonts w:hint="eastAsia" w:ascii="仿宋_GB2312" w:hAnsi="仿宋_GB2312" w:eastAsia="仿宋_GB2312" w:cs="仿宋_GB2312"/>
          <w:color w:val="auto"/>
          <w:sz w:val="32"/>
          <w:szCs w:val="32"/>
          <w:highlight w:val="none"/>
          <w:lang w:eastAsia="zh-CN"/>
        </w:rPr>
        <w:t>管理工作的意义。</w:t>
      </w:r>
      <w:r>
        <w:rPr>
          <w:rFonts w:hint="eastAsia" w:ascii="仿宋_GB2312" w:hAnsi="仿宋_GB2312" w:eastAsia="仿宋_GB2312" w:cs="仿宋_GB2312"/>
          <w:color w:val="auto"/>
          <w:sz w:val="32"/>
          <w:szCs w:val="32"/>
          <w:highlight w:val="none"/>
          <w:lang w:val="en-US" w:eastAsia="zh-CN"/>
        </w:rPr>
        <w:t>项目</w:t>
      </w:r>
      <w:r>
        <w:rPr>
          <w:rFonts w:hint="eastAsia" w:ascii="仿宋_GB2312" w:hAnsi="仿宋_GB2312" w:eastAsia="仿宋_GB2312" w:cs="仿宋_GB2312"/>
          <w:color w:val="auto"/>
          <w:sz w:val="32"/>
          <w:szCs w:val="32"/>
          <w:highlight w:val="none"/>
          <w:lang w:eastAsia="zh-CN"/>
        </w:rPr>
        <w:t>管理经验不足，</w:t>
      </w:r>
      <w:r>
        <w:rPr>
          <w:rFonts w:hint="eastAsia" w:ascii="仿宋_GB2312" w:hAnsi="仿宋_GB2312" w:eastAsia="仿宋_GB2312" w:cs="仿宋_GB2312"/>
          <w:color w:val="auto"/>
          <w:sz w:val="32"/>
          <w:szCs w:val="32"/>
          <w:highlight w:val="none"/>
          <w:lang w:val="en-US" w:eastAsia="zh-CN"/>
        </w:rPr>
        <w:t>项目</w:t>
      </w:r>
      <w:r>
        <w:rPr>
          <w:rFonts w:hint="eastAsia" w:ascii="仿宋_GB2312" w:hAnsi="仿宋_GB2312" w:eastAsia="仿宋_GB2312" w:cs="仿宋_GB2312"/>
          <w:color w:val="auto"/>
          <w:sz w:val="32"/>
          <w:szCs w:val="32"/>
          <w:highlight w:val="none"/>
          <w:lang w:eastAsia="zh-CN"/>
        </w:rPr>
        <w:t>管理工作有待进一步落实。</w:t>
      </w:r>
    </w:p>
    <w:p w14:paraId="13E93E0F">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2.因年初预算数据不够清晰明确到明细科目，使得整个年度财务核算及审核流程不准确清晰。</w:t>
      </w:r>
    </w:p>
    <w:p w14:paraId="5CD35B9B">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52" w:name="_Toc3333"/>
      <w:r>
        <w:rPr>
          <w:rFonts w:hint="eastAsia" w:ascii="黑体" w:hAnsi="黑体" w:cs="黑体"/>
          <w:b w:val="0"/>
          <w:bCs w:val="0"/>
          <w:color w:val="auto"/>
          <w:highlight w:val="none"/>
          <w:shd w:val="clear" w:color="auto" w:fill="auto"/>
          <w:lang w:val="en-US" w:eastAsia="zh-CN"/>
        </w:rPr>
        <w:t>六</w:t>
      </w:r>
      <w:r>
        <w:rPr>
          <w:rFonts w:hint="eastAsia" w:ascii="黑体" w:hAnsi="黑体" w:eastAsia="黑体" w:cs="黑体"/>
          <w:b w:val="0"/>
          <w:bCs w:val="0"/>
          <w:color w:val="auto"/>
          <w:highlight w:val="none"/>
          <w:shd w:val="clear" w:color="auto" w:fill="auto"/>
          <w:lang w:val="en-US" w:eastAsia="zh-CN"/>
        </w:rPr>
        <w:t>、有关建议</w:t>
      </w:r>
      <w:bookmarkEnd w:id="152"/>
    </w:p>
    <w:p w14:paraId="218F71ED">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bookmarkStart w:id="153" w:name="_Toc20454"/>
      <w:bookmarkStart w:id="154" w:name="_Toc3948"/>
      <w:r>
        <w:rPr>
          <w:rFonts w:hint="eastAsia" w:ascii="仿宋_GB2312" w:hAnsi="仿宋_GB2312" w:eastAsia="仿宋_GB2312" w:cs="仿宋_GB2312"/>
          <w:color w:val="auto"/>
          <w:sz w:val="32"/>
          <w:szCs w:val="32"/>
          <w:highlight w:val="none"/>
          <w:lang w:val="en-US" w:eastAsia="zh-CN"/>
        </w:rPr>
        <w:t>（一）加强项目管理，健全单位项目管理制度体系。 加大项目管理人员的业务培训，确保项目能够顺利实施。</w:t>
      </w:r>
    </w:p>
    <w:p w14:paraId="4A3352A6">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（二）加强财务人员业务培训，在年初预算时及时与各科室联系，将年初预算数据填写清晰，确保财务支付审核程序顺利进行。</w:t>
      </w:r>
    </w:p>
    <w:bookmarkEnd w:id="153"/>
    <w:bookmarkEnd w:id="154"/>
    <w:p w14:paraId="5BDE53F2">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55" w:name="_Toc14256"/>
      <w:r>
        <w:rPr>
          <w:rFonts w:hint="eastAsia" w:ascii="黑体" w:hAnsi="黑体" w:cs="黑体"/>
          <w:b w:val="0"/>
          <w:bCs w:val="0"/>
          <w:color w:val="auto"/>
          <w:highlight w:val="none"/>
          <w:shd w:val="clear" w:color="auto" w:fill="auto"/>
          <w:lang w:val="en-US" w:eastAsia="zh-CN"/>
        </w:rPr>
        <w:t>七</w:t>
      </w:r>
      <w:r>
        <w:rPr>
          <w:rFonts w:hint="eastAsia" w:ascii="黑体" w:hAnsi="黑体" w:eastAsia="黑体" w:cs="黑体"/>
          <w:b w:val="0"/>
          <w:bCs w:val="0"/>
          <w:color w:val="auto"/>
          <w:highlight w:val="none"/>
          <w:shd w:val="clear" w:color="auto" w:fill="auto"/>
          <w:lang w:val="en-US" w:eastAsia="zh-CN"/>
        </w:rPr>
        <w:t>、其他需要说明的问题</w:t>
      </w:r>
      <w:bookmarkEnd w:id="155"/>
    </w:p>
    <w:p w14:paraId="3D39D3E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无其他需要说明的问题。</w:t>
      </w:r>
    </w:p>
    <w:p w14:paraId="20AFB57E">
      <w:pPr>
        <w:pageBreakBefore w:val="0"/>
        <w:kinsoku/>
        <w:wordWrap/>
        <w:overflowPunct/>
        <w:topLinePunct w:val="0"/>
        <w:autoSpaceDE/>
        <w:autoSpaceDN/>
        <w:bidi w:val="0"/>
        <w:adjustRightInd/>
        <w:spacing w:line="560" w:lineRule="exact"/>
        <w:textAlignment w:val="auto"/>
        <w:rPr>
          <w:rFonts w:hint="eastAsia" w:cs="宋体"/>
          <w:color w:val="auto"/>
          <w:highlight w:val="none"/>
          <w:shd w:val="clear" w:color="auto" w:fill="auto"/>
          <w:lang w:val="en-US" w:eastAsia="zh-CN"/>
        </w:rPr>
        <w:sectPr>
          <w:footerReference r:id="rId5" w:type="default"/>
          <w:pgSz w:w="11906" w:h="16838"/>
          <w:pgMar w:top="1440" w:right="1800" w:bottom="1440" w:left="1800" w:header="737" w:footer="851" w:gutter="0"/>
          <w:pgNumType w:fmt="decimal"/>
          <w:cols w:space="720" w:num="1"/>
          <w:docGrid w:type="lines" w:linePitch="408" w:charSpace="0"/>
        </w:sectPr>
      </w:pPr>
    </w:p>
    <w:p w14:paraId="28B20EF5">
      <w:pPr>
        <w:pStyle w:val="2"/>
        <w:pageBreakBefore w:val="0"/>
        <w:numPr>
          <w:ilvl w:val="0"/>
          <w:numId w:val="0"/>
        </w:numPr>
        <w:kinsoku/>
        <w:wordWrap/>
        <w:overflowPunct/>
        <w:topLinePunct w:val="0"/>
        <w:autoSpaceDE/>
        <w:autoSpaceDN/>
        <w:bidi w:val="0"/>
        <w:adjustRightInd/>
        <w:spacing w:beforeLines="0" w:afterLines="0" w:line="560" w:lineRule="exact"/>
        <w:textAlignment w:val="auto"/>
        <w:rPr>
          <w:color w:val="auto"/>
          <w:highlight w:val="none"/>
        </w:rPr>
      </w:pPr>
      <w:bookmarkStart w:id="156" w:name="_Toc11349"/>
      <w:bookmarkStart w:id="157" w:name="_Toc28971"/>
      <w:r>
        <w:rPr>
          <w:rFonts w:hint="eastAsia" w:ascii="宋体" w:hAnsi="宋体" w:eastAsia="宋体" w:cs="宋体"/>
          <w:b/>
          <w:bCs/>
          <w:color w:val="auto"/>
          <w:highlight w:val="none"/>
          <w:shd w:val="clear" w:color="auto" w:fill="auto"/>
          <w:lang w:val="en-US" w:eastAsia="zh-CN"/>
        </w:rPr>
        <w:t>附件一、项目支出绩效自评表</w:t>
      </w:r>
      <w:bookmarkEnd w:id="156"/>
      <w:bookmarkEnd w:id="157"/>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00"/>
        <w:gridCol w:w="900"/>
        <w:gridCol w:w="900"/>
        <w:gridCol w:w="900"/>
        <w:gridCol w:w="1148"/>
        <w:gridCol w:w="1148"/>
        <w:gridCol w:w="1148"/>
        <w:gridCol w:w="1065"/>
        <w:gridCol w:w="1148"/>
        <w:gridCol w:w="900"/>
        <w:gridCol w:w="1066"/>
        <w:gridCol w:w="901"/>
        <w:gridCol w:w="901"/>
        <w:gridCol w:w="1149"/>
      </w:tblGrid>
      <w:tr w14:paraId="30B969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nil"/>
              <w:right w:val="nil"/>
            </w:tcBorders>
            <w:shd w:val="clear" w:color="auto" w:fill="auto"/>
            <w:vAlign w:val="center"/>
          </w:tcPr>
          <w:p w14:paraId="1498F386">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bookmarkStart w:id="158" w:name="_Toc15067"/>
            <w:bookmarkStart w:id="159" w:name="_Toc11223"/>
            <w:r>
              <w:rPr>
                <w:rFonts w:hint="eastAsia" w:ascii="宋体" w:hAnsi="宋体" w:eastAsia="宋体" w:cs="宋体"/>
                <w:b/>
                <w:bCs/>
                <w:i w:val="0"/>
                <w:iCs w:val="0"/>
                <w:color w:val="000000"/>
                <w:kern w:val="0"/>
                <w:sz w:val="32"/>
                <w:szCs w:val="32"/>
                <w:u w:val="none"/>
                <w:lang w:val="en-US" w:eastAsia="zh-CN" w:bidi="ar"/>
              </w:rPr>
              <w:t>项目支出绩效自评表</w:t>
            </w:r>
          </w:p>
        </w:tc>
      </w:tr>
      <w:tr w14:paraId="71893B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000" w:type="pct"/>
            <w:gridSpan w:val="14"/>
            <w:tcBorders>
              <w:top w:val="nil"/>
              <w:left w:val="nil"/>
              <w:bottom w:val="single" w:color="auto" w:sz="4" w:space="0"/>
              <w:right w:val="nil"/>
            </w:tcBorders>
            <w:shd w:val="clear" w:color="auto" w:fill="auto"/>
            <w:vAlign w:val="center"/>
          </w:tcPr>
          <w:p w14:paraId="0C8120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73D7C3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8"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729A3E3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91"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453DE4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2024年学前教育生均经费</w:t>
            </w:r>
          </w:p>
        </w:tc>
      </w:tr>
      <w:tr w14:paraId="7709D7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6D99A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73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3424F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阜康市教育局</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520A2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20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3D24C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阜康市第六幼儿园</w:t>
            </w:r>
          </w:p>
        </w:tc>
      </w:tr>
      <w:tr w14:paraId="144A05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B8D67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DCEB0B">
            <w:pPr>
              <w:jc w:val="center"/>
              <w:rPr>
                <w:rFonts w:hint="eastAsia" w:ascii="宋体" w:hAnsi="宋体" w:eastAsia="宋体" w:cs="宋体"/>
                <w:b/>
                <w:bCs/>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A39A3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94326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4EFFB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7182B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596A4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A43CA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2B0EDC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0B0202">
            <w:pPr>
              <w:jc w:val="center"/>
              <w:rPr>
                <w:rFonts w:hint="eastAsia" w:ascii="宋体" w:hAnsi="宋体" w:eastAsia="宋体" w:cs="宋体"/>
                <w:b/>
                <w:bCs/>
                <w:i w:val="0"/>
                <w:iCs w:val="0"/>
                <w:color w:val="000000"/>
                <w:sz w:val="18"/>
                <w:szCs w:val="18"/>
                <w:u w:val="none"/>
              </w:rPr>
            </w:pP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1ED1D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4BB1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98.56</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0A57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69.79</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7F78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69.79</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43E4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B344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AE62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14:paraId="4AF7D9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C6D578">
            <w:pPr>
              <w:jc w:val="center"/>
              <w:rPr>
                <w:rFonts w:hint="eastAsia" w:ascii="宋体" w:hAnsi="宋体" w:eastAsia="宋体" w:cs="宋体"/>
                <w:b/>
                <w:bCs/>
                <w:i w:val="0"/>
                <w:iCs w:val="0"/>
                <w:color w:val="000000"/>
                <w:sz w:val="18"/>
                <w:szCs w:val="18"/>
                <w:u w:val="none"/>
              </w:rPr>
            </w:pP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6CAA3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64C7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98.56</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DF2F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69.79</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1DF2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69.79</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77C2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4095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2721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2DAC1F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1CF031">
            <w:pPr>
              <w:jc w:val="center"/>
              <w:rPr>
                <w:rFonts w:hint="eastAsia" w:ascii="宋体" w:hAnsi="宋体" w:eastAsia="宋体" w:cs="宋体"/>
                <w:b/>
                <w:bCs/>
                <w:i w:val="0"/>
                <w:iCs w:val="0"/>
                <w:color w:val="000000"/>
                <w:sz w:val="18"/>
                <w:szCs w:val="18"/>
                <w:u w:val="none"/>
              </w:rPr>
            </w:pP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28685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7077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978A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572C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43C8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69DD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3723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3A9FA0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B70B1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94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33173C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852"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34343AC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33C9C0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9913E0">
            <w:pPr>
              <w:jc w:val="center"/>
              <w:rPr>
                <w:rFonts w:hint="eastAsia" w:ascii="宋体" w:hAnsi="宋体" w:eastAsia="宋体" w:cs="宋体"/>
                <w:b/>
                <w:bCs/>
                <w:i w:val="0"/>
                <w:iCs w:val="0"/>
                <w:color w:val="000000"/>
                <w:sz w:val="18"/>
                <w:szCs w:val="18"/>
                <w:u w:val="none"/>
              </w:rPr>
            </w:pPr>
          </w:p>
        </w:tc>
        <w:tc>
          <w:tcPr>
            <w:tcW w:w="194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B8822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学前教育生均经费。保障幼儿园正常运转，完成教学活动及其他日常业务的正常运转。2024年计划完成每学年以1100元/生/学年的标准使用公用经费,总计在园幼儿人数352人。进一步提高幼儿园教育教学水平，促进幼儿园各项活动有序开展。</w:t>
            </w:r>
          </w:p>
        </w:tc>
        <w:tc>
          <w:tcPr>
            <w:tcW w:w="2852"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E0EEC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至2024年12月31日，该项目实际完成学生人数352人，公用经费享受比例达到100%，教师培训结业率达到100%，公用经费标准以1100元/人/年完成，通过项目的实施，提升了幼儿园正常运转率，改善教学环境，提供良好的学生成长条件，促进了幼儿园各项工作平稳进行，师生满意度达90%以上。</w:t>
            </w:r>
          </w:p>
        </w:tc>
      </w:tr>
      <w:tr w14:paraId="67D619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64052F">
            <w:pPr>
              <w:jc w:val="center"/>
              <w:rPr>
                <w:rFonts w:hint="eastAsia" w:ascii="宋体" w:hAnsi="宋体" w:eastAsia="宋体" w:cs="宋体"/>
                <w:i w:val="0"/>
                <w:iCs w:val="0"/>
                <w:color w:val="000000"/>
                <w:sz w:val="18"/>
                <w:szCs w:val="18"/>
                <w:u w:val="none"/>
              </w:rPr>
            </w:pPr>
          </w:p>
        </w:tc>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8A552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3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13EA5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2C70B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021DF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78DAD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150A5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9A6DE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2AA2F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3EEBD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BD056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19F50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4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8ABD5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DAD9C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1DFE50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CBAEA5">
            <w:pPr>
              <w:jc w:val="center"/>
              <w:rPr>
                <w:rFonts w:hint="eastAsia" w:ascii="宋体" w:hAnsi="宋体" w:eastAsia="宋体" w:cs="宋体"/>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44CED3">
            <w:pPr>
              <w:jc w:val="center"/>
              <w:rPr>
                <w:rFonts w:hint="eastAsia" w:ascii="宋体" w:hAnsi="宋体" w:eastAsia="宋体" w:cs="宋体"/>
                <w:b/>
                <w:bCs/>
                <w:i w:val="0"/>
                <w:iCs w:val="0"/>
                <w:color w:val="000000"/>
                <w:sz w:val="18"/>
                <w:szCs w:val="18"/>
                <w:u w:val="none"/>
              </w:rPr>
            </w:pPr>
          </w:p>
        </w:tc>
        <w:tc>
          <w:tcPr>
            <w:tcW w:w="3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025107">
            <w:pPr>
              <w:jc w:val="center"/>
              <w:rPr>
                <w:rFonts w:hint="eastAsia" w:ascii="宋体" w:hAnsi="宋体" w:eastAsia="宋体" w:cs="宋体"/>
                <w:b/>
                <w:bCs/>
                <w:i w:val="0"/>
                <w:iCs w:val="0"/>
                <w:color w:val="000000"/>
                <w:sz w:val="18"/>
                <w:szCs w:val="18"/>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30A024">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56523A">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0ADA48">
            <w:pPr>
              <w:jc w:val="center"/>
              <w:rPr>
                <w:rFonts w:hint="eastAsia" w:ascii="宋体" w:hAnsi="宋体" w:eastAsia="宋体" w:cs="宋体"/>
                <w:b/>
                <w:bCs/>
                <w:i w:val="0"/>
                <w:iCs w:val="0"/>
                <w:color w:val="000000"/>
                <w:sz w:val="18"/>
                <w:szCs w:val="18"/>
                <w:u w:val="none"/>
              </w:rPr>
            </w:pPr>
          </w:p>
        </w:tc>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E55F81">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06A7DC">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63E0A8">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5A3D50">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619B05">
            <w:pPr>
              <w:jc w:val="center"/>
              <w:rPr>
                <w:rFonts w:hint="eastAsia" w:ascii="宋体" w:hAnsi="宋体" w:eastAsia="宋体" w:cs="宋体"/>
                <w:b/>
                <w:bCs/>
                <w:i w:val="0"/>
                <w:iCs w:val="0"/>
                <w:color w:val="000000"/>
                <w:sz w:val="18"/>
                <w:szCs w:val="18"/>
                <w:u w:val="none"/>
              </w:rPr>
            </w:pPr>
          </w:p>
        </w:tc>
        <w:tc>
          <w:tcPr>
            <w:tcW w:w="3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C9C01E">
            <w:pPr>
              <w:jc w:val="center"/>
              <w:rPr>
                <w:rFonts w:hint="eastAsia" w:ascii="宋体" w:hAnsi="宋体" w:eastAsia="宋体" w:cs="宋体"/>
                <w:b/>
                <w:bCs/>
                <w:i w:val="0"/>
                <w:iCs w:val="0"/>
                <w:color w:val="000000"/>
                <w:sz w:val="18"/>
                <w:szCs w:val="18"/>
                <w:u w:val="none"/>
              </w:rPr>
            </w:pPr>
          </w:p>
        </w:tc>
        <w:tc>
          <w:tcPr>
            <w:tcW w:w="3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5D7E05">
            <w:pPr>
              <w:jc w:val="center"/>
              <w:rPr>
                <w:rFonts w:hint="eastAsia" w:ascii="宋体" w:hAnsi="宋体" w:eastAsia="宋体" w:cs="宋体"/>
                <w:b/>
                <w:bCs/>
                <w:i w:val="0"/>
                <w:iCs w:val="0"/>
                <w:color w:val="000000"/>
                <w:sz w:val="18"/>
                <w:szCs w:val="18"/>
                <w:u w:val="none"/>
              </w:rPr>
            </w:pPr>
          </w:p>
        </w:tc>
        <w:tc>
          <w:tcPr>
            <w:tcW w:w="8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18BAE5">
            <w:pPr>
              <w:jc w:val="center"/>
              <w:rPr>
                <w:rFonts w:hint="eastAsia" w:ascii="宋体" w:hAnsi="宋体" w:eastAsia="宋体" w:cs="宋体"/>
                <w:b/>
                <w:bCs/>
                <w:i w:val="0"/>
                <w:iCs w:val="0"/>
                <w:color w:val="000000"/>
                <w:sz w:val="18"/>
                <w:szCs w:val="18"/>
                <w:u w:val="none"/>
              </w:rPr>
            </w:pPr>
          </w:p>
        </w:tc>
      </w:tr>
      <w:tr w14:paraId="7FFD28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3F87D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C56F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199C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55FA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在校学生人数</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25E1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10A1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=352人</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B3A9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=385人</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21312">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109%</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840F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10.92</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AA05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7BA0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353人</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7AB0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15A9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54A6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市幼拨付33名幼儿，幼儿人数增多</w:t>
            </w:r>
          </w:p>
        </w:tc>
      </w:tr>
      <w:tr w14:paraId="2884A0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09C455">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91C8B8">
            <w:pPr>
              <w:jc w:val="center"/>
              <w:rPr>
                <w:rFonts w:hint="eastAsia" w:ascii="宋体" w:hAnsi="宋体" w:eastAsia="宋体" w:cs="宋体"/>
                <w:i w:val="0"/>
                <w:iCs w:val="0"/>
                <w:color w:val="000000"/>
                <w:sz w:val="18"/>
                <w:szCs w:val="18"/>
                <w:u w:val="none"/>
              </w:rPr>
            </w:pP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E54B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09A7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公用经费享受比例</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1E92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366A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28DF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13D5A">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B32B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FDDF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3A74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7856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AE4E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EE7133">
            <w:pPr>
              <w:jc w:val="center"/>
              <w:rPr>
                <w:rFonts w:hint="eastAsia" w:ascii="宋体" w:hAnsi="宋体" w:eastAsia="宋体" w:cs="宋体"/>
                <w:i w:val="0"/>
                <w:iCs w:val="0"/>
                <w:color w:val="000000"/>
                <w:sz w:val="18"/>
                <w:szCs w:val="18"/>
                <w:u w:val="none"/>
              </w:rPr>
            </w:pPr>
          </w:p>
        </w:tc>
      </w:tr>
      <w:tr w14:paraId="177D60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B56823">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C8B9A1">
            <w:pPr>
              <w:jc w:val="center"/>
              <w:rPr>
                <w:rFonts w:hint="eastAsia" w:ascii="宋体" w:hAnsi="宋体" w:eastAsia="宋体" w:cs="宋体"/>
                <w:i w:val="0"/>
                <w:iCs w:val="0"/>
                <w:color w:val="000000"/>
                <w:sz w:val="18"/>
                <w:szCs w:val="18"/>
                <w:u w:val="none"/>
              </w:rPr>
            </w:pP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3E45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A92F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教师培训结业率</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F312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AB1A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F378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B4177">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2C0A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0672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5BF8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B69B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815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CB68BC">
            <w:pPr>
              <w:jc w:val="center"/>
              <w:rPr>
                <w:rFonts w:hint="eastAsia" w:ascii="宋体" w:hAnsi="宋体" w:eastAsia="宋体" w:cs="宋体"/>
                <w:i w:val="0"/>
                <w:iCs w:val="0"/>
                <w:color w:val="000000"/>
                <w:sz w:val="18"/>
                <w:szCs w:val="18"/>
                <w:u w:val="none"/>
              </w:rPr>
            </w:pPr>
          </w:p>
        </w:tc>
      </w:tr>
      <w:tr w14:paraId="66008C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1002A7">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F4F519">
            <w:pPr>
              <w:jc w:val="center"/>
              <w:rPr>
                <w:rFonts w:hint="eastAsia" w:ascii="宋体" w:hAnsi="宋体" w:eastAsia="宋体" w:cs="宋体"/>
                <w:i w:val="0"/>
                <w:iCs w:val="0"/>
                <w:color w:val="000000"/>
                <w:sz w:val="18"/>
                <w:szCs w:val="18"/>
                <w:u w:val="none"/>
              </w:rPr>
            </w:pP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C99B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9F46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公用经费支出及时率</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6B3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4594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34DF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4308C">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EB40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8F7A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7858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5622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200D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35DB29">
            <w:pPr>
              <w:jc w:val="center"/>
              <w:rPr>
                <w:rFonts w:hint="eastAsia" w:ascii="宋体" w:hAnsi="宋体" w:eastAsia="宋体" w:cs="宋体"/>
                <w:i w:val="0"/>
                <w:iCs w:val="0"/>
                <w:color w:val="000000"/>
                <w:sz w:val="18"/>
                <w:szCs w:val="18"/>
                <w:u w:val="none"/>
              </w:rPr>
            </w:pPr>
          </w:p>
        </w:tc>
      </w:tr>
      <w:tr w14:paraId="1E2417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6A2E0D">
            <w:pPr>
              <w:jc w:val="center"/>
              <w:rPr>
                <w:rFonts w:hint="eastAsia" w:ascii="宋体" w:hAnsi="宋体" w:eastAsia="宋体" w:cs="宋体"/>
                <w:b/>
                <w:bCs/>
                <w:i w:val="0"/>
                <w:iCs w:val="0"/>
                <w:color w:val="000000"/>
                <w:sz w:val="18"/>
                <w:szCs w:val="18"/>
                <w:u w:val="none"/>
              </w:rPr>
            </w:pPr>
          </w:p>
        </w:tc>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0816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D48E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71DC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公用经费标准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1994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9A63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=1100元/人/年</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1ED4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=1100元/人/年</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1CB81">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bookmarkStart w:id="160" w:name="_GoBack"/>
            <w:bookmarkEnd w:id="160"/>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654F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03B2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05FC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1100元/人/年</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6916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54DD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工作资料,原始凭证</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B4815B">
            <w:pPr>
              <w:jc w:val="center"/>
              <w:rPr>
                <w:rFonts w:hint="eastAsia" w:ascii="宋体" w:hAnsi="宋体" w:eastAsia="宋体" w:cs="宋体"/>
                <w:i w:val="0"/>
                <w:iCs w:val="0"/>
                <w:color w:val="000000"/>
                <w:sz w:val="18"/>
                <w:szCs w:val="18"/>
                <w:u w:val="none"/>
              </w:rPr>
            </w:pPr>
          </w:p>
        </w:tc>
      </w:tr>
      <w:tr w14:paraId="60AA5B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9FF6C1">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797AC8">
            <w:pPr>
              <w:jc w:val="center"/>
              <w:rPr>
                <w:rFonts w:hint="eastAsia" w:ascii="宋体" w:hAnsi="宋体" w:eastAsia="宋体" w:cs="宋体"/>
                <w:i w:val="0"/>
                <w:iCs w:val="0"/>
                <w:color w:val="000000"/>
                <w:sz w:val="18"/>
                <w:szCs w:val="18"/>
                <w:u w:val="none"/>
              </w:rPr>
            </w:pP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9F2E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C85BAC">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7C2509">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4E2FB9">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FC5681">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60776E">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E5A045">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5250FA">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B2CB60">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FC201E">
            <w:pPr>
              <w:jc w:val="center"/>
              <w:rPr>
                <w:rFonts w:hint="eastAsia" w:ascii="宋体" w:hAnsi="宋体" w:eastAsia="宋体" w:cs="宋体"/>
                <w:i w:val="0"/>
                <w:iCs w:val="0"/>
                <w:color w:val="000000"/>
                <w:sz w:val="18"/>
                <w:szCs w:val="18"/>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1159CA">
            <w:pPr>
              <w:jc w:val="center"/>
              <w:rPr>
                <w:rFonts w:hint="eastAsia" w:ascii="宋体" w:hAnsi="宋体" w:eastAsia="宋体" w:cs="宋体"/>
                <w:i w:val="0"/>
                <w:iCs w:val="0"/>
                <w:color w:val="000000"/>
                <w:sz w:val="18"/>
                <w:szCs w:val="18"/>
                <w:u w:val="none"/>
              </w:rPr>
            </w:pP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FE83A3">
            <w:pPr>
              <w:jc w:val="center"/>
              <w:rPr>
                <w:rFonts w:hint="eastAsia" w:ascii="宋体" w:hAnsi="宋体" w:eastAsia="宋体" w:cs="宋体"/>
                <w:i w:val="0"/>
                <w:iCs w:val="0"/>
                <w:color w:val="000000"/>
                <w:sz w:val="18"/>
                <w:szCs w:val="18"/>
                <w:u w:val="none"/>
              </w:rPr>
            </w:pPr>
          </w:p>
        </w:tc>
      </w:tr>
      <w:tr w14:paraId="5CD2E5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FAED82">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8D1C11">
            <w:pPr>
              <w:jc w:val="center"/>
              <w:rPr>
                <w:rFonts w:hint="eastAsia" w:ascii="宋体" w:hAnsi="宋体" w:eastAsia="宋体" w:cs="宋体"/>
                <w:i w:val="0"/>
                <w:iCs w:val="0"/>
                <w:color w:val="000000"/>
                <w:sz w:val="18"/>
                <w:szCs w:val="18"/>
                <w:u w:val="none"/>
              </w:rPr>
            </w:pP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DA34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952C5A">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1B7C8E">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5ABC1D">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A0F3AD">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60ED10">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F7E36B">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49C19F">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711D47">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3B49A6">
            <w:pPr>
              <w:jc w:val="center"/>
              <w:rPr>
                <w:rFonts w:hint="eastAsia" w:ascii="宋体" w:hAnsi="宋体" w:eastAsia="宋体" w:cs="宋体"/>
                <w:i w:val="0"/>
                <w:iCs w:val="0"/>
                <w:color w:val="000000"/>
                <w:sz w:val="18"/>
                <w:szCs w:val="18"/>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CA7981">
            <w:pPr>
              <w:jc w:val="center"/>
              <w:rPr>
                <w:rFonts w:hint="eastAsia" w:ascii="宋体" w:hAnsi="宋体" w:eastAsia="宋体" w:cs="宋体"/>
                <w:i w:val="0"/>
                <w:iCs w:val="0"/>
                <w:color w:val="000000"/>
                <w:sz w:val="18"/>
                <w:szCs w:val="18"/>
                <w:u w:val="none"/>
              </w:rPr>
            </w:pP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EEE20B">
            <w:pPr>
              <w:jc w:val="center"/>
              <w:rPr>
                <w:rFonts w:hint="eastAsia" w:ascii="宋体" w:hAnsi="宋体" w:eastAsia="宋体" w:cs="宋体"/>
                <w:i w:val="0"/>
                <w:iCs w:val="0"/>
                <w:color w:val="000000"/>
                <w:sz w:val="18"/>
                <w:szCs w:val="18"/>
                <w:u w:val="none"/>
              </w:rPr>
            </w:pPr>
          </w:p>
        </w:tc>
      </w:tr>
      <w:tr w14:paraId="60FFC1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E16943">
            <w:pPr>
              <w:jc w:val="center"/>
              <w:rPr>
                <w:rFonts w:hint="eastAsia" w:ascii="宋体" w:hAnsi="宋体" w:eastAsia="宋体" w:cs="宋体"/>
                <w:b/>
                <w:bCs/>
                <w:i w:val="0"/>
                <w:iCs w:val="0"/>
                <w:color w:val="000000"/>
                <w:sz w:val="18"/>
                <w:szCs w:val="18"/>
                <w:u w:val="none"/>
              </w:rPr>
            </w:pPr>
          </w:p>
        </w:tc>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0315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3A9B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AD127B">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AECB12">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019913">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2B2DD0">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4A40D0">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6CC111">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98A7E9">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5859EA">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18DD64">
            <w:pPr>
              <w:jc w:val="center"/>
              <w:rPr>
                <w:rFonts w:hint="eastAsia" w:ascii="宋体" w:hAnsi="宋体" w:eastAsia="宋体" w:cs="宋体"/>
                <w:i w:val="0"/>
                <w:iCs w:val="0"/>
                <w:color w:val="000000"/>
                <w:sz w:val="18"/>
                <w:szCs w:val="18"/>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EAA1FA">
            <w:pPr>
              <w:jc w:val="center"/>
              <w:rPr>
                <w:rFonts w:hint="eastAsia" w:ascii="宋体" w:hAnsi="宋体" w:eastAsia="宋体" w:cs="宋体"/>
                <w:i w:val="0"/>
                <w:iCs w:val="0"/>
                <w:color w:val="000000"/>
                <w:sz w:val="18"/>
                <w:szCs w:val="18"/>
                <w:u w:val="none"/>
              </w:rPr>
            </w:pP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801FA3">
            <w:pPr>
              <w:jc w:val="center"/>
              <w:rPr>
                <w:rFonts w:hint="eastAsia" w:ascii="宋体" w:hAnsi="宋体" w:eastAsia="宋体" w:cs="宋体"/>
                <w:i w:val="0"/>
                <w:iCs w:val="0"/>
                <w:color w:val="000000"/>
                <w:sz w:val="18"/>
                <w:szCs w:val="18"/>
                <w:u w:val="none"/>
              </w:rPr>
            </w:pPr>
          </w:p>
        </w:tc>
      </w:tr>
      <w:tr w14:paraId="08552C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7EAB55">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0F2EE9">
            <w:pPr>
              <w:jc w:val="center"/>
              <w:rPr>
                <w:rFonts w:hint="eastAsia" w:ascii="宋体" w:hAnsi="宋体" w:eastAsia="宋体" w:cs="宋体"/>
                <w:i w:val="0"/>
                <w:iCs w:val="0"/>
                <w:color w:val="000000"/>
                <w:sz w:val="18"/>
                <w:szCs w:val="18"/>
                <w:u w:val="none"/>
              </w:rPr>
            </w:pP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0BE3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3893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幼儿园正常运转率</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2309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092C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8F2F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2DFDB6">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100</w:t>
            </w:r>
            <w:r>
              <w:rPr>
                <w:rFonts w:hint="eastAsia" w:cs="宋体"/>
                <w:i w:val="0"/>
                <w:iCs w:val="0"/>
                <w:color w:val="000000"/>
                <w:kern w:val="0"/>
                <w:sz w:val="18"/>
                <w:szCs w:val="18"/>
                <w:u w:val="none"/>
                <w:lang w:val="en-US" w:eastAsia="zh-CN" w:bidi="ar"/>
              </w:rPr>
              <w:t>%</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CD0C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75DD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CD2780">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908A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5923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8DBA1E">
            <w:pPr>
              <w:jc w:val="center"/>
              <w:rPr>
                <w:rFonts w:hint="eastAsia" w:ascii="宋体" w:hAnsi="宋体" w:eastAsia="宋体" w:cs="宋体"/>
                <w:i w:val="0"/>
                <w:iCs w:val="0"/>
                <w:color w:val="000000"/>
                <w:sz w:val="18"/>
                <w:szCs w:val="18"/>
                <w:u w:val="none"/>
              </w:rPr>
            </w:pPr>
          </w:p>
        </w:tc>
      </w:tr>
      <w:tr w14:paraId="63649E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F28EA1">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F1765C">
            <w:pPr>
              <w:jc w:val="center"/>
              <w:rPr>
                <w:rFonts w:hint="eastAsia" w:ascii="宋体" w:hAnsi="宋体" w:eastAsia="宋体" w:cs="宋体"/>
                <w:i w:val="0"/>
                <w:iCs w:val="0"/>
                <w:color w:val="000000"/>
                <w:sz w:val="18"/>
                <w:szCs w:val="18"/>
                <w:u w:val="none"/>
              </w:rPr>
            </w:pP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D329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E6DC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改善教学环境，提供良好的学生成长条件</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B93E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B3FE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A8B4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9CA98F">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100</w:t>
            </w:r>
            <w:r>
              <w:rPr>
                <w:rFonts w:hint="eastAsia" w:cs="宋体"/>
                <w:i w:val="0"/>
                <w:iCs w:val="0"/>
                <w:color w:val="000000"/>
                <w:kern w:val="0"/>
                <w:sz w:val="18"/>
                <w:szCs w:val="18"/>
                <w:u w:val="none"/>
                <w:lang w:val="en-US" w:eastAsia="zh-CN" w:bidi="ar"/>
              </w:rPr>
              <w:t>%</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01BD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9486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9ABC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有效改善</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75BE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0B5C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F1A843">
            <w:pPr>
              <w:jc w:val="center"/>
              <w:rPr>
                <w:rFonts w:hint="eastAsia" w:ascii="宋体" w:hAnsi="宋体" w:eastAsia="宋体" w:cs="宋体"/>
                <w:i w:val="0"/>
                <w:iCs w:val="0"/>
                <w:color w:val="000000"/>
                <w:sz w:val="18"/>
                <w:szCs w:val="18"/>
                <w:u w:val="none"/>
              </w:rPr>
            </w:pPr>
          </w:p>
        </w:tc>
      </w:tr>
      <w:tr w14:paraId="5274C4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3A3575">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A355E6">
            <w:pPr>
              <w:jc w:val="center"/>
              <w:rPr>
                <w:rFonts w:hint="eastAsia" w:ascii="宋体" w:hAnsi="宋体" w:eastAsia="宋体" w:cs="宋体"/>
                <w:i w:val="0"/>
                <w:iCs w:val="0"/>
                <w:color w:val="000000"/>
                <w:sz w:val="18"/>
                <w:szCs w:val="18"/>
                <w:u w:val="none"/>
              </w:rPr>
            </w:pP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C2DB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A7C561">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94303E">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A8459B">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510CF3">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887325">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C5EF8E">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7FEFAC">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343E95">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B0621D">
            <w:pPr>
              <w:jc w:val="center"/>
              <w:rPr>
                <w:rFonts w:hint="eastAsia" w:ascii="宋体" w:hAnsi="宋体" w:eastAsia="宋体" w:cs="宋体"/>
                <w:i w:val="0"/>
                <w:iCs w:val="0"/>
                <w:color w:val="000000"/>
                <w:sz w:val="18"/>
                <w:szCs w:val="18"/>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FEE1F6">
            <w:pPr>
              <w:jc w:val="center"/>
              <w:rPr>
                <w:rFonts w:hint="eastAsia" w:ascii="宋体" w:hAnsi="宋体" w:eastAsia="宋体" w:cs="宋体"/>
                <w:i w:val="0"/>
                <w:iCs w:val="0"/>
                <w:color w:val="000000"/>
                <w:sz w:val="18"/>
                <w:szCs w:val="18"/>
                <w:u w:val="none"/>
              </w:rPr>
            </w:pP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95560E">
            <w:pPr>
              <w:jc w:val="center"/>
              <w:rPr>
                <w:rFonts w:hint="eastAsia" w:ascii="宋体" w:hAnsi="宋体" w:eastAsia="宋体" w:cs="宋体"/>
                <w:i w:val="0"/>
                <w:iCs w:val="0"/>
                <w:color w:val="000000"/>
                <w:sz w:val="18"/>
                <w:szCs w:val="18"/>
                <w:u w:val="none"/>
              </w:rPr>
            </w:pPr>
          </w:p>
        </w:tc>
      </w:tr>
      <w:tr w14:paraId="5FD3EF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34CE0F">
            <w:pPr>
              <w:jc w:val="center"/>
              <w:rPr>
                <w:rFonts w:hint="eastAsia" w:ascii="宋体" w:hAnsi="宋体" w:eastAsia="宋体" w:cs="宋体"/>
                <w:b/>
                <w:bCs/>
                <w:i w:val="0"/>
                <w:iCs w:val="0"/>
                <w:color w:val="000000"/>
                <w:sz w:val="18"/>
                <w:szCs w:val="18"/>
                <w:u w:val="none"/>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0A71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BE6F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2169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师生满意度</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45E2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D260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C702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830E11">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100</w:t>
            </w:r>
            <w:r>
              <w:rPr>
                <w:rFonts w:hint="eastAsia" w:cs="宋体"/>
                <w:i w:val="0"/>
                <w:iCs w:val="0"/>
                <w:color w:val="000000"/>
                <w:kern w:val="0"/>
                <w:sz w:val="18"/>
                <w:szCs w:val="18"/>
                <w:u w:val="none"/>
                <w:lang w:val="en-US" w:eastAsia="zh-CN" w:bidi="ar"/>
              </w:rPr>
              <w:t>%</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CA6C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9F11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CEE9FE">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803D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C43D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90BD43">
            <w:pPr>
              <w:jc w:val="center"/>
              <w:rPr>
                <w:rFonts w:hint="eastAsia" w:ascii="宋体" w:hAnsi="宋体" w:eastAsia="宋体" w:cs="宋体"/>
                <w:i w:val="0"/>
                <w:iCs w:val="0"/>
                <w:color w:val="000000"/>
                <w:sz w:val="18"/>
                <w:szCs w:val="18"/>
                <w:u w:val="none"/>
              </w:rPr>
            </w:pPr>
          </w:p>
        </w:tc>
      </w:tr>
      <w:tr w14:paraId="707D66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1170" w:type="pct"/>
            <w:gridSpan w:val="4"/>
            <w:tcBorders>
              <w:top w:val="single" w:color="000000" w:sz="4" w:space="0"/>
              <w:left w:val="single" w:color="000000" w:sz="4" w:space="0"/>
              <w:bottom w:val="single" w:color="000000" w:sz="4" w:space="0"/>
              <w:right w:val="nil"/>
            </w:tcBorders>
            <w:shd w:val="clear" w:color="auto" w:fill="auto"/>
            <w:vAlign w:val="center"/>
          </w:tcPr>
          <w:p w14:paraId="3118684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BFC4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nil"/>
              <w:bottom w:val="single" w:color="000000" w:sz="4" w:space="0"/>
              <w:right w:val="single" w:color="000000" w:sz="4" w:space="0"/>
            </w:tcBorders>
            <w:shd w:val="clear" w:color="auto" w:fill="auto"/>
            <w:vAlign w:val="center"/>
          </w:tcPr>
          <w:p w14:paraId="335BA791">
            <w:pPr>
              <w:rPr>
                <w:rFonts w:hint="eastAsia" w:ascii="宋体" w:hAnsi="宋体" w:eastAsia="宋体" w:cs="宋体"/>
                <w:b/>
                <w:bCs/>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897270">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F52186">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E790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98.92分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DADD67">
            <w:pP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718F1B">
            <w:pP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BBB8C5">
            <w:pPr>
              <w:rPr>
                <w:rFonts w:hint="eastAsia" w:ascii="宋体" w:hAnsi="宋体" w:eastAsia="宋体" w:cs="宋体"/>
                <w:i w:val="0"/>
                <w:iCs w:val="0"/>
                <w:color w:val="000000"/>
                <w:sz w:val="18"/>
                <w:szCs w:val="18"/>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9D0FB8">
            <w:pPr>
              <w:rPr>
                <w:rFonts w:hint="eastAsia" w:ascii="宋体" w:hAnsi="宋体" w:eastAsia="宋体" w:cs="宋体"/>
                <w:i w:val="0"/>
                <w:iCs w:val="0"/>
                <w:color w:val="000000"/>
                <w:sz w:val="18"/>
                <w:szCs w:val="18"/>
                <w:u w:val="none"/>
              </w:rPr>
            </w:pP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33460E">
            <w:pPr>
              <w:rPr>
                <w:rFonts w:hint="eastAsia" w:ascii="宋体" w:hAnsi="宋体" w:eastAsia="宋体" w:cs="宋体"/>
                <w:i w:val="0"/>
                <w:iCs w:val="0"/>
                <w:color w:val="000000"/>
                <w:sz w:val="18"/>
                <w:szCs w:val="18"/>
                <w:u w:val="none"/>
              </w:rPr>
            </w:pPr>
          </w:p>
        </w:tc>
      </w:tr>
    </w:tbl>
    <w:p w14:paraId="601B13C9">
      <w:pPr>
        <w:rPr>
          <w:rFonts w:hint="eastAsia" w:ascii="宋体" w:hAnsi="宋体" w:eastAsia="宋体" w:cs="宋体"/>
          <w:b/>
          <w:bCs/>
          <w:color w:val="auto"/>
          <w:highlight w:val="none"/>
          <w:shd w:val="clear" w:color="auto" w:fill="auto"/>
          <w:lang w:val="en-US" w:eastAsia="zh-CN"/>
        </w:rPr>
      </w:pPr>
      <w:r>
        <w:rPr>
          <w:rFonts w:hint="eastAsia" w:ascii="宋体" w:hAnsi="宋体" w:eastAsia="宋体" w:cs="宋体"/>
          <w:b/>
          <w:bCs/>
          <w:color w:val="auto"/>
          <w:highlight w:val="none"/>
          <w:shd w:val="clear" w:color="auto" w:fill="auto"/>
          <w:lang w:val="en-US" w:eastAsia="zh-CN"/>
        </w:rPr>
        <w:br w:type="page"/>
      </w:r>
    </w:p>
    <w:p w14:paraId="351BC9DD">
      <w:pPr>
        <w:pStyle w:val="2"/>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auto"/>
          <w:highlight w:val="none"/>
          <w:shd w:val="clear" w:color="auto" w:fill="auto"/>
          <w:lang w:val="en-US" w:eastAsia="zh-CN"/>
        </w:rPr>
      </w:pPr>
      <w:r>
        <w:rPr>
          <w:rFonts w:hint="eastAsia" w:ascii="宋体" w:hAnsi="宋体" w:eastAsia="宋体" w:cs="宋体"/>
          <w:b/>
          <w:bCs/>
          <w:color w:val="auto"/>
          <w:highlight w:val="none"/>
          <w:shd w:val="clear" w:color="auto" w:fill="auto"/>
          <w:lang w:val="en-US" w:eastAsia="zh-CN"/>
        </w:rPr>
        <w:t>附件二、项目支出绩效评价指标体系打分表</w:t>
      </w:r>
      <w:bookmarkEnd w:id="158"/>
      <w:bookmarkEnd w:id="159"/>
    </w:p>
    <w:tbl>
      <w:tblPr>
        <w:tblStyle w:val="16"/>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820"/>
        <w:gridCol w:w="2141"/>
        <w:gridCol w:w="7821"/>
        <w:gridCol w:w="785"/>
        <w:gridCol w:w="769"/>
      </w:tblGrid>
      <w:tr w14:paraId="669F4D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92" w:hRule="atLeast"/>
          <w:tblHeader/>
          <w:jc w:val="center"/>
        </w:trPr>
        <w:tc>
          <w:tcPr>
            <w:tcW w:w="861" w:type="dxa"/>
            <w:shd w:val="clear" w:color="auto" w:fill="auto"/>
            <w:noWrap w:val="0"/>
            <w:vAlign w:val="center"/>
          </w:tcPr>
          <w:p w14:paraId="7AD0F18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一级指标</w:t>
            </w:r>
          </w:p>
        </w:tc>
        <w:tc>
          <w:tcPr>
            <w:tcW w:w="727" w:type="dxa"/>
            <w:shd w:val="clear" w:color="auto" w:fill="auto"/>
            <w:noWrap w:val="0"/>
            <w:vAlign w:val="center"/>
          </w:tcPr>
          <w:p w14:paraId="20FF9C5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二级指标</w:t>
            </w:r>
          </w:p>
        </w:tc>
        <w:tc>
          <w:tcPr>
            <w:tcW w:w="820" w:type="dxa"/>
            <w:shd w:val="clear" w:color="auto" w:fill="auto"/>
            <w:noWrap w:val="0"/>
            <w:vAlign w:val="center"/>
          </w:tcPr>
          <w:p w14:paraId="76D0F0A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三级指标</w:t>
            </w:r>
          </w:p>
        </w:tc>
        <w:tc>
          <w:tcPr>
            <w:tcW w:w="2141" w:type="dxa"/>
            <w:shd w:val="clear" w:color="auto" w:fill="auto"/>
            <w:noWrap w:val="0"/>
            <w:vAlign w:val="center"/>
          </w:tcPr>
          <w:p w14:paraId="62CC807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指标解释</w:t>
            </w:r>
          </w:p>
        </w:tc>
        <w:tc>
          <w:tcPr>
            <w:tcW w:w="7821" w:type="dxa"/>
            <w:shd w:val="clear" w:color="auto" w:fill="auto"/>
            <w:noWrap w:val="0"/>
            <w:vAlign w:val="center"/>
          </w:tcPr>
          <w:p w14:paraId="28825D3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指标说明</w:t>
            </w:r>
          </w:p>
        </w:tc>
        <w:tc>
          <w:tcPr>
            <w:tcW w:w="785" w:type="dxa"/>
            <w:shd w:val="clear" w:color="auto" w:fill="auto"/>
            <w:noWrap w:val="0"/>
            <w:vAlign w:val="center"/>
          </w:tcPr>
          <w:p w14:paraId="395CE69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分值</w:t>
            </w:r>
          </w:p>
        </w:tc>
        <w:tc>
          <w:tcPr>
            <w:tcW w:w="769" w:type="dxa"/>
            <w:shd w:val="clear" w:color="auto" w:fill="auto"/>
            <w:noWrap w:val="0"/>
            <w:vAlign w:val="center"/>
          </w:tcPr>
          <w:p w14:paraId="185951E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得分</w:t>
            </w:r>
          </w:p>
        </w:tc>
      </w:tr>
      <w:tr w14:paraId="2DF91B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61" w:type="dxa"/>
            <w:vMerge w:val="restart"/>
            <w:shd w:val="clear" w:color="auto" w:fill="auto"/>
            <w:noWrap w:val="0"/>
            <w:vAlign w:val="center"/>
          </w:tcPr>
          <w:p w14:paraId="0AA76D4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决策　</w:t>
            </w:r>
          </w:p>
          <w:p w14:paraId="3883D90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14:paraId="6E000FF6">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727" w:type="dxa"/>
            <w:vMerge w:val="restart"/>
            <w:shd w:val="clear" w:color="auto" w:fill="auto"/>
            <w:noWrap w:val="0"/>
            <w:vAlign w:val="center"/>
          </w:tcPr>
          <w:p w14:paraId="431A0B8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项目立项　</w:t>
            </w:r>
          </w:p>
        </w:tc>
        <w:tc>
          <w:tcPr>
            <w:tcW w:w="820" w:type="dxa"/>
            <w:shd w:val="clear" w:color="auto" w:fill="auto"/>
            <w:noWrap w:val="0"/>
            <w:vAlign w:val="center"/>
          </w:tcPr>
          <w:p w14:paraId="4F4C2D5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立项依据</w:t>
            </w:r>
          </w:p>
          <w:p w14:paraId="4DDD635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充分性</w:t>
            </w:r>
          </w:p>
        </w:tc>
        <w:tc>
          <w:tcPr>
            <w:tcW w:w="2141" w:type="dxa"/>
            <w:shd w:val="clear" w:color="auto" w:fill="auto"/>
            <w:noWrap w:val="0"/>
            <w:vAlign w:val="center"/>
          </w:tcPr>
          <w:p w14:paraId="1586FDC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项目立项是否符合法律法规、相关政策、发展规划以及部门职责，用以反映和考核项目立项依据情况。</w:t>
            </w:r>
          </w:p>
        </w:tc>
        <w:tc>
          <w:tcPr>
            <w:tcW w:w="7821" w:type="dxa"/>
            <w:shd w:val="clear" w:color="auto" w:fill="auto"/>
            <w:noWrap w:val="0"/>
            <w:vAlign w:val="center"/>
          </w:tcPr>
          <w:p w14:paraId="7D5EC858">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6D62FD41">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①项目立项是否符合国家法律法规、国民经济发展规划和相关政策；</w:t>
            </w:r>
          </w:p>
          <w:p w14:paraId="5C3220E3">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②项目立项是否符合行业发展规划和政策要求；</w:t>
            </w:r>
          </w:p>
          <w:p w14:paraId="7DDE8F6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③项目立项是否与部门职责范围相符，属于部门履职所需；</w:t>
            </w:r>
          </w:p>
          <w:p w14:paraId="667423F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④项目是否属于公共财政支持范围，是否符合中央、地方事权支出责任划分原则；</w:t>
            </w:r>
          </w:p>
          <w:p w14:paraId="6A59F93C">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⑤项目是否与相关部门同类项目或部门内部相关项目重复。</w:t>
            </w:r>
          </w:p>
        </w:tc>
        <w:tc>
          <w:tcPr>
            <w:tcW w:w="785" w:type="dxa"/>
            <w:shd w:val="clear" w:color="auto" w:fill="auto"/>
            <w:noWrap w:val="0"/>
            <w:vAlign w:val="center"/>
          </w:tcPr>
          <w:p w14:paraId="664A145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6973B08D">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1CB956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shd w:val="clear" w:color="auto" w:fill="auto"/>
            <w:noWrap w:val="0"/>
            <w:vAlign w:val="center"/>
          </w:tcPr>
          <w:p w14:paraId="497BB53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7493923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1EC6F1D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立项程序</w:t>
            </w:r>
          </w:p>
          <w:p w14:paraId="743BBEA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规范性</w:t>
            </w:r>
          </w:p>
        </w:tc>
        <w:tc>
          <w:tcPr>
            <w:tcW w:w="2141" w:type="dxa"/>
            <w:shd w:val="clear" w:color="auto" w:fill="auto"/>
            <w:noWrap w:val="0"/>
            <w:vAlign w:val="center"/>
          </w:tcPr>
          <w:p w14:paraId="207EAF3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项目申请、设立过程是否符合相关要求，用以反映和考核项目立项的规范情况。</w:t>
            </w:r>
          </w:p>
        </w:tc>
        <w:tc>
          <w:tcPr>
            <w:tcW w:w="7821" w:type="dxa"/>
            <w:shd w:val="clear" w:color="auto" w:fill="auto"/>
            <w:noWrap w:val="0"/>
            <w:vAlign w:val="center"/>
          </w:tcPr>
          <w:p w14:paraId="11734AE2">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677371B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①项目是否按照规定的程序申请设立；</w:t>
            </w:r>
          </w:p>
          <w:p w14:paraId="3627257B">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②审批文件、材料是否符合相关要求；</w:t>
            </w:r>
          </w:p>
          <w:p w14:paraId="6CEF6957">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③事前是否已经过必要的可行性研究、专家论证、风险评估、绩效评估、集体决策。</w:t>
            </w:r>
          </w:p>
        </w:tc>
        <w:tc>
          <w:tcPr>
            <w:tcW w:w="785" w:type="dxa"/>
            <w:shd w:val="clear" w:color="auto" w:fill="auto"/>
            <w:noWrap w:val="0"/>
            <w:vAlign w:val="center"/>
          </w:tcPr>
          <w:p w14:paraId="4869362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496EF24A">
            <w:pPr>
              <w:pageBreakBefore w:val="0"/>
              <w:widowControl/>
              <w:kinsoku/>
              <w:wordWrap/>
              <w:overflowPunct/>
              <w:topLinePunct w:val="0"/>
              <w:autoSpaceDE/>
              <w:autoSpaceDN/>
              <w:bidi w:val="0"/>
              <w:spacing w:line="240" w:lineRule="auto"/>
              <w:ind w:firstLine="0" w:firstLineChars="0"/>
              <w:jc w:val="left"/>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2.2</w:t>
            </w:r>
          </w:p>
        </w:tc>
      </w:tr>
      <w:tr w14:paraId="541CC5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5" w:hRule="atLeast"/>
          <w:jc w:val="center"/>
        </w:trPr>
        <w:tc>
          <w:tcPr>
            <w:tcW w:w="861" w:type="dxa"/>
            <w:vMerge w:val="continue"/>
            <w:shd w:val="clear" w:color="auto" w:fill="auto"/>
            <w:noWrap w:val="0"/>
            <w:vAlign w:val="center"/>
          </w:tcPr>
          <w:p w14:paraId="341C43A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2BFFBFF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　</w:t>
            </w:r>
          </w:p>
        </w:tc>
        <w:tc>
          <w:tcPr>
            <w:tcW w:w="820" w:type="dxa"/>
            <w:shd w:val="clear" w:color="auto" w:fill="auto"/>
            <w:noWrap w:val="0"/>
            <w:vAlign w:val="center"/>
          </w:tcPr>
          <w:p w14:paraId="1831AC4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p w14:paraId="5285E53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合理性</w:t>
            </w:r>
          </w:p>
        </w:tc>
        <w:tc>
          <w:tcPr>
            <w:tcW w:w="2141" w:type="dxa"/>
            <w:shd w:val="clear" w:color="auto" w:fill="auto"/>
            <w:noWrap w:val="0"/>
            <w:vAlign w:val="center"/>
          </w:tcPr>
          <w:p w14:paraId="20F8FE1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项目所设定的绩效目标是否依据充分，是否符合客观实际，用以反映和考核项目绩效目标与项目实施的相符情况。</w:t>
            </w:r>
          </w:p>
        </w:tc>
        <w:tc>
          <w:tcPr>
            <w:tcW w:w="7821" w:type="dxa"/>
            <w:shd w:val="clear" w:color="auto" w:fill="auto"/>
            <w:noWrap w:val="0"/>
            <w:vAlign w:val="center"/>
          </w:tcPr>
          <w:p w14:paraId="2347F992">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042D76EA">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（如未设定预算绩效目标，也可考核其他工作任务目标）</w:t>
            </w:r>
          </w:p>
          <w:p w14:paraId="293ACF7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①项目是否有绩效目标；</w:t>
            </w:r>
          </w:p>
          <w:p w14:paraId="7BE83BE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②项目绩效目标与实际工作内容是否具有相关性；</w:t>
            </w:r>
          </w:p>
          <w:p w14:paraId="7061FF1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③项目预期产出效益和效果是否符合正常的业绩水平；</w:t>
            </w:r>
          </w:p>
          <w:p w14:paraId="5B58389A">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④是否与预算确定的项目投资额或资金量相匹配。</w:t>
            </w:r>
          </w:p>
        </w:tc>
        <w:tc>
          <w:tcPr>
            <w:tcW w:w="785" w:type="dxa"/>
            <w:shd w:val="clear" w:color="auto" w:fill="auto"/>
            <w:noWrap w:val="0"/>
            <w:vAlign w:val="center"/>
          </w:tcPr>
          <w:p w14:paraId="64E2BE8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1F7EB63D">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0329D3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61" w:type="dxa"/>
            <w:vMerge w:val="restart"/>
            <w:shd w:val="clear" w:color="auto" w:fill="auto"/>
            <w:noWrap w:val="0"/>
            <w:vAlign w:val="center"/>
          </w:tcPr>
          <w:p w14:paraId="419CF5A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决策　</w:t>
            </w:r>
          </w:p>
        </w:tc>
        <w:tc>
          <w:tcPr>
            <w:tcW w:w="727" w:type="dxa"/>
            <w:shd w:val="clear" w:color="auto" w:fill="auto"/>
            <w:noWrap w:val="0"/>
            <w:vAlign w:val="center"/>
          </w:tcPr>
          <w:p w14:paraId="4E2CA6F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tc>
        <w:tc>
          <w:tcPr>
            <w:tcW w:w="820" w:type="dxa"/>
            <w:shd w:val="clear" w:color="auto" w:fill="auto"/>
            <w:noWrap w:val="0"/>
            <w:vAlign w:val="center"/>
          </w:tcPr>
          <w:p w14:paraId="5FC4120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绩效指标</w:t>
            </w:r>
          </w:p>
          <w:p w14:paraId="26CDCDC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明确性</w:t>
            </w:r>
          </w:p>
        </w:tc>
        <w:tc>
          <w:tcPr>
            <w:tcW w:w="2141" w:type="dxa"/>
            <w:shd w:val="clear" w:color="auto" w:fill="auto"/>
            <w:noWrap w:val="0"/>
            <w:vAlign w:val="center"/>
          </w:tcPr>
          <w:p w14:paraId="2FA2447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依据绩效目标设定的绩效指标是否清晰、细化、可衡量等，用以反映和考核项目绩效目标的明细化情况。</w:t>
            </w:r>
          </w:p>
        </w:tc>
        <w:tc>
          <w:tcPr>
            <w:tcW w:w="7821" w:type="dxa"/>
            <w:shd w:val="clear" w:color="auto" w:fill="auto"/>
            <w:noWrap w:val="0"/>
            <w:vAlign w:val="center"/>
          </w:tcPr>
          <w:p w14:paraId="18D1B9B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1278CFB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①是否将项目绩效目标细化分解为具体的绩效指标；</w:t>
            </w:r>
          </w:p>
          <w:p w14:paraId="72550CD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②是否通过清晰、可衡量的指标值予以体现；</w:t>
            </w:r>
          </w:p>
          <w:p w14:paraId="10EC7FA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③是否与项目目标任务数或计划数相对应。</w:t>
            </w:r>
          </w:p>
          <w:p w14:paraId="4C2CA5F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tc>
        <w:tc>
          <w:tcPr>
            <w:tcW w:w="785" w:type="dxa"/>
            <w:shd w:val="clear" w:color="auto" w:fill="auto"/>
            <w:noWrap w:val="0"/>
            <w:vAlign w:val="center"/>
          </w:tcPr>
          <w:p w14:paraId="5320BD3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0B37593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797C4D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shd w:val="clear" w:color="auto" w:fill="auto"/>
            <w:noWrap w:val="0"/>
            <w:vAlign w:val="center"/>
          </w:tcPr>
          <w:p w14:paraId="6C9025E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3C14345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资金投入</w:t>
            </w:r>
          </w:p>
          <w:p w14:paraId="6EA1E74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820" w:type="dxa"/>
            <w:shd w:val="clear" w:color="auto" w:fill="auto"/>
            <w:noWrap w:val="0"/>
            <w:vAlign w:val="center"/>
          </w:tcPr>
          <w:p w14:paraId="1E305C8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预算编制</w:t>
            </w:r>
          </w:p>
          <w:p w14:paraId="73C8430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科学性</w:t>
            </w:r>
          </w:p>
        </w:tc>
        <w:tc>
          <w:tcPr>
            <w:tcW w:w="2141" w:type="dxa"/>
            <w:shd w:val="clear" w:color="auto" w:fill="auto"/>
            <w:noWrap w:val="0"/>
            <w:vAlign w:val="center"/>
          </w:tcPr>
          <w:p w14:paraId="3BB5DA8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项目预算编制是否经过科学论证、有明确标准，资金额度与年度目标是否相适应，用以反映和考核项目预算编制的科学性、合理性情况。</w:t>
            </w:r>
          </w:p>
        </w:tc>
        <w:tc>
          <w:tcPr>
            <w:tcW w:w="7821" w:type="dxa"/>
            <w:shd w:val="clear" w:color="auto" w:fill="auto"/>
            <w:noWrap w:val="0"/>
            <w:vAlign w:val="center"/>
          </w:tcPr>
          <w:p w14:paraId="0954DC5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614D860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①预算编制是否经过科学论证；</w:t>
            </w:r>
          </w:p>
          <w:p w14:paraId="5C24D77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②预算内容与项目内容是否匹配；</w:t>
            </w:r>
          </w:p>
          <w:p w14:paraId="4C38244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③预算额度测算依据是否充分，是否按照标准编制；</w:t>
            </w:r>
          </w:p>
          <w:p w14:paraId="50E4E31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④预算确定的项目投资额或资金量是否与工作任务相匹配。</w:t>
            </w:r>
          </w:p>
        </w:tc>
        <w:tc>
          <w:tcPr>
            <w:tcW w:w="785" w:type="dxa"/>
            <w:shd w:val="clear" w:color="auto" w:fill="auto"/>
            <w:noWrap w:val="0"/>
            <w:vAlign w:val="center"/>
          </w:tcPr>
          <w:p w14:paraId="7C3D82C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3380313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275EF6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569" w:hRule="atLeast"/>
          <w:jc w:val="center"/>
        </w:trPr>
        <w:tc>
          <w:tcPr>
            <w:tcW w:w="861" w:type="dxa"/>
            <w:vMerge w:val="continue"/>
            <w:shd w:val="clear" w:color="auto" w:fill="auto"/>
            <w:noWrap w:val="0"/>
            <w:vAlign w:val="center"/>
          </w:tcPr>
          <w:p w14:paraId="345D23D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61B7AF7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0083C00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资金分配</w:t>
            </w:r>
          </w:p>
          <w:p w14:paraId="2D093CB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合理性</w:t>
            </w:r>
          </w:p>
        </w:tc>
        <w:tc>
          <w:tcPr>
            <w:tcW w:w="2141" w:type="dxa"/>
            <w:shd w:val="clear" w:color="auto" w:fill="auto"/>
            <w:noWrap w:val="0"/>
            <w:vAlign w:val="center"/>
          </w:tcPr>
          <w:p w14:paraId="4C18F1E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项目预算资金分配是否有测算依据，与补助单位或地方实际是否相适应，用以反映和考核项目预算资金分配的科学性、合理性情况。</w:t>
            </w:r>
          </w:p>
        </w:tc>
        <w:tc>
          <w:tcPr>
            <w:tcW w:w="7821" w:type="dxa"/>
            <w:shd w:val="clear" w:color="auto" w:fill="auto"/>
            <w:noWrap w:val="0"/>
            <w:vAlign w:val="center"/>
          </w:tcPr>
          <w:p w14:paraId="6667E79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3CD770A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①预算资金分配依据是否充分；</w:t>
            </w:r>
          </w:p>
          <w:p w14:paraId="31061D1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②资金分配额度是否合理，与项目单位或地方实际是否相适应。</w:t>
            </w:r>
          </w:p>
        </w:tc>
        <w:tc>
          <w:tcPr>
            <w:tcW w:w="785" w:type="dxa"/>
            <w:shd w:val="clear" w:color="auto" w:fill="auto"/>
            <w:noWrap w:val="0"/>
            <w:vAlign w:val="center"/>
          </w:tcPr>
          <w:p w14:paraId="056EEEA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198F3C0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r>
      <w:tr w14:paraId="29F511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513" w:hRule="atLeast"/>
          <w:jc w:val="center"/>
        </w:trPr>
        <w:tc>
          <w:tcPr>
            <w:tcW w:w="861" w:type="dxa"/>
            <w:vMerge w:val="restart"/>
            <w:shd w:val="clear" w:color="auto" w:fill="auto"/>
            <w:noWrap w:val="0"/>
            <w:vAlign w:val="center"/>
          </w:tcPr>
          <w:p w14:paraId="120FB979">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w:t>
            </w:r>
          </w:p>
        </w:tc>
        <w:tc>
          <w:tcPr>
            <w:tcW w:w="727" w:type="dxa"/>
            <w:vMerge w:val="restart"/>
            <w:shd w:val="clear" w:color="auto" w:fill="auto"/>
            <w:noWrap w:val="0"/>
            <w:vAlign w:val="center"/>
          </w:tcPr>
          <w:p w14:paraId="1459E8F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820" w:type="dxa"/>
            <w:shd w:val="clear" w:color="auto" w:fill="auto"/>
            <w:noWrap w:val="0"/>
            <w:vAlign w:val="center"/>
          </w:tcPr>
          <w:p w14:paraId="03409CF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w:t>
            </w:r>
          </w:p>
        </w:tc>
        <w:tc>
          <w:tcPr>
            <w:tcW w:w="2141" w:type="dxa"/>
            <w:shd w:val="clear" w:color="auto" w:fill="auto"/>
            <w:noWrap w:val="0"/>
            <w:vAlign w:val="center"/>
          </w:tcPr>
          <w:p w14:paraId="540CABA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实际到位资金与预算资金的比率，用以反映和考核资金落实情况对项目实施的总体保障程度。</w:t>
            </w:r>
          </w:p>
        </w:tc>
        <w:tc>
          <w:tcPr>
            <w:tcW w:w="7821" w:type="dxa"/>
            <w:shd w:val="clear" w:color="auto" w:fill="auto"/>
            <w:noWrap w:val="0"/>
            <w:vAlign w:val="center"/>
          </w:tcPr>
          <w:p w14:paraId="428D4A4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w:t>
            </w:r>
          </w:p>
          <w:p w14:paraId="5580A35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实际到位资金/预算资金）×100%。</w:t>
            </w:r>
          </w:p>
          <w:p w14:paraId="651215F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实际到位资金：一定时期（本年度或项目期）内落实到具体项目的资金。</w:t>
            </w:r>
          </w:p>
          <w:p w14:paraId="207DB30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预算资金：一定时期（本年度或项目期）内预算安排到具体项目的资金。</w:t>
            </w:r>
          </w:p>
        </w:tc>
        <w:tc>
          <w:tcPr>
            <w:tcW w:w="785" w:type="dxa"/>
            <w:shd w:val="clear" w:color="auto" w:fill="auto"/>
            <w:noWrap w:val="0"/>
            <w:vAlign w:val="center"/>
          </w:tcPr>
          <w:p w14:paraId="4CC77F2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4DC720C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421513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118" w:hRule="atLeast"/>
          <w:jc w:val="center"/>
        </w:trPr>
        <w:tc>
          <w:tcPr>
            <w:tcW w:w="861" w:type="dxa"/>
            <w:vMerge w:val="continue"/>
            <w:shd w:val="clear" w:color="auto" w:fill="auto"/>
            <w:noWrap w:val="0"/>
            <w:vAlign w:val="center"/>
          </w:tcPr>
          <w:p w14:paraId="0E337CA9">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1D5EC876">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5C82E77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预算执行率</w:t>
            </w:r>
          </w:p>
        </w:tc>
        <w:tc>
          <w:tcPr>
            <w:tcW w:w="2141" w:type="dxa"/>
            <w:shd w:val="clear" w:color="auto" w:fill="auto"/>
            <w:noWrap w:val="0"/>
            <w:vAlign w:val="center"/>
          </w:tcPr>
          <w:p w14:paraId="55EC0A0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项目预算资金是否按照计划执行，用以反映或考核项目预算执行情况。</w:t>
            </w:r>
          </w:p>
        </w:tc>
        <w:tc>
          <w:tcPr>
            <w:tcW w:w="7821" w:type="dxa"/>
            <w:shd w:val="clear" w:color="auto" w:fill="auto"/>
            <w:noWrap w:val="0"/>
            <w:vAlign w:val="center"/>
          </w:tcPr>
          <w:p w14:paraId="765EAF9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预算执行率=（实际支出资金/实际到位资金）×100%。</w:t>
            </w:r>
          </w:p>
          <w:p w14:paraId="567500F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实际支出资金：一定时期（本年度或项目期）内项目实际拨付的资金。</w:t>
            </w:r>
          </w:p>
        </w:tc>
        <w:tc>
          <w:tcPr>
            <w:tcW w:w="785" w:type="dxa"/>
            <w:shd w:val="clear" w:color="auto" w:fill="auto"/>
            <w:noWrap w:val="0"/>
            <w:vAlign w:val="center"/>
          </w:tcPr>
          <w:p w14:paraId="1CC4F87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59A672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610E65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670" w:hRule="atLeast"/>
          <w:jc w:val="center"/>
        </w:trPr>
        <w:tc>
          <w:tcPr>
            <w:tcW w:w="861" w:type="dxa"/>
            <w:vMerge w:val="restart"/>
            <w:shd w:val="clear" w:color="auto" w:fill="auto"/>
            <w:noWrap w:val="0"/>
            <w:vAlign w:val="center"/>
          </w:tcPr>
          <w:p w14:paraId="600C118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14:paraId="12DF9F8E">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　</w:t>
            </w:r>
          </w:p>
        </w:tc>
        <w:tc>
          <w:tcPr>
            <w:tcW w:w="727" w:type="dxa"/>
            <w:shd w:val="clear" w:color="auto" w:fill="auto"/>
            <w:noWrap w:val="0"/>
            <w:vAlign w:val="center"/>
          </w:tcPr>
          <w:p w14:paraId="7FD360D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820" w:type="dxa"/>
            <w:shd w:val="clear" w:color="auto" w:fill="auto"/>
            <w:noWrap w:val="0"/>
            <w:vAlign w:val="center"/>
          </w:tcPr>
          <w:p w14:paraId="42F8511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资金使用</w:t>
            </w:r>
          </w:p>
          <w:p w14:paraId="2425AB1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合规性</w:t>
            </w:r>
          </w:p>
        </w:tc>
        <w:tc>
          <w:tcPr>
            <w:tcW w:w="2141" w:type="dxa"/>
            <w:shd w:val="clear" w:color="auto" w:fill="auto"/>
            <w:noWrap w:val="0"/>
            <w:vAlign w:val="center"/>
          </w:tcPr>
          <w:p w14:paraId="0274879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项目资金使用是否符合相关的财务管理制度规定，用以反映和考核项目资金的规范运行情况。</w:t>
            </w:r>
          </w:p>
        </w:tc>
        <w:tc>
          <w:tcPr>
            <w:tcW w:w="7821" w:type="dxa"/>
            <w:shd w:val="clear" w:color="auto" w:fill="auto"/>
            <w:noWrap w:val="0"/>
            <w:vAlign w:val="center"/>
          </w:tcPr>
          <w:p w14:paraId="44289AB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4893533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①是否符合国家财经法规和财务管理制度以及有关专项资金管理办法的规定；</w:t>
            </w:r>
          </w:p>
          <w:p w14:paraId="2A36836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②资金的拨付是否有完整的审批程序和手续；</w:t>
            </w:r>
          </w:p>
          <w:p w14:paraId="401780A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③是否符合项目预算批复或合同规定的用途；</w:t>
            </w:r>
          </w:p>
          <w:p w14:paraId="1189F32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④是否存在截留、挤占、挪用、虚列支出等情况。</w:t>
            </w:r>
          </w:p>
        </w:tc>
        <w:tc>
          <w:tcPr>
            <w:tcW w:w="785" w:type="dxa"/>
            <w:shd w:val="clear" w:color="auto" w:fill="auto"/>
            <w:noWrap w:val="0"/>
            <w:vAlign w:val="center"/>
          </w:tcPr>
          <w:p w14:paraId="69B4B5A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0C96D1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1FD4B7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797" w:hRule="atLeast"/>
          <w:jc w:val="center"/>
        </w:trPr>
        <w:tc>
          <w:tcPr>
            <w:tcW w:w="861" w:type="dxa"/>
            <w:vMerge w:val="continue"/>
            <w:shd w:val="clear" w:color="auto" w:fill="auto"/>
            <w:noWrap w:val="0"/>
            <w:vAlign w:val="center"/>
          </w:tcPr>
          <w:p w14:paraId="17507A7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589A929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组织实施</w:t>
            </w:r>
          </w:p>
          <w:p w14:paraId="694FFE5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820" w:type="dxa"/>
            <w:shd w:val="clear" w:color="auto" w:fill="auto"/>
            <w:noWrap w:val="0"/>
            <w:vAlign w:val="center"/>
          </w:tcPr>
          <w:p w14:paraId="09A8CD0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管理制度</w:t>
            </w:r>
          </w:p>
          <w:p w14:paraId="0B2428E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健全性</w:t>
            </w:r>
          </w:p>
        </w:tc>
        <w:tc>
          <w:tcPr>
            <w:tcW w:w="2141" w:type="dxa"/>
            <w:shd w:val="clear" w:color="auto" w:fill="auto"/>
            <w:noWrap w:val="0"/>
            <w:vAlign w:val="center"/>
          </w:tcPr>
          <w:p w14:paraId="13CD088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项目实施单位的财务和业务管理制度是否健全，用以反映和考核财务和业务管理制度对项目顺利实施的保障情况。</w:t>
            </w:r>
          </w:p>
        </w:tc>
        <w:tc>
          <w:tcPr>
            <w:tcW w:w="7821" w:type="dxa"/>
            <w:shd w:val="clear" w:color="auto" w:fill="auto"/>
            <w:noWrap w:val="0"/>
            <w:vAlign w:val="center"/>
          </w:tcPr>
          <w:p w14:paraId="5A94F10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50F00A5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①是否已制定或具有相应的财务和业务管理制度；</w:t>
            </w:r>
          </w:p>
          <w:p w14:paraId="7FB55A8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②财务和业务管理制度是否合法、合规、完整。</w:t>
            </w:r>
          </w:p>
        </w:tc>
        <w:tc>
          <w:tcPr>
            <w:tcW w:w="785" w:type="dxa"/>
            <w:shd w:val="clear" w:color="auto" w:fill="auto"/>
            <w:noWrap w:val="0"/>
            <w:vAlign w:val="center"/>
          </w:tcPr>
          <w:p w14:paraId="40CFE84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2AA6DBE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262B36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687" w:hRule="atLeast"/>
          <w:jc w:val="center"/>
        </w:trPr>
        <w:tc>
          <w:tcPr>
            <w:tcW w:w="861" w:type="dxa"/>
            <w:vMerge w:val="continue"/>
            <w:shd w:val="clear" w:color="auto" w:fill="auto"/>
            <w:noWrap w:val="0"/>
            <w:vAlign w:val="center"/>
          </w:tcPr>
          <w:p w14:paraId="4A262D7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7671EF0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2312247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制度执行</w:t>
            </w:r>
          </w:p>
          <w:p w14:paraId="41978BB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有效性</w:t>
            </w:r>
          </w:p>
        </w:tc>
        <w:tc>
          <w:tcPr>
            <w:tcW w:w="2141" w:type="dxa"/>
            <w:shd w:val="clear" w:color="auto" w:fill="auto"/>
            <w:noWrap w:val="0"/>
            <w:vAlign w:val="center"/>
          </w:tcPr>
          <w:p w14:paraId="78414BC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项目实施是否符合相关管理规定，用以反映和考核相关管理制度的有效执行情况。</w:t>
            </w:r>
          </w:p>
        </w:tc>
        <w:tc>
          <w:tcPr>
            <w:tcW w:w="7821" w:type="dxa"/>
            <w:shd w:val="clear" w:color="auto" w:fill="auto"/>
            <w:noWrap w:val="0"/>
            <w:vAlign w:val="center"/>
          </w:tcPr>
          <w:p w14:paraId="5553CC8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4C73F5A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①是否遵守相关法律法规和相关管理规定；</w:t>
            </w:r>
          </w:p>
          <w:p w14:paraId="462CBBB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②项目调整及支出调整手续是否完备；</w:t>
            </w:r>
          </w:p>
          <w:p w14:paraId="0BA94E4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③项目合同书、验收报告、技术鉴定等资料是否齐全并及时归档；</w:t>
            </w:r>
          </w:p>
          <w:p w14:paraId="079887B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④项目实施的人员条件、场地设备、信息支撑等是否落实到位。</w:t>
            </w:r>
          </w:p>
        </w:tc>
        <w:tc>
          <w:tcPr>
            <w:tcW w:w="785" w:type="dxa"/>
            <w:shd w:val="clear" w:color="auto" w:fill="auto"/>
            <w:noWrap w:val="0"/>
            <w:vAlign w:val="center"/>
          </w:tcPr>
          <w:p w14:paraId="7F1F31E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F28566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55BA83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71E5BB5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shd w:val="clear" w:color="auto" w:fill="auto"/>
            <w:noWrap w:val="0"/>
            <w:vAlign w:val="center"/>
          </w:tcPr>
          <w:p w14:paraId="652F222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产出数量</w:t>
            </w:r>
          </w:p>
        </w:tc>
        <w:tc>
          <w:tcPr>
            <w:tcW w:w="820" w:type="dxa"/>
            <w:shd w:val="clear" w:color="auto" w:fill="auto"/>
            <w:noWrap w:val="0"/>
            <w:vAlign w:val="center"/>
          </w:tcPr>
          <w:p w14:paraId="2CDB5AB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在校学生人数</w:t>
            </w:r>
          </w:p>
        </w:tc>
        <w:tc>
          <w:tcPr>
            <w:tcW w:w="2141" w:type="dxa"/>
            <w:shd w:val="clear" w:color="auto" w:fill="auto"/>
            <w:noWrap w:val="0"/>
            <w:vAlign w:val="center"/>
          </w:tcPr>
          <w:p w14:paraId="48E82B5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7DE49C9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70302B7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3DD3697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5C2A50F1">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7</w:t>
            </w:r>
          </w:p>
        </w:tc>
        <w:tc>
          <w:tcPr>
            <w:tcW w:w="769" w:type="dxa"/>
            <w:shd w:val="clear" w:color="auto" w:fill="auto"/>
            <w:noWrap w:val="0"/>
            <w:vAlign w:val="center"/>
          </w:tcPr>
          <w:p w14:paraId="22131F65">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6.34</w:t>
            </w:r>
          </w:p>
        </w:tc>
      </w:tr>
      <w:tr w14:paraId="467A13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1474767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shd w:val="clear" w:color="auto" w:fill="auto"/>
            <w:noWrap w:val="0"/>
            <w:vAlign w:val="center"/>
          </w:tcPr>
          <w:p w14:paraId="08B479C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15BA3A9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2141" w:type="dxa"/>
            <w:shd w:val="clear" w:color="auto" w:fill="auto"/>
            <w:noWrap w:val="0"/>
            <w:vAlign w:val="center"/>
          </w:tcPr>
          <w:p w14:paraId="5A12707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p>
        </w:tc>
        <w:tc>
          <w:tcPr>
            <w:tcW w:w="7821" w:type="dxa"/>
            <w:shd w:val="clear" w:color="auto" w:fill="auto"/>
            <w:noWrap w:val="0"/>
            <w:vAlign w:val="center"/>
          </w:tcPr>
          <w:p w14:paraId="4945FFA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p>
        </w:tc>
        <w:tc>
          <w:tcPr>
            <w:tcW w:w="785" w:type="dxa"/>
            <w:shd w:val="clear" w:color="auto" w:fill="auto"/>
            <w:noWrap w:val="0"/>
            <w:vAlign w:val="center"/>
          </w:tcPr>
          <w:p w14:paraId="2B4BE1F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p>
        </w:tc>
        <w:tc>
          <w:tcPr>
            <w:tcW w:w="769" w:type="dxa"/>
            <w:shd w:val="clear" w:color="auto" w:fill="auto"/>
            <w:noWrap w:val="0"/>
            <w:vAlign w:val="center"/>
          </w:tcPr>
          <w:p w14:paraId="57E6AEE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p>
        </w:tc>
      </w:tr>
      <w:tr w14:paraId="55EFD1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53" w:hRule="atLeast"/>
          <w:jc w:val="center"/>
        </w:trPr>
        <w:tc>
          <w:tcPr>
            <w:tcW w:w="861" w:type="dxa"/>
            <w:vMerge w:val="restart"/>
            <w:shd w:val="clear" w:color="auto" w:fill="auto"/>
            <w:noWrap w:val="0"/>
            <w:vAlign w:val="center"/>
          </w:tcPr>
          <w:p w14:paraId="7BA9CEA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vMerge w:val="restart"/>
            <w:shd w:val="clear" w:color="auto" w:fill="auto"/>
            <w:noWrap w:val="0"/>
            <w:vAlign w:val="center"/>
          </w:tcPr>
          <w:p w14:paraId="11C4755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产出质量</w:t>
            </w:r>
          </w:p>
        </w:tc>
        <w:tc>
          <w:tcPr>
            <w:tcW w:w="820" w:type="dxa"/>
            <w:shd w:val="clear" w:color="auto" w:fill="auto"/>
            <w:noWrap w:val="0"/>
            <w:vAlign w:val="center"/>
          </w:tcPr>
          <w:p w14:paraId="46B8F36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公用经费享受比例</w:t>
            </w:r>
          </w:p>
        </w:tc>
        <w:tc>
          <w:tcPr>
            <w:tcW w:w="2141" w:type="dxa"/>
            <w:shd w:val="clear" w:color="auto" w:fill="auto"/>
            <w:noWrap w:val="0"/>
            <w:vAlign w:val="center"/>
          </w:tcPr>
          <w:p w14:paraId="1F648E3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69F09A3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14:paraId="0EC4F1D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51648BF7">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6</w:t>
            </w:r>
          </w:p>
        </w:tc>
        <w:tc>
          <w:tcPr>
            <w:tcW w:w="769" w:type="dxa"/>
            <w:shd w:val="clear" w:color="auto" w:fill="auto"/>
            <w:noWrap w:val="0"/>
            <w:vAlign w:val="center"/>
          </w:tcPr>
          <w:p w14:paraId="6B11F408">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6</w:t>
            </w:r>
          </w:p>
        </w:tc>
      </w:tr>
      <w:tr w14:paraId="616401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53" w:hRule="atLeast"/>
          <w:jc w:val="center"/>
        </w:trPr>
        <w:tc>
          <w:tcPr>
            <w:tcW w:w="861" w:type="dxa"/>
            <w:vMerge w:val="continue"/>
            <w:shd w:val="clear" w:color="auto" w:fill="auto"/>
            <w:noWrap w:val="0"/>
            <w:vAlign w:val="center"/>
          </w:tcPr>
          <w:p w14:paraId="5F2570E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04910E1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0D50A3C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教师培训结业率</w:t>
            </w:r>
          </w:p>
        </w:tc>
        <w:tc>
          <w:tcPr>
            <w:tcW w:w="2141" w:type="dxa"/>
            <w:shd w:val="clear" w:color="auto" w:fill="auto"/>
            <w:noWrap w:val="0"/>
            <w:vAlign w:val="center"/>
          </w:tcPr>
          <w:p w14:paraId="01A742F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286588E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14:paraId="0A55F34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0FDBB12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7</w:t>
            </w:r>
          </w:p>
        </w:tc>
        <w:tc>
          <w:tcPr>
            <w:tcW w:w="769" w:type="dxa"/>
            <w:shd w:val="clear" w:color="auto" w:fill="auto"/>
            <w:noWrap w:val="0"/>
            <w:vAlign w:val="center"/>
          </w:tcPr>
          <w:p w14:paraId="7EC3CAD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7</w:t>
            </w:r>
          </w:p>
        </w:tc>
      </w:tr>
      <w:tr w14:paraId="44FEBD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14:paraId="533D5712">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6B3931E5">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产出时效</w:t>
            </w:r>
          </w:p>
        </w:tc>
        <w:tc>
          <w:tcPr>
            <w:tcW w:w="820" w:type="dxa"/>
            <w:shd w:val="clear" w:color="auto" w:fill="auto"/>
            <w:noWrap w:val="0"/>
            <w:vAlign w:val="center"/>
          </w:tcPr>
          <w:p w14:paraId="5EC05A9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公用经费支出及时率</w:t>
            </w:r>
          </w:p>
        </w:tc>
        <w:tc>
          <w:tcPr>
            <w:tcW w:w="2141" w:type="dxa"/>
            <w:shd w:val="clear" w:color="auto" w:fill="auto"/>
            <w:noWrap w:val="0"/>
            <w:vAlign w:val="center"/>
          </w:tcPr>
          <w:p w14:paraId="7F5B80B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项目实际完成时间与计划完成时间的比较，用以反映和考核项目产出时效目标的实现程度。</w:t>
            </w:r>
          </w:p>
        </w:tc>
        <w:tc>
          <w:tcPr>
            <w:tcW w:w="7821" w:type="dxa"/>
            <w:shd w:val="clear" w:color="auto" w:fill="auto"/>
            <w:noWrap w:val="0"/>
            <w:vAlign w:val="center"/>
          </w:tcPr>
          <w:p w14:paraId="7648847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实际完成时间：项目实施单位完成该项目实际所耗用的时间。</w:t>
            </w:r>
          </w:p>
          <w:p w14:paraId="62B8F14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计划完成时间：按照项目实施计划或相关规定完成该项目所需的时间。</w:t>
            </w:r>
          </w:p>
        </w:tc>
        <w:tc>
          <w:tcPr>
            <w:tcW w:w="785" w:type="dxa"/>
            <w:shd w:val="clear" w:color="auto" w:fill="auto"/>
            <w:noWrap w:val="0"/>
            <w:vAlign w:val="center"/>
          </w:tcPr>
          <w:p w14:paraId="15F97BEF">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0D6DCD24">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r>
      <w:tr w14:paraId="1981FF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076" w:hRule="atLeast"/>
          <w:jc w:val="center"/>
        </w:trPr>
        <w:tc>
          <w:tcPr>
            <w:tcW w:w="861" w:type="dxa"/>
            <w:vMerge w:val="continue"/>
            <w:shd w:val="clear" w:color="auto" w:fill="auto"/>
            <w:noWrap w:val="0"/>
            <w:vAlign w:val="center"/>
          </w:tcPr>
          <w:p w14:paraId="177D41F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58636F2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产出成本</w:t>
            </w:r>
          </w:p>
        </w:tc>
        <w:tc>
          <w:tcPr>
            <w:tcW w:w="820" w:type="dxa"/>
            <w:shd w:val="clear" w:color="auto" w:fill="auto"/>
            <w:noWrap w:val="0"/>
            <w:vAlign w:val="center"/>
          </w:tcPr>
          <w:p w14:paraId="6654C87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成本节约率</w:t>
            </w:r>
          </w:p>
        </w:tc>
        <w:tc>
          <w:tcPr>
            <w:tcW w:w="2141" w:type="dxa"/>
            <w:shd w:val="clear" w:color="auto" w:fill="auto"/>
            <w:noWrap w:val="0"/>
            <w:vAlign w:val="center"/>
          </w:tcPr>
          <w:p w14:paraId="465D756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689FB6B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p w14:paraId="28E786C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5E824F1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657CABB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4F3172EB">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4C425BE0">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r>
      <w:tr w14:paraId="397A75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03" w:hRule="atLeast"/>
          <w:jc w:val="center"/>
        </w:trPr>
        <w:tc>
          <w:tcPr>
            <w:tcW w:w="861" w:type="dxa"/>
            <w:vMerge w:val="restart"/>
            <w:shd w:val="clear" w:color="auto" w:fill="auto"/>
            <w:noWrap w:val="0"/>
            <w:vAlign w:val="center"/>
          </w:tcPr>
          <w:p w14:paraId="75424F1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效益　</w:t>
            </w:r>
          </w:p>
        </w:tc>
        <w:tc>
          <w:tcPr>
            <w:tcW w:w="727" w:type="dxa"/>
            <w:vMerge w:val="restart"/>
            <w:shd w:val="clear" w:color="auto" w:fill="auto"/>
            <w:noWrap w:val="0"/>
            <w:vAlign w:val="center"/>
          </w:tcPr>
          <w:p w14:paraId="7946743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项目效益　</w:t>
            </w:r>
          </w:p>
        </w:tc>
        <w:tc>
          <w:tcPr>
            <w:tcW w:w="820" w:type="dxa"/>
            <w:shd w:val="clear" w:color="auto" w:fill="auto"/>
            <w:noWrap w:val="0"/>
            <w:vAlign w:val="center"/>
          </w:tcPr>
          <w:p w14:paraId="7F7BC3F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幼儿园正常运转率</w:t>
            </w:r>
          </w:p>
        </w:tc>
        <w:tc>
          <w:tcPr>
            <w:tcW w:w="2141" w:type="dxa"/>
            <w:shd w:val="clear" w:color="auto" w:fill="auto"/>
            <w:noWrap w:val="0"/>
            <w:vAlign w:val="center"/>
          </w:tcPr>
          <w:p w14:paraId="1DBD20E0">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项目实施所产生的效益。</w:t>
            </w:r>
          </w:p>
        </w:tc>
        <w:tc>
          <w:tcPr>
            <w:tcW w:w="7821" w:type="dxa"/>
            <w:shd w:val="clear" w:color="auto" w:fill="auto"/>
            <w:noWrap w:val="0"/>
            <w:vAlign w:val="center"/>
          </w:tcPr>
          <w:p w14:paraId="7156944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38EF4FC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7E03756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1CE611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03" w:hRule="atLeast"/>
          <w:jc w:val="center"/>
        </w:trPr>
        <w:tc>
          <w:tcPr>
            <w:tcW w:w="861" w:type="dxa"/>
            <w:vMerge w:val="continue"/>
            <w:shd w:val="clear" w:color="auto" w:fill="auto"/>
            <w:noWrap w:val="0"/>
            <w:vAlign w:val="center"/>
          </w:tcPr>
          <w:p w14:paraId="05C0FC2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2EA9C2B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1AE91E6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改善教学环境，提供良好的学生成长条件</w:t>
            </w:r>
          </w:p>
        </w:tc>
        <w:tc>
          <w:tcPr>
            <w:tcW w:w="2141" w:type="dxa"/>
            <w:shd w:val="clear" w:color="auto" w:fill="auto"/>
            <w:noWrap w:val="0"/>
            <w:vAlign w:val="center"/>
          </w:tcPr>
          <w:p w14:paraId="4318649B">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项目实施所产生的效益。</w:t>
            </w:r>
          </w:p>
        </w:tc>
        <w:tc>
          <w:tcPr>
            <w:tcW w:w="7821" w:type="dxa"/>
            <w:shd w:val="clear" w:color="auto" w:fill="auto"/>
            <w:noWrap w:val="0"/>
            <w:vAlign w:val="center"/>
          </w:tcPr>
          <w:p w14:paraId="3FC1EB4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3C880E5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7</w:t>
            </w:r>
          </w:p>
        </w:tc>
        <w:tc>
          <w:tcPr>
            <w:tcW w:w="769" w:type="dxa"/>
            <w:shd w:val="clear" w:color="auto" w:fill="auto"/>
            <w:noWrap w:val="0"/>
            <w:vAlign w:val="center"/>
          </w:tcPr>
          <w:p w14:paraId="5F4DBF8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7</w:t>
            </w:r>
          </w:p>
        </w:tc>
      </w:tr>
      <w:tr w14:paraId="254513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shd w:val="clear" w:color="auto" w:fill="auto"/>
            <w:noWrap w:val="0"/>
            <w:vAlign w:val="center"/>
          </w:tcPr>
          <w:p w14:paraId="1D9CAF4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5BEB845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3C7A238C">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师生满意度</w:t>
            </w:r>
          </w:p>
        </w:tc>
        <w:tc>
          <w:tcPr>
            <w:tcW w:w="2141" w:type="dxa"/>
            <w:shd w:val="clear" w:color="auto" w:fill="auto"/>
            <w:noWrap w:val="0"/>
            <w:vAlign w:val="center"/>
          </w:tcPr>
          <w:p w14:paraId="3BB5B0B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社会公众或服务对象对项目实施效果的满意程度。</w:t>
            </w:r>
          </w:p>
        </w:tc>
        <w:tc>
          <w:tcPr>
            <w:tcW w:w="7821" w:type="dxa"/>
            <w:shd w:val="clear" w:color="auto" w:fill="auto"/>
            <w:noWrap w:val="0"/>
            <w:vAlign w:val="center"/>
          </w:tcPr>
          <w:p w14:paraId="15A8964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社会公众或服务对象是指因该项目实施而受到影响的部门（单位）、群体或个人。一般采取社会调查的方式。</w:t>
            </w:r>
          </w:p>
        </w:tc>
        <w:tc>
          <w:tcPr>
            <w:tcW w:w="785" w:type="dxa"/>
            <w:shd w:val="clear" w:color="auto" w:fill="auto"/>
            <w:noWrap w:val="0"/>
            <w:vAlign w:val="center"/>
          </w:tcPr>
          <w:p w14:paraId="1C6D104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8</w:t>
            </w:r>
          </w:p>
        </w:tc>
        <w:tc>
          <w:tcPr>
            <w:tcW w:w="769" w:type="dxa"/>
            <w:shd w:val="clear" w:color="auto" w:fill="auto"/>
            <w:noWrap w:val="0"/>
            <w:vAlign w:val="center"/>
          </w:tcPr>
          <w:p w14:paraId="1CB4A0E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8</w:t>
            </w:r>
          </w:p>
        </w:tc>
      </w:tr>
      <w:tr w14:paraId="0ED1CB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17" w:hRule="atLeast"/>
          <w:jc w:val="center"/>
        </w:trPr>
        <w:tc>
          <w:tcPr>
            <w:tcW w:w="4549" w:type="dxa"/>
            <w:gridSpan w:val="4"/>
            <w:shd w:val="clear" w:color="auto" w:fill="auto"/>
            <w:noWrap w:val="0"/>
            <w:vAlign w:val="center"/>
          </w:tcPr>
          <w:p w14:paraId="1E76966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lang w:val="en-US" w:eastAsia="zh-CN"/>
              </w:rPr>
              <w:t>合计</w:t>
            </w:r>
          </w:p>
        </w:tc>
        <w:tc>
          <w:tcPr>
            <w:tcW w:w="7821" w:type="dxa"/>
            <w:shd w:val="clear" w:color="auto" w:fill="auto"/>
            <w:noWrap w:val="0"/>
            <w:vAlign w:val="center"/>
          </w:tcPr>
          <w:p w14:paraId="4922E00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p>
        </w:tc>
        <w:tc>
          <w:tcPr>
            <w:tcW w:w="785" w:type="dxa"/>
            <w:shd w:val="clear" w:color="auto" w:fill="auto"/>
            <w:noWrap w:val="0"/>
            <w:vAlign w:val="center"/>
          </w:tcPr>
          <w:p w14:paraId="37EC41E2">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100</w:t>
            </w:r>
          </w:p>
        </w:tc>
        <w:tc>
          <w:tcPr>
            <w:tcW w:w="769" w:type="dxa"/>
            <w:shd w:val="clear" w:color="auto" w:fill="auto"/>
            <w:noWrap w:val="0"/>
            <w:vAlign w:val="center"/>
          </w:tcPr>
          <w:p w14:paraId="6AFA488C">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98.54</w:t>
            </w:r>
          </w:p>
        </w:tc>
      </w:tr>
    </w:tbl>
    <w:p w14:paraId="56364112">
      <w:pPr>
        <w:pageBreakBefore w:val="0"/>
        <w:kinsoku/>
        <w:wordWrap/>
        <w:overflowPunct/>
        <w:topLinePunct w:val="0"/>
        <w:autoSpaceDE/>
        <w:autoSpaceDN/>
        <w:bidi w:val="0"/>
        <w:spacing w:line="560" w:lineRule="exact"/>
        <w:ind w:firstLine="0" w:firstLineChars="0"/>
        <w:textAlignment w:val="auto"/>
        <w:rPr>
          <w:rFonts w:ascii="Times New Roman" w:hAnsi="Times New Roman" w:eastAsia="仿宋_GB2312" w:cs="Times New Roman"/>
          <w:color w:val="auto"/>
          <w:sz w:val="30"/>
          <w:szCs w:val="24"/>
          <w:highlight w:val="none"/>
        </w:rPr>
      </w:pPr>
    </w:p>
    <w:p w14:paraId="336B3C9F">
      <w:pPr>
        <w:pageBreakBefore w:val="0"/>
        <w:kinsoku/>
        <w:wordWrap/>
        <w:overflowPunct/>
        <w:topLinePunct w:val="0"/>
        <w:autoSpaceDE/>
        <w:autoSpaceDN/>
        <w:bidi w:val="0"/>
        <w:spacing w:line="560" w:lineRule="exact"/>
        <w:textAlignment w:val="auto"/>
        <w:rPr>
          <w:rFonts w:hint="default"/>
          <w:color w:val="auto"/>
          <w:highlight w:val="none"/>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2010609030101010101"/>
    <w:charset w:val="86"/>
    <w:family w:val="auto"/>
    <w:pitch w:val="default"/>
    <w:sig w:usb0="00000000" w:usb1="00000000" w:usb2="00000000" w:usb3="00000000" w:csb0="00040000" w:csb1="00000000"/>
  </w:font>
  <w:font w:name="方正仿宋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583D0">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783C5A">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4783C5A">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78D0DE69"/>
    <w:multiLevelType w:val="singleLevel"/>
    <w:tmpl w:val="78D0DE69"/>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ZTAzNzU1YTMxMTkxNjU2ZDE5MmUzYjgzNzAyMTcifQ=="/>
  </w:docVars>
  <w:rsids>
    <w:rsidRoot w:val="68291A1A"/>
    <w:rsid w:val="007D6A04"/>
    <w:rsid w:val="00E23C81"/>
    <w:rsid w:val="01253350"/>
    <w:rsid w:val="01282E62"/>
    <w:rsid w:val="014029CF"/>
    <w:rsid w:val="01470C4C"/>
    <w:rsid w:val="014F6641"/>
    <w:rsid w:val="01C25065"/>
    <w:rsid w:val="0204742C"/>
    <w:rsid w:val="02200440"/>
    <w:rsid w:val="02284B43"/>
    <w:rsid w:val="025263E9"/>
    <w:rsid w:val="02532161"/>
    <w:rsid w:val="02B015E2"/>
    <w:rsid w:val="02DC08FA"/>
    <w:rsid w:val="02FF5E45"/>
    <w:rsid w:val="033B569D"/>
    <w:rsid w:val="03457CFC"/>
    <w:rsid w:val="03806F86"/>
    <w:rsid w:val="039C3BA0"/>
    <w:rsid w:val="03A845BB"/>
    <w:rsid w:val="03B45AD1"/>
    <w:rsid w:val="046046C1"/>
    <w:rsid w:val="04832134"/>
    <w:rsid w:val="049F343C"/>
    <w:rsid w:val="04D12EE4"/>
    <w:rsid w:val="04D63993"/>
    <w:rsid w:val="060E6ACB"/>
    <w:rsid w:val="06C90C44"/>
    <w:rsid w:val="06FC2DC7"/>
    <w:rsid w:val="071E0F8F"/>
    <w:rsid w:val="07837CEF"/>
    <w:rsid w:val="07890F4F"/>
    <w:rsid w:val="08046B82"/>
    <w:rsid w:val="080C0DE8"/>
    <w:rsid w:val="0865499C"/>
    <w:rsid w:val="08892439"/>
    <w:rsid w:val="08EB30F3"/>
    <w:rsid w:val="09237408"/>
    <w:rsid w:val="09594501"/>
    <w:rsid w:val="09781BD6"/>
    <w:rsid w:val="09D771D4"/>
    <w:rsid w:val="09F359DF"/>
    <w:rsid w:val="0A5371A2"/>
    <w:rsid w:val="0A575E65"/>
    <w:rsid w:val="0ABF65E6"/>
    <w:rsid w:val="0ACA0AB6"/>
    <w:rsid w:val="0B2E72C7"/>
    <w:rsid w:val="0BB35A1E"/>
    <w:rsid w:val="0BC86E4F"/>
    <w:rsid w:val="0C032502"/>
    <w:rsid w:val="0C27698C"/>
    <w:rsid w:val="0D4452F3"/>
    <w:rsid w:val="0D6D057B"/>
    <w:rsid w:val="0E4018D9"/>
    <w:rsid w:val="0EA77ABC"/>
    <w:rsid w:val="0ED14B39"/>
    <w:rsid w:val="0F0767AD"/>
    <w:rsid w:val="0F2C7FC2"/>
    <w:rsid w:val="0F5E5042"/>
    <w:rsid w:val="0FE95707"/>
    <w:rsid w:val="10510571"/>
    <w:rsid w:val="107439CE"/>
    <w:rsid w:val="10787A20"/>
    <w:rsid w:val="108672DE"/>
    <w:rsid w:val="10EC685A"/>
    <w:rsid w:val="10F90377"/>
    <w:rsid w:val="11812847"/>
    <w:rsid w:val="11FA6155"/>
    <w:rsid w:val="12CF0947"/>
    <w:rsid w:val="12E806A4"/>
    <w:rsid w:val="12F1313F"/>
    <w:rsid w:val="13201BEB"/>
    <w:rsid w:val="13645F7C"/>
    <w:rsid w:val="136C678E"/>
    <w:rsid w:val="13EB2FF5"/>
    <w:rsid w:val="14ED4CAC"/>
    <w:rsid w:val="15A46B04"/>
    <w:rsid w:val="15E6711C"/>
    <w:rsid w:val="16464618"/>
    <w:rsid w:val="165825BC"/>
    <w:rsid w:val="169528F0"/>
    <w:rsid w:val="16BC5D73"/>
    <w:rsid w:val="16F74821"/>
    <w:rsid w:val="176F36D7"/>
    <w:rsid w:val="1795226D"/>
    <w:rsid w:val="179901BE"/>
    <w:rsid w:val="17BD20FF"/>
    <w:rsid w:val="17FD24FB"/>
    <w:rsid w:val="18456B1E"/>
    <w:rsid w:val="18820C52"/>
    <w:rsid w:val="18DD5C74"/>
    <w:rsid w:val="195919B3"/>
    <w:rsid w:val="1968587F"/>
    <w:rsid w:val="196D1903"/>
    <w:rsid w:val="1A9A6727"/>
    <w:rsid w:val="1AC76DF0"/>
    <w:rsid w:val="1ACB068F"/>
    <w:rsid w:val="1ACB68E1"/>
    <w:rsid w:val="1B216501"/>
    <w:rsid w:val="1B50290F"/>
    <w:rsid w:val="1BE0460E"/>
    <w:rsid w:val="1C1171C5"/>
    <w:rsid w:val="1C915908"/>
    <w:rsid w:val="1D265138"/>
    <w:rsid w:val="1D7B6BCA"/>
    <w:rsid w:val="1D9531D6"/>
    <w:rsid w:val="1DA41A79"/>
    <w:rsid w:val="1DC35F95"/>
    <w:rsid w:val="1DF24184"/>
    <w:rsid w:val="1DF53469"/>
    <w:rsid w:val="1E2F24F2"/>
    <w:rsid w:val="1E58492F"/>
    <w:rsid w:val="1E5B6757"/>
    <w:rsid w:val="1ED10AC6"/>
    <w:rsid w:val="1EEC570D"/>
    <w:rsid w:val="1F4629DA"/>
    <w:rsid w:val="1F503858"/>
    <w:rsid w:val="1F89225F"/>
    <w:rsid w:val="1F900A1F"/>
    <w:rsid w:val="1FB87FC7"/>
    <w:rsid w:val="1FC0575D"/>
    <w:rsid w:val="1FFE1506"/>
    <w:rsid w:val="2020147D"/>
    <w:rsid w:val="206132C7"/>
    <w:rsid w:val="20A43E5C"/>
    <w:rsid w:val="20D61B3B"/>
    <w:rsid w:val="212136FE"/>
    <w:rsid w:val="21B00C1D"/>
    <w:rsid w:val="21BC51D5"/>
    <w:rsid w:val="226A2E83"/>
    <w:rsid w:val="22E36792"/>
    <w:rsid w:val="23031BEB"/>
    <w:rsid w:val="23917691"/>
    <w:rsid w:val="242B219E"/>
    <w:rsid w:val="244D65B8"/>
    <w:rsid w:val="245E1E24"/>
    <w:rsid w:val="247C6E9E"/>
    <w:rsid w:val="249D7540"/>
    <w:rsid w:val="251470D6"/>
    <w:rsid w:val="25AD5E5D"/>
    <w:rsid w:val="262A4E03"/>
    <w:rsid w:val="264A7253"/>
    <w:rsid w:val="265005E2"/>
    <w:rsid w:val="26684A8F"/>
    <w:rsid w:val="2732478D"/>
    <w:rsid w:val="275D2FB6"/>
    <w:rsid w:val="27661469"/>
    <w:rsid w:val="276C144B"/>
    <w:rsid w:val="27900EAD"/>
    <w:rsid w:val="279B538A"/>
    <w:rsid w:val="28237D5C"/>
    <w:rsid w:val="28302479"/>
    <w:rsid w:val="286F545C"/>
    <w:rsid w:val="29314FBC"/>
    <w:rsid w:val="2A7A3E7F"/>
    <w:rsid w:val="2AA2081A"/>
    <w:rsid w:val="2AC84BEB"/>
    <w:rsid w:val="2AFE685E"/>
    <w:rsid w:val="2B514BE0"/>
    <w:rsid w:val="2B51698E"/>
    <w:rsid w:val="2B8A1EA0"/>
    <w:rsid w:val="2C024B86"/>
    <w:rsid w:val="2C1C3440"/>
    <w:rsid w:val="2C2422F5"/>
    <w:rsid w:val="2C293467"/>
    <w:rsid w:val="2C36483C"/>
    <w:rsid w:val="2C927671"/>
    <w:rsid w:val="2CC6306F"/>
    <w:rsid w:val="2D2307FE"/>
    <w:rsid w:val="2D410C84"/>
    <w:rsid w:val="2D594220"/>
    <w:rsid w:val="2D6329A9"/>
    <w:rsid w:val="2D7C5CD6"/>
    <w:rsid w:val="2DF126AA"/>
    <w:rsid w:val="2E3D58F0"/>
    <w:rsid w:val="2E483E7E"/>
    <w:rsid w:val="2E690493"/>
    <w:rsid w:val="2E9372BE"/>
    <w:rsid w:val="2E9854BD"/>
    <w:rsid w:val="2F0D407F"/>
    <w:rsid w:val="2F454B19"/>
    <w:rsid w:val="2F662C24"/>
    <w:rsid w:val="2F6F6AEE"/>
    <w:rsid w:val="30552308"/>
    <w:rsid w:val="306B04F2"/>
    <w:rsid w:val="310224D9"/>
    <w:rsid w:val="313E79B5"/>
    <w:rsid w:val="3143321D"/>
    <w:rsid w:val="31B4621C"/>
    <w:rsid w:val="31E16592"/>
    <w:rsid w:val="31E3230A"/>
    <w:rsid w:val="330957E0"/>
    <w:rsid w:val="33356F64"/>
    <w:rsid w:val="33944516"/>
    <w:rsid w:val="33D04B10"/>
    <w:rsid w:val="34B62907"/>
    <w:rsid w:val="34BD32E6"/>
    <w:rsid w:val="35661675"/>
    <w:rsid w:val="36394BEF"/>
    <w:rsid w:val="36BD137C"/>
    <w:rsid w:val="37620175"/>
    <w:rsid w:val="38053EDF"/>
    <w:rsid w:val="380812A4"/>
    <w:rsid w:val="382275F5"/>
    <w:rsid w:val="385D37E7"/>
    <w:rsid w:val="38782EDD"/>
    <w:rsid w:val="3A563FC1"/>
    <w:rsid w:val="3A687850"/>
    <w:rsid w:val="3A7E7074"/>
    <w:rsid w:val="3AA82343"/>
    <w:rsid w:val="3B42664A"/>
    <w:rsid w:val="3CAD1E92"/>
    <w:rsid w:val="3CD76F0F"/>
    <w:rsid w:val="3D836A4E"/>
    <w:rsid w:val="3DCE20C0"/>
    <w:rsid w:val="3E94330A"/>
    <w:rsid w:val="3EA37E97"/>
    <w:rsid w:val="3F2C52F0"/>
    <w:rsid w:val="3FBE0BC5"/>
    <w:rsid w:val="4048103A"/>
    <w:rsid w:val="40556AC9"/>
    <w:rsid w:val="40736643"/>
    <w:rsid w:val="40D24A7A"/>
    <w:rsid w:val="41B63597"/>
    <w:rsid w:val="41D028AB"/>
    <w:rsid w:val="42621029"/>
    <w:rsid w:val="42982C9D"/>
    <w:rsid w:val="42E83C24"/>
    <w:rsid w:val="435241E2"/>
    <w:rsid w:val="438A4CDB"/>
    <w:rsid w:val="43975C51"/>
    <w:rsid w:val="439E3FA7"/>
    <w:rsid w:val="44B32266"/>
    <w:rsid w:val="44FC64F4"/>
    <w:rsid w:val="45F94EA0"/>
    <w:rsid w:val="463F7FFF"/>
    <w:rsid w:val="46671304"/>
    <w:rsid w:val="466A4950"/>
    <w:rsid w:val="467F4585"/>
    <w:rsid w:val="470628CB"/>
    <w:rsid w:val="471F573B"/>
    <w:rsid w:val="4729480B"/>
    <w:rsid w:val="47555BD4"/>
    <w:rsid w:val="47BC2DB1"/>
    <w:rsid w:val="47E96399"/>
    <w:rsid w:val="47F76025"/>
    <w:rsid w:val="484E4529"/>
    <w:rsid w:val="486E33F5"/>
    <w:rsid w:val="48994F34"/>
    <w:rsid w:val="48BF5427"/>
    <w:rsid w:val="48C363E0"/>
    <w:rsid w:val="48E12B50"/>
    <w:rsid w:val="49492F43"/>
    <w:rsid w:val="499441BE"/>
    <w:rsid w:val="499A6C1C"/>
    <w:rsid w:val="4A195607"/>
    <w:rsid w:val="4A2138F0"/>
    <w:rsid w:val="4A4638A0"/>
    <w:rsid w:val="4A583887"/>
    <w:rsid w:val="4A930919"/>
    <w:rsid w:val="4B187071"/>
    <w:rsid w:val="4B7E5126"/>
    <w:rsid w:val="4B9F6E02"/>
    <w:rsid w:val="4C89637B"/>
    <w:rsid w:val="4CB15087"/>
    <w:rsid w:val="4CE511D4"/>
    <w:rsid w:val="4D74696D"/>
    <w:rsid w:val="4E6E48A8"/>
    <w:rsid w:val="4EC512BE"/>
    <w:rsid w:val="4EE03A01"/>
    <w:rsid w:val="4EEC036B"/>
    <w:rsid w:val="4F714FA1"/>
    <w:rsid w:val="501D2673"/>
    <w:rsid w:val="502B33A2"/>
    <w:rsid w:val="50C80BF1"/>
    <w:rsid w:val="51256043"/>
    <w:rsid w:val="51852833"/>
    <w:rsid w:val="52224331"/>
    <w:rsid w:val="52BC4786"/>
    <w:rsid w:val="52F11AC8"/>
    <w:rsid w:val="534D3630"/>
    <w:rsid w:val="534F49D9"/>
    <w:rsid w:val="53555F0F"/>
    <w:rsid w:val="535D23D5"/>
    <w:rsid w:val="537A08C9"/>
    <w:rsid w:val="54240834"/>
    <w:rsid w:val="54EF0E42"/>
    <w:rsid w:val="556D1D67"/>
    <w:rsid w:val="557B26D6"/>
    <w:rsid w:val="55BB0D24"/>
    <w:rsid w:val="561A3C9D"/>
    <w:rsid w:val="567809C3"/>
    <w:rsid w:val="56F4341A"/>
    <w:rsid w:val="57212E09"/>
    <w:rsid w:val="575A7321"/>
    <w:rsid w:val="57AC4DC9"/>
    <w:rsid w:val="580C3AB9"/>
    <w:rsid w:val="583C7AE0"/>
    <w:rsid w:val="586C1E9A"/>
    <w:rsid w:val="586E0800"/>
    <w:rsid w:val="59216F96"/>
    <w:rsid w:val="598C4145"/>
    <w:rsid w:val="59957D1B"/>
    <w:rsid w:val="59D4294E"/>
    <w:rsid w:val="59E009DF"/>
    <w:rsid w:val="5ABD553F"/>
    <w:rsid w:val="5AD84127"/>
    <w:rsid w:val="5ADC3C17"/>
    <w:rsid w:val="5B242EC8"/>
    <w:rsid w:val="5B634312"/>
    <w:rsid w:val="5B9D2CCD"/>
    <w:rsid w:val="5B9E71EA"/>
    <w:rsid w:val="5BE7355A"/>
    <w:rsid w:val="5C642116"/>
    <w:rsid w:val="5E226FBC"/>
    <w:rsid w:val="5E4D2736"/>
    <w:rsid w:val="5EE96902"/>
    <w:rsid w:val="5F954394"/>
    <w:rsid w:val="5FA840C8"/>
    <w:rsid w:val="5FE72BD2"/>
    <w:rsid w:val="6005151A"/>
    <w:rsid w:val="60120613"/>
    <w:rsid w:val="612105D5"/>
    <w:rsid w:val="61834DEC"/>
    <w:rsid w:val="618D5292"/>
    <w:rsid w:val="622E78FA"/>
    <w:rsid w:val="63100901"/>
    <w:rsid w:val="632223E3"/>
    <w:rsid w:val="63343F70"/>
    <w:rsid w:val="633B5253"/>
    <w:rsid w:val="63827325"/>
    <w:rsid w:val="64296E1C"/>
    <w:rsid w:val="64386FCC"/>
    <w:rsid w:val="649E64A2"/>
    <w:rsid w:val="65E5270A"/>
    <w:rsid w:val="663D3C54"/>
    <w:rsid w:val="667A6962"/>
    <w:rsid w:val="66862C89"/>
    <w:rsid w:val="66A31A8D"/>
    <w:rsid w:val="66BB486D"/>
    <w:rsid w:val="67394C7D"/>
    <w:rsid w:val="676C6322"/>
    <w:rsid w:val="67A1421E"/>
    <w:rsid w:val="67EE4F89"/>
    <w:rsid w:val="68126B38"/>
    <w:rsid w:val="68282249"/>
    <w:rsid w:val="68291A1A"/>
    <w:rsid w:val="68352BB8"/>
    <w:rsid w:val="68C006D4"/>
    <w:rsid w:val="691327EB"/>
    <w:rsid w:val="691B1594"/>
    <w:rsid w:val="693A016B"/>
    <w:rsid w:val="6A17429C"/>
    <w:rsid w:val="6A567EA3"/>
    <w:rsid w:val="6B4B4368"/>
    <w:rsid w:val="6B79100E"/>
    <w:rsid w:val="6B916358"/>
    <w:rsid w:val="6C24541E"/>
    <w:rsid w:val="6C314E5C"/>
    <w:rsid w:val="6C4E4249"/>
    <w:rsid w:val="6C844C00"/>
    <w:rsid w:val="6D0D5EB2"/>
    <w:rsid w:val="6D910891"/>
    <w:rsid w:val="6DA32372"/>
    <w:rsid w:val="6DCF13B9"/>
    <w:rsid w:val="6E10212C"/>
    <w:rsid w:val="6E43561A"/>
    <w:rsid w:val="6E557973"/>
    <w:rsid w:val="6E9568DB"/>
    <w:rsid w:val="6F0D6C22"/>
    <w:rsid w:val="6F210EE5"/>
    <w:rsid w:val="6F47657F"/>
    <w:rsid w:val="6FA26D85"/>
    <w:rsid w:val="6FAF23D9"/>
    <w:rsid w:val="70635CF6"/>
    <w:rsid w:val="70670707"/>
    <w:rsid w:val="709D4651"/>
    <w:rsid w:val="70A817F5"/>
    <w:rsid w:val="70AE3508"/>
    <w:rsid w:val="71B608C6"/>
    <w:rsid w:val="71EB2A0A"/>
    <w:rsid w:val="720E3691"/>
    <w:rsid w:val="7249173A"/>
    <w:rsid w:val="724E244C"/>
    <w:rsid w:val="72DA6946"/>
    <w:rsid w:val="732764B3"/>
    <w:rsid w:val="73553E03"/>
    <w:rsid w:val="74026044"/>
    <w:rsid w:val="7420296E"/>
    <w:rsid w:val="74325A77"/>
    <w:rsid w:val="74402983"/>
    <w:rsid w:val="74746410"/>
    <w:rsid w:val="750D2EF3"/>
    <w:rsid w:val="753A7A60"/>
    <w:rsid w:val="75C8506C"/>
    <w:rsid w:val="75E5007C"/>
    <w:rsid w:val="76B05236"/>
    <w:rsid w:val="76C03F95"/>
    <w:rsid w:val="76C53359"/>
    <w:rsid w:val="77534E09"/>
    <w:rsid w:val="77636B63"/>
    <w:rsid w:val="77813724"/>
    <w:rsid w:val="77861774"/>
    <w:rsid w:val="77D777E8"/>
    <w:rsid w:val="77E51F05"/>
    <w:rsid w:val="780A196C"/>
    <w:rsid w:val="78F31435"/>
    <w:rsid w:val="78FD6DDA"/>
    <w:rsid w:val="79273E57"/>
    <w:rsid w:val="79300B45"/>
    <w:rsid w:val="794D3E18"/>
    <w:rsid w:val="79AD6A52"/>
    <w:rsid w:val="79BD656A"/>
    <w:rsid w:val="79F3729A"/>
    <w:rsid w:val="7A6D61E2"/>
    <w:rsid w:val="7A880722"/>
    <w:rsid w:val="7AB20098"/>
    <w:rsid w:val="7ABE6120"/>
    <w:rsid w:val="7ACB0498"/>
    <w:rsid w:val="7AED0B4D"/>
    <w:rsid w:val="7B05466C"/>
    <w:rsid w:val="7BD52290"/>
    <w:rsid w:val="7C1E4487"/>
    <w:rsid w:val="7C215E02"/>
    <w:rsid w:val="7C83633B"/>
    <w:rsid w:val="7C9A0DE4"/>
    <w:rsid w:val="7CA13F21"/>
    <w:rsid w:val="7CF130FA"/>
    <w:rsid w:val="7CF23764"/>
    <w:rsid w:val="7D851A94"/>
    <w:rsid w:val="7DA71A0B"/>
    <w:rsid w:val="7E797F74"/>
    <w:rsid w:val="7EE03426"/>
    <w:rsid w:val="7F875650"/>
    <w:rsid w:val="7F924011"/>
    <w:rsid w:val="7FC52DC2"/>
    <w:rsid w:val="7FD446A7"/>
    <w:rsid w:val="7FDD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2">
    <w:name w:val="heading 1"/>
    <w:basedOn w:val="1"/>
    <w:next w:val="1"/>
    <w:autoRedefine/>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3">
    <w:name w:val="heading 2"/>
    <w:basedOn w:val="1"/>
    <w:next w:val="1"/>
    <w:link w:val="20"/>
    <w:autoRedefine/>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4">
    <w:name w:val="heading 3"/>
    <w:basedOn w:val="1"/>
    <w:next w:val="1"/>
    <w:autoRedefine/>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7">
    <w:name w:val="Default Paragraph Font"/>
    <w:autoRedefine/>
    <w:semiHidden/>
    <w:qFormat/>
    <w:uiPriority w:val="0"/>
  </w:style>
  <w:style w:type="table" w:default="1" w:styleId="16">
    <w:name w:val="Normal Table"/>
    <w:autoRedefine/>
    <w:semiHidden/>
    <w:qFormat/>
    <w:uiPriority w:val="0"/>
    <w:tblPr>
      <w:tblCellMar>
        <w:top w:w="0" w:type="dxa"/>
        <w:left w:w="108" w:type="dxa"/>
        <w:bottom w:w="0" w:type="dxa"/>
        <w:right w:w="108" w:type="dxa"/>
      </w:tblCellMar>
    </w:tblPr>
  </w:style>
  <w:style w:type="paragraph" w:styleId="5">
    <w:name w:val="annotation text"/>
    <w:basedOn w:val="1"/>
    <w:autoRedefine/>
    <w:qFormat/>
    <w:uiPriority w:val="0"/>
    <w:pPr>
      <w:jc w:val="left"/>
    </w:pPr>
  </w:style>
  <w:style w:type="paragraph" w:styleId="6">
    <w:name w:val="Body Text"/>
    <w:basedOn w:val="1"/>
    <w:autoRedefine/>
    <w:qFormat/>
    <w:uiPriority w:val="0"/>
    <w:pPr>
      <w:spacing w:before="240" w:after="240" w:line="360" w:lineRule="auto"/>
      <w:jc w:val="center"/>
    </w:pPr>
    <w:rPr>
      <w:b/>
      <w:sz w:val="44"/>
    </w:rPr>
  </w:style>
  <w:style w:type="paragraph" w:styleId="7">
    <w:name w:val="toc 3"/>
    <w:basedOn w:val="1"/>
    <w:next w:val="1"/>
    <w:qFormat/>
    <w:uiPriority w:val="0"/>
    <w:pPr>
      <w:ind w:left="840" w:leftChars="400"/>
    </w:pPr>
  </w:style>
  <w:style w:type="paragraph" w:styleId="8">
    <w:name w:val="footer"/>
    <w:basedOn w:val="1"/>
    <w:autoRedefine/>
    <w:qFormat/>
    <w:uiPriority w:val="0"/>
    <w:pPr>
      <w:tabs>
        <w:tab w:val="center" w:pos="4153"/>
        <w:tab w:val="right" w:pos="8306"/>
      </w:tabs>
      <w:snapToGrid w:val="0"/>
      <w:jc w:val="left"/>
    </w:pPr>
    <w:rPr>
      <w:sz w:val="18"/>
    </w:rPr>
  </w:style>
  <w:style w:type="paragraph" w:styleId="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Body Text 2"/>
    <w:basedOn w:val="1"/>
    <w:autoRedefine/>
    <w:qFormat/>
    <w:uiPriority w:val="0"/>
    <w:pPr>
      <w:spacing w:after="120" w:line="480" w:lineRule="auto"/>
    </w:pPr>
    <w:rPr>
      <w:rFonts w:ascii="Times New Roman" w:hAnsi="Times New Roman" w:eastAsia="宋体" w:cs="Times New Roman"/>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Title"/>
    <w:basedOn w:val="1"/>
    <w:next w:val="1"/>
    <w:autoRedefine/>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5">
    <w:name w:val="Body Text First Indent"/>
    <w:basedOn w:val="6"/>
    <w:qFormat/>
    <w:uiPriority w:val="0"/>
    <w:pPr>
      <w:spacing w:after="0"/>
      <w:ind w:firstLine="200" w:firstLineChars="200"/>
    </w:pPr>
  </w:style>
  <w:style w:type="character" w:styleId="18">
    <w:name w:val="Strong"/>
    <w:basedOn w:val="17"/>
    <w:qFormat/>
    <w:uiPriority w:val="0"/>
    <w:rPr>
      <w:b/>
      <w:bCs/>
    </w:rPr>
  </w:style>
  <w:style w:type="paragraph" w:customStyle="1" w:styleId="19">
    <w:name w:val="正文 A"/>
    <w:autoRedefine/>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20">
    <w:name w:val="标题 2 Char"/>
    <w:link w:val="3"/>
    <w:autoRedefine/>
    <w:qFormat/>
    <w:uiPriority w:val="0"/>
    <w:rPr>
      <w:rFonts w:ascii="Arial" w:hAnsi="Arial" w:eastAsia="楷体"/>
      <w:b/>
      <w:sz w:val="32"/>
    </w:rPr>
  </w:style>
  <w:style w:type="paragraph" w:customStyle="1" w:styleId="21">
    <w:name w:val="WPSOffice手动目录 1"/>
    <w:autoRedefine/>
    <w:qFormat/>
    <w:uiPriority w:val="0"/>
    <w:pPr>
      <w:ind w:leftChars="0"/>
    </w:pPr>
    <w:rPr>
      <w:rFonts w:ascii="Times New Roman" w:hAnsi="Times New Roman" w:eastAsia="宋体" w:cs="Times New Roman"/>
      <w:sz w:val="20"/>
      <w:szCs w:val="20"/>
    </w:rPr>
  </w:style>
  <w:style w:type="paragraph" w:customStyle="1" w:styleId="22">
    <w:name w:val="WPSOffice手动目录 2"/>
    <w:autoRedefine/>
    <w:qFormat/>
    <w:uiPriority w:val="0"/>
    <w:pPr>
      <w:ind w:leftChars="200"/>
    </w:pPr>
    <w:rPr>
      <w:rFonts w:ascii="Times New Roman" w:hAnsi="Times New Roman" w:eastAsia="宋体" w:cs="Times New Roman"/>
      <w:sz w:val="20"/>
      <w:szCs w:val="20"/>
    </w:rPr>
  </w:style>
  <w:style w:type="paragraph" w:customStyle="1" w:styleId="23">
    <w:name w:val="WPSOffice手动目录 3"/>
    <w:autoRedefine/>
    <w:qFormat/>
    <w:uiPriority w:val="0"/>
    <w:pPr>
      <w:ind w:leftChars="400"/>
    </w:pPr>
    <w:rPr>
      <w:rFonts w:ascii="Times New Roman" w:hAnsi="Times New Roman" w:eastAsia="宋体" w:cs="Times New Roman"/>
      <w:sz w:val="20"/>
      <w:szCs w:val="20"/>
    </w:rPr>
  </w:style>
  <w:style w:type="character" w:customStyle="1" w:styleId="24">
    <w:name w:val="font11"/>
    <w:basedOn w:val="17"/>
    <w:qFormat/>
    <w:uiPriority w:val="0"/>
    <w:rPr>
      <w:rFonts w:hint="eastAsia" w:ascii="宋体" w:hAnsi="宋体" w:eastAsia="宋体" w:cs="宋体"/>
      <w:color w:val="000000"/>
      <w:sz w:val="32"/>
      <w:szCs w:val="32"/>
      <w:u w:val="none"/>
    </w:rPr>
  </w:style>
  <w:style w:type="character" w:customStyle="1" w:styleId="25">
    <w:name w:val="font31"/>
    <w:basedOn w:val="17"/>
    <w:qFormat/>
    <w:uiPriority w:val="0"/>
    <w:rPr>
      <w:rFonts w:ascii="宋体" w:hAnsi="宋体" w:eastAsia="宋体" w:cs="宋体"/>
      <w:color w:val="000000"/>
      <w:sz w:val="32"/>
      <w:szCs w:val="32"/>
      <w:u w:val="none"/>
    </w:rPr>
  </w:style>
  <w:style w:type="character" w:customStyle="1" w:styleId="26">
    <w:name w:val="font21"/>
    <w:basedOn w:val="17"/>
    <w:qFormat/>
    <w:uiPriority w:val="0"/>
    <w:rPr>
      <w:rFonts w:hint="eastAsia" w:ascii="宋体" w:hAnsi="宋体" w:eastAsia="宋体" w:cs="宋体"/>
      <w:color w:val="000000"/>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10339</Words>
  <Characters>11022</Characters>
  <Lines>0</Lines>
  <Paragraphs>0</Paragraphs>
  <TotalTime>1</TotalTime>
  <ScaleCrop>false</ScaleCrop>
  <LinksUpToDate>false</LinksUpToDate>
  <CharactersWithSpaces>11095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dcterms:modified xsi:type="dcterms:W3CDTF">2025-10-23T03:51:57Z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2B5C23159A7743AA9098DCA18BC807A9_13</vt:lpwstr>
  </property>
  <property fmtid="{D5CDD505-2E9C-101B-9397-08002B2CF9AE}" pid="4" name="KSOTemplateDocerSaveRecord">
    <vt:lpwstr>eyJoZGlkIjoiNTY3MmI4ODZmMjljZWZhNGFkN2U2N2Y4ODgwYjM5ZGIiLCJ1c2VySWQiOiIzNjI1MzY3NzcifQ==</vt:lpwstr>
  </property>
</Properties>
</file>