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6394F1">
      <w:pPr>
        <w:pageBreakBefore w:val="0"/>
        <w:shd w:val="clear"/>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08A418FE">
      <w:pPr>
        <w:pageBreakBefore w:val="0"/>
        <w:shd w:val="clear"/>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4EC8E74F">
      <w:pPr>
        <w:pageBreakBefore w:val="0"/>
        <w:shd w:val="clear"/>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31F3E6D8">
      <w:pPr>
        <w:keepNext w:val="0"/>
        <w:keepLines w:val="0"/>
        <w:pageBreakBefore w:val="0"/>
        <w:widowControl w:val="0"/>
        <w:shd w:val="clear"/>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1949"/>
      <w:bookmarkStart w:id="1" w:name="_Toc29123"/>
      <w:bookmarkStart w:id="2" w:name="_Toc15679"/>
      <w:bookmarkStart w:id="3" w:name="_Toc25575"/>
      <w:bookmarkStart w:id="4" w:name="_Toc27565"/>
      <w:r>
        <w:rPr>
          <w:rFonts w:hint="eastAsia" w:cs="宋体"/>
          <w:b/>
          <w:bCs/>
          <w:color w:val="auto"/>
          <w:sz w:val="40"/>
          <w:szCs w:val="40"/>
          <w:highlight w:val="none"/>
          <w:shd w:val="clear" w:color="auto" w:fill="auto"/>
          <w:lang w:val="en-US" w:eastAsia="zh-CN"/>
        </w:rPr>
        <w:t>昌州财教【2023】90号（保民生）提前下达2024年城乡义务教育补助经费（中央直达资金）公用经费初中</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支出绩效评价报告</w:t>
      </w:r>
      <w:bookmarkEnd w:id="0"/>
      <w:bookmarkEnd w:id="1"/>
      <w:bookmarkEnd w:id="2"/>
      <w:bookmarkEnd w:id="3"/>
      <w:bookmarkEnd w:id="4"/>
    </w:p>
    <w:p w14:paraId="5B6F7249">
      <w:pPr>
        <w:keepNext w:val="0"/>
        <w:keepLines w:val="0"/>
        <w:pageBreakBefore w:val="0"/>
        <w:widowControl w:val="0"/>
        <w:shd w:val="clear"/>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35271ACE">
      <w:pPr>
        <w:keepNext w:val="0"/>
        <w:keepLines w:val="0"/>
        <w:pageBreakBefore w:val="0"/>
        <w:widowControl w:val="0"/>
        <w:shd w:val="clear"/>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48C51915">
      <w:pPr>
        <w:keepNext w:val="0"/>
        <w:keepLines w:val="0"/>
        <w:pageBreakBefore w:val="0"/>
        <w:widowControl w:val="0"/>
        <w:shd w:val="clear"/>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9582223">
      <w:pPr>
        <w:keepNext w:val="0"/>
        <w:keepLines w:val="0"/>
        <w:pageBreakBefore w:val="0"/>
        <w:widowControl w:val="0"/>
        <w:shd w:val="clear"/>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01F7763">
      <w:pPr>
        <w:keepNext w:val="0"/>
        <w:keepLines w:val="0"/>
        <w:pageBreakBefore w:val="0"/>
        <w:widowControl w:val="0"/>
        <w:shd w:val="clear"/>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24BD7284">
      <w:pPr>
        <w:keepNext w:val="0"/>
        <w:keepLines w:val="0"/>
        <w:pageBreakBefore w:val="0"/>
        <w:widowControl w:val="0"/>
        <w:shd w:val="clear"/>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106C3C1">
      <w:pPr>
        <w:keepNext w:val="0"/>
        <w:keepLines w:val="0"/>
        <w:pageBreakBefore w:val="0"/>
        <w:widowControl w:val="0"/>
        <w:shd w:val="clear"/>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00BBEA8D">
      <w:pPr>
        <w:shd w:val="clear"/>
        <w:spacing w:line="360" w:lineRule="auto"/>
        <w:ind w:firstLine="0" w:firstLineChars="0"/>
        <w:jc w:val="left"/>
        <w:rPr>
          <w:rFonts w:hint="eastAsia" w:ascii="黑体" w:hAnsi="Times New Roman" w:eastAsia="黑体"/>
          <w:b w:val="0"/>
          <w:bCs/>
          <w:color w:val="000000"/>
          <w:sz w:val="30"/>
          <w:szCs w:val="30"/>
          <w:highlight w:val="none"/>
        </w:rPr>
      </w:pPr>
      <w:r>
        <w:rPr>
          <w:rFonts w:hint="eastAsia" w:ascii="黑体" w:hAnsi="Times New Roman" w:eastAsia="黑体"/>
          <w:b w:val="0"/>
          <w:bCs/>
          <w:color w:val="000000"/>
          <w:sz w:val="30"/>
          <w:szCs w:val="30"/>
          <w:highlight w:val="none"/>
        </w:rPr>
        <w:t>项目名称：昌州财教【2023】90号（保民生）提前下达2024年城乡义务教育补助经费（中央直达资金）公用经费初中</w:t>
      </w:r>
    </w:p>
    <w:p w14:paraId="134E957B">
      <w:pPr>
        <w:shd w:val="clear"/>
        <w:spacing w:line="360" w:lineRule="auto"/>
        <w:ind w:firstLine="0" w:firstLineChars="0"/>
        <w:jc w:val="left"/>
        <w:rPr>
          <w:rFonts w:hint="eastAsia" w:ascii="黑体" w:hAnsi="Times New Roman" w:eastAsia="黑体"/>
          <w:b w:val="0"/>
          <w:bCs/>
          <w:color w:val="000000"/>
          <w:sz w:val="30"/>
          <w:szCs w:val="30"/>
          <w:highlight w:val="none"/>
          <w:lang w:val="en-US" w:eastAsia="zh-CN"/>
        </w:rPr>
      </w:pPr>
      <w:r>
        <w:rPr>
          <w:rFonts w:hint="eastAsia" w:ascii="黑体" w:hAnsi="Times New Roman" w:eastAsia="黑体"/>
          <w:b w:val="0"/>
          <w:bCs/>
          <w:color w:val="000000"/>
          <w:sz w:val="30"/>
          <w:szCs w:val="30"/>
          <w:highlight w:val="none"/>
        </w:rPr>
        <w:t>实施单位：</w:t>
      </w:r>
      <w:r>
        <w:rPr>
          <w:rFonts w:hint="eastAsia" w:ascii="黑体" w:hAnsi="Times New Roman" w:eastAsia="黑体"/>
          <w:b w:val="0"/>
          <w:bCs/>
          <w:color w:val="000000"/>
          <w:sz w:val="30"/>
          <w:szCs w:val="30"/>
          <w:highlight w:val="none"/>
          <w:lang w:val="en-US" w:eastAsia="zh-CN"/>
        </w:rPr>
        <w:t>阜康市第二中学</w:t>
      </w:r>
    </w:p>
    <w:p w14:paraId="1BD7F998">
      <w:pPr>
        <w:shd w:val="clear"/>
        <w:spacing w:line="360" w:lineRule="auto"/>
        <w:ind w:firstLine="0" w:firstLineChars="0"/>
        <w:jc w:val="left"/>
        <w:rPr>
          <w:rFonts w:hint="eastAsia" w:ascii="黑体" w:hAnsi="Times New Roman" w:eastAsia="黑体"/>
          <w:b w:val="0"/>
          <w:bCs/>
          <w:color w:val="000000"/>
          <w:sz w:val="30"/>
          <w:szCs w:val="30"/>
          <w:highlight w:val="none"/>
          <w:lang w:eastAsia="zh-CN"/>
        </w:rPr>
      </w:pPr>
      <w:r>
        <w:rPr>
          <w:rFonts w:hint="eastAsia" w:ascii="黑体" w:hAnsi="Times New Roman" w:eastAsia="黑体"/>
          <w:b w:val="0"/>
          <w:bCs/>
          <w:color w:val="000000"/>
          <w:sz w:val="30"/>
          <w:szCs w:val="30"/>
          <w:highlight w:val="none"/>
        </w:rPr>
        <w:t>主管部门：</w:t>
      </w:r>
      <w:r>
        <w:rPr>
          <w:rFonts w:hint="eastAsia" w:ascii="黑体" w:hAnsi="Times New Roman" w:eastAsia="黑体"/>
          <w:b w:val="0"/>
          <w:bCs/>
          <w:color w:val="000000"/>
          <w:sz w:val="30"/>
          <w:szCs w:val="30"/>
          <w:highlight w:val="none"/>
          <w:lang w:eastAsia="zh-CN"/>
        </w:rPr>
        <w:t>阜康市教育局</w:t>
      </w:r>
    </w:p>
    <w:p w14:paraId="284F53EA">
      <w:pPr>
        <w:shd w:val="clear"/>
        <w:spacing w:line="360" w:lineRule="auto"/>
        <w:ind w:firstLine="0" w:firstLineChars="0"/>
        <w:jc w:val="left"/>
        <w:rPr>
          <w:rFonts w:hint="eastAsia" w:ascii="黑体" w:hAnsi="Times New Roman" w:eastAsia="黑体"/>
          <w:b w:val="0"/>
          <w:bCs/>
          <w:color w:val="000000"/>
          <w:sz w:val="30"/>
          <w:szCs w:val="30"/>
          <w:highlight w:val="none"/>
          <w:lang w:val="en-US" w:eastAsia="zh-CN"/>
        </w:rPr>
      </w:pPr>
      <w:r>
        <w:rPr>
          <w:rFonts w:hint="eastAsia" w:ascii="黑体" w:hAnsi="Times New Roman" w:eastAsia="黑体"/>
          <w:b w:val="0"/>
          <w:bCs/>
          <w:color w:val="000000"/>
          <w:sz w:val="30"/>
          <w:szCs w:val="30"/>
          <w:highlight w:val="none"/>
          <w:lang w:eastAsia="zh-CN"/>
        </w:rPr>
        <w:t>项目负责人：</w:t>
      </w:r>
      <w:r>
        <w:rPr>
          <w:rFonts w:hint="eastAsia" w:ascii="黑体" w:hAnsi="Times New Roman" w:eastAsia="黑体"/>
          <w:b w:val="0"/>
          <w:bCs/>
          <w:color w:val="000000"/>
          <w:sz w:val="30"/>
          <w:szCs w:val="30"/>
          <w:highlight w:val="none"/>
          <w:lang w:val="en-US" w:eastAsia="zh-CN"/>
        </w:rPr>
        <w:t>张娟</w:t>
      </w:r>
    </w:p>
    <w:p w14:paraId="2594BA2E">
      <w:pPr>
        <w:shd w:val="clear"/>
        <w:spacing w:line="360" w:lineRule="auto"/>
        <w:ind w:firstLine="0" w:firstLineChars="0"/>
        <w:jc w:val="left"/>
        <w:rPr>
          <w:rFonts w:hint="default"/>
          <w:b w:val="0"/>
          <w:bCs/>
          <w:color w:val="auto"/>
          <w:highlight w:val="none"/>
          <w:lang w:val="en-US" w:eastAsia="zh-CN"/>
        </w:rPr>
      </w:pPr>
      <w:r>
        <w:rPr>
          <w:rFonts w:hint="eastAsia" w:ascii="黑体" w:hAnsi="Times New Roman" w:eastAsia="黑体"/>
          <w:b w:val="0"/>
          <w:bCs/>
          <w:color w:val="auto"/>
          <w:sz w:val="30"/>
          <w:szCs w:val="30"/>
          <w:highlight w:val="none"/>
          <w:lang w:eastAsia="zh-CN"/>
        </w:rPr>
        <w:t>填报时间：</w:t>
      </w:r>
      <w:r>
        <w:rPr>
          <w:rFonts w:hint="eastAsia" w:ascii="黑体" w:hAnsi="Times New Roman" w:eastAsia="黑体"/>
          <w:b w:val="0"/>
          <w:bCs/>
          <w:color w:val="auto"/>
          <w:sz w:val="30"/>
          <w:szCs w:val="30"/>
          <w:highlight w:val="none"/>
          <w:lang w:val="en-US" w:eastAsia="zh-CN"/>
        </w:rPr>
        <w:t>2025年3月31日</w:t>
      </w:r>
    </w:p>
    <w:p w14:paraId="7D951666">
      <w:pPr>
        <w:pStyle w:val="14"/>
        <w:pageBreakBefore w:val="0"/>
        <w:shd w:val="clear"/>
        <w:kinsoku/>
        <w:wordWrap/>
        <w:overflowPunct/>
        <w:topLinePunct w:val="0"/>
        <w:autoSpaceDE/>
        <w:autoSpaceDN/>
        <w:bidi w:val="0"/>
        <w:spacing w:line="560" w:lineRule="exact"/>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14:paraId="233D6FC4">
      <w:pPr>
        <w:pageBreakBefore w:val="0"/>
        <w:shd w:val="clear"/>
        <w:kinsoku/>
        <w:wordWrap/>
        <w:overflowPunct/>
        <w:topLinePunct w:val="0"/>
        <w:autoSpaceDE/>
        <w:autoSpaceDN/>
        <w:bidi w:val="0"/>
        <w:spacing w:line="560" w:lineRule="exact"/>
        <w:textAlignment w:val="auto"/>
        <w:rPr>
          <w:rFonts w:hint="eastAsia"/>
          <w:highlight w:val="none"/>
          <w:lang w:val="en-US" w:eastAsia="zh-CN"/>
        </w:rPr>
      </w:pPr>
      <w:r>
        <w:rPr>
          <w:rFonts w:hint="eastAsia"/>
          <w:highlight w:val="none"/>
          <w:lang w:val="en-US" w:eastAsia="zh-CN"/>
        </w:rPr>
        <w:br w:type="page"/>
      </w:r>
    </w:p>
    <w:p w14:paraId="29CAA41C">
      <w:pPr>
        <w:pageBreakBefore w:val="0"/>
        <w:shd w:val="clear"/>
        <w:kinsoku/>
        <w:wordWrap/>
        <w:overflowPunct/>
        <w:topLinePunct w:val="0"/>
        <w:autoSpaceDE/>
        <w:autoSpaceDN/>
        <w:bidi w:val="0"/>
        <w:spacing w:line="560" w:lineRule="exact"/>
        <w:textAlignment w:val="auto"/>
        <w:rPr>
          <w:rFonts w:hint="eastAsia"/>
          <w:highlight w:val="none"/>
          <w:lang w:val="en-US" w:eastAsia="zh-CN"/>
        </w:rPr>
      </w:pPr>
    </w:p>
    <w:sdt>
      <w:sdtPr>
        <w:rPr>
          <w:rFonts w:hint="eastAsia" w:asciiTheme="majorEastAsia" w:hAnsiTheme="majorEastAsia" w:eastAsiaTheme="majorEastAsia" w:cstheme="majorEastAsia"/>
          <w:b/>
          <w:bCs/>
          <w:kern w:val="2"/>
          <w:sz w:val="44"/>
          <w:szCs w:val="44"/>
          <w:highlight w:val="none"/>
          <w:lang w:val="en-US" w:eastAsia="zh-CN" w:bidi="ar-SA"/>
        </w:rPr>
        <w:id w:val="147474046"/>
        <w15:color w:val="DBDBDB"/>
        <w:docPartObj>
          <w:docPartGallery w:val="Table of Contents"/>
          <w:docPartUnique/>
        </w:docPartObj>
      </w:sdtPr>
      <w:sdtEndPr>
        <w:rPr>
          <w:rFonts w:hint="eastAsia" w:ascii="宋体" w:hAnsi="宋体" w:eastAsia="宋体" w:cs="宋体"/>
          <w:b/>
          <w:bCs/>
          <w:kern w:val="2"/>
          <w:sz w:val="28"/>
          <w:szCs w:val="28"/>
          <w:highlight w:val="none"/>
          <w:lang w:val="en-US" w:eastAsia="zh-CN" w:bidi="ar-SA"/>
        </w:rPr>
      </w:sdtEndPr>
      <w:sdtContent>
        <w:p w14:paraId="3481B39C">
          <w:pPr>
            <w:shd w:val="clear"/>
            <w:spacing w:before="0" w:beforeLines="0" w:after="0" w:afterLines="0" w:line="240" w:lineRule="auto"/>
            <w:ind w:left="0" w:leftChars="0" w:right="0" w:rightChars="0" w:firstLine="0" w:firstLineChars="0"/>
            <w:jc w:val="center"/>
          </w:pPr>
          <w:r>
            <w:rPr>
              <w:rFonts w:hint="eastAsia" w:asciiTheme="majorEastAsia" w:hAnsiTheme="majorEastAsia" w:eastAsiaTheme="majorEastAsia" w:cstheme="majorEastAsia"/>
              <w:sz w:val="44"/>
              <w:szCs w:val="44"/>
            </w:rPr>
            <w:t>目录</w:t>
          </w:r>
          <w:r>
            <w:rPr>
              <w:rFonts w:hint="eastAsia"/>
              <w:sz w:val="28"/>
              <w:szCs w:val="28"/>
              <w:highlight w:val="none"/>
              <w:lang w:val="en-US" w:eastAsia="zh-CN"/>
            </w:rPr>
            <w:fldChar w:fldCharType="begin"/>
          </w:r>
          <w:r>
            <w:rPr>
              <w:rFonts w:hint="eastAsia"/>
              <w:sz w:val="28"/>
              <w:szCs w:val="28"/>
              <w:highlight w:val="none"/>
              <w:lang w:val="en-US" w:eastAsia="zh-CN"/>
            </w:rPr>
            <w:instrText xml:space="preserve">TOC \o "1-3" \h \u </w:instrText>
          </w:r>
          <w:r>
            <w:rPr>
              <w:rFonts w:hint="eastAsia"/>
              <w:sz w:val="28"/>
              <w:szCs w:val="28"/>
              <w:highlight w:val="none"/>
              <w:lang w:val="en-US" w:eastAsia="zh-CN"/>
            </w:rPr>
            <w:fldChar w:fldCharType="separate"/>
          </w:r>
        </w:p>
        <w:p w14:paraId="17C95A75">
          <w:pPr>
            <w:pStyle w:val="10"/>
            <w:shd w:val="clear"/>
            <w:tabs>
              <w:tab w:val="right" w:leader="dot" w:pos="8844"/>
            </w:tabs>
          </w:pPr>
          <w:r>
            <w:rPr>
              <w:rFonts w:hint="eastAsia"/>
              <w:szCs w:val="28"/>
              <w:highlight w:val="none"/>
              <w:lang w:val="en-US" w:eastAsia="zh-CN"/>
            </w:rPr>
            <w:fldChar w:fldCharType="begin"/>
          </w:r>
          <w:r>
            <w:rPr>
              <w:rFonts w:hint="eastAsia"/>
              <w:szCs w:val="28"/>
              <w:highlight w:val="none"/>
              <w:lang w:val="en-US" w:eastAsia="zh-CN"/>
            </w:rPr>
            <w:instrText xml:space="preserve"> HYPERLINK \l _Toc5283 </w:instrText>
          </w:r>
          <w:r>
            <w:rPr>
              <w:rFonts w:hint="eastAsia"/>
              <w:szCs w:val="28"/>
              <w:highlight w:val="none"/>
              <w:lang w:val="en-US" w:eastAsia="zh-CN"/>
            </w:rPr>
            <w:fldChar w:fldCharType="separate"/>
          </w:r>
          <w:r>
            <w:rPr>
              <w:rFonts w:hint="eastAsia" w:ascii="黑体" w:hAnsi="黑体" w:eastAsia="黑体" w:cs="黑体"/>
              <w:bCs w:val="0"/>
              <w:highlight w:val="none"/>
              <w:shd w:val="clear" w:color="auto" w:fill="auto"/>
            </w:rPr>
            <w:t>一、基本情况</w:t>
          </w:r>
          <w:r>
            <w:tab/>
          </w:r>
          <w:r>
            <w:fldChar w:fldCharType="begin"/>
          </w:r>
          <w:r>
            <w:instrText xml:space="preserve"> PAGEREF _Toc5283 \h </w:instrText>
          </w:r>
          <w:r>
            <w:fldChar w:fldCharType="separate"/>
          </w:r>
          <w:r>
            <w:t>4</w:t>
          </w:r>
          <w:r>
            <w:fldChar w:fldCharType="end"/>
          </w:r>
          <w:r>
            <w:rPr>
              <w:rFonts w:hint="eastAsia"/>
              <w:szCs w:val="28"/>
              <w:highlight w:val="none"/>
              <w:lang w:val="en-US" w:eastAsia="zh-CN"/>
            </w:rPr>
            <w:fldChar w:fldCharType="end"/>
          </w:r>
        </w:p>
        <w:p w14:paraId="40B5C55C">
          <w:pPr>
            <w:pStyle w:val="10"/>
            <w:shd w:val="clear"/>
            <w:tabs>
              <w:tab w:val="right" w:leader="dot" w:pos="8844"/>
            </w:tabs>
          </w:pPr>
          <w:r>
            <w:rPr>
              <w:rFonts w:hint="eastAsia"/>
              <w:szCs w:val="28"/>
              <w:highlight w:val="none"/>
              <w:lang w:val="en-US" w:eastAsia="zh-CN"/>
            </w:rPr>
            <w:fldChar w:fldCharType="begin"/>
          </w:r>
          <w:r>
            <w:rPr>
              <w:rFonts w:hint="eastAsia"/>
              <w:szCs w:val="28"/>
              <w:highlight w:val="none"/>
              <w:lang w:val="en-US" w:eastAsia="zh-CN"/>
            </w:rPr>
            <w:instrText xml:space="preserve"> HYPERLINK \l _Toc6433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lang w:val="en-US" w:eastAsia="zh-CN"/>
            </w:rPr>
            <w:t>（一）项目概况</w:t>
          </w:r>
          <w:r>
            <w:tab/>
          </w:r>
          <w:r>
            <w:fldChar w:fldCharType="begin"/>
          </w:r>
          <w:r>
            <w:instrText xml:space="preserve"> PAGEREF _Toc6433 \h </w:instrText>
          </w:r>
          <w:r>
            <w:fldChar w:fldCharType="separate"/>
          </w:r>
          <w:r>
            <w:t>4</w:t>
          </w:r>
          <w:r>
            <w:fldChar w:fldCharType="end"/>
          </w:r>
          <w:r>
            <w:rPr>
              <w:rFonts w:hint="eastAsia"/>
              <w:szCs w:val="28"/>
              <w:highlight w:val="none"/>
              <w:lang w:val="en-US" w:eastAsia="zh-CN"/>
            </w:rPr>
            <w:fldChar w:fldCharType="end"/>
          </w:r>
        </w:p>
        <w:p w14:paraId="0D5DE5AB">
          <w:pPr>
            <w:pStyle w:val="10"/>
            <w:shd w:val="clear"/>
            <w:tabs>
              <w:tab w:val="right" w:leader="dot" w:pos="8844"/>
            </w:tabs>
          </w:pPr>
          <w:r>
            <w:rPr>
              <w:rFonts w:hint="eastAsia"/>
              <w:szCs w:val="28"/>
              <w:highlight w:val="none"/>
              <w:lang w:val="en-US" w:eastAsia="zh-CN"/>
            </w:rPr>
            <w:fldChar w:fldCharType="begin"/>
          </w:r>
          <w:r>
            <w:rPr>
              <w:rFonts w:hint="eastAsia"/>
              <w:szCs w:val="28"/>
              <w:highlight w:val="none"/>
              <w:lang w:val="en-US" w:eastAsia="zh-CN"/>
            </w:rPr>
            <w:instrText xml:space="preserve"> HYPERLINK \l _Toc30749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lang w:val="en-US" w:eastAsia="zh-CN"/>
            </w:rPr>
            <w:t>（二）项目绩效目标</w:t>
          </w:r>
          <w:r>
            <w:tab/>
          </w:r>
          <w:r>
            <w:fldChar w:fldCharType="begin"/>
          </w:r>
          <w:r>
            <w:instrText xml:space="preserve"> PAGEREF _Toc30749 \h </w:instrText>
          </w:r>
          <w:r>
            <w:fldChar w:fldCharType="separate"/>
          </w:r>
          <w:r>
            <w:t>5</w:t>
          </w:r>
          <w:r>
            <w:fldChar w:fldCharType="end"/>
          </w:r>
          <w:r>
            <w:rPr>
              <w:rFonts w:hint="eastAsia"/>
              <w:szCs w:val="28"/>
              <w:highlight w:val="none"/>
              <w:lang w:val="en-US" w:eastAsia="zh-CN"/>
            </w:rPr>
            <w:fldChar w:fldCharType="end"/>
          </w:r>
        </w:p>
        <w:p w14:paraId="11D96088">
          <w:pPr>
            <w:pStyle w:val="10"/>
            <w:shd w:val="clear"/>
            <w:tabs>
              <w:tab w:val="right" w:leader="dot" w:pos="8844"/>
            </w:tabs>
            <w:rPr>
              <w:rFonts w:hint="eastAsia" w:ascii="黑体" w:hAnsi="黑体" w:eastAsia="黑体" w:cs="黑体"/>
            </w:rPr>
          </w:pPr>
          <w:r>
            <w:rPr>
              <w:rFonts w:hint="eastAsia" w:ascii="黑体" w:hAnsi="黑体" w:eastAsia="黑体" w:cs="黑体"/>
              <w:szCs w:val="28"/>
              <w:highlight w:val="none"/>
              <w:lang w:val="en-US" w:eastAsia="zh-CN"/>
            </w:rPr>
            <w:fldChar w:fldCharType="begin"/>
          </w:r>
          <w:r>
            <w:rPr>
              <w:rFonts w:hint="eastAsia" w:ascii="黑体" w:hAnsi="黑体" w:eastAsia="黑体" w:cs="黑体"/>
              <w:szCs w:val="28"/>
              <w:highlight w:val="none"/>
              <w:lang w:val="en-US" w:eastAsia="zh-CN"/>
            </w:rPr>
            <w:instrText xml:space="preserve"> HYPERLINK \l _Toc22641 </w:instrText>
          </w:r>
          <w:r>
            <w:rPr>
              <w:rFonts w:hint="eastAsia" w:ascii="黑体" w:hAnsi="黑体" w:eastAsia="黑体" w:cs="黑体"/>
              <w:szCs w:val="28"/>
              <w:highlight w:val="none"/>
              <w:lang w:val="en-US" w:eastAsia="zh-CN"/>
            </w:rPr>
            <w:fldChar w:fldCharType="separate"/>
          </w:r>
          <w:r>
            <w:rPr>
              <w:rFonts w:hint="eastAsia" w:ascii="黑体" w:hAnsi="黑体" w:eastAsia="黑体" w:cs="黑体"/>
              <w:bCs/>
              <w:highlight w:val="none"/>
              <w:shd w:val="clear" w:color="auto" w:fill="auto"/>
            </w:rPr>
            <w:t>二、绩效评价工作开展情况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_Toc22641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szCs w:val="28"/>
              <w:highlight w:val="none"/>
              <w:lang w:val="en-US" w:eastAsia="zh-CN"/>
            </w:rPr>
            <w:fldChar w:fldCharType="end"/>
          </w:r>
        </w:p>
        <w:p w14:paraId="7D78F499">
          <w:pPr>
            <w:pStyle w:val="10"/>
            <w:shd w:val="clear"/>
            <w:tabs>
              <w:tab w:val="right" w:leader="dot" w:pos="8844"/>
            </w:tabs>
          </w:pPr>
          <w:r>
            <w:rPr>
              <w:rFonts w:hint="eastAsia"/>
              <w:szCs w:val="28"/>
              <w:highlight w:val="none"/>
              <w:lang w:val="en-US" w:eastAsia="zh-CN"/>
            </w:rPr>
            <w:fldChar w:fldCharType="begin"/>
          </w:r>
          <w:r>
            <w:rPr>
              <w:rFonts w:hint="eastAsia"/>
              <w:szCs w:val="28"/>
              <w:highlight w:val="none"/>
              <w:lang w:val="en-US" w:eastAsia="zh-CN"/>
            </w:rPr>
            <w:instrText xml:space="preserve"> HYPERLINK \l _Toc26518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lang w:val="en-US" w:eastAsia="zh-CN"/>
            </w:rPr>
            <w:t>（一）绩效评价的目的、对象和范围</w:t>
          </w:r>
          <w:r>
            <w:tab/>
          </w:r>
          <w:r>
            <w:fldChar w:fldCharType="begin"/>
          </w:r>
          <w:r>
            <w:instrText xml:space="preserve"> PAGEREF _Toc26518 \h </w:instrText>
          </w:r>
          <w:r>
            <w:fldChar w:fldCharType="separate"/>
          </w:r>
          <w:r>
            <w:t>7</w:t>
          </w:r>
          <w:r>
            <w:fldChar w:fldCharType="end"/>
          </w:r>
          <w:r>
            <w:rPr>
              <w:rFonts w:hint="eastAsia"/>
              <w:szCs w:val="28"/>
              <w:highlight w:val="none"/>
              <w:lang w:val="en-US" w:eastAsia="zh-CN"/>
            </w:rPr>
            <w:fldChar w:fldCharType="end"/>
          </w:r>
        </w:p>
        <w:p w14:paraId="79C12C7D">
          <w:pPr>
            <w:pStyle w:val="10"/>
            <w:shd w:val="clear"/>
            <w:tabs>
              <w:tab w:val="right" w:leader="dot" w:pos="8844"/>
            </w:tabs>
          </w:pPr>
          <w:r>
            <w:rPr>
              <w:rFonts w:hint="eastAsia"/>
              <w:szCs w:val="28"/>
              <w:highlight w:val="none"/>
              <w:lang w:val="en-US" w:eastAsia="zh-CN"/>
            </w:rPr>
            <w:fldChar w:fldCharType="begin"/>
          </w:r>
          <w:r>
            <w:rPr>
              <w:rFonts w:hint="eastAsia"/>
              <w:szCs w:val="28"/>
              <w:highlight w:val="none"/>
              <w:lang w:val="en-US" w:eastAsia="zh-CN"/>
            </w:rPr>
            <w:instrText xml:space="preserve"> HYPERLINK \l _Toc28622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lang w:val="en-US" w:eastAsia="zh-CN"/>
            </w:rPr>
            <w:t>（二）绩效评价原则、评价指标体系（</w:t>
          </w:r>
          <w:r>
            <w:rPr>
              <w:rFonts w:hint="default" w:ascii="Times New Roman" w:hAnsi="Times New Roman" w:eastAsia="楷体_GB2312" w:cs="Times New Roman"/>
              <w:kern w:val="28"/>
              <w:highlight w:val="none"/>
              <w:lang w:val="en-US" w:eastAsia="zh-CN"/>
            </w:rPr>
            <w:t>详情见</w:t>
          </w:r>
          <w:r>
            <w:rPr>
              <w:rFonts w:hint="eastAsia" w:ascii="Times New Roman" w:hAnsi="Times New Roman" w:eastAsia="楷体_GB2312" w:cs="Times New Roman"/>
              <w:kern w:val="28"/>
              <w:highlight w:val="none"/>
              <w:lang w:val="en-US" w:eastAsia="zh-CN"/>
            </w:rPr>
            <w:t>附件二）、评价方法、评价标准</w:t>
          </w:r>
          <w:r>
            <w:tab/>
          </w:r>
          <w:r>
            <w:fldChar w:fldCharType="begin"/>
          </w:r>
          <w:r>
            <w:instrText xml:space="preserve"> PAGEREF _Toc28622 \h </w:instrText>
          </w:r>
          <w:r>
            <w:fldChar w:fldCharType="separate"/>
          </w:r>
          <w:r>
            <w:t>11</w:t>
          </w:r>
          <w:r>
            <w:fldChar w:fldCharType="end"/>
          </w:r>
          <w:r>
            <w:rPr>
              <w:rFonts w:hint="eastAsia"/>
              <w:szCs w:val="28"/>
              <w:highlight w:val="none"/>
              <w:lang w:val="en-US" w:eastAsia="zh-CN"/>
            </w:rPr>
            <w:fldChar w:fldCharType="end"/>
          </w:r>
        </w:p>
        <w:p w14:paraId="54AC5E5B">
          <w:pPr>
            <w:pStyle w:val="10"/>
            <w:shd w:val="clear"/>
            <w:tabs>
              <w:tab w:val="right" w:leader="dot" w:pos="8844"/>
            </w:tabs>
          </w:pPr>
          <w:r>
            <w:rPr>
              <w:rFonts w:hint="eastAsia"/>
              <w:szCs w:val="28"/>
              <w:highlight w:val="none"/>
              <w:lang w:val="en-US" w:eastAsia="zh-CN"/>
            </w:rPr>
            <w:fldChar w:fldCharType="begin"/>
          </w:r>
          <w:r>
            <w:rPr>
              <w:rFonts w:hint="eastAsia"/>
              <w:szCs w:val="28"/>
              <w:highlight w:val="none"/>
              <w:lang w:val="en-US" w:eastAsia="zh-CN"/>
            </w:rPr>
            <w:instrText xml:space="preserve"> HYPERLINK \l _Toc1820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lang w:val="en-US" w:eastAsia="zh-CN"/>
            </w:rPr>
            <w:t>（三）绩效评价工作过程</w:t>
          </w:r>
          <w:r>
            <w:tab/>
          </w:r>
          <w:r>
            <w:fldChar w:fldCharType="begin"/>
          </w:r>
          <w:r>
            <w:instrText xml:space="preserve"> PAGEREF _Toc1820 \h </w:instrText>
          </w:r>
          <w:r>
            <w:fldChar w:fldCharType="separate"/>
          </w:r>
          <w:r>
            <w:t>14</w:t>
          </w:r>
          <w:r>
            <w:fldChar w:fldCharType="end"/>
          </w:r>
          <w:r>
            <w:rPr>
              <w:rFonts w:hint="eastAsia"/>
              <w:szCs w:val="28"/>
              <w:highlight w:val="none"/>
              <w:lang w:val="en-US" w:eastAsia="zh-CN"/>
            </w:rPr>
            <w:fldChar w:fldCharType="end"/>
          </w:r>
        </w:p>
        <w:p w14:paraId="53B3483B">
          <w:pPr>
            <w:pStyle w:val="10"/>
            <w:shd w:val="clear"/>
            <w:tabs>
              <w:tab w:val="right" w:leader="dot" w:pos="8844"/>
            </w:tabs>
            <w:rPr>
              <w:rFonts w:hint="eastAsia" w:ascii="黑体" w:hAnsi="黑体" w:eastAsia="黑体" w:cs="黑体"/>
            </w:rPr>
          </w:pPr>
          <w:r>
            <w:rPr>
              <w:rFonts w:hint="eastAsia" w:ascii="黑体" w:hAnsi="黑体" w:eastAsia="黑体" w:cs="黑体"/>
              <w:szCs w:val="28"/>
              <w:highlight w:val="none"/>
              <w:lang w:val="en-US" w:eastAsia="zh-CN"/>
            </w:rPr>
            <w:fldChar w:fldCharType="begin"/>
          </w:r>
          <w:r>
            <w:rPr>
              <w:rFonts w:hint="eastAsia" w:ascii="黑体" w:hAnsi="黑体" w:eastAsia="黑体" w:cs="黑体"/>
              <w:szCs w:val="28"/>
              <w:highlight w:val="none"/>
              <w:lang w:val="en-US" w:eastAsia="zh-CN"/>
            </w:rPr>
            <w:instrText xml:space="preserve"> HYPERLINK \l _Toc25722 </w:instrText>
          </w:r>
          <w:r>
            <w:rPr>
              <w:rFonts w:hint="eastAsia" w:ascii="黑体" w:hAnsi="黑体" w:eastAsia="黑体" w:cs="黑体"/>
              <w:szCs w:val="28"/>
              <w:highlight w:val="none"/>
              <w:lang w:val="en-US" w:eastAsia="zh-CN"/>
            </w:rPr>
            <w:fldChar w:fldCharType="separate"/>
          </w:r>
          <w:r>
            <w:rPr>
              <w:rFonts w:hint="eastAsia" w:ascii="黑体" w:hAnsi="黑体" w:eastAsia="黑体" w:cs="黑体"/>
              <w:bCs w:val="0"/>
              <w:highlight w:val="none"/>
              <w:shd w:val="clear" w:color="auto" w:fill="auto"/>
              <w:lang w:val="en-US" w:eastAsia="zh-CN"/>
            </w:rPr>
            <w:t>三、</w:t>
          </w:r>
          <w:r>
            <w:rPr>
              <w:rFonts w:hint="eastAsia" w:ascii="黑体" w:hAnsi="黑体" w:eastAsia="黑体" w:cs="黑体"/>
              <w:bCs w:val="0"/>
              <w:highlight w:val="none"/>
              <w:shd w:val="clear" w:color="auto" w:fill="auto"/>
            </w:rPr>
            <w:t>综合评价情况及评价结论</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_Toc25722 \h </w:instrText>
          </w:r>
          <w:r>
            <w:rPr>
              <w:rFonts w:hint="eastAsia" w:ascii="黑体" w:hAnsi="黑体" w:eastAsia="黑体" w:cs="黑体"/>
            </w:rPr>
            <w:fldChar w:fldCharType="separate"/>
          </w:r>
          <w:r>
            <w:rPr>
              <w:rFonts w:hint="eastAsia" w:ascii="黑体" w:hAnsi="黑体" w:eastAsia="黑体" w:cs="黑体"/>
            </w:rPr>
            <w:t>16</w:t>
          </w:r>
          <w:r>
            <w:rPr>
              <w:rFonts w:hint="eastAsia" w:ascii="黑体" w:hAnsi="黑体" w:eastAsia="黑体" w:cs="黑体"/>
            </w:rPr>
            <w:fldChar w:fldCharType="end"/>
          </w:r>
          <w:r>
            <w:rPr>
              <w:rFonts w:hint="eastAsia" w:ascii="黑体" w:hAnsi="黑体" w:eastAsia="黑体" w:cs="黑体"/>
              <w:szCs w:val="28"/>
              <w:highlight w:val="none"/>
              <w:lang w:val="en-US" w:eastAsia="zh-CN"/>
            </w:rPr>
            <w:fldChar w:fldCharType="end"/>
          </w:r>
        </w:p>
        <w:p w14:paraId="5768017F">
          <w:pPr>
            <w:pStyle w:val="10"/>
            <w:shd w:val="clear"/>
            <w:tabs>
              <w:tab w:val="right" w:leader="dot" w:pos="8844"/>
            </w:tabs>
          </w:pPr>
          <w:r>
            <w:rPr>
              <w:rFonts w:hint="eastAsia"/>
              <w:szCs w:val="28"/>
              <w:highlight w:val="none"/>
              <w:lang w:val="en-US" w:eastAsia="zh-CN"/>
            </w:rPr>
            <w:fldChar w:fldCharType="begin"/>
          </w:r>
          <w:r>
            <w:rPr>
              <w:rFonts w:hint="eastAsia"/>
              <w:szCs w:val="28"/>
              <w:highlight w:val="none"/>
              <w:lang w:val="en-US" w:eastAsia="zh-CN"/>
            </w:rPr>
            <w:instrText xml:space="preserve"> HYPERLINK \l _Toc9310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lang w:val="en-US" w:eastAsia="zh-CN"/>
            </w:rPr>
            <w:t>（一）综合评价情况及评价结论</w:t>
          </w:r>
          <w:r>
            <w:tab/>
          </w:r>
          <w:r>
            <w:fldChar w:fldCharType="begin"/>
          </w:r>
          <w:r>
            <w:instrText xml:space="preserve"> PAGEREF _Toc9310 \h </w:instrText>
          </w:r>
          <w:r>
            <w:fldChar w:fldCharType="separate"/>
          </w:r>
          <w:r>
            <w:t>16</w:t>
          </w:r>
          <w:r>
            <w:fldChar w:fldCharType="end"/>
          </w:r>
          <w:r>
            <w:rPr>
              <w:rFonts w:hint="eastAsia"/>
              <w:szCs w:val="28"/>
              <w:highlight w:val="none"/>
              <w:lang w:val="en-US" w:eastAsia="zh-CN"/>
            </w:rPr>
            <w:fldChar w:fldCharType="end"/>
          </w:r>
        </w:p>
        <w:p w14:paraId="22227C27">
          <w:pPr>
            <w:pStyle w:val="10"/>
            <w:shd w:val="clear"/>
            <w:tabs>
              <w:tab w:val="right" w:leader="dot" w:pos="8844"/>
            </w:tabs>
          </w:pPr>
          <w:r>
            <w:rPr>
              <w:rFonts w:hint="eastAsia"/>
              <w:szCs w:val="28"/>
              <w:highlight w:val="none"/>
              <w:lang w:val="en-US" w:eastAsia="zh-CN"/>
            </w:rPr>
            <w:fldChar w:fldCharType="begin"/>
          </w:r>
          <w:r>
            <w:rPr>
              <w:rFonts w:hint="eastAsia"/>
              <w:szCs w:val="28"/>
              <w:highlight w:val="none"/>
              <w:lang w:val="en-US" w:eastAsia="zh-CN"/>
            </w:rPr>
            <w:instrText xml:space="preserve"> HYPERLINK \l _Toc1583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lang w:val="en-US" w:eastAsia="zh-CN"/>
            </w:rPr>
            <w:t>（二）相关评分表</w:t>
          </w:r>
          <w:r>
            <w:tab/>
          </w:r>
          <w:r>
            <w:fldChar w:fldCharType="begin"/>
          </w:r>
          <w:r>
            <w:instrText xml:space="preserve"> PAGEREF _Toc1583 \h </w:instrText>
          </w:r>
          <w:r>
            <w:fldChar w:fldCharType="separate"/>
          </w:r>
          <w:r>
            <w:t>17</w:t>
          </w:r>
          <w:r>
            <w:fldChar w:fldCharType="end"/>
          </w:r>
          <w:r>
            <w:rPr>
              <w:rFonts w:hint="eastAsia"/>
              <w:szCs w:val="28"/>
              <w:highlight w:val="none"/>
              <w:lang w:val="en-US" w:eastAsia="zh-CN"/>
            </w:rPr>
            <w:fldChar w:fldCharType="end"/>
          </w:r>
        </w:p>
        <w:p w14:paraId="0D6CFFCD">
          <w:pPr>
            <w:pStyle w:val="10"/>
            <w:shd w:val="clear"/>
            <w:tabs>
              <w:tab w:val="right" w:leader="dot" w:pos="8844"/>
            </w:tabs>
          </w:pPr>
          <w:r>
            <w:rPr>
              <w:rFonts w:hint="eastAsia"/>
              <w:szCs w:val="28"/>
              <w:highlight w:val="none"/>
              <w:lang w:val="en-US" w:eastAsia="zh-CN"/>
            </w:rPr>
            <w:fldChar w:fldCharType="begin"/>
          </w:r>
          <w:r>
            <w:rPr>
              <w:rFonts w:hint="eastAsia"/>
              <w:szCs w:val="28"/>
              <w:highlight w:val="none"/>
              <w:lang w:val="en-US" w:eastAsia="zh-CN"/>
            </w:rPr>
            <w:instrText xml:space="preserve"> HYPERLINK \l _Toc16372 </w:instrText>
          </w:r>
          <w:r>
            <w:rPr>
              <w:rFonts w:hint="eastAsia"/>
              <w:szCs w:val="28"/>
              <w:highlight w:val="none"/>
              <w:lang w:val="en-US" w:eastAsia="zh-CN"/>
            </w:rPr>
            <w:fldChar w:fldCharType="separate"/>
          </w:r>
          <w:r>
            <w:rPr>
              <w:rFonts w:hint="eastAsia" w:ascii="黑体" w:hAnsi="黑体" w:eastAsia="黑体" w:cs="黑体"/>
              <w:bCs w:val="0"/>
              <w:highlight w:val="none"/>
              <w:shd w:val="clear" w:color="auto" w:fill="auto"/>
              <w:lang w:val="en-US" w:eastAsia="zh-CN"/>
            </w:rPr>
            <w:t>四、绩效评价指标分析</w:t>
          </w:r>
          <w:r>
            <w:tab/>
          </w:r>
          <w:r>
            <w:fldChar w:fldCharType="begin"/>
          </w:r>
          <w:r>
            <w:instrText xml:space="preserve"> PAGEREF _Toc16372 \h </w:instrText>
          </w:r>
          <w:r>
            <w:fldChar w:fldCharType="separate"/>
          </w:r>
          <w:r>
            <w:t>18</w:t>
          </w:r>
          <w:r>
            <w:fldChar w:fldCharType="end"/>
          </w:r>
          <w:r>
            <w:rPr>
              <w:rFonts w:hint="eastAsia"/>
              <w:szCs w:val="28"/>
              <w:highlight w:val="none"/>
              <w:lang w:val="en-US" w:eastAsia="zh-CN"/>
            </w:rPr>
            <w:fldChar w:fldCharType="end"/>
          </w:r>
        </w:p>
        <w:p w14:paraId="56DFBB93">
          <w:pPr>
            <w:pStyle w:val="10"/>
            <w:shd w:val="clear"/>
            <w:tabs>
              <w:tab w:val="right" w:leader="dot" w:pos="8844"/>
            </w:tabs>
          </w:pPr>
          <w:r>
            <w:rPr>
              <w:rFonts w:hint="eastAsia"/>
              <w:szCs w:val="28"/>
              <w:highlight w:val="none"/>
              <w:lang w:val="en-US" w:eastAsia="zh-CN"/>
            </w:rPr>
            <w:fldChar w:fldCharType="begin"/>
          </w:r>
          <w:r>
            <w:rPr>
              <w:rFonts w:hint="eastAsia"/>
              <w:szCs w:val="28"/>
              <w:highlight w:val="none"/>
              <w:lang w:val="en-US" w:eastAsia="zh-CN"/>
            </w:rPr>
            <w:instrText xml:space="preserve"> HYPERLINK \l _Toc27115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rPr>
            <w:t>（一）项目决策情况</w:t>
          </w:r>
          <w:r>
            <w:tab/>
          </w:r>
          <w:r>
            <w:fldChar w:fldCharType="begin"/>
          </w:r>
          <w:r>
            <w:instrText xml:space="preserve"> PAGEREF _Toc27115 \h </w:instrText>
          </w:r>
          <w:r>
            <w:fldChar w:fldCharType="separate"/>
          </w:r>
          <w:r>
            <w:t>18</w:t>
          </w:r>
          <w:r>
            <w:fldChar w:fldCharType="end"/>
          </w:r>
          <w:r>
            <w:rPr>
              <w:rFonts w:hint="eastAsia"/>
              <w:szCs w:val="28"/>
              <w:highlight w:val="none"/>
              <w:lang w:val="en-US" w:eastAsia="zh-CN"/>
            </w:rPr>
            <w:fldChar w:fldCharType="end"/>
          </w:r>
        </w:p>
        <w:p w14:paraId="403CD1D8">
          <w:pPr>
            <w:pStyle w:val="10"/>
            <w:shd w:val="clear"/>
            <w:tabs>
              <w:tab w:val="right" w:leader="dot" w:pos="8844"/>
            </w:tabs>
          </w:pPr>
          <w:r>
            <w:rPr>
              <w:rFonts w:hint="eastAsia"/>
              <w:szCs w:val="28"/>
              <w:highlight w:val="none"/>
              <w:lang w:val="en-US" w:eastAsia="zh-CN"/>
            </w:rPr>
            <w:fldChar w:fldCharType="begin"/>
          </w:r>
          <w:r>
            <w:rPr>
              <w:rFonts w:hint="eastAsia"/>
              <w:szCs w:val="28"/>
              <w:highlight w:val="none"/>
              <w:lang w:val="en-US" w:eastAsia="zh-CN"/>
            </w:rPr>
            <w:instrText xml:space="preserve"> HYPERLINK \l _Toc18815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lang w:val="en-US" w:eastAsia="zh-CN"/>
            </w:rPr>
            <w:t>（三）项目产出情况</w:t>
          </w:r>
          <w:r>
            <w:tab/>
          </w:r>
          <w:r>
            <w:fldChar w:fldCharType="begin"/>
          </w:r>
          <w:r>
            <w:instrText xml:space="preserve"> PAGEREF _Toc18815 \h </w:instrText>
          </w:r>
          <w:r>
            <w:fldChar w:fldCharType="separate"/>
          </w:r>
          <w:r>
            <w:t>24</w:t>
          </w:r>
          <w:r>
            <w:fldChar w:fldCharType="end"/>
          </w:r>
          <w:r>
            <w:rPr>
              <w:rFonts w:hint="eastAsia"/>
              <w:szCs w:val="28"/>
              <w:highlight w:val="none"/>
              <w:lang w:val="en-US" w:eastAsia="zh-CN"/>
            </w:rPr>
            <w:fldChar w:fldCharType="end"/>
          </w:r>
        </w:p>
        <w:p w14:paraId="2959ED1E">
          <w:pPr>
            <w:pStyle w:val="10"/>
            <w:shd w:val="clear"/>
            <w:tabs>
              <w:tab w:val="right" w:leader="dot" w:pos="8844"/>
            </w:tabs>
          </w:pPr>
          <w:r>
            <w:rPr>
              <w:rFonts w:hint="eastAsia"/>
              <w:szCs w:val="28"/>
              <w:highlight w:val="none"/>
              <w:lang w:val="en-US" w:eastAsia="zh-CN"/>
            </w:rPr>
            <w:fldChar w:fldCharType="begin"/>
          </w:r>
          <w:r>
            <w:rPr>
              <w:rFonts w:hint="eastAsia"/>
              <w:szCs w:val="28"/>
              <w:highlight w:val="none"/>
              <w:lang w:val="en-US" w:eastAsia="zh-CN"/>
            </w:rPr>
            <w:instrText xml:space="preserve"> HYPERLINK \l _Toc7160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lang w:val="en-US" w:eastAsia="zh-CN"/>
            </w:rPr>
            <w:t>（四）项目效益情况</w:t>
          </w:r>
          <w:r>
            <w:tab/>
          </w:r>
          <w:r>
            <w:fldChar w:fldCharType="begin"/>
          </w:r>
          <w:r>
            <w:instrText xml:space="preserve"> PAGEREF _Toc7160 \h </w:instrText>
          </w:r>
          <w:r>
            <w:fldChar w:fldCharType="separate"/>
          </w:r>
          <w:r>
            <w:t>25</w:t>
          </w:r>
          <w:r>
            <w:fldChar w:fldCharType="end"/>
          </w:r>
          <w:r>
            <w:rPr>
              <w:rFonts w:hint="eastAsia"/>
              <w:szCs w:val="28"/>
              <w:highlight w:val="none"/>
              <w:lang w:val="en-US" w:eastAsia="zh-CN"/>
            </w:rPr>
            <w:fldChar w:fldCharType="end"/>
          </w:r>
        </w:p>
        <w:p w14:paraId="0E3913D7">
          <w:pPr>
            <w:pStyle w:val="10"/>
            <w:shd w:val="clear"/>
            <w:tabs>
              <w:tab w:val="right" w:leader="dot" w:pos="8844"/>
            </w:tabs>
          </w:pPr>
          <w:r>
            <w:rPr>
              <w:rFonts w:hint="eastAsia"/>
              <w:szCs w:val="28"/>
              <w:highlight w:val="none"/>
              <w:lang w:val="en-US" w:eastAsia="zh-CN"/>
            </w:rPr>
            <w:fldChar w:fldCharType="begin"/>
          </w:r>
          <w:r>
            <w:rPr>
              <w:rFonts w:hint="eastAsia"/>
              <w:szCs w:val="28"/>
              <w:highlight w:val="none"/>
              <w:lang w:val="en-US" w:eastAsia="zh-CN"/>
            </w:rPr>
            <w:instrText xml:space="preserve"> HYPERLINK \l _Toc8719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lang w:val="en-US" w:eastAsia="zh-CN"/>
            </w:rPr>
            <w:t>（五）满意度指标完成情况分析</w:t>
          </w:r>
          <w:r>
            <w:tab/>
          </w:r>
          <w:r>
            <w:fldChar w:fldCharType="begin"/>
          </w:r>
          <w:r>
            <w:instrText xml:space="preserve"> PAGEREF _Toc8719 \h </w:instrText>
          </w:r>
          <w:r>
            <w:fldChar w:fldCharType="separate"/>
          </w:r>
          <w:r>
            <w:t>26</w:t>
          </w:r>
          <w:r>
            <w:fldChar w:fldCharType="end"/>
          </w:r>
          <w:r>
            <w:rPr>
              <w:rFonts w:hint="eastAsia"/>
              <w:szCs w:val="28"/>
              <w:highlight w:val="none"/>
              <w:lang w:val="en-US" w:eastAsia="zh-CN"/>
            </w:rPr>
            <w:fldChar w:fldCharType="end"/>
          </w:r>
        </w:p>
        <w:p w14:paraId="4F2D1BFF">
          <w:pPr>
            <w:pStyle w:val="10"/>
            <w:shd w:val="clear"/>
            <w:tabs>
              <w:tab w:val="right" w:leader="dot" w:pos="8844"/>
            </w:tabs>
            <w:rPr>
              <w:rFonts w:hint="eastAsia" w:ascii="黑体" w:hAnsi="黑体" w:eastAsia="黑体" w:cs="黑体"/>
            </w:rPr>
          </w:pPr>
          <w:r>
            <w:rPr>
              <w:rFonts w:hint="eastAsia" w:ascii="黑体" w:hAnsi="黑体" w:eastAsia="黑体" w:cs="黑体"/>
              <w:szCs w:val="28"/>
              <w:highlight w:val="none"/>
              <w:lang w:val="en-US" w:eastAsia="zh-CN"/>
            </w:rPr>
            <w:fldChar w:fldCharType="begin"/>
          </w:r>
          <w:r>
            <w:rPr>
              <w:rFonts w:hint="eastAsia" w:ascii="黑体" w:hAnsi="黑体" w:eastAsia="黑体" w:cs="黑体"/>
              <w:szCs w:val="28"/>
              <w:highlight w:val="none"/>
              <w:lang w:val="en-US" w:eastAsia="zh-CN"/>
            </w:rPr>
            <w:instrText xml:space="preserve"> HYPERLINK \l _Toc3332 </w:instrText>
          </w:r>
          <w:r>
            <w:rPr>
              <w:rFonts w:hint="eastAsia" w:ascii="黑体" w:hAnsi="黑体" w:eastAsia="黑体" w:cs="黑体"/>
              <w:szCs w:val="28"/>
              <w:highlight w:val="none"/>
              <w:lang w:val="en-US" w:eastAsia="zh-CN"/>
            </w:rPr>
            <w:fldChar w:fldCharType="separate"/>
          </w:r>
          <w:r>
            <w:rPr>
              <w:rFonts w:hint="eastAsia" w:ascii="黑体" w:hAnsi="黑体" w:eastAsia="黑体" w:cs="黑体"/>
              <w:bCs w:val="0"/>
              <w:highlight w:val="none"/>
              <w:shd w:val="clear" w:color="auto" w:fill="auto"/>
              <w:lang w:val="en-US" w:eastAsia="zh-CN"/>
            </w:rPr>
            <w:t>五、主要经验及做法、存在的问题及原因分析</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_Toc3332 \h </w:instrText>
          </w:r>
          <w:r>
            <w:rPr>
              <w:rFonts w:hint="eastAsia" w:ascii="黑体" w:hAnsi="黑体" w:eastAsia="黑体" w:cs="黑体"/>
            </w:rPr>
            <w:fldChar w:fldCharType="separate"/>
          </w:r>
          <w:r>
            <w:rPr>
              <w:rFonts w:hint="eastAsia" w:ascii="黑体" w:hAnsi="黑体" w:eastAsia="黑体" w:cs="黑体"/>
            </w:rPr>
            <w:t>26</w:t>
          </w:r>
          <w:r>
            <w:rPr>
              <w:rFonts w:hint="eastAsia" w:ascii="黑体" w:hAnsi="黑体" w:eastAsia="黑体" w:cs="黑体"/>
            </w:rPr>
            <w:fldChar w:fldCharType="end"/>
          </w:r>
          <w:r>
            <w:rPr>
              <w:rFonts w:hint="eastAsia" w:ascii="黑体" w:hAnsi="黑体" w:eastAsia="黑体" w:cs="黑体"/>
              <w:szCs w:val="28"/>
              <w:highlight w:val="none"/>
              <w:lang w:val="en-US" w:eastAsia="zh-CN"/>
            </w:rPr>
            <w:fldChar w:fldCharType="end"/>
          </w:r>
        </w:p>
        <w:p w14:paraId="55161A10">
          <w:pPr>
            <w:pStyle w:val="10"/>
            <w:shd w:val="clear"/>
            <w:tabs>
              <w:tab w:val="right" w:leader="dot" w:pos="8844"/>
            </w:tabs>
          </w:pPr>
          <w:r>
            <w:rPr>
              <w:rFonts w:hint="eastAsia"/>
              <w:szCs w:val="28"/>
              <w:highlight w:val="none"/>
              <w:lang w:val="en-US" w:eastAsia="zh-CN"/>
            </w:rPr>
            <w:fldChar w:fldCharType="begin"/>
          </w:r>
          <w:r>
            <w:rPr>
              <w:rFonts w:hint="eastAsia"/>
              <w:szCs w:val="28"/>
              <w:highlight w:val="none"/>
              <w:lang w:val="en-US" w:eastAsia="zh-CN"/>
            </w:rPr>
            <w:instrText xml:space="preserve"> HYPERLINK \l _Toc26102 </w:instrText>
          </w:r>
          <w:r>
            <w:rPr>
              <w:rFonts w:hint="eastAsia"/>
              <w:szCs w:val="28"/>
              <w:highlight w:val="none"/>
              <w:lang w:val="en-US" w:eastAsia="zh-CN"/>
            </w:rPr>
            <w:fldChar w:fldCharType="separate"/>
          </w:r>
          <w:r>
            <w:rPr>
              <w:rFonts w:hint="eastAsia" w:ascii="Times New Roman" w:hAnsi="Times New Roman" w:eastAsia="楷体_GB2312" w:cs="Times New Roman"/>
              <w:bCs/>
              <w:kern w:val="28"/>
              <w:highlight w:val="none"/>
              <w:lang w:val="en-US" w:eastAsia="zh-CN"/>
            </w:rPr>
            <w:t>（一）主要经验及做法</w:t>
          </w:r>
          <w:r>
            <w:tab/>
          </w:r>
          <w:r>
            <w:fldChar w:fldCharType="begin"/>
          </w:r>
          <w:r>
            <w:instrText xml:space="preserve"> PAGEREF _Toc26102 \h </w:instrText>
          </w:r>
          <w:r>
            <w:fldChar w:fldCharType="separate"/>
          </w:r>
          <w:r>
            <w:t>26</w:t>
          </w:r>
          <w:r>
            <w:fldChar w:fldCharType="end"/>
          </w:r>
          <w:r>
            <w:rPr>
              <w:rFonts w:hint="eastAsia"/>
              <w:szCs w:val="28"/>
              <w:highlight w:val="none"/>
              <w:lang w:val="en-US" w:eastAsia="zh-CN"/>
            </w:rPr>
            <w:fldChar w:fldCharType="end"/>
          </w:r>
        </w:p>
        <w:p w14:paraId="2869C365">
          <w:pPr>
            <w:pStyle w:val="10"/>
            <w:shd w:val="clear"/>
            <w:tabs>
              <w:tab w:val="right" w:leader="dot" w:pos="8844"/>
            </w:tabs>
          </w:pPr>
          <w:r>
            <w:rPr>
              <w:rFonts w:hint="eastAsia"/>
              <w:szCs w:val="28"/>
              <w:highlight w:val="none"/>
              <w:lang w:val="en-US" w:eastAsia="zh-CN"/>
            </w:rPr>
            <w:fldChar w:fldCharType="begin"/>
          </w:r>
          <w:r>
            <w:rPr>
              <w:rFonts w:hint="eastAsia"/>
              <w:szCs w:val="28"/>
              <w:highlight w:val="none"/>
              <w:lang w:val="en-US" w:eastAsia="zh-CN"/>
            </w:rPr>
            <w:instrText xml:space="preserve"> HYPERLINK \l _Toc6554 </w:instrText>
          </w:r>
          <w:r>
            <w:rPr>
              <w:rFonts w:hint="eastAsia"/>
              <w:szCs w:val="28"/>
              <w:highlight w:val="none"/>
              <w:lang w:val="en-US" w:eastAsia="zh-CN"/>
            </w:rPr>
            <w:fldChar w:fldCharType="separate"/>
          </w:r>
          <w:r>
            <w:rPr>
              <w:rFonts w:hint="eastAsia" w:ascii="Times New Roman" w:hAnsi="Times New Roman" w:eastAsia="楷体_GB2312" w:cs="Times New Roman"/>
              <w:bCs/>
              <w:kern w:val="28"/>
              <w:highlight w:val="none"/>
              <w:lang w:val="en-US" w:eastAsia="zh-CN"/>
            </w:rPr>
            <w:t>（二）存在的问题及原因分析</w:t>
          </w:r>
          <w:r>
            <w:tab/>
          </w:r>
          <w:r>
            <w:fldChar w:fldCharType="begin"/>
          </w:r>
          <w:r>
            <w:instrText xml:space="preserve"> PAGEREF _Toc6554 \h </w:instrText>
          </w:r>
          <w:r>
            <w:fldChar w:fldCharType="separate"/>
          </w:r>
          <w:r>
            <w:t>27</w:t>
          </w:r>
          <w:r>
            <w:fldChar w:fldCharType="end"/>
          </w:r>
          <w:r>
            <w:rPr>
              <w:rFonts w:hint="eastAsia"/>
              <w:szCs w:val="28"/>
              <w:highlight w:val="none"/>
              <w:lang w:val="en-US" w:eastAsia="zh-CN"/>
            </w:rPr>
            <w:fldChar w:fldCharType="end"/>
          </w:r>
        </w:p>
        <w:p w14:paraId="510AC925">
          <w:pPr>
            <w:pStyle w:val="10"/>
            <w:shd w:val="clear"/>
            <w:tabs>
              <w:tab w:val="right" w:leader="dot" w:pos="8844"/>
            </w:tabs>
            <w:rPr>
              <w:rFonts w:hint="eastAsia" w:ascii="黑体" w:hAnsi="黑体" w:eastAsia="黑体" w:cs="黑体"/>
            </w:rPr>
          </w:pPr>
          <w:r>
            <w:rPr>
              <w:rFonts w:hint="eastAsia" w:ascii="黑体" w:hAnsi="黑体" w:eastAsia="黑体" w:cs="黑体"/>
              <w:szCs w:val="28"/>
              <w:highlight w:val="none"/>
              <w:lang w:val="en-US" w:eastAsia="zh-CN"/>
            </w:rPr>
            <w:fldChar w:fldCharType="begin"/>
          </w:r>
          <w:r>
            <w:rPr>
              <w:rFonts w:hint="eastAsia" w:ascii="黑体" w:hAnsi="黑体" w:eastAsia="黑体" w:cs="黑体"/>
              <w:szCs w:val="28"/>
              <w:highlight w:val="none"/>
              <w:lang w:val="en-US" w:eastAsia="zh-CN"/>
            </w:rPr>
            <w:instrText xml:space="preserve"> HYPERLINK \l _Toc24435 </w:instrText>
          </w:r>
          <w:r>
            <w:rPr>
              <w:rFonts w:hint="eastAsia" w:ascii="黑体" w:hAnsi="黑体" w:eastAsia="黑体" w:cs="黑体"/>
              <w:szCs w:val="28"/>
              <w:highlight w:val="none"/>
              <w:lang w:val="en-US" w:eastAsia="zh-CN"/>
            </w:rPr>
            <w:fldChar w:fldCharType="separate"/>
          </w:r>
          <w:r>
            <w:rPr>
              <w:rFonts w:hint="eastAsia" w:ascii="黑体" w:hAnsi="黑体" w:eastAsia="黑体" w:cs="黑体"/>
              <w:bCs w:val="0"/>
              <w:highlight w:val="none"/>
              <w:shd w:val="clear" w:color="auto" w:fill="auto"/>
              <w:lang w:val="en-US" w:eastAsia="zh-CN"/>
            </w:rPr>
            <w:t>六、有关建议</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_Toc24435 \h </w:instrText>
          </w:r>
          <w:r>
            <w:rPr>
              <w:rFonts w:hint="eastAsia" w:ascii="黑体" w:hAnsi="黑体" w:eastAsia="黑体" w:cs="黑体"/>
            </w:rPr>
            <w:fldChar w:fldCharType="separate"/>
          </w:r>
          <w:r>
            <w:rPr>
              <w:rFonts w:hint="eastAsia" w:ascii="黑体" w:hAnsi="黑体" w:eastAsia="黑体" w:cs="黑体"/>
            </w:rPr>
            <w:t>27</w:t>
          </w:r>
          <w:r>
            <w:rPr>
              <w:rFonts w:hint="eastAsia" w:ascii="黑体" w:hAnsi="黑体" w:eastAsia="黑体" w:cs="黑体"/>
            </w:rPr>
            <w:fldChar w:fldCharType="end"/>
          </w:r>
          <w:r>
            <w:rPr>
              <w:rFonts w:hint="eastAsia" w:ascii="黑体" w:hAnsi="黑体" w:eastAsia="黑体" w:cs="黑体"/>
              <w:szCs w:val="28"/>
              <w:highlight w:val="none"/>
              <w:lang w:val="en-US" w:eastAsia="zh-CN"/>
            </w:rPr>
            <w:fldChar w:fldCharType="end"/>
          </w:r>
        </w:p>
        <w:p w14:paraId="44274161">
          <w:pPr>
            <w:pStyle w:val="10"/>
            <w:shd w:val="clear"/>
            <w:tabs>
              <w:tab w:val="right" w:leader="dot" w:pos="8844"/>
            </w:tabs>
            <w:rPr>
              <w:rFonts w:hint="eastAsia" w:ascii="黑体" w:hAnsi="黑体" w:eastAsia="黑体" w:cs="黑体"/>
            </w:rPr>
          </w:pPr>
          <w:r>
            <w:rPr>
              <w:rFonts w:hint="eastAsia" w:ascii="黑体" w:hAnsi="黑体" w:eastAsia="黑体" w:cs="黑体"/>
              <w:szCs w:val="28"/>
              <w:highlight w:val="none"/>
              <w:lang w:val="en-US" w:eastAsia="zh-CN"/>
            </w:rPr>
            <w:fldChar w:fldCharType="begin"/>
          </w:r>
          <w:r>
            <w:rPr>
              <w:rFonts w:hint="eastAsia" w:ascii="黑体" w:hAnsi="黑体" w:eastAsia="黑体" w:cs="黑体"/>
              <w:szCs w:val="28"/>
              <w:highlight w:val="none"/>
              <w:lang w:val="en-US" w:eastAsia="zh-CN"/>
            </w:rPr>
            <w:instrText xml:space="preserve"> HYPERLINK \l _Toc22284 </w:instrText>
          </w:r>
          <w:r>
            <w:rPr>
              <w:rFonts w:hint="eastAsia" w:ascii="黑体" w:hAnsi="黑体" w:eastAsia="黑体" w:cs="黑体"/>
              <w:szCs w:val="28"/>
              <w:highlight w:val="none"/>
              <w:lang w:val="en-US" w:eastAsia="zh-CN"/>
            </w:rPr>
            <w:fldChar w:fldCharType="separate"/>
          </w:r>
          <w:r>
            <w:rPr>
              <w:rFonts w:hint="eastAsia" w:ascii="黑体" w:hAnsi="黑体" w:eastAsia="黑体" w:cs="黑体"/>
              <w:bCs w:val="0"/>
              <w:highlight w:val="none"/>
              <w:shd w:val="clear" w:color="auto" w:fill="auto"/>
              <w:lang w:val="en-US" w:eastAsia="zh-CN"/>
            </w:rPr>
            <w:t>七、其他需要说明的问题</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_Toc22284 \h </w:instrText>
          </w:r>
          <w:r>
            <w:rPr>
              <w:rFonts w:hint="eastAsia" w:ascii="黑体" w:hAnsi="黑体" w:eastAsia="黑体" w:cs="黑体"/>
            </w:rPr>
            <w:fldChar w:fldCharType="separate"/>
          </w:r>
          <w:r>
            <w:rPr>
              <w:rFonts w:hint="eastAsia" w:ascii="黑体" w:hAnsi="黑体" w:eastAsia="黑体" w:cs="黑体"/>
            </w:rPr>
            <w:t>27</w:t>
          </w:r>
          <w:r>
            <w:rPr>
              <w:rFonts w:hint="eastAsia" w:ascii="黑体" w:hAnsi="黑体" w:eastAsia="黑体" w:cs="黑体"/>
            </w:rPr>
            <w:fldChar w:fldCharType="end"/>
          </w:r>
          <w:r>
            <w:rPr>
              <w:rFonts w:hint="eastAsia" w:ascii="黑体" w:hAnsi="黑体" w:eastAsia="黑体" w:cs="黑体"/>
              <w:szCs w:val="28"/>
              <w:highlight w:val="none"/>
              <w:lang w:val="en-US" w:eastAsia="zh-CN"/>
            </w:rPr>
            <w:fldChar w:fldCharType="end"/>
          </w:r>
        </w:p>
        <w:p w14:paraId="027D5572">
          <w:pPr>
            <w:pStyle w:val="10"/>
            <w:shd w:val="clear"/>
            <w:tabs>
              <w:tab w:val="right" w:leader="dot" w:pos="8844"/>
            </w:tabs>
            <w:rPr>
              <w:rFonts w:hint="eastAsia" w:ascii="黑体" w:hAnsi="黑体" w:eastAsia="黑体" w:cs="黑体"/>
            </w:rPr>
          </w:pPr>
          <w:r>
            <w:rPr>
              <w:rFonts w:hint="eastAsia" w:ascii="黑体" w:hAnsi="黑体" w:eastAsia="黑体" w:cs="黑体"/>
              <w:szCs w:val="28"/>
              <w:highlight w:val="none"/>
              <w:lang w:val="en-US" w:eastAsia="zh-CN"/>
            </w:rPr>
            <w:fldChar w:fldCharType="begin"/>
          </w:r>
          <w:r>
            <w:rPr>
              <w:rFonts w:hint="eastAsia" w:ascii="黑体" w:hAnsi="黑体" w:eastAsia="黑体" w:cs="黑体"/>
              <w:szCs w:val="28"/>
              <w:highlight w:val="none"/>
              <w:lang w:val="en-US" w:eastAsia="zh-CN"/>
            </w:rPr>
            <w:instrText xml:space="preserve"> HYPERLINK \l _Toc4741 </w:instrText>
          </w:r>
          <w:r>
            <w:rPr>
              <w:rFonts w:hint="eastAsia" w:ascii="黑体" w:hAnsi="黑体" w:eastAsia="黑体" w:cs="黑体"/>
              <w:szCs w:val="28"/>
              <w:highlight w:val="none"/>
              <w:lang w:val="en-US" w:eastAsia="zh-CN"/>
            </w:rPr>
            <w:fldChar w:fldCharType="separate"/>
          </w:r>
          <w:r>
            <w:rPr>
              <w:rFonts w:hint="eastAsia" w:ascii="黑体" w:hAnsi="黑体" w:eastAsia="黑体" w:cs="黑体"/>
              <w:bCs/>
              <w:highlight w:val="none"/>
              <w:shd w:val="clear" w:color="auto" w:fill="auto"/>
              <w:lang w:val="en-US" w:eastAsia="zh-CN"/>
            </w:rPr>
            <w:t>附件一、项目支出绩效自评表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_Toc4741 \h </w:instrText>
          </w:r>
          <w:r>
            <w:rPr>
              <w:rFonts w:hint="eastAsia" w:ascii="黑体" w:hAnsi="黑体" w:eastAsia="黑体" w:cs="黑体"/>
            </w:rPr>
            <w:fldChar w:fldCharType="separate"/>
          </w:r>
          <w:r>
            <w:rPr>
              <w:rFonts w:hint="eastAsia" w:ascii="黑体" w:hAnsi="黑体" w:eastAsia="黑体" w:cs="黑体"/>
            </w:rPr>
            <w:t>28</w:t>
          </w:r>
          <w:r>
            <w:rPr>
              <w:rFonts w:hint="eastAsia" w:ascii="黑体" w:hAnsi="黑体" w:eastAsia="黑体" w:cs="黑体"/>
            </w:rPr>
            <w:fldChar w:fldCharType="end"/>
          </w:r>
          <w:r>
            <w:rPr>
              <w:rFonts w:hint="eastAsia" w:ascii="黑体" w:hAnsi="黑体" w:eastAsia="黑体" w:cs="黑体"/>
              <w:szCs w:val="28"/>
              <w:highlight w:val="none"/>
              <w:lang w:val="en-US" w:eastAsia="zh-CN"/>
            </w:rPr>
            <w:fldChar w:fldCharType="end"/>
          </w:r>
        </w:p>
        <w:p w14:paraId="254E58E5">
          <w:pPr>
            <w:pStyle w:val="10"/>
            <w:shd w:val="clear"/>
            <w:tabs>
              <w:tab w:val="right" w:leader="dot" w:pos="8844"/>
            </w:tabs>
          </w:pPr>
          <w:r>
            <w:rPr>
              <w:rFonts w:hint="eastAsia" w:ascii="黑体" w:hAnsi="黑体" w:eastAsia="黑体" w:cs="黑体"/>
              <w:szCs w:val="28"/>
              <w:highlight w:val="none"/>
              <w:lang w:val="en-US" w:eastAsia="zh-CN"/>
            </w:rPr>
            <w:fldChar w:fldCharType="begin"/>
          </w:r>
          <w:r>
            <w:rPr>
              <w:rFonts w:hint="eastAsia" w:ascii="黑体" w:hAnsi="黑体" w:eastAsia="黑体" w:cs="黑体"/>
              <w:szCs w:val="28"/>
              <w:highlight w:val="none"/>
              <w:lang w:val="en-US" w:eastAsia="zh-CN"/>
            </w:rPr>
            <w:instrText xml:space="preserve"> HYPERLINK \l _Toc16444 </w:instrText>
          </w:r>
          <w:r>
            <w:rPr>
              <w:rFonts w:hint="eastAsia" w:ascii="黑体" w:hAnsi="黑体" w:eastAsia="黑体" w:cs="黑体"/>
              <w:szCs w:val="28"/>
              <w:highlight w:val="none"/>
              <w:lang w:val="en-US" w:eastAsia="zh-CN"/>
            </w:rPr>
            <w:fldChar w:fldCharType="separate"/>
          </w:r>
          <w:r>
            <w:rPr>
              <w:rFonts w:hint="eastAsia" w:ascii="黑体" w:hAnsi="黑体" w:eastAsia="黑体" w:cs="黑体"/>
              <w:bCs/>
              <w:highlight w:val="none"/>
              <w:shd w:val="clear" w:color="auto" w:fill="auto"/>
              <w:lang w:val="en-US" w:eastAsia="zh-CN"/>
            </w:rPr>
            <w:t>附件二、项目支出绩效评价指标体系打分表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_Toc16444 \h </w:instrText>
          </w:r>
          <w:r>
            <w:rPr>
              <w:rFonts w:hint="eastAsia" w:ascii="黑体" w:hAnsi="黑体" w:eastAsia="黑体" w:cs="黑体"/>
            </w:rPr>
            <w:fldChar w:fldCharType="separate"/>
          </w:r>
          <w:r>
            <w:rPr>
              <w:rFonts w:hint="eastAsia" w:ascii="黑体" w:hAnsi="黑体" w:eastAsia="黑体" w:cs="黑体"/>
            </w:rPr>
            <w:t>31</w:t>
          </w:r>
          <w:r>
            <w:rPr>
              <w:rFonts w:hint="eastAsia" w:ascii="黑体" w:hAnsi="黑体" w:eastAsia="黑体" w:cs="黑体"/>
            </w:rPr>
            <w:fldChar w:fldCharType="end"/>
          </w:r>
          <w:r>
            <w:rPr>
              <w:rFonts w:hint="eastAsia" w:ascii="黑体" w:hAnsi="黑体" w:eastAsia="黑体" w:cs="黑体"/>
              <w:szCs w:val="28"/>
              <w:highlight w:val="none"/>
              <w:lang w:val="en-US" w:eastAsia="zh-CN"/>
            </w:rPr>
            <w:fldChar w:fldCharType="end"/>
          </w:r>
        </w:p>
        <w:p w14:paraId="18B54E71">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highlight w:val="none"/>
              <w:lang w:val="en-US" w:eastAsia="zh-CN"/>
            </w:rPr>
            <w:sectPr>
              <w:pgSz w:w="11906" w:h="16838"/>
              <w:pgMar w:top="1928" w:right="1531" w:bottom="1701" w:left="1531" w:header="737" w:footer="851" w:gutter="0"/>
              <w:pgBorders>
                <w:top w:val="none" w:sz="0" w:space="0"/>
                <w:left w:val="none" w:sz="0" w:space="0"/>
                <w:bottom w:val="none" w:sz="0" w:space="0"/>
                <w:right w:val="none" w:sz="0" w:space="0"/>
              </w:pgBorders>
              <w:cols w:space="720" w:num="1"/>
              <w:docGrid w:type="lines" w:linePitch="408" w:charSpace="0"/>
            </w:sectPr>
          </w:pPr>
          <w:r>
            <w:rPr>
              <w:rFonts w:hint="eastAsia"/>
              <w:szCs w:val="28"/>
              <w:highlight w:val="none"/>
              <w:lang w:val="en-US" w:eastAsia="zh-CN"/>
            </w:rPr>
            <w:fldChar w:fldCharType="end"/>
          </w:r>
        </w:p>
      </w:sdtContent>
    </w:sdt>
    <w:p w14:paraId="44C8BBB1">
      <w:pPr>
        <w:pStyle w:val="3"/>
        <w:pageBreakBefore w:val="0"/>
        <w:shd w:val="clear"/>
        <w:kinsoku/>
        <w:wordWrap/>
        <w:overflowPunct/>
        <w:topLinePunct w:val="0"/>
        <w:autoSpaceDE/>
        <w:autoSpaceDN/>
        <w:bidi w:val="0"/>
        <w:adjustRightInd/>
        <w:snapToGrid/>
        <w:spacing w:beforeLines="0" w:afterLines="0" w:line="560" w:lineRule="exact"/>
        <w:jc w:val="center"/>
        <w:textAlignment w:val="auto"/>
        <w:rPr>
          <w:rFonts w:hint="eastAsia" w:ascii="黑体" w:hAnsi="黑体" w:eastAsia="黑体" w:cs="黑体"/>
          <w:b/>
          <w:bCs/>
          <w:color w:val="auto"/>
          <w:highlight w:val="none"/>
          <w:shd w:val="clear" w:color="auto" w:fill="auto"/>
        </w:rPr>
      </w:pPr>
      <w:bookmarkStart w:id="5" w:name="_Toc5283"/>
      <w:r>
        <w:rPr>
          <w:rFonts w:hint="eastAsia" w:asciiTheme="majorEastAsia" w:hAnsiTheme="majorEastAsia" w:eastAsiaTheme="majorEastAsia" w:cstheme="majorEastAsia"/>
          <w:b/>
          <w:bCs/>
          <w:color w:val="auto"/>
          <w:sz w:val="36"/>
          <w:szCs w:val="36"/>
          <w:highlight w:val="none"/>
          <w:shd w:val="clear" w:color="auto" w:fill="auto"/>
          <w:lang w:eastAsia="zh-CN"/>
        </w:rPr>
        <w:t>昌州财教【2023】90号（保民生）提前下达2024年城乡义务教育补助经费（中央直达资金）公用经费初中</w:t>
      </w:r>
      <w:r>
        <w:rPr>
          <w:rFonts w:hint="eastAsia" w:asciiTheme="majorEastAsia" w:hAnsiTheme="majorEastAsia" w:eastAsiaTheme="majorEastAsia" w:cstheme="majorEastAsia"/>
          <w:b/>
          <w:bCs/>
          <w:color w:val="auto"/>
          <w:sz w:val="36"/>
          <w:szCs w:val="36"/>
          <w:highlight w:val="none"/>
          <w:shd w:val="clear" w:color="auto" w:fill="auto"/>
        </w:rPr>
        <w:t>项目支出绩效评价报告</w:t>
      </w:r>
    </w:p>
    <w:p w14:paraId="0BA9AAD2">
      <w:pPr>
        <w:pStyle w:val="3"/>
        <w:pageBreakBefore w:val="0"/>
        <w:shd w:val="clear"/>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rPr>
      </w:pPr>
      <w:r>
        <w:rPr>
          <w:rFonts w:hint="eastAsia" w:ascii="黑体" w:hAnsi="黑体" w:eastAsia="黑体" w:cs="黑体"/>
          <w:b w:val="0"/>
          <w:bCs w:val="0"/>
          <w:color w:val="auto"/>
          <w:highlight w:val="none"/>
          <w:shd w:val="clear" w:color="auto" w:fill="auto"/>
        </w:rPr>
        <w:t>一、基本情况</w:t>
      </w:r>
      <w:bookmarkEnd w:id="5"/>
    </w:p>
    <w:p w14:paraId="2BC25A1F">
      <w:pPr>
        <w:pStyle w:val="14"/>
        <w:keepNext w:val="0"/>
        <w:keepLines w:val="0"/>
        <w:pageBreakBefore w:val="0"/>
        <w:widowControl/>
        <w:shd w:val="clear"/>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6" w:name="_Toc6433"/>
      <w:r>
        <w:rPr>
          <w:rFonts w:hint="eastAsia" w:ascii="Times New Roman" w:hAnsi="Times New Roman" w:eastAsia="楷体_GB2312" w:cs="Times New Roman"/>
          <w:color w:val="auto"/>
          <w:kern w:val="28"/>
          <w:sz w:val="32"/>
          <w:highlight w:val="none"/>
          <w:lang w:val="en-US" w:eastAsia="zh-CN"/>
        </w:rPr>
        <w:t>（一）项目概况</w:t>
      </w:r>
      <w:bookmarkEnd w:id="6"/>
    </w:p>
    <w:p w14:paraId="23960A42">
      <w:pPr>
        <w:pStyle w:val="5"/>
        <w:pageBreakBefore w:val="0"/>
        <w:shd w:val="clea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bookmarkStart w:id="7" w:name="_Toc5043"/>
      <w:bookmarkStart w:id="8" w:name="_Toc10645"/>
      <w:bookmarkStart w:id="9" w:name="_Toc24256"/>
      <w:bookmarkStart w:id="10" w:name="_Toc29812"/>
      <w:bookmarkStart w:id="11" w:name="_Toc22346"/>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rPr>
        <w:t>项目背景</w:t>
      </w:r>
      <w:bookmarkEnd w:id="7"/>
      <w:bookmarkEnd w:id="8"/>
      <w:bookmarkEnd w:id="9"/>
      <w:bookmarkEnd w:id="10"/>
      <w:bookmarkEnd w:id="11"/>
    </w:p>
    <w:p w14:paraId="257C8187">
      <w:pPr>
        <w:pageBreakBefore w:val="0"/>
        <w:shd w:val="clea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昌州财教【2023】90号（保民生）提前下达2024年城乡义务教育补助经费（中央直达资金）公用经费初中</w:t>
      </w:r>
      <w:r>
        <w:rPr>
          <w:rFonts w:hint="eastAsia" w:ascii="仿宋_GB2312" w:hAnsi="仿宋_GB2312" w:eastAsia="仿宋_GB2312" w:cs="仿宋_GB2312"/>
          <w:sz w:val="32"/>
          <w:szCs w:val="32"/>
          <w:highlight w:val="none"/>
        </w:rPr>
        <w:t>。资金来源为</w:t>
      </w:r>
      <w:r>
        <w:rPr>
          <w:rFonts w:hint="eastAsia" w:ascii="仿宋_GB2312" w:hAnsi="仿宋_GB2312" w:eastAsia="仿宋_GB2312" w:cs="仿宋_GB2312"/>
          <w:sz w:val="32"/>
          <w:szCs w:val="32"/>
          <w:highlight w:val="none"/>
          <w:lang w:val="en-US" w:eastAsia="zh-CN"/>
        </w:rPr>
        <w:t>上级转移</w:t>
      </w:r>
      <w:r>
        <w:rPr>
          <w:rFonts w:hint="eastAsia" w:ascii="仿宋_GB2312" w:hAnsi="仿宋_GB2312" w:eastAsia="仿宋_GB2312" w:cs="仿宋_GB2312"/>
          <w:sz w:val="32"/>
          <w:szCs w:val="32"/>
          <w:highlight w:val="none"/>
        </w:rPr>
        <w:t>资金</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保障学校正常运转，完成教学活动及其他日常业务的正常运转。每学年以</w:t>
      </w:r>
      <w:r>
        <w:rPr>
          <w:rFonts w:hint="eastAsia" w:ascii="仿宋_GB2312" w:hAnsi="仿宋_GB2312" w:eastAsia="仿宋_GB2312" w:cs="仿宋_GB2312"/>
          <w:sz w:val="32"/>
          <w:szCs w:val="32"/>
          <w:highlight w:val="none"/>
          <w:lang w:val="en-US" w:eastAsia="zh-CN"/>
        </w:rPr>
        <w:t>940</w:t>
      </w:r>
      <w:r>
        <w:rPr>
          <w:rFonts w:hint="eastAsia" w:ascii="仿宋_GB2312" w:hAnsi="仿宋_GB2312" w:eastAsia="仿宋_GB2312" w:cs="仿宋_GB2312"/>
          <w:sz w:val="32"/>
          <w:szCs w:val="32"/>
          <w:highlight w:val="none"/>
        </w:rPr>
        <w:t>元/生/学年的标准使用公用经费,在校学生人数</w:t>
      </w:r>
      <w:r>
        <w:rPr>
          <w:rFonts w:hint="eastAsia" w:ascii="仿宋_GB2312" w:hAnsi="仿宋_GB2312" w:eastAsia="仿宋_GB2312" w:cs="仿宋_GB2312"/>
          <w:sz w:val="32"/>
          <w:szCs w:val="32"/>
          <w:highlight w:val="none"/>
          <w:lang w:val="en-US" w:eastAsia="zh-CN"/>
        </w:rPr>
        <w:t>1927</w:t>
      </w:r>
      <w:r>
        <w:rPr>
          <w:rFonts w:hint="eastAsia" w:ascii="仿宋_GB2312" w:hAnsi="仿宋_GB2312" w:eastAsia="仿宋_GB2312" w:cs="仿宋_GB2312"/>
          <w:sz w:val="32"/>
          <w:szCs w:val="32"/>
          <w:highlight w:val="none"/>
        </w:rPr>
        <w:t>人。进一步提高教育教学水平，促进城乡教育均衡发展</w:t>
      </w:r>
      <w:r>
        <w:rPr>
          <w:rFonts w:hint="eastAsia" w:ascii="仿宋_GB2312" w:hAnsi="仿宋_GB2312" w:eastAsia="仿宋_GB2312" w:cs="仿宋_GB2312"/>
          <w:sz w:val="32"/>
          <w:szCs w:val="32"/>
          <w:highlight w:val="none"/>
          <w:lang w:eastAsia="zh-CN"/>
        </w:rPr>
        <w:t>。</w:t>
      </w:r>
    </w:p>
    <w:p w14:paraId="523509AB">
      <w:pPr>
        <w:pStyle w:val="5"/>
        <w:pageBreakBefore w:val="0"/>
        <w:shd w:val="clea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pPr>
      <w:bookmarkStart w:id="12" w:name="_Toc1630"/>
      <w:bookmarkStart w:id="13" w:name="_Toc17880"/>
      <w:bookmarkStart w:id="14" w:name="_Toc10730"/>
      <w:bookmarkStart w:id="15" w:name="_Toc27343"/>
      <w:bookmarkStart w:id="16" w:name="_Toc15818"/>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主要内容及实施情况</w:t>
      </w:r>
      <w:bookmarkEnd w:id="12"/>
      <w:bookmarkEnd w:id="13"/>
      <w:bookmarkEnd w:id="14"/>
      <w:bookmarkEnd w:id="15"/>
      <w:bookmarkEnd w:id="16"/>
    </w:p>
    <w:p w14:paraId="336B6415">
      <w:pPr>
        <w:pStyle w:val="5"/>
        <w:pageBreakBefore w:val="0"/>
        <w:shd w:val="clea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pPr>
      <w:bookmarkStart w:id="17" w:name="_Toc21898"/>
      <w:bookmarkStart w:id="18" w:name="_Toc16592"/>
      <w:bookmarkStart w:id="19" w:name="_Toc27409"/>
      <w:bookmarkStart w:id="20" w:name="_Toc27245"/>
      <w:bookmarkStart w:id="21" w:name="_Toc21864"/>
      <w:r>
        <w:rPr>
          <w:rFonts w:hint="eastAsia" w:ascii="仿宋_GB2312" w:hAnsi="仿宋_GB2312" w:eastAsia="仿宋_GB2312" w:cs="仿宋_GB2312"/>
          <w:color w:val="auto"/>
          <w:sz w:val="32"/>
          <w:szCs w:val="32"/>
          <w:highlight w:val="none"/>
          <w:shd w:val="clear" w:color="auto" w:fill="auto"/>
          <w:lang w:val="en-US" w:eastAsia="zh-CN"/>
        </w:rPr>
        <w:t>项目主要内容：</w:t>
      </w:r>
      <w:bookmarkEnd w:id="17"/>
      <w:bookmarkEnd w:id="18"/>
      <w:bookmarkEnd w:id="19"/>
      <w:bookmarkEnd w:id="20"/>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依据学校在校人数，按一定标准核算并下发生均经费。经费主要用于教师工资待遇提升，吸引和留住优秀师资；购置先进的教学设备，如多媒体教学工具、益智玩具等；开发适合的特色课程，丰富教学内容；完善</w:t>
      </w:r>
      <w:r>
        <w:rPr>
          <w:rFonts w:hint="eastAsia" w:cs="仿宋_GB2312"/>
          <w:b w:val="0"/>
          <w:bCs w:val="0"/>
          <w:color w:val="auto"/>
          <w:kern w:val="2"/>
          <w:sz w:val="32"/>
          <w:szCs w:val="32"/>
          <w:highlight w:val="none"/>
          <w:shd w:val="clear" w:color="auto" w:fill="auto"/>
          <w:lang w:val="en-US" w:eastAsia="zh-CN" w:bidi="ar-SA"/>
        </w:rPr>
        <w:t>校园</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安全防护设施，包括门禁系统、监控设备等。</w:t>
      </w:r>
      <w:bookmarkEnd w:id="21"/>
    </w:p>
    <w:p w14:paraId="365EC0A3">
      <w:pPr>
        <w:keepNext w:val="0"/>
        <w:keepLines w:val="0"/>
        <w:pageBreakBefore w:val="0"/>
        <w:widowControl w:val="0"/>
        <w:shd w:val="clea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自2024年1月1日经昌州财教【2023】90号文件批复，经阜康市第二中学会议，确定了项目领导小组，明确了责任分工：组长为高鑫，副组长为李桂梅，项目负责人为周晓虎,组员为杨军琳、张娟，其中：周晓虎负责监管工作，杨军琳负责项目档案资料，张娟负责资金拨付工作。</w:t>
      </w:r>
    </w:p>
    <w:p w14:paraId="5FEF33C3">
      <w:pPr>
        <w:pStyle w:val="5"/>
        <w:pageBreakBefore w:val="0"/>
        <w:shd w:val="clea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bookmarkStart w:id="22" w:name="_Toc25352"/>
      <w:bookmarkStart w:id="23" w:name="_Toc10240"/>
      <w:bookmarkStart w:id="24" w:name="_Toc12348"/>
      <w:bookmarkStart w:id="25" w:name="_Toc1858"/>
      <w:bookmarkStart w:id="26" w:name="_Toc569"/>
      <w:r>
        <w:rPr>
          <w:rFonts w:hint="eastAsia" w:ascii="仿宋_GB2312" w:hAnsi="仿宋_GB2312" w:eastAsia="仿宋_GB2312" w:cs="仿宋_GB2312"/>
          <w:b w:val="0"/>
          <w:bCs w:val="0"/>
          <w:color w:val="auto"/>
          <w:sz w:val="32"/>
          <w:szCs w:val="32"/>
          <w:highlight w:val="none"/>
          <w:lang w:val="en-US" w:eastAsia="zh-CN"/>
        </w:rPr>
        <w:t>截止12月31日本项目完成每学年以940元/生/学年的标准使用公用经费，本年度开展视频会议、教学研讨会议10次，开展德育活动次数12次，完成率均达到100%。通过项目实施达到有效改善教学环境，提供良好的学生成长条件，学校正常运转率达到100%。</w:t>
      </w:r>
      <w:bookmarkEnd w:id="22"/>
    </w:p>
    <w:p w14:paraId="48105C72">
      <w:pPr>
        <w:pStyle w:val="5"/>
        <w:pageBreakBefore w:val="0"/>
        <w:shd w:val="clea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27" w:name="_Toc939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3.资金投入和使用情况</w:t>
      </w:r>
      <w:bookmarkEnd w:id="23"/>
      <w:bookmarkEnd w:id="24"/>
      <w:bookmarkEnd w:id="25"/>
      <w:bookmarkEnd w:id="26"/>
      <w:bookmarkEnd w:id="27"/>
    </w:p>
    <w:p w14:paraId="048D7FBB">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28" w:name="_Toc26369"/>
      <w:bookmarkStart w:id="29" w:name="_Toc23509"/>
      <w:bookmarkStart w:id="30" w:name="_Toc10334"/>
      <w:bookmarkStart w:id="31" w:name="_Toc694"/>
      <w:r>
        <w:rPr>
          <w:rFonts w:hint="eastAsia" w:ascii="仿宋_GB2312" w:hAnsi="仿宋_GB2312" w:eastAsia="仿宋_GB2312" w:cs="仿宋_GB2312"/>
          <w:sz w:val="32"/>
          <w:szCs w:val="32"/>
          <w:highlight w:val="none"/>
          <w:lang w:val="en-US" w:eastAsia="zh-CN"/>
        </w:rPr>
        <w:t>（1）资金投入情况</w:t>
      </w:r>
      <w:bookmarkEnd w:id="28"/>
      <w:bookmarkEnd w:id="29"/>
      <w:bookmarkEnd w:id="30"/>
      <w:bookmarkEnd w:id="31"/>
    </w:p>
    <w:p w14:paraId="03CB98E0">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2" w:name="_Toc29190"/>
      <w:bookmarkStart w:id="33" w:name="_Toc27348"/>
      <w:bookmarkStart w:id="34" w:name="_Toc9464"/>
      <w:bookmarkStart w:id="35" w:name="_Toc5573"/>
      <w:r>
        <w:rPr>
          <w:rFonts w:hint="eastAsia" w:ascii="仿宋_GB2312" w:hAnsi="仿宋_GB2312" w:eastAsia="仿宋_GB2312" w:cs="仿宋_GB2312"/>
          <w:sz w:val="32"/>
          <w:szCs w:val="32"/>
          <w:highlight w:val="none"/>
          <w:lang w:val="en-US" w:eastAsia="zh-CN"/>
        </w:rPr>
        <w:t>该项目年初预算数173.98万元，全年预算数173.98万元，该项目资金已全部落实</w:t>
      </w:r>
      <w:r>
        <w:rPr>
          <w:rFonts w:hint="eastAsia" w:ascii="仿宋_GB2312" w:hAnsi="仿宋_GB2312" w:eastAsia="仿宋_GB2312" w:cs="仿宋_GB2312"/>
          <w:color w:val="auto"/>
          <w:sz w:val="32"/>
          <w:szCs w:val="32"/>
          <w:highlight w:val="none"/>
          <w:lang w:val="en-US" w:eastAsia="zh-CN"/>
        </w:rPr>
        <w:t>到位，资金来源为财政拨款。</w:t>
      </w:r>
      <w:bookmarkEnd w:id="32"/>
      <w:bookmarkEnd w:id="33"/>
      <w:bookmarkEnd w:id="34"/>
      <w:bookmarkEnd w:id="35"/>
      <w:bookmarkStart w:id="36" w:name="_Toc3409"/>
      <w:bookmarkStart w:id="37" w:name="_Toc28187"/>
      <w:bookmarkStart w:id="38" w:name="_Toc1166"/>
    </w:p>
    <w:p w14:paraId="330A7D5B">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9" w:name="_Toc1168"/>
      <w:r>
        <w:rPr>
          <w:rFonts w:hint="eastAsia" w:ascii="仿宋_GB2312" w:hAnsi="仿宋_GB2312" w:eastAsia="仿宋_GB2312" w:cs="仿宋_GB2312"/>
          <w:color w:val="auto"/>
          <w:sz w:val="32"/>
          <w:szCs w:val="32"/>
          <w:highlight w:val="none"/>
          <w:lang w:val="en-US" w:eastAsia="zh-CN"/>
        </w:rPr>
        <w:t>（2）资金使用情况</w:t>
      </w:r>
      <w:bookmarkEnd w:id="36"/>
      <w:bookmarkEnd w:id="37"/>
      <w:bookmarkEnd w:id="38"/>
      <w:bookmarkEnd w:id="39"/>
    </w:p>
    <w:p w14:paraId="7E3486D9">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40" w:name="_Toc30455"/>
      <w:bookmarkStart w:id="41" w:name="_Toc29121"/>
      <w:bookmarkStart w:id="42" w:name="_Toc11647"/>
      <w:bookmarkStart w:id="43" w:name="_Toc1430"/>
      <w:r>
        <w:rPr>
          <w:rFonts w:hint="eastAsia" w:ascii="仿宋_GB2312" w:hAnsi="仿宋_GB2312" w:eastAsia="仿宋_GB2312" w:cs="仿宋_GB2312"/>
          <w:color w:val="auto"/>
          <w:sz w:val="32"/>
          <w:szCs w:val="32"/>
          <w:highlight w:val="none"/>
          <w:lang w:val="en-US" w:eastAsia="zh-CN"/>
        </w:rPr>
        <w:t>该项目年初预算数173.98万元，全年预算数173.98万元，，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全年执行数173.98万元，预算执行率为100%，主要用于：主要用于主要用于支付日常办公用品采购、卫生用品购置、水费、电费、邮电费、取暖费缴纳、学校设施设备维修等。</w:t>
      </w:r>
      <w:bookmarkEnd w:id="40"/>
      <w:bookmarkEnd w:id="41"/>
      <w:bookmarkEnd w:id="42"/>
      <w:bookmarkEnd w:id="43"/>
    </w:p>
    <w:p w14:paraId="586C6AA4">
      <w:pPr>
        <w:pStyle w:val="14"/>
        <w:keepNext w:val="0"/>
        <w:keepLines w:val="0"/>
        <w:pageBreakBefore w:val="0"/>
        <w:widowControl/>
        <w:shd w:val="clear"/>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highlight w:val="none"/>
          <w:lang w:val="en-US" w:eastAsia="zh-CN"/>
        </w:rPr>
      </w:pPr>
      <w:bookmarkStart w:id="44" w:name="_Toc30749"/>
      <w:r>
        <w:rPr>
          <w:rFonts w:hint="eastAsia" w:ascii="Times New Roman" w:hAnsi="Times New Roman" w:eastAsia="楷体_GB2312" w:cs="Times New Roman"/>
          <w:kern w:val="28"/>
          <w:sz w:val="32"/>
          <w:highlight w:val="none"/>
          <w:lang w:val="en-US" w:eastAsia="zh-CN"/>
        </w:rPr>
        <w:t>（二）项目绩效目标</w:t>
      </w:r>
      <w:bookmarkEnd w:id="44"/>
    </w:p>
    <w:p w14:paraId="1359783D">
      <w:pPr>
        <w:pStyle w:val="5"/>
        <w:pageBreakBefore w:val="0"/>
        <w:widowControl w:val="0"/>
        <w:shd w:val="clea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45" w:name="_Toc8528"/>
      <w:bookmarkStart w:id="46" w:name="_Toc2547"/>
      <w:bookmarkStart w:id="47" w:name="_Toc26120"/>
      <w:bookmarkStart w:id="48" w:name="_Toc10047"/>
      <w:bookmarkStart w:id="49" w:name="_Toc14758"/>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1.总体目标</w:t>
      </w:r>
      <w:bookmarkEnd w:id="45"/>
      <w:bookmarkEnd w:id="46"/>
      <w:bookmarkEnd w:id="47"/>
      <w:bookmarkEnd w:id="48"/>
      <w:bookmarkEnd w:id="49"/>
    </w:p>
    <w:p w14:paraId="449B9490">
      <w:pPr>
        <w:pageBreakBefore w:val="0"/>
        <w:widowControl w:val="0"/>
        <w:shd w:val="clea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 xml:space="preserve"> 昌州财教【2023】90号（保民生）提前下达2024年城乡义务教育补助经费（中央直达资金）公用经费初中项目绩效总体目标为：保障学校正常运转，完成教育教学活动和其他日常工作任务等方面的支出。通过项目的实施，目前在校人数1927人，2024年计划开展8次视频会议及教学研讨会议，预计完成率达到100%；开展10次德育活动，预计完成率达到100%；按照940元每生每学年标准支付，其中教师培训费占公用经费5%，预计达到改善教学环境，提供良好的成长条件，保障学校的正常运转。</w:t>
      </w:r>
    </w:p>
    <w:p w14:paraId="6BC22AAE">
      <w:pPr>
        <w:pStyle w:val="5"/>
        <w:pageBreakBefore w:val="0"/>
        <w:widowControl w:val="0"/>
        <w:shd w:val="clea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50" w:name="_Toc4487"/>
      <w:bookmarkStart w:id="51" w:name="_Toc8990"/>
      <w:bookmarkStart w:id="52" w:name="_Toc6371"/>
      <w:bookmarkStart w:id="53" w:name="_Toc3255"/>
      <w:bookmarkStart w:id="54" w:name="_Toc4007"/>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2.阶段性目标</w:t>
      </w:r>
      <w:bookmarkEnd w:id="50"/>
      <w:bookmarkEnd w:id="51"/>
      <w:bookmarkEnd w:id="52"/>
      <w:bookmarkEnd w:id="53"/>
      <w:bookmarkEnd w:id="54"/>
    </w:p>
    <w:p w14:paraId="3D23F14D">
      <w:pPr>
        <w:pageBreakBefore w:val="0"/>
        <w:widowControl w:val="0"/>
        <w:shd w:val="clea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根据《预算法》《财政支出绩效评价管理暂行办法》（财预〔20</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20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10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等文件</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后</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绩效目标如下：</w:t>
      </w:r>
    </w:p>
    <w:p w14:paraId="0C97BE29">
      <w:pPr>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项目产出</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14:paraId="5E96AA4B">
      <w:pPr>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①数量指标</w:t>
      </w:r>
    </w:p>
    <w:p w14:paraId="0D9638E9">
      <w:pPr>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“在校学生人数（人）”指标，预期目标值为≧1927人；</w:t>
      </w:r>
    </w:p>
    <w:p w14:paraId="66DA7F06">
      <w:pPr>
        <w:pageBreakBefore w:val="0"/>
        <w:widowControl w:val="0"/>
        <w:shd w:val="clea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“开展视频会议、教学研讨会议次数”指标，预期目标值为≥8次</w:t>
      </w:r>
    </w:p>
    <w:p w14:paraId="4338FE3E">
      <w:pPr>
        <w:pageBreakBefore w:val="0"/>
        <w:widowControl w:val="0"/>
        <w:shd w:val="clear"/>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“开展德育活动次数”指标，预期目标值为≥8次</w:t>
      </w:r>
    </w:p>
    <w:p w14:paraId="4FC50384">
      <w:pPr>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②质量指标</w:t>
      </w:r>
    </w:p>
    <w:p w14:paraId="763FB079">
      <w:pPr>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“开展视频会议、教学研讨会议完成率”指标，预期目标值为=100%；</w:t>
      </w:r>
    </w:p>
    <w:p w14:paraId="53E8934D">
      <w:pPr>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“开展德育活动完成率”指标，预期目标值为=100%；</w:t>
      </w:r>
    </w:p>
    <w:p w14:paraId="406AF03D">
      <w:pPr>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③时效指标</w:t>
      </w:r>
    </w:p>
    <w:p w14:paraId="06BC1E55">
      <w:pPr>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“公用经费标准”指标，预期目标值为=940元/生/学年；</w:t>
      </w:r>
    </w:p>
    <w:p w14:paraId="3EAB6AC7">
      <w:pPr>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“教师培训费占公用经费比例”</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指标，预期目标值为≥5%；</w:t>
      </w:r>
    </w:p>
    <w:p w14:paraId="20FD57C9">
      <w:pPr>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成本指标</w:t>
      </w:r>
    </w:p>
    <w:p w14:paraId="608AC71B">
      <w:pPr>
        <w:pageBreakBefore w:val="0"/>
        <w:widowControl w:val="0"/>
        <w:shd w:val="clea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本项目不涉及经济成本指标；</w:t>
      </w:r>
    </w:p>
    <w:p w14:paraId="2E47408F">
      <w:pPr>
        <w:pageBreakBefore w:val="0"/>
        <w:widowControl w:val="0"/>
        <w:shd w:val="clea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）项目效益</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指标</w:t>
      </w:r>
    </w:p>
    <w:p w14:paraId="0D5AE999">
      <w:pPr>
        <w:pageBreakBefore w:val="0"/>
        <w:widowControl w:val="0"/>
        <w:shd w:val="clea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①经济效益指标</w:t>
      </w:r>
    </w:p>
    <w:p w14:paraId="0181D14C">
      <w:pPr>
        <w:pageBreakBefore w:val="0"/>
        <w:widowControl w:val="0"/>
        <w:shd w:val="clea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本项目不涉及经济效益指标；</w:t>
      </w:r>
    </w:p>
    <w:p w14:paraId="5B7E926E">
      <w:pPr>
        <w:pageBreakBefore w:val="0"/>
        <w:widowControl w:val="0"/>
        <w:shd w:val="clea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②社会效益指标</w:t>
      </w:r>
    </w:p>
    <w:p w14:paraId="0F8364E0">
      <w:pPr>
        <w:pageBreakBefore w:val="0"/>
        <w:widowControl w:val="0"/>
        <w:shd w:val="clea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学校正常运转率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2B14FFD4">
      <w:pPr>
        <w:pageBreakBefore w:val="0"/>
        <w:widowControl w:val="0"/>
        <w:shd w:val="clea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改善教学环境，提供良好的学生成长条件</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指标，预期目标值为改善；</w:t>
      </w:r>
    </w:p>
    <w:p w14:paraId="257CA518">
      <w:pPr>
        <w:pageBreakBefore w:val="0"/>
        <w:widowControl w:val="0"/>
        <w:shd w:val="clea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③生态效益指标</w:t>
      </w:r>
    </w:p>
    <w:p w14:paraId="11539CE7">
      <w:pPr>
        <w:pageBreakBefore w:val="0"/>
        <w:widowControl w:val="0"/>
        <w:shd w:val="clea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本项目不涉及生态效益指标；</w:t>
      </w:r>
    </w:p>
    <w:p w14:paraId="7C38FE94">
      <w:pPr>
        <w:pageBreakBefore w:val="0"/>
        <w:widowControl w:val="0"/>
        <w:shd w:val="clea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④可持续影响</w:t>
      </w:r>
    </w:p>
    <w:p w14:paraId="07C7594B">
      <w:pPr>
        <w:pageBreakBefore w:val="0"/>
        <w:widowControl w:val="0"/>
        <w:shd w:val="clea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本项目不涉及可持续影响；</w:t>
      </w:r>
    </w:p>
    <w:p w14:paraId="4F91BC2C">
      <w:pPr>
        <w:pageBreakBefore w:val="0"/>
        <w:widowControl w:val="0"/>
        <w:shd w:val="clea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⑤</w:t>
      </w:r>
      <w:r>
        <w:rPr>
          <w:rFonts w:hint="eastAsia" w:ascii="仿宋_GB2312" w:hAnsi="仿宋_GB2312" w:eastAsia="仿宋_GB2312" w:cs="仿宋_GB2312"/>
          <w:color w:val="auto"/>
          <w:sz w:val="32"/>
          <w:szCs w:val="32"/>
          <w:highlight w:val="none"/>
          <w:shd w:val="clear" w:color="auto" w:fill="auto"/>
          <w:lang w:val="en-US" w:eastAsia="zh-CN"/>
        </w:rPr>
        <w:t>满意度指标</w:t>
      </w:r>
    </w:p>
    <w:p w14:paraId="44111091">
      <w:pPr>
        <w:pageBreakBefore w:val="0"/>
        <w:widowControl w:val="0"/>
        <w:shd w:val="clea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55" w:name="_Toc22641"/>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师生满意度</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指标，预期目标值为≥90%。</w:t>
      </w:r>
    </w:p>
    <w:p w14:paraId="04874E66">
      <w:pPr>
        <w:pStyle w:val="3"/>
        <w:pageBreakBefore w:val="0"/>
        <w:shd w:val="clear"/>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二、绩效评价工作开展情况</w:t>
      </w:r>
      <w:bookmarkEnd w:id="55"/>
    </w:p>
    <w:p w14:paraId="31A70EA9">
      <w:pPr>
        <w:pStyle w:val="14"/>
        <w:keepNext w:val="0"/>
        <w:keepLines w:val="0"/>
        <w:pageBreakBefore w:val="0"/>
        <w:widowControl/>
        <w:shd w:val="clear"/>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highlight w:val="none"/>
          <w:lang w:val="en-US" w:eastAsia="zh-CN"/>
        </w:rPr>
      </w:pPr>
      <w:bookmarkStart w:id="56" w:name="_Toc22922"/>
      <w:bookmarkStart w:id="57" w:name="_Toc21664"/>
      <w:bookmarkStart w:id="58" w:name="_Toc12868"/>
      <w:bookmarkStart w:id="59" w:name="_Toc22169_WPSOffice_Level2"/>
      <w:bookmarkStart w:id="60" w:name="_Toc26632"/>
      <w:bookmarkStart w:id="61" w:name="_Toc480473081"/>
      <w:bookmarkStart w:id="62" w:name="_Toc5258"/>
      <w:bookmarkStart w:id="63" w:name="_Toc5462343"/>
      <w:bookmarkStart w:id="64" w:name="_Toc26518"/>
      <w:r>
        <w:rPr>
          <w:rFonts w:hint="eastAsia" w:ascii="Times New Roman" w:hAnsi="Times New Roman" w:eastAsia="楷体_GB2312" w:cs="Times New Roman"/>
          <w:kern w:val="28"/>
          <w:sz w:val="32"/>
          <w:highlight w:val="none"/>
          <w:lang w:val="en-US" w:eastAsia="zh-CN"/>
        </w:rPr>
        <w:t>（一）绩效评价的目的</w:t>
      </w:r>
      <w:bookmarkEnd w:id="56"/>
      <w:bookmarkEnd w:id="57"/>
      <w:bookmarkEnd w:id="58"/>
      <w:bookmarkEnd w:id="59"/>
      <w:bookmarkEnd w:id="60"/>
      <w:bookmarkEnd w:id="61"/>
      <w:bookmarkEnd w:id="62"/>
      <w:bookmarkEnd w:id="63"/>
      <w:r>
        <w:rPr>
          <w:rFonts w:hint="eastAsia" w:ascii="Times New Roman" w:hAnsi="Times New Roman" w:eastAsia="楷体_GB2312" w:cs="Times New Roman"/>
          <w:kern w:val="28"/>
          <w:sz w:val="32"/>
          <w:highlight w:val="none"/>
          <w:lang w:val="en-US" w:eastAsia="zh-CN"/>
        </w:rPr>
        <w:t>、对象和范围</w:t>
      </w:r>
      <w:bookmarkEnd w:id="64"/>
    </w:p>
    <w:p w14:paraId="15E6D14E">
      <w:pPr>
        <w:pStyle w:val="14"/>
        <w:pageBreakBefore w:val="0"/>
        <w:widowControl w:val="0"/>
        <w:shd w:val="clear"/>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kern w:val="2"/>
          <w:sz w:val="32"/>
          <w:szCs w:val="32"/>
          <w:highlight w:val="none"/>
          <w:lang w:val="en-US" w:eastAsia="zh-CN" w:bidi="ar-SA"/>
        </w:rPr>
      </w:pPr>
      <w:bookmarkStart w:id="65" w:name="_Toc3622"/>
      <w:bookmarkStart w:id="66" w:name="_Toc15732"/>
      <w:r>
        <w:rPr>
          <w:rFonts w:hint="default" w:ascii="Times New Roman" w:hAnsi="Times New Roman" w:eastAsia="仿宋_GB2312" w:cs="Times New Roman"/>
          <w:b/>
          <w:bCs/>
          <w:kern w:val="2"/>
          <w:sz w:val="32"/>
          <w:szCs w:val="32"/>
          <w:highlight w:val="none"/>
          <w:lang w:val="en-US" w:eastAsia="zh-CN" w:bidi="ar-SA"/>
        </w:rPr>
        <w:t>1.绩效评价完整性</w:t>
      </w:r>
      <w:bookmarkEnd w:id="65"/>
    </w:p>
    <w:p w14:paraId="4AC38B7F">
      <w:pPr>
        <w:pageBreakBefore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35F6DA7F">
      <w:pPr>
        <w:pageBreakBefore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00BBB8F9">
      <w:pPr>
        <w:pageBreakBefore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179FFF61">
      <w:pPr>
        <w:shd w:val="clea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5E6B7D2F">
      <w:pPr>
        <w:shd w:val="clea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64972039">
      <w:pPr>
        <w:pStyle w:val="5"/>
        <w:pageBreakBefore w:val="0"/>
        <w:widowControl w:val="0"/>
        <w:shd w:val="clea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67" w:name="_Toc21770"/>
      <w:bookmarkStart w:id="68" w:name="_Toc417"/>
      <w:bookmarkStart w:id="69" w:name="_Toc9771"/>
      <w:r>
        <w:rPr>
          <w:rFonts w:hint="eastAsia"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绩效评价的目的</w:t>
      </w:r>
      <w:bookmarkEnd w:id="66"/>
      <w:bookmarkEnd w:id="67"/>
      <w:bookmarkEnd w:id="68"/>
      <w:bookmarkEnd w:id="69"/>
    </w:p>
    <w:p w14:paraId="3EB439DF">
      <w:pPr>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为全面了解</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该</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项目预算编制合理性、资金使用合规性、项目管理的规范性、</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目标的实现情况、服务对象的满意度等，通过本次</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部门</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14:paraId="199F88EF">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bookmarkStart w:id="70" w:name="_Toc30609"/>
      <w:r>
        <w:rPr>
          <w:rFonts w:hint="default" w:ascii="Times New Roman" w:hAnsi="Times New Roman" w:eastAsia="仿宋_GB2312" w:cs="Times New Roman"/>
          <w:sz w:val="32"/>
          <w:szCs w:val="32"/>
          <w:highlight w:val="none"/>
        </w:rPr>
        <w:t>（1）评估项目实施效果</w:t>
      </w:r>
    </w:p>
    <w:p w14:paraId="5B89CEE4">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14:paraId="29DE929C">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2F029A0F">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1B621946">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1C9228DD">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5A876F9F">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49A4F2E6">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32AB4FCC">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10A2BE70">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47BB9312">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EBF0EF2">
      <w:pPr>
        <w:pStyle w:val="5"/>
        <w:pageBreakBefore w:val="0"/>
        <w:shd w:val="clear"/>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1" w:name="_Toc31970"/>
      <w:bookmarkStart w:id="72" w:name="_Toc16346"/>
      <w:bookmarkStart w:id="73" w:name="_Toc25579"/>
      <w:r>
        <w:rPr>
          <w:rFonts w:hint="eastAsia"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.绩效评价的对象</w:t>
      </w:r>
      <w:bookmarkEnd w:id="70"/>
      <w:bookmarkEnd w:id="71"/>
      <w:bookmarkEnd w:id="72"/>
      <w:bookmarkEnd w:id="73"/>
    </w:p>
    <w:p w14:paraId="39C344AD">
      <w:pPr>
        <w:keepNext w:val="0"/>
        <w:keepLines w:val="0"/>
        <w:pageBreakBefore w:val="0"/>
        <w:widowControl w:val="0"/>
        <w:shd w:val="clea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此次我单位根据</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《财政支出绩效评价管理暂行办法》（</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财预〔2020〕10号</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文件要求对2024年度</w:t>
      </w:r>
      <w:r>
        <w:rPr>
          <w:rFonts w:hint="eastAsia" w:ascii="仿宋_GB2312" w:hAnsi="仿宋_GB2312" w:eastAsia="仿宋_GB2312" w:cs="仿宋_GB2312"/>
          <w:color w:val="auto"/>
          <w:sz w:val="32"/>
          <w:szCs w:val="32"/>
          <w:highlight w:val="none"/>
          <w:shd w:val="clear" w:color="auto" w:fill="auto"/>
          <w:lang w:val="en-US" w:eastAsia="zh-CN"/>
        </w:rPr>
        <w:t>我单位实施的昌州财教【2023】90号（保民生）提前下达2024年城乡义务教育补助经费（中央直达资金）公用经费初中项目</w:t>
      </w:r>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38B0D8FF">
      <w:pPr>
        <w:keepNext w:val="0"/>
        <w:keepLines w:val="0"/>
        <w:pageBreakBefore w:val="0"/>
        <w:widowControl w:val="0"/>
        <w:shd w:val="clear"/>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阜康市第二中学</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负责实施，旨在</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 xml:space="preserve">加强教师培训力度，提高教师专业素质。保障学校正常运转，保证学校校舍安全。项目的完成有效改善教学环境，提供良好的学生成长条件。 </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2024年1月1日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173.98</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万元。</w:t>
      </w:r>
    </w:p>
    <w:p w14:paraId="48AE1B3B">
      <w:pPr>
        <w:pStyle w:val="5"/>
        <w:pageBreakBefore w:val="0"/>
        <w:shd w:val="clear"/>
        <w:kinsoku/>
        <w:wordWrap/>
        <w:overflowPunct/>
        <w:topLinePunct w:val="0"/>
        <w:autoSpaceDE/>
        <w:autoSpaceDN/>
        <w:bidi w:val="0"/>
        <w:adjustRightInd/>
        <w:spacing w:line="560" w:lineRule="exact"/>
        <w:textAlignment w:val="auto"/>
        <w:rPr>
          <w:rFonts w:hint="default" w:cs="仿宋_GB2312"/>
          <w:color w:val="000000" w:themeColor="text1"/>
          <w:sz w:val="32"/>
          <w:szCs w:val="32"/>
          <w:highlight w:val="none"/>
          <w:shd w:val="clear" w:color="auto" w:fill="auto"/>
          <w:lang w:val="en-US" w:eastAsia="zh-CN"/>
          <w14:textFill>
            <w14:solidFill>
              <w14:schemeClr w14:val="tx1"/>
            </w14:solidFill>
          </w14:textFill>
        </w:rPr>
      </w:pPr>
      <w:bookmarkStart w:id="74" w:name="_Toc11666"/>
      <w:bookmarkStart w:id="75" w:name="_Toc24173"/>
      <w:bookmarkStart w:id="76" w:name="_Toc21311"/>
      <w:r>
        <w:rPr>
          <w:rFonts w:hint="default" w:cs="仿宋_GB2312"/>
          <w:color w:val="000000" w:themeColor="text1"/>
          <w:sz w:val="32"/>
          <w:szCs w:val="32"/>
          <w:highlight w:val="none"/>
          <w:shd w:val="clear" w:color="auto" w:fill="auto"/>
          <w:lang w:val="en-US" w:eastAsia="zh-CN"/>
          <w14:textFill>
            <w14:solidFill>
              <w14:schemeClr w14:val="tx1"/>
            </w14:solidFill>
          </w14:textFill>
        </w:rPr>
        <w:t>4.绩效评价的范围</w:t>
      </w:r>
      <w:bookmarkEnd w:id="74"/>
      <w:bookmarkEnd w:id="75"/>
      <w:bookmarkEnd w:id="76"/>
    </w:p>
    <w:p w14:paraId="569DE69F">
      <w:pPr>
        <w:pStyle w:val="14"/>
        <w:keepNext w:val="0"/>
        <w:keepLines w:val="0"/>
        <w:pageBreakBefore w:val="0"/>
        <w:widowControl w:val="0"/>
        <w:shd w:val="clea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bookmarkStart w:id="77" w:name="_Toc17428"/>
      <w:r>
        <w:rPr>
          <w:rFonts w:hint="eastAsia" w:ascii="仿宋_GB2312" w:hAnsi="仿宋_GB2312" w:eastAsia="仿宋_GB2312" w:cs="仿宋_GB2312"/>
          <w:b w:val="0"/>
          <w:bCs w:val="0"/>
          <w:sz w:val="32"/>
          <w:szCs w:val="32"/>
          <w:highlight w:val="none"/>
        </w:rPr>
        <w:t>本项目预算绩效评价报告的评价范围广泛而全面，涵盖了从项目立项至评价时点期间的所有关键预算活动和财务流程。具体而言，评价范围包括但不限于以下几个方面：</w:t>
      </w:r>
      <w:bookmarkEnd w:id="77"/>
    </w:p>
    <w:p w14:paraId="04D7AFB2">
      <w:pPr>
        <w:pStyle w:val="14"/>
        <w:keepNext w:val="0"/>
        <w:keepLines w:val="0"/>
        <w:pageBreakBefore w:val="0"/>
        <w:widowControl w:val="0"/>
        <w:numPr>
          <w:ilvl w:val="0"/>
          <w:numId w:val="1"/>
        </w:numPr>
        <w:shd w:val="clea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bookmarkStart w:id="78" w:name="_Toc587"/>
      <w:r>
        <w:rPr>
          <w:rFonts w:hint="eastAsia" w:ascii="仿宋_GB2312" w:hAnsi="仿宋_GB2312" w:eastAsia="仿宋_GB2312" w:cs="仿宋_GB2312"/>
          <w:b w:val="0"/>
          <w:bCs w:val="0"/>
          <w:sz w:val="32"/>
          <w:szCs w:val="32"/>
          <w:highlight w:val="none"/>
        </w:rPr>
        <w:t>项目预算编制与执行：全面审视项目预算的编制依据、合理性、科学性以及实际执行情况，包括预算调整的原因和效果。</w:t>
      </w:r>
      <w:bookmarkEnd w:id="78"/>
    </w:p>
    <w:p w14:paraId="57F39E17">
      <w:pPr>
        <w:pStyle w:val="14"/>
        <w:keepNext w:val="0"/>
        <w:keepLines w:val="0"/>
        <w:pageBreakBefore w:val="0"/>
        <w:widowControl w:val="0"/>
        <w:numPr>
          <w:ilvl w:val="0"/>
          <w:numId w:val="1"/>
        </w:numPr>
        <w:shd w:val="clea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bookmarkStart w:id="79" w:name="_Toc28177"/>
      <w:r>
        <w:rPr>
          <w:rFonts w:hint="eastAsia" w:ascii="仿宋_GB2312" w:hAnsi="仿宋_GB2312" w:eastAsia="仿宋_GB2312" w:cs="仿宋_GB2312"/>
          <w:b w:val="0"/>
          <w:bCs w:val="0"/>
          <w:sz w:val="32"/>
          <w:szCs w:val="32"/>
          <w:highlight w:val="none"/>
        </w:rPr>
        <w:t>资金管理：深入分析项目资金的分配、使用和监管情况，确保资金使用的合规性、高效性和透明度。</w:t>
      </w:r>
      <w:bookmarkEnd w:id="79"/>
    </w:p>
    <w:p w14:paraId="18C95C94">
      <w:pPr>
        <w:pStyle w:val="14"/>
        <w:keepNext w:val="0"/>
        <w:keepLines w:val="0"/>
        <w:pageBreakBefore w:val="0"/>
        <w:widowControl w:val="0"/>
        <w:numPr>
          <w:ilvl w:val="0"/>
          <w:numId w:val="1"/>
        </w:numPr>
        <w:shd w:val="clea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bookmarkStart w:id="80" w:name="_Toc7086"/>
      <w:r>
        <w:rPr>
          <w:rFonts w:hint="eastAsia" w:ascii="仿宋_GB2312" w:hAnsi="仿宋_GB2312" w:eastAsia="仿宋_GB2312" w:cs="仿宋_GB2312"/>
          <w:b w:val="0"/>
          <w:bCs w:val="0"/>
          <w:sz w:val="32"/>
          <w:szCs w:val="32"/>
          <w:highlight w:val="none"/>
        </w:rPr>
        <w:t>项目实施进度与产出：评估项目是否按照既定计划顺利推进，各项任务是否按时完成，以及项目产出的数量、质量和时效性是否符合预期。</w:t>
      </w:r>
      <w:bookmarkEnd w:id="80"/>
    </w:p>
    <w:p w14:paraId="1732C530">
      <w:pPr>
        <w:pStyle w:val="14"/>
        <w:keepNext w:val="0"/>
        <w:keepLines w:val="0"/>
        <w:pageBreakBefore w:val="0"/>
        <w:widowControl w:val="0"/>
        <w:numPr>
          <w:ilvl w:val="0"/>
          <w:numId w:val="0"/>
        </w:numPr>
        <w:shd w:val="clea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lang w:eastAsia="zh-CN"/>
        </w:rPr>
      </w:pPr>
      <w:bookmarkStart w:id="81" w:name="_Toc21373"/>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4</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社会</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生态等</w:t>
      </w:r>
      <w:r>
        <w:rPr>
          <w:rFonts w:hint="eastAsia" w:ascii="仿宋_GB2312" w:hAnsi="仿宋_GB2312" w:eastAsia="仿宋_GB2312" w:cs="仿宋_GB2312"/>
          <w:b w:val="0"/>
          <w:bCs w:val="0"/>
          <w:sz w:val="32"/>
          <w:szCs w:val="32"/>
          <w:highlight w:val="none"/>
        </w:rPr>
        <w:t>影响：考察项目对社会、</w:t>
      </w:r>
      <w:r>
        <w:rPr>
          <w:rFonts w:hint="eastAsia" w:ascii="仿宋_GB2312" w:hAnsi="仿宋_GB2312" w:eastAsia="仿宋_GB2312" w:cs="仿宋_GB2312"/>
          <w:b w:val="0"/>
          <w:bCs w:val="0"/>
          <w:sz w:val="32"/>
          <w:szCs w:val="32"/>
          <w:highlight w:val="none"/>
          <w:lang w:val="en-US" w:eastAsia="zh-CN"/>
        </w:rPr>
        <w:t>生态</w:t>
      </w:r>
      <w:r>
        <w:rPr>
          <w:rFonts w:hint="eastAsia" w:ascii="仿宋_GB2312" w:hAnsi="仿宋_GB2312" w:eastAsia="仿宋_GB2312" w:cs="仿宋_GB2312"/>
          <w:b w:val="0"/>
          <w:bCs w:val="0"/>
          <w:sz w:val="32"/>
          <w:szCs w:val="32"/>
          <w:highlight w:val="none"/>
        </w:rPr>
        <w:t>、经济等方面的综合影响。</w:t>
      </w:r>
      <w:bookmarkEnd w:id="81"/>
    </w:p>
    <w:p w14:paraId="1450A0AE">
      <w:pPr>
        <w:pStyle w:val="14"/>
        <w:keepNext w:val="0"/>
        <w:keepLines w:val="0"/>
        <w:pageBreakBefore w:val="0"/>
        <w:widowControl/>
        <w:shd w:val="clear"/>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highlight w:val="none"/>
          <w:lang w:val="en-US" w:eastAsia="zh-CN"/>
        </w:rPr>
      </w:pPr>
      <w:bookmarkStart w:id="82" w:name="_Toc28622"/>
      <w:bookmarkStart w:id="83" w:name="_Toc1286"/>
      <w:r>
        <w:rPr>
          <w:rFonts w:hint="eastAsia" w:ascii="Times New Roman" w:hAnsi="Times New Roman" w:eastAsia="楷体_GB2312" w:cs="Times New Roman"/>
          <w:kern w:val="28"/>
          <w:sz w:val="32"/>
          <w:highlight w:val="none"/>
          <w:lang w:val="en-US" w:eastAsia="zh-CN"/>
        </w:rPr>
        <w:t>（二）绩效评价原则、评价指标体系（</w:t>
      </w:r>
      <w:r>
        <w:rPr>
          <w:rFonts w:hint="default" w:ascii="Times New Roman" w:hAnsi="Times New Roman" w:eastAsia="楷体_GB2312" w:cs="Times New Roman"/>
          <w:kern w:val="28"/>
          <w:sz w:val="32"/>
          <w:highlight w:val="none"/>
          <w:lang w:val="en-US" w:eastAsia="zh-CN"/>
        </w:rPr>
        <w:t>详情见</w:t>
      </w:r>
      <w:r>
        <w:rPr>
          <w:rFonts w:hint="eastAsia" w:ascii="Times New Roman" w:hAnsi="Times New Roman" w:eastAsia="楷体_GB2312" w:cs="Times New Roman"/>
          <w:kern w:val="28"/>
          <w:sz w:val="32"/>
          <w:highlight w:val="none"/>
          <w:lang w:val="en-US" w:eastAsia="zh-CN"/>
        </w:rPr>
        <w:t>附件二）、评价方法、评价标准</w:t>
      </w:r>
      <w:bookmarkEnd w:id="82"/>
      <w:bookmarkEnd w:id="83"/>
    </w:p>
    <w:p w14:paraId="68F9D505">
      <w:pPr>
        <w:pStyle w:val="5"/>
        <w:pageBreakBefore w:val="0"/>
        <w:shd w:val="clear"/>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000000"/>
          <w:kern w:val="2"/>
          <w:sz w:val="32"/>
          <w:szCs w:val="32"/>
          <w:highlight w:val="none"/>
          <w:lang w:val="en-US" w:eastAsia="zh-CN" w:bidi="ar-SA"/>
        </w:rPr>
      </w:pPr>
      <w:bookmarkStart w:id="84" w:name="_Toc32400"/>
      <w:bookmarkStart w:id="85" w:name="_Toc5354"/>
      <w:bookmarkStart w:id="86" w:name="_Toc13694"/>
      <w:bookmarkStart w:id="87" w:name="_Toc24506"/>
      <w:r>
        <w:rPr>
          <w:rFonts w:hint="eastAsia" w:ascii="Times New Roman" w:hAnsi="Times New Roman" w:eastAsia="仿宋_GB2312" w:cs="Times New Roman"/>
          <w:b/>
          <w:bCs/>
          <w:color w:val="000000"/>
          <w:kern w:val="2"/>
          <w:sz w:val="32"/>
          <w:szCs w:val="32"/>
          <w:highlight w:val="none"/>
          <w:lang w:val="en-US" w:eastAsia="zh-CN" w:bidi="ar-SA"/>
        </w:rPr>
        <w:t>1.绩效评价原则</w:t>
      </w:r>
      <w:bookmarkEnd w:id="84"/>
      <w:bookmarkEnd w:id="85"/>
      <w:bookmarkEnd w:id="86"/>
      <w:bookmarkEnd w:id="87"/>
    </w:p>
    <w:p w14:paraId="47E9B509">
      <w:pPr>
        <w:shd w:val="clear"/>
        <w:spacing w:line="560" w:lineRule="exact"/>
        <w:ind w:firstLine="640" w:firstLineChars="200"/>
        <w:rPr>
          <w:rFonts w:hint="eastAsia" w:ascii="Times New Roman" w:hAnsi="Times New Roman" w:eastAsia="仿宋_GB2312" w:cs="Times New Roman"/>
          <w:color w:val="000000"/>
          <w:sz w:val="32"/>
          <w:szCs w:val="32"/>
          <w:highlight w:val="none"/>
          <w:lang w:eastAsia="zh-CN"/>
        </w:rPr>
      </w:pPr>
      <w:r>
        <w:rPr>
          <w:rFonts w:hint="eastAsia" w:ascii="Times New Roman" w:hAnsi="Times New Roman" w:eastAsia="仿宋_GB2312" w:cs="Times New Roman"/>
          <w:color w:val="000000"/>
          <w:sz w:val="32"/>
          <w:szCs w:val="32"/>
          <w:highlight w:val="none"/>
          <w:lang w:eastAsia="zh-CN"/>
        </w:rPr>
        <w:t>依据《财政支出绩效评价管理暂行办法》（财预〔20</w:t>
      </w:r>
      <w:r>
        <w:rPr>
          <w:rFonts w:hint="eastAsia" w:ascii="Times New Roman" w:hAnsi="Times New Roman" w:eastAsia="仿宋_GB2312" w:cs="Times New Roman"/>
          <w:color w:val="000000"/>
          <w:sz w:val="32"/>
          <w:szCs w:val="32"/>
          <w:highlight w:val="none"/>
          <w:lang w:val="en-US" w:eastAsia="zh-CN"/>
        </w:rPr>
        <w:t>20</w:t>
      </w: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lang w:val="en-US" w:eastAsia="zh-CN"/>
        </w:rPr>
        <w:t>10</w:t>
      </w:r>
      <w:r>
        <w:rPr>
          <w:rFonts w:hint="eastAsia" w:ascii="Times New Roman" w:hAnsi="Times New Roman" w:eastAsia="仿宋_GB2312" w:cs="Times New Roman"/>
          <w:color w:val="000000"/>
          <w:sz w:val="32"/>
          <w:szCs w:val="32"/>
          <w:highlight w:val="none"/>
          <w:lang w:eastAsia="zh-CN"/>
        </w:rPr>
        <w:t>号）本次绩效评价秉承科学规范、公正公开、分级分类、绩效相关等原则</w:t>
      </w:r>
      <w:r>
        <w:rPr>
          <w:rFonts w:hint="eastAsia" w:ascii="Times New Roman" w:hAnsi="Times New Roman" w:eastAsia="仿宋_GB2312" w:cs="Times New Roman"/>
          <w:color w:val="auto"/>
          <w:sz w:val="32"/>
          <w:szCs w:val="32"/>
          <w:highlight w:val="none"/>
          <w:lang w:eastAsia="zh-CN"/>
        </w:rPr>
        <w:t>，按照从投入、过程到产出效果和影响的绩效逻辑路径，结合</w:t>
      </w:r>
      <w:r>
        <w:rPr>
          <w:rFonts w:hint="eastAsia" w:ascii="Times New Roman" w:hAnsi="Times New Roman" w:eastAsia="仿宋_GB2312" w:cs="Times New Roman"/>
          <w:color w:val="auto"/>
          <w:sz w:val="32"/>
          <w:szCs w:val="32"/>
          <w:highlight w:val="none"/>
          <w:lang w:val="en-US" w:eastAsia="zh-CN"/>
        </w:rPr>
        <w:t>昌州财教【2023】90号（保民生）提前下达2024年城乡义务教育补助经费（中央直达资金）公用经费初中</w:t>
      </w:r>
      <w:r>
        <w:rPr>
          <w:rFonts w:hint="eastAsia" w:ascii="Times New Roman" w:hAnsi="Times New Roman" w:eastAsia="仿宋_GB2312" w:cs="Times New Roman"/>
          <w:color w:val="auto"/>
          <w:sz w:val="32"/>
          <w:szCs w:val="32"/>
          <w:highlight w:val="none"/>
          <w:lang w:eastAsia="zh-CN"/>
        </w:rPr>
        <w:t>实际开展情况，运用定量和定性分析相结合的方法，总结经验做法，反思项目实施和管理中的问题，</w:t>
      </w:r>
      <w:r>
        <w:rPr>
          <w:rFonts w:hint="eastAsia" w:ascii="Times New Roman" w:hAnsi="Times New Roman" w:eastAsia="仿宋_GB2312" w:cs="Times New Roman"/>
          <w:color w:val="000000"/>
          <w:sz w:val="32"/>
          <w:szCs w:val="32"/>
          <w:highlight w:val="none"/>
          <w:lang w:eastAsia="zh-CN"/>
        </w:rPr>
        <w:t>以切实提升财政资金管理的科学化、规范化和精细化水平。</w:t>
      </w:r>
    </w:p>
    <w:p w14:paraId="6A33F7FF">
      <w:pPr>
        <w:shd w:val="clear"/>
        <w:spacing w:line="560" w:lineRule="exact"/>
        <w:ind w:firstLine="640" w:firstLineChars="200"/>
        <w:rPr>
          <w:rFonts w:hint="eastAsia" w:ascii="Times New Roman" w:hAnsi="Times New Roman" w:eastAsia="仿宋_GB2312" w:cs="Times New Roman"/>
          <w:color w:val="000000"/>
          <w:sz w:val="32"/>
          <w:szCs w:val="32"/>
          <w:highlight w:val="none"/>
          <w:lang w:eastAsia="zh-CN"/>
        </w:rPr>
      </w:pPr>
      <w:r>
        <w:rPr>
          <w:rFonts w:hint="eastAsia" w:ascii="Times New Roman" w:hAnsi="Times New Roman" w:eastAsia="仿宋_GB2312" w:cs="Times New Roman"/>
          <w:color w:val="000000"/>
          <w:sz w:val="32"/>
          <w:szCs w:val="32"/>
          <w:highlight w:val="none"/>
          <w:lang w:eastAsia="zh-CN"/>
        </w:rPr>
        <w:t>根据以上原则，绩效评价应遵循如下要求：</w:t>
      </w:r>
    </w:p>
    <w:p w14:paraId="6072860E">
      <w:pPr>
        <w:shd w:val="clear"/>
        <w:spacing w:line="560" w:lineRule="exact"/>
        <w:ind w:firstLine="640" w:firstLineChars="200"/>
        <w:rPr>
          <w:rFonts w:hint="eastAsia" w:ascii="Times New Roman" w:hAnsi="Times New Roman" w:eastAsia="仿宋_GB2312" w:cs="Times New Roman"/>
          <w:color w:val="000000"/>
          <w:sz w:val="32"/>
          <w:szCs w:val="32"/>
          <w:highlight w:val="none"/>
          <w:lang w:eastAsia="zh-CN"/>
        </w:rPr>
      </w:pP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lang w:val="en-US" w:eastAsia="zh-CN"/>
        </w:rPr>
        <w:t>1</w:t>
      </w:r>
      <w:r>
        <w:rPr>
          <w:rFonts w:hint="eastAsia" w:ascii="Times New Roman" w:hAnsi="Times New Roman" w:eastAsia="仿宋_GB2312" w:cs="Times New Roman"/>
          <w:color w:val="000000"/>
          <w:sz w:val="32"/>
          <w:szCs w:val="32"/>
          <w:highlight w:val="none"/>
          <w:lang w:eastAsia="zh-CN"/>
        </w:rPr>
        <w:t>）科学公正。绩效评价应当运用科学合理的方法，按照规范的程序，对项目绩效进行客观、公正的反映。</w:t>
      </w:r>
    </w:p>
    <w:p w14:paraId="2195CBC9">
      <w:pPr>
        <w:shd w:val="clear"/>
        <w:spacing w:line="560" w:lineRule="exact"/>
        <w:ind w:firstLine="640" w:firstLineChars="200"/>
        <w:rPr>
          <w:rFonts w:hint="eastAsia" w:ascii="Times New Roman" w:hAnsi="Times New Roman" w:eastAsia="仿宋_GB2312" w:cs="Times New Roman"/>
          <w:color w:val="000000"/>
          <w:sz w:val="32"/>
          <w:szCs w:val="32"/>
          <w:highlight w:val="none"/>
          <w:lang w:eastAsia="zh-CN"/>
        </w:rPr>
      </w:pP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lang w:val="en-US" w:eastAsia="zh-CN"/>
        </w:rPr>
        <w:t>2</w:t>
      </w:r>
      <w:r>
        <w:rPr>
          <w:rFonts w:hint="eastAsia" w:ascii="Times New Roman" w:hAnsi="Times New Roman" w:eastAsia="仿宋_GB2312" w:cs="Times New Roman"/>
          <w:color w:val="000000"/>
          <w:sz w:val="32"/>
          <w:szCs w:val="32"/>
          <w:highlight w:val="none"/>
          <w:lang w:eastAsia="zh-CN"/>
        </w:rPr>
        <w:t>）统筹兼顾。单位自评、部门评价和财政评价应职责明确，各有侧重，相互衔接。单位自评应由项目单位自主实施，即“谁支出、谁自评”。</w:t>
      </w:r>
    </w:p>
    <w:p w14:paraId="17246D71">
      <w:pPr>
        <w:shd w:val="clear"/>
        <w:spacing w:line="560" w:lineRule="exact"/>
        <w:ind w:firstLine="640" w:firstLineChars="200"/>
        <w:rPr>
          <w:rFonts w:hint="eastAsia" w:ascii="Times New Roman" w:hAnsi="Times New Roman" w:eastAsia="仿宋_GB2312" w:cs="Times New Roman"/>
          <w:color w:val="000000"/>
          <w:sz w:val="32"/>
          <w:szCs w:val="32"/>
          <w:highlight w:val="none"/>
          <w:lang w:eastAsia="zh-CN"/>
        </w:rPr>
      </w:pP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lang w:val="en-US" w:eastAsia="zh-CN"/>
        </w:rPr>
        <w:t>3</w:t>
      </w:r>
      <w:r>
        <w:rPr>
          <w:rFonts w:hint="eastAsia" w:ascii="Times New Roman" w:hAnsi="Times New Roman" w:eastAsia="仿宋_GB2312" w:cs="Times New Roman"/>
          <w:color w:val="000000"/>
          <w:sz w:val="32"/>
          <w:szCs w:val="32"/>
          <w:highlight w:val="none"/>
          <w:lang w:eastAsia="zh-CN"/>
        </w:rPr>
        <w:t>）激励约束。绩效评价结果应与预算安排、政策调整、改进管理实质性挂钩，体现奖优罚劣和激励相容导向，有效要安排、低效要压减、无效要问责。</w:t>
      </w:r>
    </w:p>
    <w:p w14:paraId="53678D47">
      <w:pPr>
        <w:shd w:val="clear"/>
        <w:spacing w:line="560" w:lineRule="exact"/>
        <w:ind w:firstLine="640" w:firstLineChars="200"/>
        <w:rPr>
          <w:rFonts w:hint="eastAsia" w:ascii="Times New Roman" w:hAnsi="Times New Roman" w:eastAsia="仿宋_GB2312" w:cs="Times New Roman"/>
          <w:color w:val="000000"/>
          <w:sz w:val="32"/>
          <w:szCs w:val="32"/>
          <w:highlight w:val="none"/>
          <w:lang w:eastAsia="zh-CN"/>
        </w:rPr>
      </w:pP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lang w:val="en-US" w:eastAsia="zh-CN"/>
        </w:rPr>
        <w:t>4</w:t>
      </w:r>
      <w:r>
        <w:rPr>
          <w:rFonts w:hint="eastAsia" w:ascii="Times New Roman" w:hAnsi="Times New Roman" w:eastAsia="仿宋_GB2312" w:cs="Times New Roman"/>
          <w:color w:val="000000"/>
          <w:sz w:val="32"/>
          <w:szCs w:val="32"/>
          <w:highlight w:val="none"/>
          <w:lang w:eastAsia="zh-CN"/>
        </w:rPr>
        <w:t>）公开透明。绩效评价结果应依法依规公开，并自觉接受社会监督。</w:t>
      </w:r>
    </w:p>
    <w:p w14:paraId="544D74C2">
      <w:pPr>
        <w:pageBreakBefore w:val="0"/>
        <w:widowControl w:val="0"/>
        <w:shd w:val="clea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sz w:val="32"/>
          <w:szCs w:val="32"/>
          <w:highlight w:val="none"/>
          <w:lang w:eastAsia="zh-CN"/>
        </w:rPr>
      </w:pPr>
      <w:bookmarkStart w:id="88" w:name="_Toc24396"/>
      <w:bookmarkStart w:id="89" w:name="_Toc428278230"/>
      <w:bookmarkStart w:id="90" w:name="_Toc419984722"/>
      <w:bookmarkStart w:id="91" w:name="_Toc1913"/>
      <w:bookmarkStart w:id="92" w:name="_Toc26131"/>
      <w:r>
        <w:rPr>
          <w:rFonts w:hint="eastAsia" w:ascii="仿宋_GB2312" w:hAnsi="仿宋_GB2312" w:eastAsia="仿宋_GB2312" w:cs="仿宋_GB2312"/>
          <w:b/>
          <w:bCs/>
          <w:color w:val="000000"/>
          <w:sz w:val="32"/>
          <w:szCs w:val="32"/>
          <w:highlight w:val="none"/>
          <w:lang w:val="en-US" w:eastAsia="zh-CN"/>
        </w:rPr>
        <w:t>2.</w:t>
      </w:r>
      <w:r>
        <w:rPr>
          <w:rFonts w:hint="eastAsia" w:ascii="仿宋_GB2312" w:hAnsi="仿宋_GB2312" w:eastAsia="仿宋_GB2312" w:cs="仿宋_GB2312"/>
          <w:b/>
          <w:bCs/>
          <w:color w:val="000000"/>
          <w:sz w:val="32"/>
          <w:szCs w:val="32"/>
          <w:highlight w:val="none"/>
          <w:lang w:eastAsia="zh-CN"/>
        </w:rPr>
        <w:t>绩效评价指标体系</w:t>
      </w:r>
      <w:bookmarkEnd w:id="88"/>
      <w:bookmarkEnd w:id="89"/>
      <w:bookmarkEnd w:id="90"/>
      <w:bookmarkEnd w:id="91"/>
      <w:bookmarkEnd w:id="92"/>
    </w:p>
    <w:p w14:paraId="031A1904">
      <w:pPr>
        <w:keepNext w:val="0"/>
        <w:keepLines w:val="0"/>
        <w:pageBreakBefore w:val="0"/>
        <w:widowControl w:val="0"/>
        <w:shd w:val="clear"/>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highlight w:val="none"/>
        </w:rPr>
      </w:pPr>
      <w:bookmarkStart w:id="93" w:name="_Toc9941"/>
      <w:r>
        <w:rPr>
          <w:rFonts w:hint="eastAsia" w:ascii="仿宋_GB2312" w:hAnsi="仿宋_GB2312" w:eastAsia="仿宋_GB2312" w:cs="仿宋_GB2312"/>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12C508E0">
      <w:pPr>
        <w:keepNext w:val="0"/>
        <w:keepLines w:val="0"/>
        <w:pageBreakBefore w:val="0"/>
        <w:widowControl w:val="0"/>
        <w:shd w:val="clear"/>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（1）确定评价指标</w:t>
      </w:r>
    </w:p>
    <w:p w14:paraId="6EA16A6A">
      <w:pPr>
        <w:keepNext w:val="0"/>
        <w:keepLines w:val="0"/>
        <w:pageBreakBefore w:val="0"/>
        <w:widowControl w:val="0"/>
        <w:shd w:val="clear"/>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1100C186">
      <w:pPr>
        <w:keepNext w:val="0"/>
        <w:keepLines w:val="0"/>
        <w:pageBreakBefore w:val="0"/>
        <w:widowControl w:val="0"/>
        <w:shd w:val="clear"/>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（2）确定权重</w:t>
      </w:r>
    </w:p>
    <w:p w14:paraId="1F2B6D7D">
      <w:pPr>
        <w:keepNext w:val="0"/>
        <w:keepLines w:val="0"/>
        <w:pageBreakBefore w:val="0"/>
        <w:widowControl w:val="0"/>
        <w:shd w:val="clear"/>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FF0000"/>
          <w:spacing w:val="17"/>
          <w:sz w:val="32"/>
          <w:szCs w:val="32"/>
          <w:highlight w:val="none"/>
          <w:lang w:eastAsia="zh-CN"/>
        </w:rPr>
      </w:pPr>
      <w:r>
        <w:rPr>
          <w:rFonts w:hint="eastAsia" w:ascii="仿宋_GB2312" w:hAnsi="仿宋_GB2312" w:eastAsia="仿宋_GB2312" w:cs="仿宋_GB2312"/>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49AEF298">
      <w:pPr>
        <w:keepNext w:val="0"/>
        <w:keepLines w:val="0"/>
        <w:pageBreakBefore w:val="0"/>
        <w:widowControl w:val="0"/>
        <w:shd w:val="clear"/>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（3）确定指标标准值</w:t>
      </w:r>
    </w:p>
    <w:p w14:paraId="0889CB35">
      <w:pPr>
        <w:keepNext w:val="0"/>
        <w:keepLines w:val="0"/>
        <w:pageBreakBefore w:val="0"/>
        <w:widowControl w:val="0"/>
        <w:shd w:val="clear"/>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7CE03FA7">
      <w:pPr>
        <w:keepNext w:val="0"/>
        <w:keepLines w:val="0"/>
        <w:pageBreakBefore w:val="0"/>
        <w:widowControl w:val="0"/>
        <w:shd w:val="clear"/>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绩效评价总分值100分，根据综合评分结果，90（含）-100分为优、80（含）-90分为良、60（含）-80分为中、60分以下为差。</w:t>
      </w:r>
    </w:p>
    <w:p w14:paraId="3D82C702">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我单位</w:t>
      </w:r>
      <w:r>
        <w:rPr>
          <w:rFonts w:hint="eastAsia" w:ascii="仿宋_GB2312" w:hAnsi="仿宋_GB2312" w:eastAsia="仿宋_GB2312" w:cs="仿宋_GB2312"/>
          <w:color w:val="000000"/>
          <w:sz w:val="32"/>
          <w:szCs w:val="32"/>
          <w:highlight w:val="none"/>
          <w:lang w:val="zh-TW" w:eastAsia="zh-TW"/>
        </w:rPr>
        <w:t>根据项目的</w:t>
      </w:r>
      <w:r>
        <w:rPr>
          <w:rFonts w:hint="eastAsia" w:ascii="仿宋_GB2312" w:hAnsi="仿宋_GB2312" w:eastAsia="仿宋_GB2312" w:cs="仿宋_GB2312"/>
          <w:color w:val="000000"/>
          <w:sz w:val="32"/>
          <w:szCs w:val="32"/>
          <w:highlight w:val="none"/>
          <w:lang w:val="en-US" w:eastAsia="zh-CN"/>
        </w:rPr>
        <w:t>实施</w:t>
      </w:r>
      <w:r>
        <w:rPr>
          <w:rFonts w:hint="eastAsia" w:ascii="仿宋_GB2312" w:hAnsi="仿宋_GB2312" w:eastAsia="仿宋_GB2312" w:cs="仿宋_GB2312"/>
          <w:color w:val="000000"/>
          <w:sz w:val="32"/>
          <w:szCs w:val="32"/>
          <w:highlight w:val="none"/>
          <w:lang w:val="zh-TW" w:eastAsia="zh-TW"/>
        </w:rPr>
        <w:t>资料研读及前期调研，结合项目的实际开展情况，最终形成了项目绩效评价指标体系</w:t>
      </w:r>
      <w:r>
        <w:rPr>
          <w:rFonts w:hint="eastAsia" w:ascii="仿宋_GB2312" w:hAnsi="仿宋_GB2312" w:eastAsia="仿宋_GB2312" w:cs="仿宋_GB2312"/>
          <w:color w:val="000000"/>
          <w:sz w:val="32"/>
          <w:szCs w:val="32"/>
          <w:highlight w:val="none"/>
          <w:lang w:val="zh-TW" w:eastAsia="zh-CN"/>
        </w:rPr>
        <w:t>，</w:t>
      </w:r>
      <w:r>
        <w:rPr>
          <w:rFonts w:hint="eastAsia" w:ascii="仿宋_GB2312" w:hAnsi="仿宋_GB2312" w:eastAsia="仿宋_GB2312" w:cs="仿宋_GB2312"/>
          <w:color w:val="000000"/>
          <w:sz w:val="32"/>
          <w:szCs w:val="32"/>
          <w:highlight w:val="none"/>
          <w:lang w:val="en-US" w:eastAsia="zh-CN"/>
        </w:rPr>
        <w:t>详见上传的附件二。</w:t>
      </w:r>
    </w:p>
    <w:p w14:paraId="03597ACE">
      <w:pPr>
        <w:pStyle w:val="5"/>
        <w:pageBreakBefore w:val="0"/>
        <w:widowControl w:val="0"/>
        <w:shd w:val="clea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94" w:name="_Toc23136"/>
      <w:bookmarkStart w:id="95" w:name="_Toc30114"/>
      <w:bookmarkStart w:id="96" w:name="_Toc569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评价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方法</w:t>
      </w:r>
      <w:bookmarkEnd w:id="93"/>
      <w:bookmarkEnd w:id="94"/>
      <w:bookmarkEnd w:id="95"/>
      <w:bookmarkEnd w:id="96"/>
    </w:p>
    <w:p w14:paraId="228F1BFF">
      <w:pPr>
        <w:pageBreakBefore w:val="0"/>
        <w:widowControl w:val="0"/>
        <w:shd w:val="clear"/>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highlight w:val="none"/>
        </w:rPr>
      </w:pPr>
      <w:bookmarkStart w:id="97" w:name="_Toc25391"/>
      <w:r>
        <w:rPr>
          <w:rFonts w:hint="eastAsia" w:ascii="仿宋_GB2312" w:hAnsi="仿宋_GB2312" w:eastAsia="仿宋_GB2312" w:cs="仿宋_GB2312"/>
          <w:color w:val="000000"/>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000000"/>
          <w:spacing w:val="17"/>
          <w:sz w:val="32"/>
          <w:szCs w:val="32"/>
          <w:highlight w:val="none"/>
          <w:lang w:eastAsia="zh-CN"/>
        </w:rPr>
        <w:t>，</w:t>
      </w:r>
      <w:r>
        <w:rPr>
          <w:rFonts w:hint="eastAsia" w:ascii="仿宋_GB2312" w:hAnsi="仿宋_GB2312" w:eastAsia="仿宋_GB2312" w:cs="仿宋_GB2312"/>
          <w:color w:val="000000"/>
          <w:spacing w:val="17"/>
          <w:sz w:val="32"/>
          <w:szCs w:val="32"/>
          <w:highlight w:val="none"/>
        </w:rPr>
        <w:t>评价核心为资金的支出完成情况和项目的产出效益。</w:t>
      </w:r>
    </w:p>
    <w:p w14:paraId="55304014">
      <w:pPr>
        <w:pStyle w:val="6"/>
        <w:pageBreakBefore w:val="0"/>
        <w:widowControl w:val="0"/>
        <w:shd w:val="clea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32196F99">
      <w:pPr>
        <w:keepNext w:val="0"/>
        <w:keepLines w:val="0"/>
        <w:pageBreakBefore w:val="0"/>
        <w:widowControl w:val="0"/>
        <w:shd w:val="clear"/>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highlight w:val="none"/>
          <w:lang w:val="en-US" w:eastAsia="zh-CN"/>
        </w:rPr>
      </w:pPr>
      <w:bookmarkStart w:id="98" w:name="_Toc25651"/>
      <w:bookmarkStart w:id="99" w:name="_Toc6081"/>
      <w:r>
        <w:rPr>
          <w:rFonts w:hint="eastAsia" w:ascii="仿宋_GB2312" w:hAnsi="仿宋_GB2312" w:eastAsia="仿宋_GB2312" w:cs="仿宋_GB2312"/>
          <w:color w:val="000000"/>
          <w:spacing w:val="17"/>
          <w:sz w:val="32"/>
          <w:szCs w:val="32"/>
          <w:highlight w:val="none"/>
        </w:rPr>
        <w:t>本次绩效评价采用的方法</w:t>
      </w:r>
      <w:r>
        <w:rPr>
          <w:rFonts w:hint="eastAsia" w:ascii="仿宋_GB2312" w:hAnsi="仿宋_GB2312" w:eastAsia="仿宋_GB2312" w:cs="仿宋_GB2312"/>
          <w:color w:val="000000"/>
          <w:spacing w:val="17"/>
          <w:sz w:val="32"/>
          <w:szCs w:val="32"/>
          <w:highlight w:val="none"/>
          <w:lang w:val="en-US" w:eastAsia="zh-CN"/>
        </w:rPr>
        <w:t>为</w:t>
      </w:r>
      <w:r>
        <w:rPr>
          <w:rFonts w:hint="eastAsia" w:ascii="仿宋_GB2312" w:hAnsi="仿宋_GB2312" w:eastAsia="仿宋_GB2312" w:cs="仿宋_GB2312"/>
          <w:color w:val="000000"/>
          <w:spacing w:val="17"/>
          <w:sz w:val="32"/>
          <w:szCs w:val="32"/>
          <w:highlight w:val="none"/>
        </w:rPr>
        <w:t>比较法</w:t>
      </w:r>
      <w:r>
        <w:rPr>
          <w:rFonts w:hint="eastAsia" w:ascii="仿宋_GB2312" w:hAnsi="仿宋_GB2312" w:eastAsia="仿宋_GB2312" w:cs="仿宋_GB2312"/>
          <w:color w:val="000000"/>
          <w:spacing w:val="17"/>
          <w:sz w:val="32"/>
          <w:szCs w:val="32"/>
          <w:highlight w:val="none"/>
          <w:lang w:eastAsia="zh-CN"/>
        </w:rPr>
        <w:t>、因素分析法、</w:t>
      </w:r>
      <w:r>
        <w:rPr>
          <w:rFonts w:hint="default" w:ascii="仿宋_GB2312" w:hAnsi="仿宋_GB2312" w:eastAsia="仿宋_GB2312" w:cs="仿宋_GB2312"/>
          <w:color w:val="000000"/>
          <w:spacing w:val="17"/>
          <w:sz w:val="32"/>
          <w:szCs w:val="32"/>
          <w:highlight w:val="none"/>
        </w:rPr>
        <w:t>最低成本法</w:t>
      </w:r>
      <w:r>
        <w:rPr>
          <w:rFonts w:hint="eastAsia" w:ascii="仿宋_GB2312" w:hAnsi="仿宋_GB2312" w:eastAsia="仿宋_GB2312" w:cs="仿宋_GB2312"/>
          <w:color w:val="000000"/>
          <w:spacing w:val="17"/>
          <w:sz w:val="32"/>
          <w:szCs w:val="32"/>
          <w:highlight w:val="none"/>
          <w:lang w:val="en-US" w:eastAsia="zh-CN"/>
        </w:rPr>
        <w:t>对项目绩效目标预期目标值与实施情况进行比较，以及采取公众问卷及抽样调查等方式进行评判的方法对昌州财教【2023】90号（保民生）提前下达2024年城乡义务教育补助经费（中央直达资金）公用经费初中项目进行评价。</w:t>
      </w:r>
    </w:p>
    <w:p w14:paraId="5BBC8517">
      <w:pPr>
        <w:pStyle w:val="5"/>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100" w:name="_Toc21785"/>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4.评价标准</w:t>
      </w:r>
      <w:bookmarkEnd w:id="97"/>
      <w:bookmarkEnd w:id="98"/>
      <w:bookmarkEnd w:id="99"/>
      <w:bookmarkEnd w:id="100"/>
    </w:p>
    <w:p w14:paraId="29A8888C">
      <w:pPr>
        <w:shd w:val="clear"/>
        <w:spacing w:line="560" w:lineRule="exact"/>
        <w:ind w:firstLine="708" w:firstLineChars="200"/>
        <w:rPr>
          <w:rFonts w:hint="default"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绩效评价标准通常包括计划标准、行业标准、历史标准等，用于对绩效指标完成情况进行比较、分析、评价。本次评价主要采用了计划标准</w:t>
      </w:r>
      <w:r>
        <w:rPr>
          <w:rFonts w:hint="eastAsia"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历史标准</w:t>
      </w:r>
      <w:r>
        <w:rPr>
          <w:rFonts w:hint="default" w:ascii="Times New Roman" w:hAnsi="Times New Roman" w:eastAsia="仿宋_GB2312" w:cs="Times New Roman"/>
          <w:color w:val="FF0000"/>
          <w:spacing w:val="17"/>
          <w:sz w:val="32"/>
          <w:szCs w:val="32"/>
          <w:highlight w:val="none"/>
        </w:rPr>
        <w:t>。</w:t>
      </w:r>
    </w:p>
    <w:p w14:paraId="6F6F69F2">
      <w:pPr>
        <w:shd w:val="clea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计划标准。指以预先制定的目标、计划、预算、定额等作为评价标准。</w:t>
      </w:r>
    </w:p>
    <w:p w14:paraId="04C1E35D">
      <w:pPr>
        <w:shd w:val="clea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历</w:t>
      </w:r>
      <w:r>
        <w:rPr>
          <w:rFonts w:hint="default" w:ascii="Times New Roman" w:hAnsi="Times New Roman" w:eastAsia="仿宋_GB2312" w:cs="Times New Roman"/>
          <w:color w:val="000000"/>
          <w:spacing w:val="17"/>
          <w:sz w:val="32"/>
          <w:szCs w:val="32"/>
          <w:highlight w:val="none"/>
        </w:rPr>
        <w:t>史标准。指参照历史数据制定的评价标准，为体现绩效改进的原则，在可实现的条件下应当确定相对较高的评价标准。</w:t>
      </w:r>
    </w:p>
    <w:p w14:paraId="425576EF">
      <w:pPr>
        <w:pStyle w:val="14"/>
        <w:keepNext w:val="0"/>
        <w:keepLines w:val="0"/>
        <w:pageBreakBefore w:val="0"/>
        <w:widowControl/>
        <w:shd w:val="clear"/>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highlight w:val="none"/>
          <w:lang w:val="en-US" w:eastAsia="zh-CN"/>
        </w:rPr>
      </w:pPr>
      <w:bookmarkStart w:id="101" w:name="_Toc1820"/>
      <w:r>
        <w:rPr>
          <w:rFonts w:hint="eastAsia" w:ascii="Times New Roman" w:hAnsi="Times New Roman" w:eastAsia="楷体_GB2312" w:cs="Times New Roman"/>
          <w:kern w:val="28"/>
          <w:sz w:val="32"/>
          <w:highlight w:val="none"/>
          <w:lang w:val="en-US" w:eastAsia="zh-CN"/>
        </w:rPr>
        <w:t>（三）绩效评价工作过程</w:t>
      </w:r>
      <w:bookmarkEnd w:id="101"/>
    </w:p>
    <w:p w14:paraId="2513C6E7">
      <w:pPr>
        <w:shd w:val="clea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102" w:name="_Toc12862"/>
      <w:r>
        <w:rPr>
          <w:rFonts w:hint="eastAsia" w:ascii="Times New Roman" w:hAnsi="Times New Roman" w:eastAsia="仿宋_GB2312" w:cs="Times New Roman"/>
          <w:b/>
          <w:bCs/>
          <w:color w:val="000000"/>
          <w:spacing w:val="17"/>
          <w:sz w:val="32"/>
          <w:szCs w:val="32"/>
          <w:highlight w:val="none"/>
          <w:lang w:val="en-US" w:eastAsia="zh-CN"/>
        </w:rPr>
        <w:t>1.前期准备</w:t>
      </w:r>
      <w:bookmarkEnd w:id="102"/>
    </w:p>
    <w:p w14:paraId="38862F7E">
      <w:pPr>
        <w:shd w:val="clea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（1）成立绩效评价项目小组</w:t>
      </w:r>
    </w:p>
    <w:p w14:paraId="6857F3CB">
      <w:pPr>
        <w:shd w:val="clea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4059BDCF">
      <w:pPr>
        <w:shd w:val="clea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3" w:name="_Toc31571"/>
      <w:r>
        <w:rPr>
          <w:rFonts w:hint="eastAsia" w:ascii="Times New Roman" w:hAnsi="Times New Roman" w:eastAsia="仿宋_GB2312" w:cs="Times New Roman"/>
          <w:color w:val="000000"/>
          <w:spacing w:val="17"/>
          <w:sz w:val="32"/>
          <w:szCs w:val="32"/>
          <w:highlight w:val="none"/>
          <w:lang w:val="en-US" w:eastAsia="zh-CN"/>
        </w:rPr>
        <w:t>（2）开展前期调研</w:t>
      </w:r>
      <w:bookmarkEnd w:id="103"/>
    </w:p>
    <w:p w14:paraId="48249902">
      <w:pPr>
        <w:shd w:val="clea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4" w:name="_Toc21240"/>
      <w:r>
        <w:rPr>
          <w:rFonts w:hint="eastAsia" w:ascii="Times New Roman" w:hAnsi="Times New Roman" w:eastAsia="仿宋_GB2312" w:cs="Times New Roman"/>
          <w:color w:val="000000"/>
          <w:spacing w:val="17"/>
          <w:sz w:val="32"/>
          <w:szCs w:val="32"/>
          <w:highlight w:val="none"/>
          <w:lang w:val="en-US" w:eastAsia="zh-CN"/>
        </w:rPr>
        <w:t>绩效评价项目小组依据此次绩效评价受委托内容，对拟评价的项</w:t>
      </w:r>
      <w:r>
        <w:rPr>
          <w:rFonts w:hint="eastAsia" w:ascii="Times New Roman" w:hAnsi="Times New Roman" w:eastAsia="仿宋_GB2312" w:cs="Times New Roman"/>
          <w:color w:val="auto"/>
          <w:spacing w:val="17"/>
          <w:sz w:val="32"/>
          <w:szCs w:val="32"/>
          <w:highlight w:val="none"/>
          <w:lang w:val="en-US" w:eastAsia="zh-CN"/>
        </w:rPr>
        <w:t>目实施前期调研。通过调研对</w:t>
      </w:r>
      <w:r>
        <w:rPr>
          <w:rFonts w:hint="eastAsia" w:ascii="仿宋_GB2312" w:hAnsi="仿宋_GB2312" w:eastAsia="仿宋_GB2312" w:cs="仿宋_GB2312"/>
          <w:color w:val="000000"/>
          <w:spacing w:val="17"/>
          <w:sz w:val="32"/>
          <w:szCs w:val="32"/>
          <w:highlight w:val="none"/>
          <w:lang w:val="en-US" w:eastAsia="zh-CN"/>
        </w:rPr>
        <w:t>昌州财教[2023]90号（保民生）提前下达2024年城乡义务教育补助经费[中央直达资金]公用经费</w:t>
      </w:r>
      <w:r>
        <w:rPr>
          <w:rFonts w:hint="eastAsia" w:ascii="Times New Roman" w:hAnsi="Times New Roman" w:eastAsia="仿宋_GB2312" w:cs="Times New Roman"/>
          <w:color w:val="auto"/>
          <w:spacing w:val="17"/>
          <w:sz w:val="32"/>
          <w:szCs w:val="32"/>
          <w:highlight w:val="none"/>
          <w:lang w:val="en-US" w:eastAsia="zh-CN"/>
        </w:rPr>
        <w:t>实施内容、目标信息、预算信息以及其他的一些项目</w:t>
      </w:r>
      <w:r>
        <w:rPr>
          <w:rFonts w:hint="eastAsia" w:ascii="Times New Roman" w:hAnsi="Times New Roman" w:eastAsia="仿宋_GB2312" w:cs="Times New Roman"/>
          <w:color w:val="000000"/>
          <w:spacing w:val="17"/>
          <w:sz w:val="32"/>
          <w:szCs w:val="32"/>
          <w:highlight w:val="none"/>
          <w:lang w:val="en-US" w:eastAsia="zh-CN"/>
        </w:rPr>
        <w:t>基本信息，有了初步了解，为制定绩效评价工作方案做好准备。</w:t>
      </w:r>
      <w:bookmarkEnd w:id="104"/>
    </w:p>
    <w:p w14:paraId="3853817A">
      <w:pPr>
        <w:shd w:val="clea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5" w:name="_Toc27977"/>
      <w:r>
        <w:rPr>
          <w:rFonts w:hint="eastAsia" w:ascii="Times New Roman" w:hAnsi="Times New Roman" w:eastAsia="仿宋_GB2312" w:cs="Times New Roman"/>
          <w:color w:val="000000"/>
          <w:spacing w:val="17"/>
          <w:sz w:val="32"/>
          <w:szCs w:val="32"/>
          <w:highlight w:val="none"/>
          <w:lang w:val="en-US" w:eastAsia="zh-CN"/>
        </w:rPr>
        <w:t>（3）制订绩效评价工作方案</w:t>
      </w:r>
      <w:bookmarkEnd w:id="105"/>
    </w:p>
    <w:p w14:paraId="0B8CE945">
      <w:pPr>
        <w:shd w:val="clea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6" w:name="_Toc19659"/>
      <w:r>
        <w:rPr>
          <w:rFonts w:hint="eastAsia" w:ascii="Times New Roman" w:hAnsi="Times New Roman" w:eastAsia="仿宋_GB2312" w:cs="Times New Roman"/>
          <w:color w:val="000000"/>
          <w:spacing w:val="17"/>
          <w:sz w:val="32"/>
          <w:szCs w:val="32"/>
          <w:highlight w:val="none"/>
          <w:lang w:val="en-US" w:eastAsia="zh-CN"/>
        </w:rPr>
        <w:t>绩效评价项目小组根据有关规定和评价对象的特点以及前期调研收集的一些信息，拟定详细的绩效评价工作方案。</w:t>
      </w:r>
      <w:bookmarkEnd w:id="106"/>
    </w:p>
    <w:p w14:paraId="0449B8C3">
      <w:pPr>
        <w:shd w:val="clea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107" w:name="_Toc11353"/>
      <w:r>
        <w:rPr>
          <w:rFonts w:hint="eastAsia" w:ascii="Times New Roman" w:hAnsi="Times New Roman" w:eastAsia="仿宋_GB2312" w:cs="Times New Roman"/>
          <w:b/>
          <w:bCs/>
          <w:color w:val="000000"/>
          <w:spacing w:val="17"/>
          <w:sz w:val="32"/>
          <w:szCs w:val="32"/>
          <w:highlight w:val="none"/>
          <w:lang w:val="en-US" w:eastAsia="zh-CN"/>
        </w:rPr>
        <w:t>2.具体实施</w:t>
      </w:r>
      <w:bookmarkEnd w:id="107"/>
    </w:p>
    <w:p w14:paraId="1119B639">
      <w:pPr>
        <w:shd w:val="clea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8" w:name="_Toc14111"/>
      <w:r>
        <w:rPr>
          <w:rFonts w:hint="eastAsia" w:ascii="Times New Roman" w:hAnsi="Times New Roman" w:eastAsia="仿宋_GB2312" w:cs="Times New Roman"/>
          <w:color w:val="000000"/>
          <w:spacing w:val="17"/>
          <w:sz w:val="32"/>
          <w:szCs w:val="32"/>
          <w:highlight w:val="none"/>
          <w:lang w:val="en-US" w:eastAsia="zh-CN"/>
        </w:rPr>
        <w:t>（1）收集基础资料</w:t>
      </w:r>
      <w:bookmarkEnd w:id="108"/>
    </w:p>
    <w:p w14:paraId="38877A14">
      <w:pPr>
        <w:shd w:val="clea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9" w:name="_Toc28524"/>
      <w:r>
        <w:rPr>
          <w:rFonts w:hint="eastAsia" w:ascii="Times New Roman" w:hAnsi="Times New Roman" w:eastAsia="仿宋_GB2312" w:cs="Times New Roman"/>
          <w:color w:val="000000"/>
          <w:spacing w:val="17"/>
          <w:sz w:val="32"/>
          <w:szCs w:val="32"/>
          <w:highlight w:val="none"/>
          <w:lang w:val="en-US" w:eastAsia="zh-CN"/>
        </w:rPr>
        <w:t>根据评价工作的需要和要求，在前期调研的基础上，通过多种渠道全面收集项目基础信息资料，主要包括：</w:t>
      </w:r>
      <w:bookmarkEnd w:id="109"/>
    </w:p>
    <w:p w14:paraId="4001D870">
      <w:pPr>
        <w:shd w:val="clea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10" w:name="_Toc32216"/>
      <w:r>
        <w:rPr>
          <w:rFonts w:hint="eastAsia" w:ascii="Times New Roman" w:hAnsi="Times New Roman" w:eastAsia="仿宋_GB2312" w:cs="Times New Roman"/>
          <w:color w:val="000000"/>
          <w:spacing w:val="17"/>
          <w:sz w:val="32"/>
          <w:szCs w:val="32"/>
          <w:highlight w:val="none"/>
          <w:lang w:val="en-US" w:eastAsia="zh-CN"/>
        </w:rPr>
        <w:t>①被评价单位基本概况，如单位职能、事业发展规划、预决算情况、项目立项依据等；</w:t>
      </w:r>
      <w:bookmarkEnd w:id="110"/>
    </w:p>
    <w:p w14:paraId="5E37CEBC">
      <w:pPr>
        <w:shd w:val="clea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11" w:name="_Toc10505"/>
      <w:r>
        <w:rPr>
          <w:rFonts w:hint="eastAsia" w:ascii="Times New Roman" w:hAnsi="Times New Roman" w:eastAsia="仿宋_GB2312" w:cs="Times New Roman"/>
          <w:color w:val="000000"/>
          <w:spacing w:val="17"/>
          <w:sz w:val="32"/>
          <w:szCs w:val="32"/>
          <w:highlight w:val="none"/>
          <w:lang w:val="en-US" w:eastAsia="zh-CN"/>
        </w:rPr>
        <w:t>②绩效目标及其设立依据和调整情况；</w:t>
      </w:r>
      <w:bookmarkEnd w:id="111"/>
    </w:p>
    <w:p w14:paraId="1D5A0828">
      <w:pPr>
        <w:shd w:val="clea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12" w:name="_Toc28365"/>
      <w:r>
        <w:rPr>
          <w:rFonts w:hint="eastAsia" w:ascii="Times New Roman" w:hAnsi="Times New Roman" w:eastAsia="仿宋_GB2312" w:cs="Times New Roman"/>
          <w:color w:val="000000"/>
          <w:spacing w:val="17"/>
          <w:sz w:val="32"/>
          <w:szCs w:val="32"/>
          <w:highlight w:val="none"/>
          <w:lang w:val="en-US" w:eastAsia="zh-CN"/>
        </w:rPr>
        <w:t>③管理措施及组织实施情况；</w:t>
      </w:r>
      <w:bookmarkEnd w:id="112"/>
    </w:p>
    <w:p w14:paraId="54D402DC">
      <w:pPr>
        <w:shd w:val="clea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13" w:name="_Toc10091"/>
      <w:r>
        <w:rPr>
          <w:rFonts w:hint="eastAsia" w:ascii="Times New Roman" w:hAnsi="Times New Roman" w:eastAsia="仿宋_GB2312" w:cs="Times New Roman"/>
          <w:color w:val="000000"/>
          <w:spacing w:val="17"/>
          <w:sz w:val="32"/>
          <w:szCs w:val="32"/>
          <w:highlight w:val="none"/>
          <w:lang w:val="en-US" w:eastAsia="zh-CN"/>
        </w:rPr>
        <w:t>④被评价单位总结分析的绩效目标完成情况及绩效报告；</w:t>
      </w:r>
      <w:bookmarkEnd w:id="113"/>
    </w:p>
    <w:p w14:paraId="05D3EC81">
      <w:pPr>
        <w:shd w:val="clea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14" w:name="_Toc1"/>
      <w:r>
        <w:rPr>
          <w:rFonts w:hint="eastAsia" w:ascii="Times New Roman" w:hAnsi="Times New Roman" w:eastAsia="仿宋_GB2312" w:cs="Times New Roman"/>
          <w:color w:val="000000"/>
          <w:spacing w:val="17"/>
          <w:sz w:val="32"/>
          <w:szCs w:val="32"/>
          <w:highlight w:val="none"/>
          <w:lang w:val="en-US" w:eastAsia="zh-CN"/>
        </w:rPr>
        <w:t>⑤与绩效评价相关的计划标准、行业标准、历史标准等；</w:t>
      </w:r>
      <w:bookmarkEnd w:id="114"/>
    </w:p>
    <w:p w14:paraId="12453830">
      <w:pPr>
        <w:shd w:val="clea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15" w:name="_Toc20059"/>
      <w:r>
        <w:rPr>
          <w:rFonts w:hint="eastAsia" w:ascii="Times New Roman" w:hAnsi="Times New Roman" w:eastAsia="仿宋_GB2312" w:cs="Times New Roman"/>
          <w:color w:val="000000"/>
          <w:spacing w:val="17"/>
          <w:sz w:val="32"/>
          <w:szCs w:val="32"/>
          <w:highlight w:val="none"/>
          <w:lang w:val="en-US" w:eastAsia="zh-CN"/>
        </w:rPr>
        <w:t>⑥其他必要的相关资料等。</w:t>
      </w:r>
      <w:bookmarkEnd w:id="115"/>
    </w:p>
    <w:p w14:paraId="6A51C39C">
      <w:pPr>
        <w:shd w:val="clea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16" w:name="_Toc31911"/>
      <w:r>
        <w:rPr>
          <w:rFonts w:hint="eastAsia" w:ascii="Times New Roman" w:hAnsi="Times New Roman" w:eastAsia="仿宋_GB2312" w:cs="Times New Roman"/>
          <w:color w:val="000000"/>
          <w:spacing w:val="17"/>
          <w:sz w:val="32"/>
          <w:szCs w:val="32"/>
          <w:highlight w:val="none"/>
          <w:lang w:val="en-US" w:eastAsia="zh-CN"/>
        </w:rPr>
        <w:t>（2）整理、研读基础资料</w:t>
      </w:r>
      <w:bookmarkEnd w:id="116"/>
    </w:p>
    <w:p w14:paraId="7DA9A714">
      <w:pPr>
        <w:shd w:val="clea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17" w:name="_Toc167"/>
      <w:r>
        <w:rPr>
          <w:rFonts w:hint="eastAsia" w:ascii="Times New Roman" w:hAnsi="Times New Roman" w:eastAsia="仿宋_GB2312" w:cs="Times New Roman"/>
          <w:color w:val="000000"/>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117"/>
    </w:p>
    <w:p w14:paraId="140AB814">
      <w:pPr>
        <w:shd w:val="clear"/>
        <w:spacing w:line="560" w:lineRule="exact"/>
        <w:ind w:firstLine="711" w:firstLineChars="200"/>
        <w:rPr>
          <w:rFonts w:hint="default" w:ascii="Times New Roman" w:hAnsi="Times New Roman" w:eastAsia="仿宋_GB2312" w:cs="Times New Roman"/>
          <w:b/>
          <w:bCs/>
          <w:color w:val="000000"/>
          <w:spacing w:val="17"/>
          <w:sz w:val="32"/>
          <w:szCs w:val="32"/>
          <w:highlight w:val="none"/>
          <w:lang w:val="en-US" w:eastAsia="zh-CN"/>
        </w:rPr>
      </w:pPr>
      <w:bookmarkStart w:id="118" w:name="_Toc30513"/>
      <w:r>
        <w:rPr>
          <w:rFonts w:hint="eastAsia" w:ascii="Times New Roman" w:hAnsi="Times New Roman" w:eastAsia="仿宋_GB2312" w:cs="Times New Roman"/>
          <w:b/>
          <w:bCs/>
          <w:color w:val="000000"/>
          <w:spacing w:val="17"/>
          <w:sz w:val="32"/>
          <w:szCs w:val="32"/>
          <w:highlight w:val="none"/>
          <w:lang w:val="en-US" w:eastAsia="zh-CN"/>
        </w:rPr>
        <w:t>3.分析评价和撰写报告</w:t>
      </w:r>
      <w:bookmarkEnd w:id="118"/>
    </w:p>
    <w:p w14:paraId="59B4F9DF">
      <w:pPr>
        <w:shd w:val="clea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19" w:name="_Toc15974"/>
      <w:r>
        <w:rPr>
          <w:rFonts w:hint="eastAsia"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1）综合分析评价</w:t>
      </w:r>
      <w:bookmarkEnd w:id="119"/>
    </w:p>
    <w:p w14:paraId="31E220B7">
      <w:pPr>
        <w:shd w:val="clea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20" w:name="_Toc4352"/>
      <w:r>
        <w:rPr>
          <w:rFonts w:hint="eastAsia" w:ascii="Times New Roman" w:hAnsi="Times New Roman" w:eastAsia="仿宋_GB2312" w:cs="Times New Roman"/>
          <w:color w:val="000000"/>
          <w:spacing w:val="17"/>
          <w:sz w:val="32"/>
          <w:szCs w:val="32"/>
          <w:highlight w:val="none"/>
          <w:lang w:val="en-US" w:eastAsia="zh-CN"/>
        </w:rPr>
        <w:t>①根据所收集的基础资料，结合现场核查的有关情况，整理出绩效评价所需的项目材料和基础数据。</w:t>
      </w:r>
      <w:bookmarkEnd w:id="120"/>
    </w:p>
    <w:p w14:paraId="3AB5FF5A">
      <w:pPr>
        <w:shd w:val="clea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21" w:name="_Toc26231"/>
      <w:r>
        <w:rPr>
          <w:rFonts w:hint="eastAsia" w:ascii="Times New Roman" w:hAnsi="Times New Roman" w:eastAsia="仿宋_GB2312" w:cs="Times New Roman"/>
          <w:color w:val="000000"/>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21"/>
    </w:p>
    <w:p w14:paraId="57C236F2">
      <w:pPr>
        <w:shd w:val="clea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22" w:name="_Toc27759"/>
      <w:r>
        <w:rPr>
          <w:rFonts w:hint="eastAsia" w:ascii="Times New Roman" w:hAnsi="Times New Roman" w:eastAsia="仿宋_GB2312" w:cs="Times New Roman"/>
          <w:color w:val="000000"/>
          <w:spacing w:val="17"/>
          <w:sz w:val="32"/>
          <w:szCs w:val="32"/>
          <w:highlight w:val="none"/>
          <w:lang w:val="en-US" w:eastAsia="zh-CN"/>
        </w:rPr>
        <w:t>（2）撰写报告</w:t>
      </w:r>
      <w:bookmarkEnd w:id="122"/>
    </w:p>
    <w:p w14:paraId="3EB4F29E">
      <w:pPr>
        <w:shd w:val="clea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23" w:name="_Toc15579"/>
      <w:r>
        <w:rPr>
          <w:rFonts w:hint="eastAsia" w:ascii="Times New Roman" w:hAnsi="Times New Roman" w:eastAsia="仿宋_GB2312" w:cs="Times New Roman"/>
          <w:color w:val="000000"/>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23"/>
    </w:p>
    <w:p w14:paraId="1053B6F3">
      <w:pPr>
        <w:pStyle w:val="3"/>
        <w:pageBreakBefore w:val="0"/>
        <w:shd w:val="clear"/>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124" w:name="_Toc25722"/>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三、</w:t>
      </w:r>
      <w:r>
        <w:rPr>
          <w:rFonts w:hint="eastAsia" w:ascii="黑体" w:hAnsi="黑体" w:eastAsia="黑体" w:cs="黑体"/>
          <w:b w:val="0"/>
          <w:bCs w:val="0"/>
          <w:color w:val="000000" w:themeColor="text1"/>
          <w:highlight w:val="none"/>
          <w:shd w:val="clear" w:color="auto" w:fill="auto"/>
          <w14:textFill>
            <w14:solidFill>
              <w14:schemeClr w14:val="tx1"/>
            </w14:solidFill>
          </w14:textFill>
        </w:rPr>
        <w:t>综合评价情况及评价结论</w:t>
      </w:r>
      <w:bookmarkEnd w:id="124"/>
    </w:p>
    <w:p w14:paraId="773D0C0A">
      <w:pPr>
        <w:pStyle w:val="14"/>
        <w:keepNext w:val="0"/>
        <w:keepLines w:val="0"/>
        <w:pageBreakBefore w:val="0"/>
        <w:widowControl/>
        <w:shd w:val="clear"/>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highlight w:val="none"/>
          <w:lang w:val="en-US" w:eastAsia="zh-CN"/>
        </w:rPr>
      </w:pPr>
      <w:bookmarkStart w:id="125" w:name="_Toc9310"/>
      <w:r>
        <w:rPr>
          <w:rFonts w:hint="eastAsia" w:ascii="Times New Roman" w:hAnsi="Times New Roman" w:eastAsia="楷体_GB2312" w:cs="Times New Roman"/>
          <w:kern w:val="28"/>
          <w:sz w:val="32"/>
          <w:highlight w:val="none"/>
          <w:lang w:val="en-US" w:eastAsia="zh-CN"/>
        </w:rPr>
        <w:t>（一）综合评价情况及评价结论</w:t>
      </w:r>
      <w:bookmarkEnd w:id="125"/>
    </w:p>
    <w:p w14:paraId="1305285E">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w:t>
      </w:r>
      <w:r>
        <w:rPr>
          <w:rFonts w:hint="default" w:ascii="Times New Roman" w:hAnsi="Times New Roman" w:eastAsia="仿宋_GB2312" w:cs="Times New Roman"/>
          <w:color w:val="auto"/>
          <w:sz w:val="32"/>
          <w:szCs w:val="32"/>
          <w:highlight w:val="none"/>
        </w:rPr>
        <w:t>况来看，</w:t>
      </w:r>
      <w:r>
        <w:rPr>
          <w:rFonts w:hint="eastAsia" w:ascii="Times New Roman" w:hAnsi="Times New Roman" w:eastAsia="仿宋_GB2312" w:cs="Times New Roman"/>
          <w:color w:val="auto"/>
          <w:sz w:val="32"/>
          <w:szCs w:val="32"/>
          <w:highlight w:val="none"/>
          <w:lang w:val="en-US" w:eastAsia="zh-CN"/>
        </w:rPr>
        <w:t>昌州财教【2023】90号（保民生）提前下达2024年城乡义务教育补助经费（中央直达资金）公用经费初中</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42183105">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阜康市第二中学</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2AC3002B">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从项目效益的角度来看，本项目不仅实现了预期的社会效益等方面产生了积极的影响。具体而言改善教学环境，提供良好的学生成长条件等方面的提升，为项目的利益相关者带来了实实在在的利益。</w:t>
      </w:r>
    </w:p>
    <w:p w14:paraId="1C3B021B">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eastAsia" w:ascii="Times New Roman" w:hAnsi="Times New Roman" w:eastAsia="仿宋_GB2312" w:cs="Times New Roman"/>
          <w:color w:val="auto"/>
          <w:sz w:val="32"/>
          <w:szCs w:val="32"/>
          <w:highlight w:val="none"/>
          <w:lang w:val="en-US" w:eastAsia="zh-CN"/>
        </w:rPr>
        <w:t>昌州财教【2023】90号（保民生）提前下达2024年城乡义务教育补助经费（中央直达资金）公用经费初中</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评价等级为优秀</w:t>
      </w:r>
      <w:r>
        <w:rPr>
          <w:rFonts w:hint="default" w:ascii="Times New Roman" w:hAnsi="Times New Roman" w:eastAsia="仿宋_GB2312" w:cs="Times New Roman"/>
          <w:color w:val="auto"/>
          <w:sz w:val="32"/>
          <w:szCs w:val="32"/>
          <w:highlight w:val="none"/>
        </w:rPr>
        <w:t>。</w:t>
      </w:r>
    </w:p>
    <w:p w14:paraId="7C3283F9">
      <w:pPr>
        <w:pStyle w:val="14"/>
        <w:keepNext w:val="0"/>
        <w:keepLines w:val="0"/>
        <w:pageBreakBefore w:val="0"/>
        <w:widowControl/>
        <w:shd w:val="clear"/>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26" w:name="_Toc1583"/>
      <w:r>
        <w:rPr>
          <w:rFonts w:hint="eastAsia" w:ascii="Times New Roman" w:hAnsi="Times New Roman" w:eastAsia="楷体_GB2312" w:cs="Times New Roman"/>
          <w:color w:val="auto"/>
          <w:kern w:val="28"/>
          <w:sz w:val="32"/>
          <w:highlight w:val="none"/>
          <w:lang w:val="en-US" w:eastAsia="zh-CN"/>
        </w:rPr>
        <w:t>（二）相关评分表</w:t>
      </w:r>
      <w:bookmarkEnd w:id="126"/>
    </w:p>
    <w:p w14:paraId="05181895">
      <w:pPr>
        <w:shd w:val="clear"/>
        <w:spacing w:line="560" w:lineRule="exact"/>
        <w:ind w:firstLine="708" w:firstLineChars="200"/>
        <w:rPr>
          <w:rFonts w:hint="eastAsia" w:ascii="Times New Roman" w:hAnsi="Times New Roman" w:eastAsia="仿宋_GB2312" w:cs="Times New Roman"/>
          <w:color w:val="000000"/>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Times New Roman" w:hAnsi="Times New Roman" w:eastAsia="仿宋_GB2312" w:cs="Times New Roman"/>
          <w:color w:val="auto"/>
          <w:sz w:val="32"/>
          <w:szCs w:val="32"/>
          <w:highlight w:val="none"/>
          <w:lang w:val="en-US" w:eastAsia="zh-CN"/>
        </w:rPr>
        <w:t>昌州财教【2023】90号（保民生）提前下达2024年城乡义务教育补助经费（中央直达资金）公用经费初中项目</w:t>
      </w:r>
      <w:r>
        <w:rPr>
          <w:rFonts w:hint="eastAsia" w:ascii="Times New Roman" w:hAnsi="Times New Roman" w:eastAsia="仿宋_GB2312" w:cs="Times New Roman"/>
          <w:color w:val="auto"/>
          <w:spacing w:val="17"/>
          <w:sz w:val="32"/>
          <w:szCs w:val="32"/>
          <w:highlight w:val="none"/>
          <w:lang w:val="zh-TW" w:eastAsia="zh-TW"/>
        </w:rPr>
        <w:t>绩效进行客观</w:t>
      </w:r>
      <w:r>
        <w:rPr>
          <w:rFonts w:hint="eastAsia" w:ascii="Times New Roman" w:hAnsi="Times New Roman" w:eastAsia="仿宋_GB2312" w:cs="Times New Roman"/>
          <w:color w:val="000000"/>
          <w:spacing w:val="17"/>
          <w:sz w:val="32"/>
          <w:szCs w:val="32"/>
          <w:highlight w:val="none"/>
          <w:lang w:val="zh-TW" w:eastAsia="zh-TW"/>
        </w:rPr>
        <w:t>评价，最终评分结果：</w:t>
      </w:r>
      <w:r>
        <w:rPr>
          <w:rFonts w:hint="default" w:ascii="Times New Roman" w:hAnsi="Times New Roman" w:eastAsia="仿宋_GB2312" w:cs="Times New Roman"/>
          <w:color w:val="000000"/>
          <w:spacing w:val="17"/>
          <w:sz w:val="32"/>
          <w:szCs w:val="32"/>
          <w:highlight w:val="none"/>
          <w:lang w:val="en-US" w:eastAsia="zh-CN"/>
        </w:rPr>
        <w:t>总</w:t>
      </w:r>
      <w:r>
        <w:rPr>
          <w:rFonts w:hint="default" w:ascii="Times New Roman" w:hAnsi="Times New Roman" w:eastAsia="仿宋_GB2312" w:cs="Times New Roman"/>
          <w:color w:val="auto"/>
          <w:spacing w:val="17"/>
          <w:sz w:val="32"/>
          <w:szCs w:val="32"/>
          <w:highlight w:val="none"/>
          <w:lang w:val="en-US" w:eastAsia="zh-CN"/>
        </w:rPr>
        <w:t>得分为</w:t>
      </w:r>
      <w:r>
        <w:rPr>
          <w:rFonts w:hint="eastAsia" w:ascii="Times New Roman" w:hAnsi="Times New Roman" w:eastAsia="仿宋_GB2312" w:cs="Times New Roman"/>
          <w:color w:val="auto"/>
          <w:spacing w:val="17"/>
          <w:sz w:val="32"/>
          <w:szCs w:val="32"/>
          <w:highlight w:val="none"/>
          <w:lang w:val="en-US" w:eastAsia="zh-CN"/>
        </w:rPr>
        <w:t>96.75</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95</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000000"/>
          <w:spacing w:val="17"/>
          <w:sz w:val="32"/>
          <w:szCs w:val="32"/>
          <w:highlight w:val="none"/>
          <w:lang w:val="en-US" w:eastAsia="zh-CN"/>
        </w:rPr>
        <w:t>汇总</w:t>
      </w:r>
      <w:r>
        <w:rPr>
          <w:rFonts w:hint="eastAsia" w:ascii="Times New Roman" w:hAnsi="Times New Roman" w:eastAsia="仿宋_GB2312" w:cs="Times New Roman"/>
          <w:color w:val="000000"/>
          <w:spacing w:val="17"/>
          <w:sz w:val="32"/>
          <w:szCs w:val="32"/>
          <w:highlight w:val="none"/>
          <w:lang w:val="zh-TW" w:eastAsia="zh-TW"/>
        </w:rPr>
        <w:t>分值如下表</w:t>
      </w:r>
      <w:r>
        <w:rPr>
          <w:rFonts w:hint="eastAsia" w:ascii="Times New Roman" w:hAnsi="Times New Roman" w:eastAsia="仿宋_GB2312" w:cs="Times New Roman"/>
          <w:color w:val="000000"/>
          <w:spacing w:val="17"/>
          <w:sz w:val="32"/>
          <w:szCs w:val="32"/>
          <w:highlight w:val="none"/>
          <w:lang w:val="en-US" w:eastAsia="zh-CN"/>
        </w:rPr>
        <w:t>3-1</w:t>
      </w:r>
      <w:r>
        <w:rPr>
          <w:rFonts w:hint="eastAsia" w:ascii="Times New Roman" w:hAnsi="Times New Roman" w:eastAsia="仿宋_GB2312" w:cs="Times New Roman"/>
          <w:color w:val="000000"/>
          <w:spacing w:val="17"/>
          <w:sz w:val="32"/>
          <w:szCs w:val="32"/>
          <w:highlight w:val="none"/>
          <w:lang w:val="zh-TW" w:eastAsia="zh-TW"/>
        </w:rPr>
        <w:t>所示</w:t>
      </w:r>
      <w:r>
        <w:rPr>
          <w:rFonts w:hint="eastAsia" w:ascii="Times New Roman" w:hAnsi="Times New Roman" w:eastAsia="仿宋_GB2312" w:cs="Times New Roman"/>
          <w:color w:val="000000"/>
          <w:spacing w:val="17"/>
          <w:sz w:val="32"/>
          <w:szCs w:val="32"/>
          <w:highlight w:val="none"/>
          <w:lang w:val="zh-TW" w:eastAsia="zh-CN"/>
        </w:rPr>
        <w:t>（</w:t>
      </w:r>
      <w:r>
        <w:rPr>
          <w:rFonts w:hint="eastAsia" w:ascii="Times New Roman" w:hAnsi="Times New Roman" w:eastAsia="仿宋_GB2312" w:cs="Times New Roman"/>
          <w:color w:val="000000"/>
          <w:spacing w:val="17"/>
          <w:sz w:val="32"/>
          <w:szCs w:val="32"/>
          <w:highlight w:val="none"/>
          <w:lang w:val="en-US" w:eastAsia="zh-CN"/>
        </w:rPr>
        <w:t>详见上传的附件</w:t>
      </w:r>
      <w:r>
        <w:rPr>
          <w:rFonts w:hint="eastAsia" w:ascii="Times New Roman" w:hAnsi="Times New Roman" w:eastAsia="仿宋_GB2312" w:cs="Times New Roman"/>
          <w:color w:val="000000"/>
          <w:spacing w:val="17"/>
          <w:sz w:val="32"/>
          <w:szCs w:val="32"/>
          <w:highlight w:val="none"/>
          <w:lang w:val="zh-TW" w:eastAsia="zh-CN"/>
        </w:rPr>
        <w:t>）</w:t>
      </w:r>
      <w:r>
        <w:rPr>
          <w:rFonts w:hint="eastAsia" w:ascii="Times New Roman" w:hAnsi="Times New Roman" w:eastAsia="仿宋_GB2312" w:cs="Times New Roman"/>
          <w:color w:val="000000"/>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4496ECFE">
        <w:tblPrEx>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7CB6CAE8">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ascii="仿宋_GB2312" w:hAnsi="仿宋_GB2312" w:eastAsia="仿宋_GB2312" w:cs="仿宋_GB2312"/>
                <w:b/>
                <w:bCs/>
                <w:color w:val="000000"/>
                <w:spacing w:val="17"/>
                <w:sz w:val="28"/>
                <w:szCs w:val="28"/>
                <w:highlight w:val="none"/>
                <w:lang w:val="en-US" w:eastAsia="zh-CN"/>
              </w:rPr>
              <w:t>昌州财教[2023]90号（保民生）提前下达2024年城乡义务教育补助经费[中央直达资金]公用经费</w:t>
            </w:r>
            <w:r>
              <w:rPr>
                <w:rFonts w:hint="eastAsia" w:ascii="宋体" w:hAnsi="宋体" w:eastAsia="宋体" w:cs="宋体"/>
                <w:b/>
                <w:bCs/>
                <w:color w:val="auto"/>
                <w:kern w:val="0"/>
                <w:sz w:val="28"/>
                <w:szCs w:val="28"/>
                <w:highlight w:val="none"/>
                <w:shd w:val="clear" w:color="auto" w:fill="auto"/>
                <w:lang w:val="en-US" w:eastAsia="zh-CN"/>
              </w:rPr>
              <w:t>得分表</w:t>
            </w:r>
          </w:p>
        </w:tc>
      </w:tr>
      <w:tr w14:paraId="32D85825">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FEB1E5">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7A9C60">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4A7B7">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25F262">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C2F3B7">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BD2F7">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3F0BA9DA">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8DE145">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0DDFF">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FC0BB">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5F5DA5">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3A4B8D">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F3C18E">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1F291858">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E90ED">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887266">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B8AE7">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A3915E">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525CA">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BEAA3">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p>
        </w:tc>
      </w:tr>
      <w:tr w14:paraId="71624EF0">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9E8544">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C22CF6">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95</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A173A">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F81AC5">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72D210">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ECAF3">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r>
              <w:rPr>
                <w:rFonts w:hint="eastAsia" w:ascii="宋体" w:hAnsi="宋体" w:eastAsia="宋体" w:cs="宋体"/>
                <w:color w:val="auto"/>
                <w:kern w:val="0"/>
                <w:sz w:val="21"/>
                <w:szCs w:val="21"/>
                <w:highlight w:val="none"/>
                <w:shd w:val="clear" w:color="auto" w:fill="auto"/>
                <w:lang w:val="en-US" w:eastAsia="zh-CN"/>
              </w:rPr>
              <w:t>%</w:t>
            </w:r>
          </w:p>
        </w:tc>
      </w:tr>
    </w:tbl>
    <w:p w14:paraId="27FCF3D6">
      <w:pPr>
        <w:pStyle w:val="3"/>
        <w:pageBreakBefore w:val="0"/>
        <w:shd w:val="clear"/>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27" w:name="_Toc16372"/>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四、绩效评价指标分析</w:t>
      </w:r>
      <w:bookmarkEnd w:id="127"/>
    </w:p>
    <w:p w14:paraId="67256680">
      <w:pPr>
        <w:pStyle w:val="14"/>
        <w:widowControl/>
        <w:shd w:val="clear"/>
        <w:spacing w:before="0" w:beforeLines="-2147483648" w:after="0" w:afterLines="-2147483648" w:line="560" w:lineRule="exact"/>
        <w:ind w:firstLine="643" w:firstLineChars="200"/>
        <w:jc w:val="both"/>
        <w:rPr>
          <w:rFonts w:hint="eastAsia" w:ascii="Times New Roman" w:hAnsi="Times New Roman" w:eastAsia="楷体_GB2312" w:cs="Times New Roman"/>
          <w:kern w:val="28"/>
          <w:sz w:val="32"/>
          <w:highlight w:val="none"/>
        </w:rPr>
      </w:pPr>
      <w:bookmarkStart w:id="128" w:name="_Toc27115"/>
      <w:r>
        <w:rPr>
          <w:rFonts w:hint="eastAsia" w:ascii="Times New Roman" w:hAnsi="Times New Roman" w:eastAsia="楷体_GB2312" w:cs="Times New Roman"/>
          <w:kern w:val="28"/>
          <w:sz w:val="32"/>
          <w:highlight w:val="none"/>
        </w:rPr>
        <w:t>（一）项目决策情况</w:t>
      </w:r>
      <w:bookmarkEnd w:id="128"/>
    </w:p>
    <w:p w14:paraId="77ABC39D">
      <w:pPr>
        <w:keepNext w:val="0"/>
        <w:keepLines w:val="0"/>
        <w:pageBreakBefore w:val="0"/>
        <w:widowControl w:val="0"/>
        <w:shd w:val="clear"/>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1E0F856C">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表</w:t>
      </w:r>
      <w:r>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t>4-1</w:t>
      </w: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5EC8A8B6">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AC2E2C">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B935BC">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B32381">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CB7426">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5D96F6">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1769E9">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CF29B5">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7325BAD0">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FD95257">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3AD5A3F6">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3BFD494B">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508551C">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CD1204">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12BE53">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D80F9F">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3ECFA982">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67A6C04">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02B5E40">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A5BBCA">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54B7CB">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639AFE">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66BD23">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4E7B0B">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09280444">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57DA558">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108CD04">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8B251F">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04826C">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774EB8">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435D20">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9FEE2F">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2EDA8D3C">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7A1DE2A">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E8995B2">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1F6EED">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60C7B1">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4A34CA">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32DA15">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9B3DC1">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DA735C3">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0B14E63">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76C4118">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3A12AA7B">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1F6EBF5">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433B49">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28874E">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FF26FD">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3DF666F0">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7AFAD9">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D058F7">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7AF62B">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04E2EE">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96AD14">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A590CE">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DAC578">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0342EF0A">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598231">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AF7253">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51C04D">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E54D39">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72EEF0">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w:t>
            </w:r>
          </w:p>
        </w:tc>
      </w:tr>
    </w:tbl>
    <w:p w14:paraId="52C8ED44">
      <w:pPr>
        <w:pageBreakBefore w:val="0"/>
        <w:shd w:val="clear"/>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highlight w:val="none"/>
          <w:lang w:val="en-US" w:eastAsia="zh-CN"/>
        </w:rPr>
      </w:pPr>
      <w:bookmarkStart w:id="129" w:name="_Toc13522"/>
      <w:bookmarkStart w:id="130" w:name="_Toc28069"/>
      <w:bookmarkStart w:id="131" w:name="_Toc18274"/>
      <w:r>
        <w:rPr>
          <w:rFonts w:hint="eastAsia" w:ascii="仿宋_GB2312" w:hAnsi="仿宋_GB2312" w:eastAsia="仿宋_GB2312" w:cs="仿宋_GB2312"/>
          <w:b/>
          <w:bCs/>
          <w:sz w:val="32"/>
          <w:szCs w:val="32"/>
          <w:highlight w:val="none"/>
          <w:lang w:val="en-US" w:eastAsia="zh-CN"/>
        </w:rPr>
        <w:t>1.立项依据充分性</w:t>
      </w:r>
      <w:bookmarkEnd w:id="129"/>
      <w:bookmarkEnd w:id="130"/>
      <w:bookmarkEnd w:id="131"/>
    </w:p>
    <w:p w14:paraId="0A4C10D5">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①项目立项符合</w:t>
      </w:r>
      <w:r>
        <w:rPr>
          <w:rFonts w:hint="eastAsia" w:ascii="仿宋_GB2312" w:hAnsi="仿宋_GB2312" w:eastAsia="仿宋_GB2312" w:cs="仿宋_GB2312"/>
          <w:sz w:val="32"/>
          <w:szCs w:val="32"/>
          <w:highlight w:val="none"/>
          <w:lang w:val="en-US" w:eastAsia="zh-CN"/>
        </w:rPr>
        <w:t>《关于下达2024年城乡义务教育补助经费预算的通知》（财教【2023】64号）；</w:t>
      </w:r>
    </w:p>
    <w:p w14:paraId="1645F591">
      <w:pPr>
        <w:pageBreakBefore w:val="0"/>
        <w:shd w:val="clear"/>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sz w:val="32"/>
          <w:szCs w:val="32"/>
          <w:highlight w:val="none"/>
          <w:lang w:eastAsia="zh-CN"/>
        </w:rPr>
        <w:t>②项目立项符合项目立项符合《</w:t>
      </w:r>
      <w:r>
        <w:rPr>
          <w:rFonts w:hint="eastAsia" w:ascii="仿宋_GB2312" w:hAnsi="仿宋_GB2312" w:eastAsia="仿宋_GB2312" w:cs="仿宋_GB2312"/>
          <w:sz w:val="32"/>
          <w:szCs w:val="32"/>
          <w:highlight w:val="none"/>
          <w:lang w:val="en-US" w:eastAsia="zh-CN"/>
        </w:rPr>
        <w:t>阜康市教育扶贫惠民政策宣传手册</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相关</w:t>
      </w:r>
      <w:r>
        <w:rPr>
          <w:rFonts w:hint="eastAsia" w:ascii="仿宋_GB2312" w:hAnsi="仿宋_GB2312" w:eastAsia="仿宋_GB2312" w:cs="仿宋_GB2312"/>
          <w:sz w:val="32"/>
          <w:szCs w:val="32"/>
          <w:highlight w:val="none"/>
          <w:lang w:eastAsia="zh-CN"/>
        </w:rPr>
        <w:t>政策要求；</w:t>
      </w:r>
    </w:p>
    <w:p w14:paraId="73906BE6">
      <w:pPr>
        <w:keepNext w:val="0"/>
        <w:keepLines w:val="0"/>
        <w:pageBreakBefore w:val="0"/>
        <w:widowControl w:val="0"/>
        <w:shd w:val="clea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③项目立项</w:t>
      </w:r>
      <w:r>
        <w:rPr>
          <w:rFonts w:hint="eastAsia" w:ascii="仿宋_GB2312" w:hAnsi="仿宋_GB2312" w:eastAsia="仿宋_GB2312" w:cs="仿宋_GB2312"/>
          <w:sz w:val="32"/>
          <w:szCs w:val="32"/>
          <w:highlight w:val="none"/>
          <w:lang w:val="en-US" w:eastAsia="zh-CN"/>
        </w:rPr>
        <w:t>与宣传贯彻党和国家的教育方针、教育政策、教育法律法规、贯彻执行上级教育行政部门的各项规章制度的</w:t>
      </w:r>
      <w:r>
        <w:rPr>
          <w:rFonts w:hint="eastAsia" w:ascii="仿宋_GB2312" w:hAnsi="仿宋_GB2312" w:eastAsia="仿宋_GB2312" w:cs="仿宋_GB2312"/>
          <w:sz w:val="32"/>
          <w:szCs w:val="32"/>
          <w:highlight w:val="none"/>
          <w:lang w:eastAsia="zh-CN"/>
        </w:rPr>
        <w:t>部门职责范围相符，属于部门履职所需；</w:t>
      </w:r>
    </w:p>
    <w:p w14:paraId="1DF66B53">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④项目属于公共财政支持范围，符合中央、地方事权支出责任划分原则；</w:t>
      </w:r>
    </w:p>
    <w:p w14:paraId="545EB2CB">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⑤项目与相关部门同类项目、部门内部相关项目</w:t>
      </w:r>
      <w:r>
        <w:rPr>
          <w:rFonts w:hint="eastAsia" w:ascii="仿宋_GB2312" w:hAnsi="仿宋_GB2312" w:eastAsia="仿宋_GB2312" w:cs="仿宋_GB2312"/>
          <w:sz w:val="32"/>
          <w:szCs w:val="32"/>
          <w:highlight w:val="none"/>
          <w:lang w:val="en-US" w:eastAsia="zh-CN"/>
        </w:rPr>
        <w:t>不</w:t>
      </w:r>
      <w:r>
        <w:rPr>
          <w:rFonts w:hint="eastAsia" w:ascii="仿宋_GB2312" w:hAnsi="仿宋_GB2312" w:eastAsia="仿宋_GB2312" w:cs="仿宋_GB2312"/>
          <w:sz w:val="32"/>
          <w:szCs w:val="32"/>
          <w:highlight w:val="none"/>
          <w:lang w:eastAsia="zh-CN"/>
        </w:rPr>
        <w:t>重复。</w:t>
      </w:r>
    </w:p>
    <w:p w14:paraId="2532D76B">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综上，该项指标满</w:t>
      </w:r>
      <w:r>
        <w:rPr>
          <w:rFonts w:hint="eastAsia" w:ascii="仿宋_GB2312" w:hAnsi="仿宋_GB2312" w:eastAsia="仿宋_GB2312" w:cs="仿宋_GB2312"/>
          <w:b/>
          <w:bCs/>
          <w:color w:val="auto"/>
          <w:sz w:val="32"/>
          <w:szCs w:val="32"/>
          <w:highlight w:val="none"/>
          <w:lang w:val="en-US" w:eastAsia="zh-CN"/>
        </w:rPr>
        <w:t>分2分，得分2分。</w:t>
      </w:r>
    </w:p>
    <w:p w14:paraId="78168159">
      <w:pPr>
        <w:pageBreakBefore w:val="0"/>
        <w:shd w:val="clear"/>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32" w:name="_Toc23240"/>
      <w:bookmarkStart w:id="133" w:name="_Toc21976"/>
      <w:bookmarkStart w:id="134" w:name="_Toc14680"/>
      <w:r>
        <w:rPr>
          <w:rFonts w:hint="eastAsia" w:ascii="仿宋_GB2312" w:hAnsi="仿宋_GB2312" w:eastAsia="仿宋_GB2312" w:cs="仿宋_GB2312"/>
          <w:b/>
          <w:bCs/>
          <w:color w:val="auto"/>
          <w:sz w:val="32"/>
          <w:szCs w:val="32"/>
          <w:highlight w:val="none"/>
          <w:lang w:val="en-US" w:eastAsia="zh-CN"/>
        </w:rPr>
        <w:t>2.立项程序规范性</w:t>
      </w:r>
      <w:bookmarkEnd w:id="132"/>
      <w:bookmarkEnd w:id="133"/>
      <w:bookmarkEnd w:id="134"/>
    </w:p>
    <w:p w14:paraId="4F5FBF61">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①项目按照规定的程序申请设立；</w:t>
      </w:r>
    </w:p>
    <w:p w14:paraId="194F6A5C">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②审批文件、材料符合相关要求；</w:t>
      </w:r>
    </w:p>
    <w:p w14:paraId="300F263C">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③事前集体决策，</w:t>
      </w:r>
      <w:r>
        <w:rPr>
          <w:rFonts w:hint="eastAsia" w:ascii="仿宋_GB2312" w:hAnsi="仿宋_GB2312" w:eastAsia="仿宋_GB2312" w:cs="仿宋_GB2312"/>
          <w:color w:val="auto"/>
          <w:sz w:val="32"/>
          <w:szCs w:val="32"/>
          <w:highlight w:val="none"/>
          <w:lang w:val="en-US" w:eastAsia="zh-CN"/>
        </w:rPr>
        <w:t>未</w:t>
      </w:r>
      <w:r>
        <w:rPr>
          <w:rFonts w:hint="eastAsia" w:ascii="仿宋_GB2312" w:hAnsi="仿宋_GB2312" w:eastAsia="仿宋_GB2312" w:cs="仿宋_GB2312"/>
          <w:color w:val="auto"/>
          <w:sz w:val="32"/>
          <w:szCs w:val="32"/>
          <w:highlight w:val="none"/>
          <w:lang w:eastAsia="zh-CN"/>
        </w:rPr>
        <w:t>经过必要的可行性研究、专家论证、风险评估、绩效评估。</w:t>
      </w:r>
    </w:p>
    <w:p w14:paraId="3C3FC9BC">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综上，该项指标满分3分，得分2分。</w:t>
      </w:r>
    </w:p>
    <w:p w14:paraId="665E57B3">
      <w:pPr>
        <w:pageBreakBefore w:val="0"/>
        <w:shd w:val="clear"/>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35" w:name="_Toc12054"/>
      <w:bookmarkStart w:id="136" w:name="_Toc23542"/>
      <w:bookmarkStart w:id="137" w:name="_Toc15382"/>
      <w:r>
        <w:rPr>
          <w:rFonts w:hint="eastAsia" w:ascii="仿宋_GB2312" w:hAnsi="仿宋_GB2312" w:eastAsia="仿宋_GB2312" w:cs="仿宋_GB2312"/>
          <w:b/>
          <w:bCs/>
          <w:color w:val="auto"/>
          <w:sz w:val="32"/>
          <w:szCs w:val="32"/>
          <w:highlight w:val="none"/>
          <w:lang w:val="en-US" w:eastAsia="zh-CN"/>
        </w:rPr>
        <w:t>3.绩效目标合理性</w:t>
      </w:r>
      <w:bookmarkEnd w:id="135"/>
      <w:bookmarkEnd w:id="136"/>
      <w:bookmarkEnd w:id="137"/>
    </w:p>
    <w:p w14:paraId="1E07582D">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①该项目已设置年度绩效目标。</w:t>
      </w:r>
    </w:p>
    <w:p w14:paraId="02C1A3B2">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sz w:val="32"/>
          <w:szCs w:val="32"/>
          <w:highlight w:val="none"/>
          <w:lang w:eastAsia="zh-CN"/>
        </w:rPr>
        <w:t>②该项目实际工</w:t>
      </w:r>
      <w:r>
        <w:rPr>
          <w:rFonts w:hint="eastAsia" w:ascii="仿宋_GB2312" w:hAnsi="仿宋_GB2312" w:eastAsia="仿宋_GB2312" w:cs="仿宋_GB2312"/>
          <w:color w:val="auto"/>
          <w:sz w:val="32"/>
          <w:szCs w:val="32"/>
          <w:highlight w:val="none"/>
          <w:lang w:eastAsia="zh-CN"/>
        </w:rPr>
        <w:t>作内容为：保障学校正常运转，完成教学活动及其他日常业务的正常运转。2024年学校在校学生人数</w:t>
      </w:r>
      <w:r>
        <w:rPr>
          <w:rFonts w:hint="eastAsia" w:ascii="仿宋_GB2312" w:hAnsi="仿宋_GB2312" w:eastAsia="仿宋_GB2312" w:cs="仿宋_GB2312"/>
          <w:color w:val="auto"/>
          <w:sz w:val="32"/>
          <w:szCs w:val="32"/>
          <w:highlight w:val="none"/>
          <w:lang w:val="en-US" w:eastAsia="zh-CN"/>
        </w:rPr>
        <w:t>1927</w:t>
      </w:r>
      <w:r>
        <w:rPr>
          <w:rFonts w:hint="eastAsia" w:ascii="仿宋_GB2312" w:hAnsi="仿宋_GB2312" w:eastAsia="仿宋_GB2312" w:cs="仿宋_GB2312"/>
          <w:color w:val="auto"/>
          <w:sz w:val="32"/>
          <w:szCs w:val="32"/>
          <w:highlight w:val="none"/>
          <w:lang w:eastAsia="zh-CN"/>
        </w:rPr>
        <w:t>人，计划完成每学年以</w:t>
      </w:r>
      <w:r>
        <w:rPr>
          <w:rFonts w:hint="eastAsia" w:ascii="仿宋_GB2312" w:hAnsi="仿宋_GB2312" w:eastAsia="仿宋_GB2312" w:cs="仿宋_GB2312"/>
          <w:color w:val="auto"/>
          <w:sz w:val="32"/>
          <w:szCs w:val="32"/>
          <w:highlight w:val="none"/>
          <w:lang w:val="en-US" w:eastAsia="zh-CN"/>
        </w:rPr>
        <w:t>940</w:t>
      </w:r>
      <w:r>
        <w:rPr>
          <w:rFonts w:hint="eastAsia" w:ascii="仿宋_GB2312" w:hAnsi="仿宋_GB2312" w:eastAsia="仿宋_GB2312" w:cs="仿宋_GB2312"/>
          <w:color w:val="auto"/>
          <w:sz w:val="32"/>
          <w:szCs w:val="32"/>
          <w:highlight w:val="none"/>
          <w:lang w:eastAsia="zh-CN"/>
        </w:rPr>
        <w:t>元/生/学年的标准使用公用经费,完成每学年以940元/生/学年的标准使用公用经费，本年度开展视频会议、教学研讨会议10次，开展德育活动次数12次，完成率均达到100%。通过项目实施达到有效改善教学环境，提供良好的学生成长条件，学校正常运转率达到100%。绩效目标与实际工作内容一致，两者具有相关性。</w:t>
      </w:r>
    </w:p>
    <w:p w14:paraId="6268C824">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③该项目按照绩效目标完成数量指标、质量指标、时效指标、项目的完成达到改善教学环境，提供良好的学生成长条件</w:t>
      </w:r>
      <w:r>
        <w:rPr>
          <w:rFonts w:hint="eastAsia" w:ascii="仿宋_GB2312" w:hAnsi="仿宋_GB2312" w:eastAsia="仿宋_GB2312" w:cs="仿宋_GB2312"/>
          <w:sz w:val="32"/>
          <w:szCs w:val="32"/>
          <w:highlight w:val="none"/>
          <w:lang w:val="en-US" w:eastAsia="zh-CN"/>
        </w:rPr>
        <w:t>的</w:t>
      </w:r>
      <w:r>
        <w:rPr>
          <w:rFonts w:hint="eastAsia" w:ascii="仿宋_GB2312" w:hAnsi="仿宋_GB2312" w:eastAsia="仿宋_GB2312" w:cs="仿宋_GB2312"/>
          <w:sz w:val="32"/>
          <w:szCs w:val="32"/>
          <w:highlight w:val="none"/>
          <w:lang w:eastAsia="zh-CN"/>
        </w:rPr>
        <w:t>效益，预期产出效益和效果是否符合正常的业绩水平。</w:t>
      </w:r>
    </w:p>
    <w:p w14:paraId="6D8ACE71">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④《项目支出绩效目标表</w:t>
      </w:r>
      <w:r>
        <w:rPr>
          <w:rFonts w:hint="eastAsia" w:ascii="仿宋_GB2312" w:hAnsi="仿宋_GB2312" w:eastAsia="仿宋_GB2312" w:cs="仿宋_GB2312"/>
          <w:color w:val="auto"/>
          <w:sz w:val="32"/>
          <w:szCs w:val="32"/>
          <w:highlight w:val="none"/>
          <w:lang w:eastAsia="zh-CN"/>
        </w:rPr>
        <w:t>》中预算金额为</w:t>
      </w:r>
      <w:r>
        <w:rPr>
          <w:rFonts w:hint="eastAsia" w:ascii="仿宋_GB2312" w:hAnsi="仿宋_GB2312" w:eastAsia="仿宋_GB2312" w:cs="仿宋_GB2312"/>
          <w:color w:val="auto"/>
          <w:sz w:val="32"/>
          <w:szCs w:val="32"/>
          <w:highlight w:val="none"/>
          <w:lang w:val="en-US" w:eastAsia="zh-CN"/>
        </w:rPr>
        <w:t>173.98</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r>
        <w:rPr>
          <w:rFonts w:hint="eastAsia" w:ascii="仿宋_GB2312" w:hAnsi="仿宋_GB2312" w:eastAsia="仿宋_GB2312" w:cs="仿宋_GB2312"/>
          <w:sz w:val="32"/>
          <w:szCs w:val="32"/>
          <w:highlight w:val="none"/>
          <w:lang w:eastAsia="zh-CN"/>
        </w:rPr>
        <w:t>。</w:t>
      </w:r>
    </w:p>
    <w:p w14:paraId="1E9F1C64">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sz w:val="32"/>
          <w:szCs w:val="32"/>
          <w:highlight w:val="none"/>
          <w:lang w:val="en-US" w:eastAsia="zh-CN"/>
        </w:rPr>
        <w:t>综上，该项指标</w:t>
      </w:r>
      <w:r>
        <w:rPr>
          <w:rFonts w:hint="eastAsia" w:ascii="仿宋_GB2312" w:hAnsi="仿宋_GB2312" w:eastAsia="仿宋_GB2312" w:cs="仿宋_GB2312"/>
          <w:b/>
          <w:bCs/>
          <w:color w:val="auto"/>
          <w:sz w:val="32"/>
          <w:szCs w:val="32"/>
          <w:highlight w:val="none"/>
          <w:lang w:val="en-US" w:eastAsia="zh-CN"/>
        </w:rPr>
        <w:t>满分5分，得分5分。</w:t>
      </w:r>
    </w:p>
    <w:p w14:paraId="32259782">
      <w:pPr>
        <w:pageBreakBefore w:val="0"/>
        <w:shd w:val="clear"/>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38" w:name="_Toc18198"/>
      <w:bookmarkStart w:id="139" w:name="_Toc27373"/>
      <w:bookmarkStart w:id="140" w:name="_Toc10650"/>
      <w:r>
        <w:rPr>
          <w:rFonts w:hint="eastAsia" w:ascii="仿宋_GB2312" w:hAnsi="仿宋_GB2312" w:eastAsia="仿宋_GB2312" w:cs="仿宋_GB2312"/>
          <w:b/>
          <w:bCs/>
          <w:color w:val="auto"/>
          <w:sz w:val="32"/>
          <w:szCs w:val="32"/>
          <w:highlight w:val="none"/>
          <w:lang w:val="en-US" w:eastAsia="zh-CN"/>
        </w:rPr>
        <w:t>4.绩效指标明确性</w:t>
      </w:r>
      <w:bookmarkEnd w:id="138"/>
      <w:bookmarkEnd w:id="139"/>
      <w:bookmarkEnd w:id="140"/>
    </w:p>
    <w:p w14:paraId="538113F9">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①将项目绩效目标细化分解为具体的绩效指标，</w:t>
      </w:r>
      <w:r>
        <w:rPr>
          <w:rFonts w:hint="eastAsia" w:ascii="仿宋_GB2312" w:hAnsi="仿宋_GB2312" w:eastAsia="仿宋_GB2312" w:cs="仿宋_GB2312"/>
          <w:color w:val="auto"/>
          <w:sz w:val="32"/>
          <w:szCs w:val="32"/>
          <w:highlight w:val="none"/>
          <w:lang w:val="en-US" w:eastAsia="zh-CN"/>
        </w:rPr>
        <w:t>其中三级指标共计10个</w:t>
      </w:r>
      <w:r>
        <w:rPr>
          <w:rFonts w:hint="eastAsia" w:ascii="仿宋_GB2312" w:hAnsi="仿宋_GB2312" w:eastAsia="仿宋_GB2312" w:cs="仿宋_GB2312"/>
          <w:color w:val="auto"/>
          <w:sz w:val="32"/>
          <w:szCs w:val="32"/>
          <w:highlight w:val="none"/>
          <w:lang w:eastAsia="zh-CN"/>
        </w:rPr>
        <w:t>；</w:t>
      </w:r>
    </w:p>
    <w:p w14:paraId="4ED3BAAD">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量化率达到90%</w:t>
      </w:r>
      <w:r>
        <w:rPr>
          <w:rFonts w:hint="eastAsia" w:ascii="仿宋_GB2312" w:hAnsi="仿宋_GB2312" w:eastAsia="仿宋_GB2312" w:cs="仿宋_GB2312"/>
          <w:color w:val="auto"/>
          <w:sz w:val="32"/>
          <w:szCs w:val="32"/>
          <w:highlight w:val="none"/>
          <w:lang w:eastAsia="zh-CN"/>
        </w:rPr>
        <w:t>；</w:t>
      </w:r>
    </w:p>
    <w:p w14:paraId="006FE134">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③《项目绩效目标申报表》中，三级指标的年度指标值与年度绩效目标中任务数一致。</w:t>
      </w:r>
    </w:p>
    <w:p w14:paraId="34269284">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已设置的绩效目标具备明确性、可衡量性、可实</w:t>
      </w:r>
      <w:r>
        <w:rPr>
          <w:rFonts w:hint="eastAsia" w:ascii="仿宋_GB2312" w:hAnsi="仿宋_GB2312" w:eastAsia="仿宋_GB2312" w:cs="仿宋_GB2312"/>
          <w:sz w:val="32"/>
          <w:szCs w:val="32"/>
          <w:highlight w:val="none"/>
          <w:lang w:eastAsia="zh-CN"/>
        </w:rPr>
        <w:t>现性、相关性、时限性。</w:t>
      </w:r>
    </w:p>
    <w:p w14:paraId="55CA53AD">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sz w:val="32"/>
          <w:szCs w:val="32"/>
          <w:highlight w:val="none"/>
          <w:lang w:val="en-US" w:eastAsia="zh-CN"/>
        </w:rPr>
        <w:t>综上，该项指标</w:t>
      </w:r>
      <w:r>
        <w:rPr>
          <w:rFonts w:hint="eastAsia" w:ascii="仿宋_GB2312" w:hAnsi="仿宋_GB2312" w:eastAsia="仿宋_GB2312" w:cs="仿宋_GB2312"/>
          <w:b/>
          <w:bCs/>
          <w:color w:val="auto"/>
          <w:sz w:val="32"/>
          <w:szCs w:val="32"/>
          <w:highlight w:val="none"/>
          <w:lang w:val="en-US" w:eastAsia="zh-CN"/>
        </w:rPr>
        <w:t>满分5分，得分5分。</w:t>
      </w:r>
    </w:p>
    <w:p w14:paraId="67608F57">
      <w:pPr>
        <w:pageBreakBefore w:val="0"/>
        <w:shd w:val="clear"/>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41" w:name="_Toc8291"/>
      <w:bookmarkStart w:id="142" w:name="_Toc19401"/>
      <w:bookmarkStart w:id="143" w:name="_Toc8296"/>
      <w:r>
        <w:rPr>
          <w:rFonts w:hint="eastAsia" w:ascii="仿宋_GB2312" w:hAnsi="仿宋_GB2312" w:eastAsia="仿宋_GB2312" w:cs="仿宋_GB2312"/>
          <w:b/>
          <w:bCs/>
          <w:color w:val="auto"/>
          <w:sz w:val="32"/>
          <w:szCs w:val="32"/>
          <w:highlight w:val="none"/>
          <w:lang w:val="en-US" w:eastAsia="zh-CN"/>
        </w:rPr>
        <w:t>5.预算编制科学性</w:t>
      </w:r>
      <w:bookmarkEnd w:id="141"/>
      <w:bookmarkEnd w:id="142"/>
      <w:bookmarkEnd w:id="143"/>
    </w:p>
    <w:p w14:paraId="35868AFC">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根据项目预算批复，项目的</w:t>
      </w:r>
      <w:r>
        <w:rPr>
          <w:rFonts w:hint="eastAsia" w:ascii="仿宋_GB2312" w:hAnsi="仿宋_GB2312" w:eastAsia="仿宋_GB2312" w:cs="仿宋_GB2312"/>
          <w:color w:val="auto"/>
          <w:sz w:val="32"/>
          <w:szCs w:val="32"/>
          <w:highlight w:val="none"/>
          <w:lang w:eastAsia="zh-CN"/>
        </w:rPr>
        <w:t>预算编制经过科学论证；</w:t>
      </w:r>
    </w:p>
    <w:p w14:paraId="108AD1DE">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lang w:eastAsia="zh-CN"/>
        </w:rPr>
        <w:t>预算申请内容为</w:t>
      </w:r>
      <w:r>
        <w:rPr>
          <w:rFonts w:hint="eastAsia" w:ascii="仿宋_GB2312" w:hAnsi="仿宋_GB2312" w:eastAsia="仿宋_GB2312" w:cs="仿宋_GB2312"/>
          <w:color w:val="auto"/>
          <w:sz w:val="32"/>
          <w:szCs w:val="32"/>
          <w:highlight w:val="none"/>
          <w:lang w:val="en-US" w:eastAsia="zh-CN"/>
        </w:rPr>
        <w:t>有</w:t>
      </w:r>
      <w:r>
        <w:rPr>
          <w:rFonts w:hint="eastAsia" w:ascii="仿宋_GB2312" w:hAnsi="仿宋_GB2312" w:eastAsia="仿宋_GB2312" w:cs="仿宋_GB2312"/>
          <w:color w:val="auto"/>
          <w:sz w:val="32"/>
          <w:szCs w:val="32"/>
          <w:highlight w:val="none"/>
          <w:lang w:eastAsia="zh-CN"/>
        </w:rPr>
        <w:t>效改善教学环境，提供良好的学生成长条件，保障学校正常运转,项目实际内容为</w:t>
      </w:r>
      <w:r>
        <w:rPr>
          <w:rFonts w:hint="eastAsia" w:ascii="仿宋_GB2312" w:hAnsi="仿宋_GB2312" w:eastAsia="仿宋_GB2312" w:cs="仿宋_GB2312"/>
          <w:color w:val="auto"/>
          <w:sz w:val="32"/>
          <w:szCs w:val="32"/>
          <w:highlight w:val="none"/>
          <w:lang w:val="en-US" w:eastAsia="zh-CN"/>
        </w:rPr>
        <w:t>有</w:t>
      </w:r>
      <w:r>
        <w:rPr>
          <w:rFonts w:hint="eastAsia" w:ascii="仿宋_GB2312" w:hAnsi="仿宋_GB2312" w:eastAsia="仿宋_GB2312" w:cs="仿宋_GB2312"/>
          <w:color w:val="auto"/>
          <w:sz w:val="32"/>
          <w:szCs w:val="32"/>
          <w:highlight w:val="none"/>
          <w:lang w:eastAsia="zh-CN"/>
        </w:rPr>
        <w:t>有效改善教学环境，提供良好的学生成长条件，保障学校正常运转,预算申请与项目内容匹配；</w:t>
      </w:r>
    </w:p>
    <w:p w14:paraId="4397C032">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lang w:eastAsia="zh-CN"/>
        </w:rPr>
        <w:t>项目预算申请资金</w:t>
      </w:r>
      <w:r>
        <w:rPr>
          <w:rFonts w:hint="eastAsia" w:ascii="仿宋_GB2312" w:hAnsi="仿宋_GB2312" w:eastAsia="仿宋_GB2312" w:cs="仿宋_GB2312"/>
          <w:color w:val="auto"/>
          <w:sz w:val="32"/>
          <w:szCs w:val="32"/>
          <w:highlight w:val="none"/>
          <w:lang w:val="en-US" w:eastAsia="zh-CN"/>
        </w:rPr>
        <w:t>173.98万</w:t>
      </w:r>
      <w:r>
        <w:rPr>
          <w:rFonts w:hint="eastAsia" w:ascii="仿宋_GB2312" w:hAnsi="仿宋_GB2312" w:eastAsia="仿宋_GB2312" w:cs="仿宋_GB2312"/>
          <w:color w:val="auto"/>
          <w:sz w:val="32"/>
          <w:szCs w:val="32"/>
          <w:highlight w:val="none"/>
          <w:lang w:eastAsia="zh-CN"/>
        </w:rPr>
        <w:t>元，我单</w:t>
      </w:r>
      <w:r>
        <w:rPr>
          <w:rFonts w:hint="eastAsia" w:ascii="仿宋_GB2312" w:hAnsi="仿宋_GB2312" w:eastAsia="仿宋_GB2312" w:cs="仿宋_GB2312"/>
          <w:sz w:val="32"/>
          <w:szCs w:val="32"/>
          <w:highlight w:val="none"/>
          <w:lang w:eastAsia="zh-CN"/>
        </w:rPr>
        <w:t>位在预算申请中严格按照项目实施内容及测算标准进行核算，其中</w:t>
      </w:r>
      <w:r>
        <w:rPr>
          <w:rFonts w:hint="eastAsia" w:ascii="仿宋_GB2312" w:hAnsi="仿宋_GB2312" w:eastAsia="仿宋_GB2312" w:cs="仿宋_GB2312"/>
          <w:color w:val="auto"/>
          <w:sz w:val="32"/>
          <w:szCs w:val="32"/>
          <w:highlight w:val="none"/>
          <w:lang w:eastAsia="zh-CN"/>
        </w:rPr>
        <w:t>办公费用</w:t>
      </w:r>
      <w:r>
        <w:rPr>
          <w:rFonts w:hint="eastAsia" w:ascii="仿宋_GB2312" w:hAnsi="仿宋_GB2312" w:eastAsia="仿宋_GB2312" w:cs="仿宋_GB2312"/>
          <w:color w:val="auto"/>
          <w:sz w:val="32"/>
          <w:szCs w:val="32"/>
          <w:highlight w:val="none"/>
          <w:lang w:val="en-US" w:eastAsia="zh-CN"/>
        </w:rPr>
        <w:t>35</w:t>
      </w:r>
      <w:r>
        <w:rPr>
          <w:rFonts w:hint="eastAsia" w:ascii="仿宋_GB2312" w:hAnsi="仿宋_GB2312" w:eastAsia="仿宋_GB2312" w:cs="仿宋_GB2312"/>
          <w:color w:val="auto"/>
          <w:sz w:val="32"/>
          <w:szCs w:val="32"/>
          <w:highlight w:val="none"/>
          <w:lang w:eastAsia="zh-CN"/>
        </w:rPr>
        <w:t>万元、印刷费用</w:t>
      </w:r>
      <w:r>
        <w:rPr>
          <w:rFonts w:hint="eastAsia" w:ascii="仿宋_GB2312" w:hAnsi="仿宋_GB2312" w:eastAsia="仿宋_GB2312" w:cs="仿宋_GB2312"/>
          <w:color w:val="auto"/>
          <w:sz w:val="32"/>
          <w:szCs w:val="32"/>
          <w:highlight w:val="none"/>
          <w:lang w:val="en-US" w:eastAsia="zh-CN"/>
        </w:rPr>
        <w:t>6.06</w:t>
      </w:r>
      <w:r>
        <w:rPr>
          <w:rFonts w:hint="eastAsia" w:ascii="仿宋_GB2312" w:hAnsi="仿宋_GB2312" w:eastAsia="仿宋_GB2312" w:cs="仿宋_GB2312"/>
          <w:color w:val="auto"/>
          <w:sz w:val="32"/>
          <w:szCs w:val="32"/>
          <w:highlight w:val="none"/>
          <w:lang w:eastAsia="zh-CN"/>
        </w:rPr>
        <w:t>万元、电费</w:t>
      </w:r>
      <w:r>
        <w:rPr>
          <w:rFonts w:hint="eastAsia" w:ascii="仿宋_GB2312" w:hAnsi="仿宋_GB2312" w:eastAsia="仿宋_GB2312" w:cs="仿宋_GB2312"/>
          <w:color w:val="auto"/>
          <w:sz w:val="32"/>
          <w:szCs w:val="32"/>
          <w:highlight w:val="none"/>
          <w:lang w:val="en-US" w:eastAsia="zh-CN"/>
        </w:rPr>
        <w:t>8.3</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水费7.7万元、邮电费4.34万元、</w:t>
      </w:r>
      <w:r>
        <w:rPr>
          <w:rFonts w:hint="eastAsia" w:ascii="仿宋_GB2312" w:hAnsi="仿宋_GB2312" w:eastAsia="仿宋_GB2312" w:cs="仿宋_GB2312"/>
          <w:color w:val="auto"/>
          <w:sz w:val="32"/>
          <w:szCs w:val="32"/>
          <w:highlight w:val="none"/>
          <w:lang w:eastAsia="zh-CN"/>
        </w:rPr>
        <w:t>取暖费</w:t>
      </w:r>
      <w:r>
        <w:rPr>
          <w:rFonts w:hint="eastAsia" w:ascii="仿宋_GB2312" w:hAnsi="仿宋_GB2312" w:eastAsia="仿宋_GB2312" w:cs="仿宋_GB2312"/>
          <w:color w:val="auto"/>
          <w:sz w:val="32"/>
          <w:szCs w:val="32"/>
          <w:highlight w:val="none"/>
          <w:lang w:val="en-US" w:eastAsia="zh-CN"/>
        </w:rPr>
        <w:t>32.73万元、物业管理费21.73万元、差旅费4.45万元；维修（护）费29.18万元；培训费9.6万元、委托业务费12.88万元、其他交通费用2万元</w:t>
      </w:r>
      <w:r>
        <w:rPr>
          <w:rFonts w:hint="eastAsia" w:ascii="仿宋_GB2312" w:hAnsi="仿宋_GB2312" w:eastAsia="仿宋_GB2312" w:cs="仿宋_GB2312"/>
          <w:color w:val="auto"/>
          <w:sz w:val="32"/>
          <w:szCs w:val="32"/>
          <w:highlight w:val="none"/>
          <w:lang w:eastAsia="zh-CN"/>
        </w:rPr>
        <w:t>。</w:t>
      </w:r>
    </w:p>
    <w:p w14:paraId="347B9C36">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④</w:t>
      </w:r>
      <w:r>
        <w:rPr>
          <w:rFonts w:hint="eastAsia" w:ascii="仿宋_GB2312" w:hAnsi="仿宋_GB2312" w:eastAsia="仿宋_GB2312" w:cs="仿宋_GB2312"/>
          <w:sz w:val="32"/>
          <w:szCs w:val="32"/>
          <w:highlight w:val="none"/>
          <w:lang w:eastAsia="zh-CN"/>
        </w:rPr>
        <w:t>预算确定资金量与实际工作任务相匹配。项目预算额度测算依据充分，严格按照标准编制，项目资金量与</w:t>
      </w:r>
      <w:r>
        <w:rPr>
          <w:rFonts w:hint="eastAsia" w:ascii="仿宋_GB2312" w:hAnsi="仿宋_GB2312" w:eastAsia="仿宋_GB2312" w:cs="仿宋_GB2312"/>
          <w:sz w:val="32"/>
          <w:szCs w:val="32"/>
          <w:highlight w:val="none"/>
          <w:lang w:val="en-US" w:eastAsia="zh-CN"/>
        </w:rPr>
        <w:t>项目实施内容</w:t>
      </w:r>
      <w:r>
        <w:rPr>
          <w:rFonts w:hint="eastAsia" w:ascii="仿宋_GB2312" w:hAnsi="仿宋_GB2312" w:eastAsia="仿宋_GB2312" w:cs="仿宋_GB2312"/>
          <w:sz w:val="32"/>
          <w:szCs w:val="32"/>
          <w:highlight w:val="none"/>
          <w:lang w:eastAsia="zh-CN"/>
        </w:rPr>
        <w:t>相匹配。</w:t>
      </w:r>
    </w:p>
    <w:p w14:paraId="0CE77938">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sz w:val="32"/>
          <w:szCs w:val="32"/>
          <w:highlight w:val="none"/>
          <w:lang w:val="en-US" w:eastAsia="zh-CN"/>
        </w:rPr>
        <w:t>综上，该项</w:t>
      </w:r>
      <w:r>
        <w:rPr>
          <w:rFonts w:hint="eastAsia" w:ascii="仿宋_GB2312" w:hAnsi="仿宋_GB2312" w:eastAsia="仿宋_GB2312" w:cs="仿宋_GB2312"/>
          <w:b/>
          <w:bCs/>
          <w:color w:val="auto"/>
          <w:sz w:val="32"/>
          <w:szCs w:val="32"/>
          <w:highlight w:val="none"/>
          <w:lang w:val="en-US" w:eastAsia="zh-CN"/>
        </w:rPr>
        <w:t>指标满分2分，得分2分。</w:t>
      </w:r>
    </w:p>
    <w:p w14:paraId="27036D41">
      <w:pPr>
        <w:pageBreakBefore w:val="0"/>
        <w:shd w:val="clear"/>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44" w:name="_Toc20556"/>
      <w:bookmarkStart w:id="145" w:name="_Toc17541"/>
      <w:bookmarkStart w:id="146" w:name="_Toc697"/>
      <w:r>
        <w:rPr>
          <w:rFonts w:hint="eastAsia" w:ascii="仿宋_GB2312" w:hAnsi="仿宋_GB2312" w:eastAsia="仿宋_GB2312" w:cs="仿宋_GB2312"/>
          <w:b/>
          <w:bCs/>
          <w:color w:val="auto"/>
          <w:sz w:val="32"/>
          <w:szCs w:val="32"/>
          <w:highlight w:val="none"/>
          <w:lang w:val="en-US" w:eastAsia="zh-CN"/>
        </w:rPr>
        <w:t>6.资金分配合理性</w:t>
      </w:r>
      <w:bookmarkEnd w:id="144"/>
      <w:bookmarkEnd w:id="145"/>
      <w:bookmarkEnd w:id="146"/>
    </w:p>
    <w:p w14:paraId="460D59C9">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①项目实际分配资金以《财政支出预算管理办法》</w:t>
      </w:r>
      <w:r>
        <w:rPr>
          <w:rFonts w:hint="eastAsia" w:ascii="仿宋_GB2312" w:hAnsi="仿宋_GB2312" w:eastAsia="仿宋_GB2312" w:cs="仿宋_GB2312"/>
          <w:color w:val="auto"/>
          <w:sz w:val="32"/>
          <w:szCs w:val="32"/>
          <w:highlight w:val="none"/>
          <w:lang w:eastAsia="zh-Hans"/>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Hans"/>
        </w:rPr>
        <w:t>年公用经费收支预算表》为依据进行资金分配，预算资金分配依据充分</w:t>
      </w:r>
      <w:r>
        <w:rPr>
          <w:rFonts w:hint="eastAsia" w:ascii="仿宋_GB2312" w:hAnsi="仿宋_GB2312" w:eastAsia="仿宋_GB2312" w:cs="仿宋_GB2312"/>
          <w:color w:val="auto"/>
          <w:sz w:val="32"/>
          <w:szCs w:val="32"/>
          <w:highlight w:val="none"/>
          <w:lang w:eastAsia="zh-CN"/>
        </w:rPr>
        <w:t>。</w:t>
      </w:r>
    </w:p>
    <w:p w14:paraId="36805E1B">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②项目实际到位资金</w:t>
      </w:r>
      <w:r>
        <w:rPr>
          <w:rFonts w:hint="eastAsia" w:ascii="仿宋_GB2312" w:hAnsi="仿宋_GB2312" w:eastAsia="仿宋_GB2312" w:cs="仿宋_GB2312"/>
          <w:color w:val="auto"/>
          <w:sz w:val="32"/>
          <w:szCs w:val="32"/>
          <w:highlight w:val="none"/>
          <w:lang w:val="en-US" w:eastAsia="zh-CN"/>
        </w:rPr>
        <w:t>173.98</w:t>
      </w:r>
      <w:r>
        <w:rPr>
          <w:rFonts w:hint="eastAsia" w:ascii="仿宋_GB2312" w:hAnsi="仿宋_GB2312" w:eastAsia="仿宋_GB2312" w:cs="仿宋_GB2312"/>
          <w:color w:val="auto"/>
          <w:sz w:val="32"/>
          <w:szCs w:val="32"/>
          <w:highlight w:val="none"/>
          <w:lang w:eastAsia="zh-CN"/>
        </w:rPr>
        <w:t>万元，资金分配</w:t>
      </w:r>
      <w:r>
        <w:rPr>
          <w:rFonts w:hint="eastAsia" w:ascii="仿宋_GB2312" w:hAnsi="仿宋_GB2312" w:eastAsia="仿宋_GB2312" w:cs="仿宋_GB2312"/>
          <w:sz w:val="32"/>
          <w:szCs w:val="32"/>
          <w:highlight w:val="none"/>
          <w:lang w:eastAsia="zh-CN"/>
        </w:rPr>
        <w:t>额度合理，与项目单位</w:t>
      </w:r>
      <w:r>
        <w:rPr>
          <w:rFonts w:hint="eastAsia" w:ascii="仿宋_GB2312" w:hAnsi="仿宋_GB2312" w:eastAsia="仿宋_GB2312" w:cs="仿宋_GB2312"/>
          <w:sz w:val="32"/>
          <w:szCs w:val="32"/>
          <w:highlight w:val="none"/>
          <w:lang w:val="en-US" w:eastAsia="zh-CN"/>
        </w:rPr>
        <w:t>及项目</w:t>
      </w:r>
      <w:r>
        <w:rPr>
          <w:rFonts w:hint="eastAsia" w:ascii="仿宋_GB2312" w:hAnsi="仿宋_GB2312" w:eastAsia="仿宋_GB2312" w:cs="仿宋_GB2312"/>
          <w:color w:val="auto"/>
          <w:sz w:val="32"/>
          <w:szCs w:val="32"/>
          <w:highlight w:val="none"/>
          <w:lang w:val="en-US" w:eastAsia="zh-CN"/>
        </w:rPr>
        <w:t>实际实施情况相</w:t>
      </w:r>
      <w:r>
        <w:rPr>
          <w:rFonts w:hint="eastAsia" w:ascii="仿宋_GB2312" w:hAnsi="仿宋_GB2312" w:eastAsia="仿宋_GB2312" w:cs="仿宋_GB2312"/>
          <w:color w:val="auto"/>
          <w:sz w:val="32"/>
          <w:szCs w:val="32"/>
          <w:highlight w:val="none"/>
          <w:lang w:eastAsia="zh-CN"/>
        </w:rPr>
        <w:t>适应。</w:t>
      </w:r>
    </w:p>
    <w:p w14:paraId="4B043FD5">
      <w:pPr>
        <w:pageBreakBefore w:val="0"/>
        <w:shd w:val="clear"/>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综上，该项指标满分3分，得分3分。</w:t>
      </w:r>
    </w:p>
    <w:p w14:paraId="1BA67964">
      <w:pPr>
        <w:pStyle w:val="14"/>
        <w:widowControl/>
        <w:numPr>
          <w:ilvl w:val="0"/>
          <w:numId w:val="0"/>
        </w:numPr>
        <w:shd w:val="clea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highlight w:val="none"/>
        </w:rPr>
      </w:pPr>
      <w:bookmarkStart w:id="147" w:name="_Toc19520"/>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lang w:val="en-US" w:eastAsia="zh-CN"/>
        </w:rPr>
        <w:t>二</w:t>
      </w:r>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rPr>
        <w:t>项目过程情况</w:t>
      </w:r>
      <w:bookmarkEnd w:id="147"/>
    </w:p>
    <w:p w14:paraId="47B8D7AC">
      <w:pPr>
        <w:pageBreakBefore w:val="0"/>
        <w:widowControl w:val="0"/>
        <w:shd w:val="clear"/>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4D509D8">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shd w:val="clear" w:color="auto" w:fill="auto"/>
        <w:tblLayout w:type="fixed"/>
        <w:tblCellMar>
          <w:top w:w="0" w:type="dxa"/>
          <w:left w:w="0" w:type="dxa"/>
          <w:bottom w:w="0" w:type="dxa"/>
          <w:right w:w="0" w:type="dxa"/>
        </w:tblCellMar>
      </w:tblPr>
      <w:tblGrid>
        <w:gridCol w:w="1182"/>
        <w:gridCol w:w="738"/>
        <w:gridCol w:w="1248"/>
        <w:gridCol w:w="1176"/>
        <w:gridCol w:w="1833"/>
        <w:gridCol w:w="987"/>
        <w:gridCol w:w="1153"/>
      </w:tblGrid>
      <w:tr w14:paraId="6F020469">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26106D">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882C1C">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534909">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12D0D1">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2B09FA">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ABE76C">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F9AEC3">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2EA86E50">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6B0AA1">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35CDED">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AEAE65">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3E2327">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43DFFE">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4E147E">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24DA51">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533090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2D95C6">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E2B566">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BF30A9">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7C96EE">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1E2DB6">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DD2B3C">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72966A">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7C08AD87">
        <w:tblPrEx>
          <w:shd w:val="clear" w:color="auto" w:fill="auto"/>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5B046B">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D7B025">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222F67">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8D2EC8">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718ADA">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FFA2A1">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E93BA7">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01CC4E9D">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310AFF">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12F4FF">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110A67">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9ADE97">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4FD73C">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6B0838">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5E369D">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7293BB1E">
        <w:tblPrEx>
          <w:shd w:val="clear" w:color="auto" w:fill="auto"/>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CDAC1B">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A4E383">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A3337A">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E09149">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889D6B">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1DAA11">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5B8C12">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6EE57AA8">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230BB8">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DAC1A8">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CC15B6">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7B57BE">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402BA8">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16A204D7">
      <w:pPr>
        <w:pageBreakBefore w:val="0"/>
        <w:shd w:val="clear"/>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FF0000"/>
          <w:sz w:val="32"/>
          <w:szCs w:val="32"/>
          <w:highlight w:val="none"/>
          <w:lang w:val="en-US" w:eastAsia="zh-CN"/>
        </w:rPr>
      </w:pPr>
      <w:bookmarkStart w:id="148" w:name="_Toc21401"/>
      <w:bookmarkStart w:id="149" w:name="_Toc20449"/>
      <w:bookmarkStart w:id="150" w:name="_Toc3886"/>
      <w:r>
        <w:rPr>
          <w:rFonts w:hint="eastAsia" w:ascii="仿宋_GB2312" w:hAnsi="仿宋_GB2312" w:eastAsia="仿宋_GB2312" w:cs="仿宋_GB2312"/>
          <w:b/>
          <w:bCs/>
          <w:sz w:val="32"/>
          <w:szCs w:val="32"/>
          <w:highlight w:val="none"/>
          <w:lang w:val="en-US" w:eastAsia="zh-CN"/>
        </w:rPr>
        <w:t>1.资金到位率</w:t>
      </w:r>
      <w:bookmarkEnd w:id="148"/>
      <w:bookmarkEnd w:id="149"/>
      <w:bookmarkEnd w:id="150"/>
    </w:p>
    <w:p w14:paraId="69711030">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项目预算资金为</w:t>
      </w:r>
      <w:r>
        <w:rPr>
          <w:rFonts w:hint="eastAsia" w:ascii="仿宋_GB2312" w:hAnsi="仿宋_GB2312" w:eastAsia="仿宋_GB2312" w:cs="仿宋_GB2312"/>
          <w:b w:val="0"/>
          <w:bCs w:val="0"/>
          <w:color w:val="auto"/>
          <w:sz w:val="32"/>
          <w:szCs w:val="32"/>
          <w:highlight w:val="none"/>
          <w:lang w:val="en-US" w:eastAsia="zh-CN"/>
        </w:rPr>
        <w:t>173.98</w:t>
      </w:r>
      <w:r>
        <w:rPr>
          <w:rFonts w:hint="eastAsia" w:ascii="仿宋_GB2312" w:hAnsi="仿宋_GB2312" w:eastAsia="仿宋_GB2312" w:cs="仿宋_GB2312"/>
          <w:b w:val="0"/>
          <w:bCs w:val="0"/>
          <w:color w:val="auto"/>
          <w:sz w:val="32"/>
          <w:szCs w:val="32"/>
          <w:highlight w:val="none"/>
        </w:rPr>
        <w:t>万元，其中：财政安排资金</w:t>
      </w:r>
      <w:r>
        <w:rPr>
          <w:rFonts w:hint="eastAsia" w:ascii="仿宋_GB2312" w:hAnsi="仿宋_GB2312" w:eastAsia="仿宋_GB2312" w:cs="仿宋_GB2312"/>
          <w:b w:val="0"/>
          <w:bCs w:val="0"/>
          <w:color w:val="auto"/>
          <w:sz w:val="32"/>
          <w:szCs w:val="32"/>
          <w:highlight w:val="none"/>
          <w:lang w:val="en-US" w:eastAsia="zh-CN"/>
        </w:rPr>
        <w:t>173.98</w:t>
      </w:r>
      <w:r>
        <w:rPr>
          <w:rFonts w:hint="eastAsia" w:ascii="仿宋_GB2312" w:hAnsi="仿宋_GB2312" w:eastAsia="仿宋_GB2312" w:cs="仿宋_GB2312"/>
          <w:b w:val="0"/>
          <w:bCs w:val="0"/>
          <w:color w:val="auto"/>
          <w:sz w:val="32"/>
          <w:szCs w:val="32"/>
          <w:highlight w:val="none"/>
        </w:rPr>
        <w:t>万元，其他资金</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11D5AE1C">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资金到位率=（</w:t>
      </w:r>
      <w:r>
        <w:rPr>
          <w:rFonts w:hint="eastAsia" w:ascii="仿宋_GB2312" w:hAnsi="仿宋_GB2312" w:eastAsia="仿宋_GB2312" w:cs="仿宋_GB2312"/>
          <w:color w:val="auto"/>
          <w:sz w:val="32"/>
          <w:szCs w:val="32"/>
          <w:highlight w:val="none"/>
          <w:lang w:val="en-US" w:eastAsia="zh-CN"/>
        </w:rPr>
        <w:t>173.98万元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173.98万元</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eastAsia="zh-CN"/>
        </w:rPr>
        <w:t>100%</w:t>
      </w:r>
    </w:p>
    <w:p w14:paraId="133D6FB2">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609FC564">
      <w:pPr>
        <w:pageBreakBefore w:val="0"/>
        <w:shd w:val="clear"/>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51" w:name="_Toc9705"/>
      <w:bookmarkStart w:id="152" w:name="_Toc12577"/>
      <w:bookmarkStart w:id="153" w:name="_Toc17709"/>
      <w:r>
        <w:rPr>
          <w:rFonts w:hint="eastAsia" w:ascii="仿宋_GB2312" w:hAnsi="仿宋_GB2312" w:eastAsia="仿宋_GB2312" w:cs="仿宋_GB2312"/>
          <w:b/>
          <w:bCs/>
          <w:color w:val="auto"/>
          <w:sz w:val="32"/>
          <w:szCs w:val="32"/>
          <w:highlight w:val="none"/>
          <w:lang w:val="en-US" w:eastAsia="zh-CN"/>
        </w:rPr>
        <w:t>2.预算执行率</w:t>
      </w:r>
      <w:bookmarkEnd w:id="151"/>
      <w:bookmarkEnd w:id="152"/>
      <w:bookmarkEnd w:id="153"/>
    </w:p>
    <w:p w14:paraId="3FC3DF2B">
      <w:pPr>
        <w:pageBreakBefore w:val="0"/>
        <w:shd w:val="clear"/>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lang w:val="en-US" w:eastAsia="zh-CN"/>
        </w:rPr>
        <w:t>173.98</w:t>
      </w:r>
      <w:r>
        <w:rPr>
          <w:rFonts w:hint="eastAsia" w:ascii="仿宋_GB2312" w:hAnsi="仿宋_GB2312" w:eastAsia="仿宋_GB2312" w:cs="仿宋_GB2312"/>
          <w:color w:val="auto"/>
          <w:sz w:val="32"/>
          <w:szCs w:val="32"/>
          <w:highlight w:val="none"/>
          <w:lang w:val="en-US" w:eastAsia="zh-CN"/>
        </w:rPr>
        <w:t>万元。</w:t>
      </w:r>
    </w:p>
    <w:p w14:paraId="60874F3A">
      <w:pPr>
        <w:pageBreakBefore w:val="0"/>
        <w:shd w:val="clear"/>
        <w:kinsoku/>
        <w:wordWrap/>
        <w:overflowPunct/>
        <w:topLinePunct w:val="0"/>
        <w:autoSpaceDE/>
        <w:autoSpaceDN/>
        <w:bidi w:val="0"/>
        <w:spacing w:line="560" w:lineRule="exact"/>
        <w:ind w:left="638" w:leftChars="228" w:firstLine="0" w:firstLineChars="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预算执行率=（</w:t>
      </w:r>
      <w:r>
        <w:rPr>
          <w:rFonts w:hint="eastAsia" w:ascii="仿宋_GB2312" w:hAnsi="仿宋_GB2312" w:eastAsia="仿宋_GB2312" w:cs="仿宋_GB2312"/>
          <w:b w:val="0"/>
          <w:bCs w:val="0"/>
          <w:color w:val="auto"/>
          <w:sz w:val="32"/>
          <w:szCs w:val="32"/>
          <w:highlight w:val="none"/>
          <w:lang w:val="en-US" w:eastAsia="zh-CN"/>
        </w:rPr>
        <w:t>173.98</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173.98</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b/>
          <w:bCs/>
          <w:color w:val="auto"/>
          <w:sz w:val="32"/>
          <w:szCs w:val="32"/>
          <w:highlight w:val="none"/>
          <w:lang w:val="en-US" w:eastAsia="zh-CN"/>
        </w:rPr>
        <w:t>综上，该项指标满分4分，得分4分。</w:t>
      </w:r>
    </w:p>
    <w:p w14:paraId="0E39D7FA">
      <w:pPr>
        <w:pageBreakBefore w:val="0"/>
        <w:shd w:val="clear"/>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54" w:name="_Toc28875"/>
      <w:bookmarkStart w:id="155" w:name="_Toc4163"/>
      <w:bookmarkStart w:id="156" w:name="_Toc18691"/>
      <w:r>
        <w:rPr>
          <w:rFonts w:hint="eastAsia" w:ascii="仿宋_GB2312" w:hAnsi="仿宋_GB2312" w:eastAsia="仿宋_GB2312" w:cs="仿宋_GB2312"/>
          <w:b/>
          <w:bCs/>
          <w:color w:val="auto"/>
          <w:sz w:val="32"/>
          <w:szCs w:val="32"/>
          <w:highlight w:val="none"/>
          <w:lang w:val="en-US" w:eastAsia="zh-CN"/>
        </w:rPr>
        <w:t>3.资金使用合规性</w:t>
      </w:r>
      <w:bookmarkEnd w:id="154"/>
      <w:bookmarkEnd w:id="155"/>
      <w:bookmarkEnd w:id="156"/>
    </w:p>
    <w:p w14:paraId="0BA389FF">
      <w:pPr>
        <w:pageBreakBefore w:val="0"/>
        <w:shd w:val="clear"/>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highlight w:val="none"/>
        </w:rPr>
      </w:pPr>
      <w:r>
        <w:rPr>
          <w:rFonts w:hint="eastAsia" w:ascii="仿宋_GB2312" w:hAnsi="仿宋_GB2312" w:eastAsia="仿宋_GB2312" w:cs="仿宋_GB2312"/>
          <w:sz w:val="32"/>
          <w:szCs w:val="32"/>
          <w:highlight w:val="none"/>
          <w:lang w:eastAsia="zh-CN"/>
        </w:rPr>
        <w:t>①本项目资金支出符合国家财经法规、《政府会计制度》《</w:t>
      </w:r>
      <w:r>
        <w:rPr>
          <w:rFonts w:hint="eastAsia" w:ascii="仿宋_GB2312" w:hAnsi="仿宋_GB2312" w:eastAsia="仿宋_GB2312" w:cs="仿宋_GB2312"/>
          <w:sz w:val="32"/>
          <w:szCs w:val="32"/>
          <w:highlight w:val="none"/>
          <w:lang w:val="en-US" w:eastAsia="zh-CN"/>
        </w:rPr>
        <w:t>阜康市第二中学</w:t>
      </w:r>
      <w:r>
        <w:rPr>
          <w:rFonts w:hint="eastAsia" w:ascii="仿宋_GB2312" w:hAnsi="仿宋_GB2312" w:eastAsia="仿宋_GB2312" w:cs="仿宋_GB2312"/>
          <w:sz w:val="32"/>
          <w:szCs w:val="32"/>
          <w:highlight w:val="none"/>
          <w:lang w:eastAsia="zh-CN"/>
        </w:rPr>
        <w:t>单位资金管理办法</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sz w:val="32"/>
          <w:szCs w:val="32"/>
          <w:highlight w:val="none"/>
          <w:lang w:val="en-US" w:eastAsia="zh-CN"/>
        </w:rPr>
        <w:t>阜康市第二中学</w:t>
      </w:r>
      <w:r>
        <w:rPr>
          <w:rFonts w:hint="eastAsia" w:ascii="仿宋_GB2312" w:hAnsi="仿宋_GB2312" w:eastAsia="仿宋_GB2312" w:cs="仿宋_GB2312"/>
          <w:color w:val="auto"/>
          <w:sz w:val="32"/>
          <w:szCs w:val="32"/>
          <w:highlight w:val="none"/>
          <w:lang w:eastAsia="zh-CN"/>
        </w:rPr>
        <w:t>专项资金管理办法》；</w:t>
      </w:r>
    </w:p>
    <w:p w14:paraId="18EAEB54">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②资金的拨付有完整的审批程序和手续；</w:t>
      </w:r>
    </w:p>
    <w:p w14:paraId="719386DE">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③符合项目预算批复或合同规定的用途；</w:t>
      </w:r>
    </w:p>
    <w:p w14:paraId="688A8124">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④</w:t>
      </w:r>
      <w:r>
        <w:rPr>
          <w:rFonts w:hint="eastAsia" w:ascii="仿宋_GB2312" w:hAnsi="仿宋_GB2312" w:eastAsia="仿宋_GB2312" w:cs="仿宋_GB2312"/>
          <w:sz w:val="32"/>
          <w:szCs w:val="32"/>
          <w:highlight w:val="none"/>
          <w:lang w:val="en-US" w:eastAsia="zh-CN"/>
        </w:rPr>
        <w:t>不</w:t>
      </w:r>
      <w:r>
        <w:rPr>
          <w:rFonts w:hint="eastAsia" w:ascii="仿宋_GB2312" w:hAnsi="仿宋_GB2312" w:eastAsia="仿宋_GB2312" w:cs="仿宋_GB2312"/>
          <w:sz w:val="32"/>
          <w:szCs w:val="32"/>
          <w:highlight w:val="none"/>
          <w:lang w:eastAsia="zh-CN"/>
        </w:rPr>
        <w:t>存在截留、挤占、挪用、虚列支出等情况。</w:t>
      </w:r>
    </w:p>
    <w:p w14:paraId="7E8A8E00">
      <w:pPr>
        <w:pageBreakBefore w:val="0"/>
        <w:shd w:val="clear"/>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default" w:ascii="Times New Roman" w:hAnsi="Times New Roman" w:eastAsia="仿宋_GB2312" w:cs="Times New Roman"/>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w:t>
      </w:r>
      <w:r>
        <w:rPr>
          <w:rFonts w:hint="default" w:ascii="Times New Roman" w:hAnsi="Times New Roman" w:eastAsia="仿宋_GB2312" w:cs="Times New Roman"/>
          <w:color w:val="auto"/>
          <w:sz w:val="32"/>
          <w:szCs w:val="32"/>
          <w:highlight w:val="none"/>
          <w:lang w:eastAsia="zh-CN"/>
        </w:rPr>
        <w:t>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373DC36E">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6CDEDDE3">
      <w:pPr>
        <w:pageBreakBefore w:val="0"/>
        <w:numPr>
          <w:ilvl w:val="0"/>
          <w:numId w:val="0"/>
        </w:numPr>
        <w:shd w:val="clea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4.</w:t>
      </w:r>
      <w:r>
        <w:rPr>
          <w:rFonts w:hint="eastAsia" w:ascii="仿宋_GB2312" w:hAnsi="仿宋_GB2312" w:eastAsia="仿宋_GB2312" w:cs="仿宋_GB2312"/>
          <w:b/>
          <w:bCs/>
          <w:color w:val="auto"/>
          <w:sz w:val="32"/>
          <w:szCs w:val="32"/>
          <w:highlight w:val="none"/>
          <w:lang w:val="en-US" w:eastAsia="zh-CN"/>
        </w:rPr>
        <w:t>管理制度健全性</w:t>
      </w:r>
    </w:p>
    <w:p w14:paraId="352FCAFA">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lang w:eastAsia="zh-CN"/>
        </w:rPr>
        <w:t>我单位已制定《</w:t>
      </w:r>
      <w:r>
        <w:rPr>
          <w:rFonts w:hint="eastAsia" w:ascii="仿宋_GB2312" w:hAnsi="仿宋_GB2312" w:eastAsia="仿宋_GB2312" w:cs="仿宋_GB2312"/>
          <w:sz w:val="32"/>
          <w:szCs w:val="32"/>
          <w:highlight w:val="none"/>
          <w:lang w:val="en-US" w:eastAsia="zh-CN"/>
        </w:rPr>
        <w:t>阜康市第二中学</w:t>
      </w:r>
      <w:r>
        <w:rPr>
          <w:rFonts w:hint="eastAsia" w:ascii="仿宋_GB2312" w:hAnsi="仿宋_GB2312" w:eastAsia="仿宋_GB2312" w:cs="仿宋_GB2312"/>
          <w:color w:val="auto"/>
          <w:sz w:val="32"/>
          <w:szCs w:val="32"/>
          <w:highlight w:val="none"/>
          <w:lang w:eastAsia="zh-CN"/>
        </w:rPr>
        <w:t>资金管理办法》《</w:t>
      </w:r>
      <w:r>
        <w:rPr>
          <w:rFonts w:hint="eastAsia" w:ascii="仿宋_GB2312" w:hAnsi="仿宋_GB2312" w:eastAsia="仿宋_GB2312" w:cs="仿宋_GB2312"/>
          <w:sz w:val="32"/>
          <w:szCs w:val="32"/>
          <w:highlight w:val="none"/>
          <w:lang w:val="en-US" w:eastAsia="zh-CN"/>
        </w:rPr>
        <w:t>阜康市第二中学</w:t>
      </w:r>
      <w:r>
        <w:rPr>
          <w:rFonts w:hint="eastAsia" w:ascii="仿宋_GB2312" w:hAnsi="仿宋_GB2312" w:eastAsia="仿宋_GB2312" w:cs="仿宋_GB2312"/>
          <w:color w:val="auto"/>
          <w:sz w:val="32"/>
          <w:szCs w:val="32"/>
          <w:highlight w:val="none"/>
          <w:lang w:eastAsia="zh-CN"/>
        </w:rPr>
        <w:t>收支业务管理制度》《</w:t>
      </w:r>
      <w:r>
        <w:rPr>
          <w:rFonts w:hint="eastAsia" w:ascii="仿宋_GB2312" w:hAnsi="仿宋_GB2312" w:eastAsia="仿宋_GB2312" w:cs="仿宋_GB2312"/>
          <w:sz w:val="32"/>
          <w:szCs w:val="32"/>
          <w:highlight w:val="none"/>
          <w:lang w:val="en-US" w:eastAsia="zh-CN"/>
        </w:rPr>
        <w:t>阜康市第二中学</w:t>
      </w:r>
      <w:r>
        <w:rPr>
          <w:rFonts w:hint="eastAsia" w:ascii="仿宋_GB2312" w:hAnsi="仿宋_GB2312" w:eastAsia="仿宋_GB2312" w:cs="仿宋_GB2312"/>
          <w:color w:val="auto"/>
          <w:sz w:val="32"/>
          <w:szCs w:val="32"/>
          <w:highlight w:val="none"/>
          <w:lang w:eastAsia="zh-CN"/>
        </w:rPr>
        <w:t>政府采购业务管理制度》《</w:t>
      </w:r>
      <w:r>
        <w:rPr>
          <w:rFonts w:hint="eastAsia" w:ascii="仿宋_GB2312" w:hAnsi="仿宋_GB2312" w:eastAsia="仿宋_GB2312" w:cs="仿宋_GB2312"/>
          <w:sz w:val="32"/>
          <w:szCs w:val="32"/>
          <w:highlight w:val="none"/>
          <w:lang w:val="en-US" w:eastAsia="zh-CN"/>
        </w:rPr>
        <w:t>阜康市第二中学</w:t>
      </w:r>
      <w:r>
        <w:rPr>
          <w:rFonts w:hint="eastAsia" w:ascii="仿宋_GB2312" w:hAnsi="仿宋_GB2312" w:eastAsia="仿宋_GB2312" w:cs="仿宋_GB2312"/>
          <w:color w:val="auto"/>
          <w:sz w:val="32"/>
          <w:szCs w:val="32"/>
          <w:highlight w:val="none"/>
          <w:lang w:eastAsia="zh-CN"/>
        </w:rPr>
        <w:t>合同管理制度》，</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制度均符合行政事业单位内控管理要求；</w:t>
      </w:r>
    </w:p>
    <w:p w14:paraId="6B80AAF8">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②已制定的</w:t>
      </w:r>
      <w:r>
        <w:rPr>
          <w:rFonts w:hint="eastAsia" w:ascii="仿宋_GB2312" w:hAnsi="仿宋_GB2312" w:eastAsia="仿宋_GB2312" w:cs="仿宋_GB2312"/>
          <w:color w:val="auto"/>
          <w:sz w:val="32"/>
          <w:szCs w:val="32"/>
          <w:highlight w:val="none"/>
          <w:lang w:eastAsia="zh-CN"/>
        </w:rPr>
        <w:t>财务和业务管理制度合法、合规、</w:t>
      </w:r>
      <w:r>
        <w:rPr>
          <w:rFonts w:hint="eastAsia" w:ascii="仿宋_GB2312" w:hAnsi="仿宋_GB2312" w:eastAsia="仿宋_GB2312" w:cs="仿宋_GB2312"/>
          <w:sz w:val="32"/>
          <w:szCs w:val="32"/>
          <w:highlight w:val="none"/>
          <w:lang w:eastAsia="zh-CN"/>
        </w:rPr>
        <w:t>完整，本项目执行符合上述制</w:t>
      </w:r>
      <w:r>
        <w:rPr>
          <w:rFonts w:hint="eastAsia" w:ascii="仿宋_GB2312" w:hAnsi="仿宋_GB2312" w:eastAsia="仿宋_GB2312" w:cs="仿宋_GB2312"/>
          <w:color w:val="auto"/>
          <w:sz w:val="32"/>
          <w:szCs w:val="32"/>
          <w:highlight w:val="none"/>
          <w:lang w:eastAsia="zh-CN"/>
        </w:rPr>
        <w:t>度规定。</w:t>
      </w:r>
    </w:p>
    <w:p w14:paraId="41DA7C99">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288A9AB6">
      <w:pPr>
        <w:pageBreakBefore w:val="0"/>
        <w:shd w:val="clear"/>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highlight w:val="none"/>
          <w:lang w:val="en-US" w:eastAsia="zh-CN"/>
        </w:rPr>
      </w:pPr>
      <w:bookmarkStart w:id="157" w:name="_Toc31684"/>
      <w:bookmarkStart w:id="158" w:name="_Toc21596"/>
      <w:bookmarkStart w:id="159" w:name="_Toc13984"/>
      <w:r>
        <w:rPr>
          <w:rFonts w:hint="eastAsia" w:ascii="仿宋_GB2312" w:hAnsi="仿宋_GB2312" w:eastAsia="仿宋_GB2312" w:cs="仿宋_GB2312"/>
          <w:b/>
          <w:bCs/>
          <w:color w:val="auto"/>
          <w:sz w:val="32"/>
          <w:szCs w:val="32"/>
          <w:highlight w:val="none"/>
          <w:lang w:val="en-US" w:eastAsia="zh-CN"/>
        </w:rPr>
        <w:t>5.制度执行有效性</w:t>
      </w:r>
      <w:bookmarkEnd w:id="157"/>
      <w:bookmarkEnd w:id="158"/>
      <w:bookmarkEnd w:id="159"/>
    </w:p>
    <w:p w14:paraId="7D7FEA8C">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rPr>
        <w:t>项目的实施</w:t>
      </w:r>
      <w:r>
        <w:rPr>
          <w:rFonts w:hint="eastAsia" w:ascii="仿宋_GB2312" w:hAnsi="仿宋_GB2312" w:eastAsia="仿宋_GB2312" w:cs="仿宋_GB2312"/>
          <w:color w:val="auto"/>
          <w:sz w:val="32"/>
          <w:szCs w:val="32"/>
          <w:highlight w:val="none"/>
          <w:lang w:eastAsia="zh-CN"/>
        </w:rPr>
        <w:t>遵守相关法律法规</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eastAsia="zh-CN"/>
        </w:rPr>
        <w:t>相关管理规定，</w:t>
      </w:r>
      <w:r>
        <w:rPr>
          <w:rFonts w:hint="eastAsia" w:ascii="仿宋_GB2312" w:hAnsi="仿宋_GB2312" w:eastAsia="仿宋_GB2312" w:cs="仿宋_GB2312"/>
          <w:color w:val="auto"/>
          <w:sz w:val="32"/>
          <w:szCs w:val="32"/>
          <w:highlight w:val="none"/>
        </w:rPr>
        <w:t>符合《</w:t>
      </w:r>
      <w:r>
        <w:rPr>
          <w:rFonts w:hint="eastAsia" w:ascii="仿宋_GB2312" w:hAnsi="仿宋_GB2312" w:eastAsia="仿宋_GB2312" w:cs="仿宋_GB2312"/>
          <w:sz w:val="32"/>
          <w:szCs w:val="32"/>
          <w:highlight w:val="none"/>
          <w:lang w:val="en-US" w:eastAsia="zh-CN"/>
        </w:rPr>
        <w:t>阜康市第二中学</w:t>
      </w:r>
      <w:r>
        <w:rPr>
          <w:rFonts w:hint="eastAsia" w:ascii="仿宋_GB2312" w:hAnsi="仿宋_GB2312" w:eastAsia="仿宋_GB2312" w:cs="仿宋_GB2312"/>
          <w:color w:val="auto"/>
          <w:sz w:val="32"/>
          <w:szCs w:val="32"/>
          <w:highlight w:val="none"/>
        </w:rPr>
        <w:t>办法》《</w:t>
      </w:r>
      <w:r>
        <w:rPr>
          <w:rFonts w:hint="eastAsia" w:ascii="仿宋_GB2312" w:hAnsi="仿宋_GB2312" w:eastAsia="仿宋_GB2312" w:cs="仿宋_GB2312"/>
          <w:sz w:val="32"/>
          <w:szCs w:val="32"/>
          <w:highlight w:val="none"/>
          <w:lang w:val="en-US" w:eastAsia="zh-CN"/>
        </w:rPr>
        <w:t>阜康市第二中学</w:t>
      </w:r>
      <w:r>
        <w:rPr>
          <w:rFonts w:hint="eastAsia" w:ascii="仿宋_GB2312" w:hAnsi="仿宋_GB2312" w:eastAsia="仿宋_GB2312" w:cs="仿宋_GB2312"/>
          <w:color w:val="auto"/>
          <w:sz w:val="32"/>
          <w:szCs w:val="32"/>
          <w:highlight w:val="none"/>
        </w:rPr>
        <w:t>管理制度》《</w:t>
      </w:r>
      <w:r>
        <w:rPr>
          <w:rFonts w:hint="eastAsia" w:ascii="仿宋_GB2312" w:hAnsi="仿宋_GB2312" w:eastAsia="仿宋_GB2312" w:cs="仿宋_GB2312"/>
          <w:sz w:val="32"/>
          <w:szCs w:val="32"/>
          <w:highlight w:val="none"/>
          <w:lang w:val="en-US" w:eastAsia="zh-CN"/>
        </w:rPr>
        <w:t>阜康市第二中学</w:t>
      </w:r>
      <w:r>
        <w:rPr>
          <w:rFonts w:hint="eastAsia" w:ascii="仿宋_GB2312" w:hAnsi="仿宋_GB2312" w:eastAsia="仿宋_GB2312" w:cs="仿宋_GB2312"/>
          <w:color w:val="auto"/>
          <w:sz w:val="32"/>
          <w:szCs w:val="32"/>
          <w:highlight w:val="none"/>
        </w:rPr>
        <w:t>采购业务管理制度》《</w:t>
      </w:r>
      <w:r>
        <w:rPr>
          <w:rFonts w:hint="eastAsia" w:ascii="仿宋_GB2312" w:hAnsi="仿宋_GB2312" w:eastAsia="仿宋_GB2312" w:cs="仿宋_GB2312"/>
          <w:sz w:val="32"/>
          <w:szCs w:val="32"/>
          <w:highlight w:val="none"/>
          <w:lang w:val="en-US" w:eastAsia="zh-CN"/>
        </w:rPr>
        <w:t>阜康市第二中学</w:t>
      </w:r>
      <w:r>
        <w:rPr>
          <w:rFonts w:hint="eastAsia" w:ascii="仿宋_GB2312" w:hAnsi="仿宋_GB2312" w:eastAsia="仿宋_GB2312" w:cs="仿宋_GB2312"/>
          <w:color w:val="auto"/>
          <w:sz w:val="32"/>
          <w:szCs w:val="32"/>
          <w:highlight w:val="none"/>
        </w:rPr>
        <w:t>合同管理制度》等管理规定</w:t>
      </w:r>
      <w:r>
        <w:rPr>
          <w:rFonts w:hint="eastAsia" w:ascii="仿宋_GB2312" w:hAnsi="仿宋_GB2312" w:eastAsia="仿宋_GB2312" w:cs="仿宋_GB2312"/>
          <w:color w:val="auto"/>
          <w:sz w:val="32"/>
          <w:szCs w:val="32"/>
          <w:highlight w:val="none"/>
          <w:lang w:eastAsia="zh-CN"/>
        </w:rPr>
        <w:t>；</w:t>
      </w:r>
    </w:p>
    <w:p w14:paraId="4BA2009D">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rPr>
        <w:t>项目</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rPr>
        <w:t>存在调整</w:t>
      </w:r>
      <w:r>
        <w:rPr>
          <w:rFonts w:hint="eastAsia" w:ascii="仿宋_GB2312" w:hAnsi="仿宋_GB2312" w:eastAsia="仿宋_GB2312" w:cs="仿宋_GB2312"/>
          <w:color w:val="auto"/>
          <w:sz w:val="32"/>
          <w:szCs w:val="32"/>
          <w:highlight w:val="none"/>
          <w:lang w:eastAsia="zh-CN"/>
        </w:rPr>
        <w:t>。</w:t>
      </w:r>
    </w:p>
    <w:p w14:paraId="6E53ABAF">
      <w:pPr>
        <w:pageBreakBefore w:val="0"/>
        <w:widowControl w:val="0"/>
        <w:shd w:val="clear"/>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项目合同书、验收评审表、财务支付凭证等资料齐全并及时归档。</w:t>
      </w:r>
    </w:p>
    <w:p w14:paraId="4BFA5952">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sz w:val="32"/>
          <w:szCs w:val="32"/>
          <w:highlight w:val="none"/>
          <w:lang w:eastAsia="zh-CN"/>
        </w:rPr>
        <w:t>④</w:t>
      </w:r>
      <w:r>
        <w:rPr>
          <w:rFonts w:hint="eastAsia" w:ascii="仿宋_GB2312" w:hAnsi="仿宋_GB2312" w:eastAsia="仿宋_GB2312" w:cs="仿宋_GB2312"/>
          <w:color w:val="auto"/>
          <w:sz w:val="32"/>
          <w:szCs w:val="32"/>
          <w:highlight w:val="none"/>
          <w:lang w:eastAsia="zh-CN"/>
        </w:rPr>
        <w:t>项目实施所需要的项目人员和场地设备均已落实到位，具体涉及内容包括：项目资金支出严格按照自治区、地区以及本单位资金管理办法执行，项目启动实施后，为了加快本项目的实施，成立了昌州财教【2023】90号（保民生）提前下达2024年城乡义务教育补助经费（中央直达资金）公用经费初中项目工作领导小组，由</w:t>
      </w:r>
      <w:r>
        <w:rPr>
          <w:rFonts w:hint="eastAsia" w:ascii="仿宋_GB2312" w:hAnsi="仿宋_GB2312" w:eastAsia="仿宋_GB2312" w:cs="仿宋_GB2312"/>
          <w:color w:val="auto"/>
          <w:sz w:val="32"/>
          <w:szCs w:val="32"/>
          <w:highlight w:val="none"/>
          <w:lang w:val="en-US" w:eastAsia="zh-CN"/>
        </w:rPr>
        <w:t>高鑫</w:t>
      </w:r>
      <w:r>
        <w:rPr>
          <w:rFonts w:hint="eastAsia" w:ascii="仿宋_GB2312" w:hAnsi="仿宋_GB2312" w:eastAsia="仿宋_GB2312" w:cs="仿宋_GB2312"/>
          <w:color w:val="auto"/>
          <w:sz w:val="32"/>
          <w:szCs w:val="32"/>
          <w:highlight w:val="none"/>
          <w:lang w:eastAsia="zh-CN"/>
        </w:rPr>
        <w:t>任组长，负责项目的组织工作；</w:t>
      </w:r>
      <w:r>
        <w:rPr>
          <w:rFonts w:hint="eastAsia" w:ascii="仿宋_GB2312" w:hAnsi="仿宋_GB2312" w:eastAsia="仿宋_GB2312" w:cs="仿宋_GB2312"/>
          <w:color w:val="auto"/>
          <w:sz w:val="32"/>
          <w:szCs w:val="32"/>
          <w:highlight w:val="none"/>
          <w:lang w:val="en-US" w:eastAsia="zh-CN"/>
        </w:rPr>
        <w:t>李桂梅</w:t>
      </w:r>
      <w:r>
        <w:rPr>
          <w:rFonts w:hint="eastAsia" w:ascii="仿宋_GB2312" w:hAnsi="仿宋_GB2312" w:eastAsia="仿宋_GB2312" w:cs="仿宋_GB2312"/>
          <w:color w:val="auto"/>
          <w:sz w:val="32"/>
          <w:szCs w:val="32"/>
          <w:highlight w:val="none"/>
          <w:lang w:eastAsia="zh-CN"/>
        </w:rPr>
        <w:t>任副组长，负责项目的实施工作；组员包括：</w:t>
      </w:r>
      <w:r>
        <w:rPr>
          <w:rFonts w:hint="eastAsia" w:ascii="仿宋_GB2312" w:hAnsi="仿宋_GB2312" w:eastAsia="仿宋_GB2312" w:cs="仿宋_GB2312"/>
          <w:color w:val="auto"/>
          <w:sz w:val="32"/>
          <w:szCs w:val="32"/>
          <w:highlight w:val="none"/>
          <w:shd w:val="clear" w:color="auto" w:fill="auto"/>
          <w:lang w:val="en-US" w:eastAsia="zh-CN"/>
        </w:rPr>
        <w:t>周晓虎、杨军琳、张娟，</w:t>
      </w:r>
      <w:r>
        <w:rPr>
          <w:rFonts w:hint="eastAsia" w:ascii="仿宋_GB2312" w:hAnsi="仿宋_GB2312" w:eastAsia="仿宋_GB2312" w:cs="仿宋_GB2312"/>
          <w:color w:val="auto"/>
          <w:sz w:val="32"/>
          <w:szCs w:val="32"/>
          <w:highlight w:val="none"/>
          <w:lang w:eastAsia="zh-CN"/>
        </w:rPr>
        <w:t>主要负责项目监督管理、验收以及资金核拨等工作。</w:t>
      </w:r>
    </w:p>
    <w:p w14:paraId="2941A444">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7CCE784D">
      <w:pPr>
        <w:pStyle w:val="14"/>
        <w:keepNext w:val="0"/>
        <w:keepLines w:val="0"/>
        <w:pageBreakBefore w:val="0"/>
        <w:widowControl/>
        <w:shd w:val="clear"/>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60" w:name="_Toc18815"/>
      <w:r>
        <w:rPr>
          <w:rFonts w:hint="eastAsia" w:ascii="Times New Roman" w:hAnsi="Times New Roman" w:eastAsia="楷体_GB2312" w:cs="Times New Roman"/>
          <w:color w:val="auto"/>
          <w:kern w:val="28"/>
          <w:sz w:val="32"/>
          <w:highlight w:val="none"/>
          <w:lang w:val="en-US" w:eastAsia="zh-CN"/>
        </w:rPr>
        <w:t>（三）项目产出情况</w:t>
      </w:r>
      <w:bookmarkEnd w:id="160"/>
    </w:p>
    <w:p w14:paraId="5DC086CC">
      <w:pPr>
        <w:pageBreakBefore w:val="0"/>
        <w:widowControl w:val="0"/>
        <w:shd w:val="clear"/>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sz w:val="32"/>
          <w:szCs w:val="32"/>
          <w:highlight w:val="none"/>
          <w:lang w:val="en-US" w:eastAsia="zh-CN"/>
        </w:rPr>
        <w:t>包括产出数量、产出质量、产出时效、</w:t>
      </w:r>
      <w:r>
        <w:rPr>
          <w:rFonts w:hint="eastAsia" w:ascii="Times New Roman" w:hAnsi="Times New Roman" w:eastAsia="仿宋_GB2312" w:cs="Times New Roman"/>
          <w:sz w:val="32"/>
          <w:szCs w:val="32"/>
          <w:highlight w:val="none"/>
          <w:lang w:val="en-US" w:eastAsia="zh-CN"/>
        </w:rPr>
        <w:t>三</w:t>
      </w:r>
      <w:r>
        <w:rPr>
          <w:rFonts w:hint="default" w:ascii="Times New Roman" w:hAnsi="Times New Roman" w:eastAsia="仿宋_GB2312" w:cs="Times New Roman"/>
          <w:sz w:val="32"/>
          <w:szCs w:val="32"/>
          <w:highlight w:val="none"/>
          <w:lang w:val="en-US" w:eastAsia="zh-CN"/>
        </w:rPr>
        <w:t>方面的</w:t>
      </w:r>
      <w:r>
        <w:rPr>
          <w:rFonts w:hint="default" w:ascii="Times New Roman" w:hAnsi="Times New Roman" w:eastAsia="仿宋_GB2312" w:cs="Times New Roman"/>
          <w:color w:val="auto"/>
          <w:sz w:val="32"/>
          <w:szCs w:val="32"/>
          <w:highlight w:val="none"/>
          <w:lang w:val="en-US" w:eastAsia="zh-CN"/>
        </w:rPr>
        <w:t>内容，</w:t>
      </w:r>
      <w:r>
        <w:rPr>
          <w:rFonts w:hint="eastAsia" w:ascii="Times New Roman" w:hAnsi="Times New Roman" w:eastAsia="仿宋_GB2312" w:cs="Times New Roman"/>
          <w:color w:val="auto"/>
          <w:sz w:val="32"/>
          <w:szCs w:val="32"/>
          <w:highlight w:val="none"/>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8</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66E33FB7">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055"/>
        <w:gridCol w:w="1591"/>
        <w:gridCol w:w="1000"/>
        <w:gridCol w:w="1511"/>
        <w:gridCol w:w="478"/>
      </w:tblGrid>
      <w:tr w14:paraId="79BBB479">
        <w:tblPrEx>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C0C0C">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E2560C">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B8457">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33100F">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E9827">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8E0D35">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4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51719">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729E7F73">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84E45A">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B8D95C9">
            <w:pPr>
              <w:shd w:val="clear"/>
              <w:bidi w:val="0"/>
              <w:ind w:left="0" w:leftChars="0" w:firstLine="0" w:firstLineChars="0"/>
              <w:jc w:val="left"/>
              <w:rPr>
                <w:rFonts w:hint="default" w:ascii="宋体" w:hAnsi="宋体" w:eastAsia="宋体" w:cs="宋体"/>
                <w:kern w:val="2"/>
                <w:sz w:val="28"/>
                <w:szCs w:val="28"/>
                <w:highlight w:val="none"/>
                <w:lang w:val="en-US" w:eastAsia="zh-CN" w:bidi="ar-SA"/>
              </w:rPr>
            </w:pPr>
            <w:r>
              <w:rPr>
                <w:rFonts w:hint="eastAsia" w:cs="宋体"/>
                <w:kern w:val="2"/>
                <w:sz w:val="20"/>
                <w:szCs w:val="20"/>
                <w:highlight w:val="none"/>
                <w:lang w:val="en-US" w:eastAsia="zh-CN" w:bidi="ar-SA"/>
              </w:rPr>
              <w:t>数量指标</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425857">
            <w:pPr>
              <w:keepNext w:val="0"/>
              <w:keepLines w:val="0"/>
              <w:widowControl/>
              <w:suppressLineNumbers w:val="0"/>
              <w:shd w:val="clear"/>
              <w:spacing w:line="240" w:lineRule="auto"/>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000000"/>
                <w:kern w:val="0"/>
                <w:sz w:val="21"/>
                <w:szCs w:val="21"/>
                <w:highlight w:val="none"/>
                <w:u w:val="none"/>
                <w:lang w:val="en-US" w:eastAsia="zh-CN" w:bidi="ar"/>
              </w:rPr>
              <w:t>在校学生人数（人）</w:t>
            </w:r>
          </w:p>
        </w:tc>
        <w:tc>
          <w:tcPr>
            <w:tcW w:w="1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189B33">
            <w:pPr>
              <w:keepNext w:val="0"/>
              <w:keepLines w:val="0"/>
              <w:widowControl/>
              <w:suppressLineNumbers w:val="0"/>
              <w:shd w:val="clear"/>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000000"/>
                <w:kern w:val="0"/>
                <w:sz w:val="21"/>
                <w:szCs w:val="21"/>
                <w:highlight w:val="none"/>
                <w:u w:val="none"/>
                <w:lang w:val="en-US" w:eastAsia="zh-CN" w:bidi="ar"/>
              </w:rPr>
              <w:t>≥1927人</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1B7F3B">
            <w:pPr>
              <w:keepNext w:val="0"/>
              <w:keepLines w:val="0"/>
              <w:widowControl/>
              <w:suppressLineNumbers w:val="0"/>
              <w:shd w:val="clear"/>
              <w:ind w:left="0" w:leftChars="0" w:firstLine="0" w:firstLineChars="0"/>
              <w:jc w:val="center"/>
              <w:textAlignment w:val="center"/>
              <w:rPr>
                <w:rFonts w:hint="default" w:ascii="宋体" w:hAnsi="宋体" w:eastAsia="宋体" w:cs="宋体"/>
                <w:color w:val="auto"/>
                <w:kern w:val="0"/>
                <w:sz w:val="20"/>
                <w:szCs w:val="20"/>
                <w:highlight w:val="none"/>
                <w:shd w:val="clear" w:color="auto" w:fill="auto"/>
                <w:lang w:val="en-US" w:eastAsia="zh-CN"/>
              </w:rPr>
            </w:pPr>
            <w:r>
              <w:rPr>
                <w:rFonts w:hint="eastAsia" w:cs="宋体"/>
                <w:i w:val="0"/>
                <w:color w:val="000000"/>
                <w:kern w:val="0"/>
                <w:sz w:val="21"/>
                <w:szCs w:val="21"/>
                <w:highlight w:val="none"/>
                <w:u w:val="none"/>
                <w:lang w:val="en-US" w:eastAsia="zh-CN" w:bidi="ar"/>
              </w:rPr>
              <w:t>5</w:t>
            </w: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B6173">
            <w:pPr>
              <w:keepNext w:val="0"/>
              <w:keepLines w:val="0"/>
              <w:widowControl/>
              <w:suppressLineNumbers w:val="0"/>
              <w:shd w:val="clear"/>
              <w:spacing w:line="240" w:lineRule="auto"/>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cs="宋体"/>
                <w:i w:val="0"/>
                <w:iCs w:val="0"/>
                <w:color w:val="000000"/>
                <w:kern w:val="0"/>
                <w:sz w:val="21"/>
                <w:szCs w:val="21"/>
                <w:highlight w:val="none"/>
                <w:u w:val="none"/>
                <w:lang w:val="en-US" w:eastAsia="zh-CN" w:bidi="ar"/>
              </w:rPr>
              <w:t>1927</w:t>
            </w:r>
            <w:r>
              <w:rPr>
                <w:rFonts w:hint="eastAsia" w:ascii="宋体" w:hAnsi="宋体" w:eastAsia="宋体" w:cs="宋体"/>
                <w:i w:val="0"/>
                <w:iCs w:val="0"/>
                <w:color w:val="000000"/>
                <w:kern w:val="0"/>
                <w:sz w:val="21"/>
                <w:szCs w:val="21"/>
                <w:highlight w:val="none"/>
                <w:u w:val="none"/>
                <w:lang w:val="en-US" w:eastAsia="zh-CN" w:bidi="ar"/>
              </w:rPr>
              <w:t>人</w:t>
            </w:r>
          </w:p>
        </w:tc>
        <w:tc>
          <w:tcPr>
            <w:tcW w:w="4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CF3A0">
            <w:pPr>
              <w:keepNext w:val="0"/>
              <w:keepLines w:val="0"/>
              <w:widowControl/>
              <w:suppressLineNumbers w:val="0"/>
              <w:shd w:val="clear"/>
              <w:ind w:left="0" w:leftChars="0" w:firstLine="0" w:firstLineChars="0"/>
              <w:jc w:val="center"/>
              <w:textAlignment w:val="center"/>
              <w:rPr>
                <w:rFonts w:hint="default" w:ascii="宋体" w:hAnsi="宋体" w:eastAsia="宋体" w:cs="宋体"/>
                <w:color w:val="auto"/>
                <w:kern w:val="0"/>
                <w:sz w:val="20"/>
                <w:szCs w:val="20"/>
                <w:highlight w:val="none"/>
                <w:shd w:val="clear" w:color="auto" w:fill="auto"/>
                <w:lang w:val="en-US" w:eastAsia="zh-CN"/>
              </w:rPr>
            </w:pPr>
            <w:r>
              <w:rPr>
                <w:rFonts w:hint="eastAsia" w:cs="宋体"/>
                <w:i w:val="0"/>
                <w:color w:val="000000"/>
                <w:kern w:val="0"/>
                <w:sz w:val="21"/>
                <w:szCs w:val="21"/>
                <w:highlight w:val="none"/>
                <w:u w:val="none"/>
                <w:lang w:val="en-US" w:eastAsia="zh-CN" w:bidi="ar"/>
              </w:rPr>
              <w:t>5</w:t>
            </w:r>
          </w:p>
        </w:tc>
      </w:tr>
      <w:tr w14:paraId="35ED4BAE">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A5AACC">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92F3B82">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24579">
            <w:pPr>
              <w:keepNext w:val="0"/>
              <w:keepLines w:val="0"/>
              <w:widowControl/>
              <w:suppressLineNumbers w:val="0"/>
              <w:shd w:val="clear"/>
              <w:spacing w:line="240" w:lineRule="auto"/>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000000"/>
                <w:kern w:val="0"/>
                <w:sz w:val="21"/>
                <w:szCs w:val="21"/>
                <w:highlight w:val="none"/>
                <w:u w:val="none"/>
                <w:lang w:val="en-US" w:eastAsia="zh-CN" w:bidi="ar"/>
              </w:rPr>
              <w:t>开展视频会议、教学研讨会议次数</w:t>
            </w:r>
          </w:p>
        </w:tc>
        <w:tc>
          <w:tcPr>
            <w:tcW w:w="1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ABA27">
            <w:pPr>
              <w:keepNext w:val="0"/>
              <w:keepLines w:val="0"/>
              <w:widowControl/>
              <w:suppressLineNumbers w:val="0"/>
              <w:shd w:val="clear"/>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000000"/>
                <w:kern w:val="0"/>
                <w:sz w:val="21"/>
                <w:szCs w:val="21"/>
                <w:highlight w:val="none"/>
                <w:u w:val="none"/>
                <w:lang w:val="en-US" w:eastAsia="zh-CN" w:bidi="ar"/>
              </w:rPr>
              <w:t>≥8次</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1FC954">
            <w:pPr>
              <w:keepNext w:val="0"/>
              <w:keepLines w:val="0"/>
              <w:widowControl/>
              <w:suppressLineNumbers w:val="0"/>
              <w:shd w:val="clear"/>
              <w:ind w:left="0" w:leftChars="0" w:firstLine="0" w:firstLineChars="0"/>
              <w:jc w:val="center"/>
              <w:textAlignment w:val="center"/>
              <w:rPr>
                <w:rFonts w:hint="default" w:ascii="宋体" w:hAnsi="宋体" w:eastAsia="宋体" w:cs="宋体"/>
                <w:color w:val="auto"/>
                <w:kern w:val="0"/>
                <w:sz w:val="20"/>
                <w:szCs w:val="20"/>
                <w:highlight w:val="none"/>
                <w:shd w:val="clear" w:color="auto" w:fill="auto"/>
                <w:lang w:val="en-US" w:eastAsia="zh-CN"/>
              </w:rPr>
            </w:pPr>
            <w:r>
              <w:rPr>
                <w:rFonts w:hint="eastAsia" w:cs="宋体"/>
                <w:i w:val="0"/>
                <w:color w:val="000000"/>
                <w:kern w:val="0"/>
                <w:sz w:val="21"/>
                <w:szCs w:val="21"/>
                <w:highlight w:val="none"/>
                <w:u w:val="none"/>
                <w:lang w:val="en-US" w:eastAsia="zh-CN" w:bidi="ar"/>
              </w:rPr>
              <w:t>5</w:t>
            </w: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54509">
            <w:pPr>
              <w:keepNext w:val="0"/>
              <w:keepLines w:val="0"/>
              <w:widowControl/>
              <w:suppressLineNumbers w:val="0"/>
              <w:shd w:val="clear"/>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cs="宋体"/>
                <w:i w:val="0"/>
                <w:color w:val="000000"/>
                <w:kern w:val="0"/>
                <w:sz w:val="21"/>
                <w:szCs w:val="21"/>
                <w:highlight w:val="none"/>
                <w:u w:val="none"/>
                <w:lang w:val="en-US" w:eastAsia="zh-CN" w:bidi="ar"/>
              </w:rPr>
              <w:t>10</w:t>
            </w:r>
            <w:r>
              <w:rPr>
                <w:rFonts w:hint="eastAsia" w:ascii="宋体" w:hAnsi="宋体" w:eastAsia="宋体" w:cs="宋体"/>
                <w:i w:val="0"/>
                <w:color w:val="000000"/>
                <w:kern w:val="0"/>
                <w:sz w:val="21"/>
                <w:szCs w:val="21"/>
                <w:highlight w:val="none"/>
                <w:u w:val="none"/>
                <w:lang w:val="en-US" w:eastAsia="zh-CN" w:bidi="ar"/>
              </w:rPr>
              <w:t>次</w:t>
            </w:r>
          </w:p>
        </w:tc>
        <w:tc>
          <w:tcPr>
            <w:tcW w:w="4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E1B82B">
            <w:pPr>
              <w:keepNext w:val="0"/>
              <w:keepLines w:val="0"/>
              <w:widowControl/>
              <w:suppressLineNumbers w:val="0"/>
              <w:shd w:val="clear"/>
              <w:ind w:left="0" w:leftChars="0" w:firstLine="0" w:firstLineChars="0"/>
              <w:jc w:val="center"/>
              <w:textAlignment w:val="center"/>
              <w:rPr>
                <w:rFonts w:hint="default" w:ascii="宋体" w:hAnsi="宋体" w:eastAsia="宋体" w:cs="宋体"/>
                <w:color w:val="auto"/>
                <w:kern w:val="0"/>
                <w:sz w:val="20"/>
                <w:szCs w:val="20"/>
                <w:highlight w:val="none"/>
                <w:shd w:val="clear" w:color="auto" w:fill="auto"/>
                <w:lang w:val="en-US" w:eastAsia="zh-CN"/>
              </w:rPr>
            </w:pPr>
            <w:r>
              <w:rPr>
                <w:rFonts w:hint="eastAsia" w:cs="宋体"/>
                <w:i w:val="0"/>
                <w:color w:val="000000"/>
                <w:kern w:val="0"/>
                <w:sz w:val="21"/>
                <w:szCs w:val="21"/>
                <w:highlight w:val="none"/>
                <w:u w:val="none"/>
                <w:lang w:val="en-US" w:eastAsia="zh-CN" w:bidi="ar"/>
              </w:rPr>
              <w:t>5</w:t>
            </w:r>
          </w:p>
        </w:tc>
      </w:tr>
      <w:tr w14:paraId="1DD758B3">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70F19">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D2679B">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D278D1">
            <w:pPr>
              <w:keepNext w:val="0"/>
              <w:keepLines w:val="0"/>
              <w:widowControl/>
              <w:suppressLineNumbers w:val="0"/>
              <w:shd w:val="clear"/>
              <w:spacing w:line="240" w:lineRule="auto"/>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000000"/>
                <w:kern w:val="0"/>
                <w:sz w:val="21"/>
                <w:szCs w:val="21"/>
                <w:highlight w:val="none"/>
                <w:u w:val="none"/>
                <w:lang w:val="en-US" w:eastAsia="zh-CN" w:bidi="ar"/>
              </w:rPr>
              <w:t>开展德育活动次数</w:t>
            </w:r>
          </w:p>
        </w:tc>
        <w:tc>
          <w:tcPr>
            <w:tcW w:w="1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578476">
            <w:pPr>
              <w:keepNext w:val="0"/>
              <w:keepLines w:val="0"/>
              <w:widowControl/>
              <w:suppressLineNumbers w:val="0"/>
              <w:shd w:val="clear"/>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000000"/>
                <w:kern w:val="0"/>
                <w:sz w:val="21"/>
                <w:szCs w:val="21"/>
                <w:highlight w:val="none"/>
                <w:u w:val="none"/>
                <w:lang w:val="en-US" w:eastAsia="zh-CN" w:bidi="ar"/>
              </w:rPr>
              <w:t>≥10次</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C0F1D">
            <w:pPr>
              <w:keepNext w:val="0"/>
              <w:keepLines w:val="0"/>
              <w:widowControl/>
              <w:suppressLineNumbers w:val="0"/>
              <w:shd w:val="clear"/>
              <w:ind w:left="0" w:leftChars="0" w:firstLine="0" w:firstLineChars="0"/>
              <w:jc w:val="center"/>
              <w:textAlignment w:val="center"/>
              <w:rPr>
                <w:rFonts w:hint="default" w:ascii="宋体" w:hAnsi="宋体" w:eastAsia="宋体" w:cs="宋体"/>
                <w:color w:val="auto"/>
                <w:kern w:val="0"/>
                <w:sz w:val="20"/>
                <w:szCs w:val="20"/>
                <w:highlight w:val="none"/>
                <w:shd w:val="clear" w:color="auto" w:fill="auto"/>
                <w:lang w:val="en-US" w:eastAsia="zh-CN"/>
              </w:rPr>
            </w:pPr>
            <w:r>
              <w:rPr>
                <w:rFonts w:hint="eastAsia" w:cs="宋体"/>
                <w:i w:val="0"/>
                <w:color w:val="000000"/>
                <w:kern w:val="0"/>
                <w:sz w:val="21"/>
                <w:szCs w:val="21"/>
                <w:highlight w:val="none"/>
                <w:u w:val="none"/>
                <w:lang w:val="en-US" w:eastAsia="zh-CN" w:bidi="ar"/>
              </w:rPr>
              <w:t>5</w:t>
            </w: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68D7A">
            <w:pPr>
              <w:keepNext w:val="0"/>
              <w:keepLines w:val="0"/>
              <w:widowControl/>
              <w:suppressLineNumbers w:val="0"/>
              <w:shd w:val="clear"/>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000000"/>
                <w:kern w:val="0"/>
                <w:sz w:val="21"/>
                <w:szCs w:val="21"/>
                <w:highlight w:val="none"/>
                <w:u w:val="none"/>
                <w:lang w:val="en-US" w:eastAsia="zh-CN" w:bidi="ar"/>
              </w:rPr>
              <w:t>1</w:t>
            </w:r>
            <w:r>
              <w:rPr>
                <w:rFonts w:hint="eastAsia" w:cs="宋体"/>
                <w:i w:val="0"/>
                <w:color w:val="000000"/>
                <w:kern w:val="0"/>
                <w:sz w:val="21"/>
                <w:szCs w:val="21"/>
                <w:highlight w:val="none"/>
                <w:u w:val="none"/>
                <w:lang w:val="en-US" w:eastAsia="zh-CN" w:bidi="ar"/>
              </w:rPr>
              <w:t>2</w:t>
            </w:r>
            <w:r>
              <w:rPr>
                <w:rFonts w:hint="eastAsia" w:ascii="宋体" w:hAnsi="宋体" w:eastAsia="宋体" w:cs="宋体"/>
                <w:i w:val="0"/>
                <w:color w:val="000000"/>
                <w:kern w:val="0"/>
                <w:sz w:val="21"/>
                <w:szCs w:val="21"/>
                <w:highlight w:val="none"/>
                <w:u w:val="none"/>
                <w:lang w:val="en-US" w:eastAsia="zh-CN" w:bidi="ar"/>
              </w:rPr>
              <w:t>次</w:t>
            </w:r>
          </w:p>
        </w:tc>
        <w:tc>
          <w:tcPr>
            <w:tcW w:w="4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42CD3">
            <w:pPr>
              <w:keepNext w:val="0"/>
              <w:keepLines w:val="0"/>
              <w:widowControl/>
              <w:suppressLineNumbers w:val="0"/>
              <w:shd w:val="clear"/>
              <w:ind w:left="0" w:leftChars="0" w:firstLine="0" w:firstLineChars="0"/>
              <w:jc w:val="center"/>
              <w:textAlignment w:val="center"/>
              <w:rPr>
                <w:rFonts w:hint="default" w:ascii="宋体" w:hAnsi="宋体" w:eastAsia="宋体" w:cs="宋体"/>
                <w:color w:val="auto"/>
                <w:kern w:val="0"/>
                <w:sz w:val="20"/>
                <w:szCs w:val="20"/>
                <w:highlight w:val="none"/>
                <w:shd w:val="clear" w:color="auto" w:fill="auto"/>
                <w:lang w:val="en-US" w:eastAsia="zh-CN"/>
              </w:rPr>
            </w:pPr>
            <w:r>
              <w:rPr>
                <w:rFonts w:hint="eastAsia" w:cs="宋体"/>
                <w:i w:val="0"/>
                <w:color w:val="000000"/>
                <w:kern w:val="0"/>
                <w:sz w:val="21"/>
                <w:szCs w:val="21"/>
                <w:highlight w:val="none"/>
                <w:u w:val="none"/>
                <w:lang w:val="en-US" w:eastAsia="zh-CN" w:bidi="ar"/>
              </w:rPr>
              <w:t>5</w:t>
            </w:r>
          </w:p>
        </w:tc>
      </w:tr>
      <w:tr w14:paraId="12890344">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5536C2">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06C05132">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质量指标</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5FE2C9">
            <w:pPr>
              <w:keepNext w:val="0"/>
              <w:keepLines w:val="0"/>
              <w:widowControl/>
              <w:suppressLineNumbers w:val="0"/>
              <w:shd w:val="clear"/>
              <w:spacing w:line="240" w:lineRule="auto"/>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000000"/>
                <w:kern w:val="0"/>
                <w:sz w:val="21"/>
                <w:szCs w:val="21"/>
                <w:highlight w:val="none"/>
                <w:u w:val="none"/>
                <w:lang w:val="en-US" w:eastAsia="zh-CN" w:bidi="ar"/>
              </w:rPr>
              <w:t>开展视频会议、教学研讨会议完成率</w:t>
            </w:r>
          </w:p>
        </w:tc>
        <w:tc>
          <w:tcPr>
            <w:tcW w:w="1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AACD9">
            <w:pPr>
              <w:keepNext w:val="0"/>
              <w:keepLines w:val="0"/>
              <w:widowControl/>
              <w:suppressLineNumbers w:val="0"/>
              <w:shd w:val="clear"/>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000000"/>
                <w:kern w:val="0"/>
                <w:sz w:val="21"/>
                <w:szCs w:val="21"/>
                <w:highlight w:val="none"/>
                <w:u w:val="none"/>
                <w:lang w:val="en-US" w:eastAsia="zh-CN" w:bidi="ar"/>
              </w:rPr>
              <w:t>=100%</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93E09">
            <w:pPr>
              <w:keepNext w:val="0"/>
              <w:keepLines w:val="0"/>
              <w:widowControl/>
              <w:suppressLineNumbers w:val="0"/>
              <w:shd w:val="clear"/>
              <w:ind w:left="0" w:leftChars="0" w:firstLine="0" w:firstLineChars="0"/>
              <w:jc w:val="center"/>
              <w:textAlignment w:val="center"/>
              <w:rPr>
                <w:rFonts w:hint="default" w:ascii="宋体" w:hAnsi="宋体" w:eastAsia="宋体" w:cs="宋体"/>
                <w:color w:val="auto"/>
                <w:kern w:val="0"/>
                <w:sz w:val="20"/>
                <w:szCs w:val="20"/>
                <w:highlight w:val="none"/>
                <w:shd w:val="clear" w:color="auto" w:fill="auto"/>
                <w:lang w:val="en-US" w:eastAsia="zh-CN"/>
              </w:rPr>
            </w:pPr>
            <w:r>
              <w:rPr>
                <w:rFonts w:hint="eastAsia" w:cs="宋体"/>
                <w:i w:val="0"/>
                <w:color w:val="000000"/>
                <w:kern w:val="0"/>
                <w:sz w:val="21"/>
                <w:szCs w:val="21"/>
                <w:highlight w:val="none"/>
                <w:u w:val="none"/>
                <w:lang w:val="en-US" w:eastAsia="zh-CN" w:bidi="ar"/>
              </w:rPr>
              <w:t>5</w:t>
            </w: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337AC8">
            <w:pPr>
              <w:keepNext w:val="0"/>
              <w:keepLines w:val="0"/>
              <w:widowControl/>
              <w:suppressLineNumbers w:val="0"/>
              <w:shd w:val="clear"/>
              <w:spacing w:line="240" w:lineRule="auto"/>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000000"/>
                <w:kern w:val="0"/>
                <w:sz w:val="21"/>
                <w:szCs w:val="21"/>
                <w:highlight w:val="none"/>
                <w:u w:val="none"/>
                <w:lang w:val="en-US" w:eastAsia="zh-CN" w:bidi="ar"/>
              </w:rPr>
              <w:t>100%</w:t>
            </w:r>
          </w:p>
        </w:tc>
        <w:tc>
          <w:tcPr>
            <w:tcW w:w="4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8857AF">
            <w:pPr>
              <w:keepNext w:val="0"/>
              <w:keepLines w:val="0"/>
              <w:widowControl/>
              <w:suppressLineNumbers w:val="0"/>
              <w:shd w:val="clear"/>
              <w:ind w:left="0" w:leftChars="0" w:firstLine="0" w:firstLineChars="0"/>
              <w:jc w:val="center"/>
              <w:textAlignment w:val="center"/>
              <w:rPr>
                <w:rFonts w:hint="default" w:ascii="宋体" w:hAnsi="宋体" w:eastAsia="宋体" w:cs="宋体"/>
                <w:color w:val="auto"/>
                <w:kern w:val="0"/>
                <w:sz w:val="20"/>
                <w:szCs w:val="20"/>
                <w:highlight w:val="none"/>
                <w:shd w:val="clear" w:color="auto" w:fill="auto"/>
                <w:lang w:val="en-US" w:eastAsia="zh-CN"/>
              </w:rPr>
            </w:pPr>
            <w:r>
              <w:rPr>
                <w:rFonts w:hint="eastAsia" w:cs="宋体"/>
                <w:i w:val="0"/>
                <w:color w:val="000000"/>
                <w:kern w:val="0"/>
                <w:sz w:val="21"/>
                <w:szCs w:val="21"/>
                <w:highlight w:val="none"/>
                <w:u w:val="none"/>
                <w:lang w:val="en-US" w:eastAsia="zh-CN" w:bidi="ar"/>
              </w:rPr>
              <w:t>5</w:t>
            </w:r>
          </w:p>
        </w:tc>
      </w:tr>
      <w:tr w14:paraId="7CE9B20F">
        <w:tblPrEx>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A3B246">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24599">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D17EC5">
            <w:pPr>
              <w:keepNext w:val="0"/>
              <w:keepLines w:val="0"/>
              <w:widowControl/>
              <w:suppressLineNumbers w:val="0"/>
              <w:shd w:val="clear"/>
              <w:spacing w:line="240" w:lineRule="auto"/>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000000"/>
                <w:kern w:val="0"/>
                <w:sz w:val="21"/>
                <w:szCs w:val="21"/>
                <w:highlight w:val="none"/>
                <w:u w:val="none"/>
                <w:lang w:val="en-US" w:eastAsia="zh-CN" w:bidi="ar"/>
              </w:rPr>
              <w:t>开展德育活动完成率</w:t>
            </w:r>
          </w:p>
        </w:tc>
        <w:tc>
          <w:tcPr>
            <w:tcW w:w="1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060DA9">
            <w:pPr>
              <w:keepNext w:val="0"/>
              <w:keepLines w:val="0"/>
              <w:widowControl/>
              <w:suppressLineNumbers w:val="0"/>
              <w:shd w:val="clear"/>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000000"/>
                <w:kern w:val="0"/>
                <w:sz w:val="21"/>
                <w:szCs w:val="21"/>
                <w:highlight w:val="none"/>
                <w:u w:val="none"/>
                <w:lang w:val="en-US" w:eastAsia="zh-CN" w:bidi="ar"/>
              </w:rPr>
              <w:t>=100%</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85A122">
            <w:pPr>
              <w:keepNext w:val="0"/>
              <w:keepLines w:val="0"/>
              <w:widowControl/>
              <w:suppressLineNumbers w:val="0"/>
              <w:shd w:val="clear"/>
              <w:ind w:left="0" w:leftChars="0" w:firstLine="0" w:firstLineChars="0"/>
              <w:jc w:val="center"/>
              <w:textAlignment w:val="center"/>
              <w:rPr>
                <w:rFonts w:hint="eastAsia" w:cs="宋体"/>
                <w:color w:val="auto"/>
                <w:kern w:val="0"/>
                <w:sz w:val="20"/>
                <w:szCs w:val="20"/>
                <w:highlight w:val="none"/>
                <w:shd w:val="clear" w:color="auto" w:fill="auto"/>
                <w:lang w:val="en-US" w:eastAsia="zh-CN"/>
              </w:rPr>
            </w:pPr>
            <w:r>
              <w:rPr>
                <w:rFonts w:hint="eastAsia" w:cs="宋体"/>
                <w:i w:val="0"/>
                <w:color w:val="000000"/>
                <w:kern w:val="0"/>
                <w:sz w:val="21"/>
                <w:szCs w:val="21"/>
                <w:highlight w:val="none"/>
                <w:u w:val="none"/>
                <w:lang w:val="en-US" w:eastAsia="zh-CN" w:bidi="ar"/>
              </w:rPr>
              <w:t>5</w:t>
            </w: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97169">
            <w:pPr>
              <w:keepNext w:val="0"/>
              <w:keepLines w:val="0"/>
              <w:widowControl/>
              <w:suppressLineNumbers w:val="0"/>
              <w:shd w:val="clear"/>
              <w:spacing w:line="240" w:lineRule="auto"/>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000000"/>
                <w:kern w:val="0"/>
                <w:sz w:val="21"/>
                <w:szCs w:val="21"/>
                <w:highlight w:val="none"/>
                <w:u w:val="none"/>
                <w:lang w:val="en-US" w:eastAsia="zh-CN" w:bidi="ar"/>
              </w:rPr>
              <w:t>100%</w:t>
            </w:r>
          </w:p>
        </w:tc>
        <w:tc>
          <w:tcPr>
            <w:tcW w:w="4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C8820C">
            <w:pPr>
              <w:keepNext w:val="0"/>
              <w:keepLines w:val="0"/>
              <w:widowControl/>
              <w:suppressLineNumbers w:val="0"/>
              <w:shd w:val="clear"/>
              <w:ind w:left="0" w:leftChars="0" w:firstLine="0" w:firstLineChars="0"/>
              <w:jc w:val="center"/>
              <w:textAlignment w:val="center"/>
              <w:rPr>
                <w:rFonts w:hint="eastAsia" w:cs="宋体"/>
                <w:color w:val="auto"/>
                <w:kern w:val="0"/>
                <w:sz w:val="20"/>
                <w:szCs w:val="20"/>
                <w:highlight w:val="none"/>
                <w:shd w:val="clear" w:color="auto" w:fill="auto"/>
                <w:lang w:val="en-US" w:eastAsia="zh-CN"/>
              </w:rPr>
            </w:pPr>
            <w:r>
              <w:rPr>
                <w:rFonts w:hint="eastAsia" w:cs="宋体"/>
                <w:i w:val="0"/>
                <w:color w:val="000000"/>
                <w:kern w:val="0"/>
                <w:sz w:val="21"/>
                <w:szCs w:val="21"/>
                <w:highlight w:val="none"/>
                <w:u w:val="none"/>
                <w:lang w:val="en-US" w:eastAsia="zh-CN" w:bidi="ar"/>
              </w:rPr>
              <w:t>5</w:t>
            </w:r>
          </w:p>
        </w:tc>
      </w:tr>
      <w:tr w14:paraId="64157532">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78A6C9">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43D878D">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时效指标</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016E9">
            <w:pPr>
              <w:keepNext w:val="0"/>
              <w:keepLines w:val="0"/>
              <w:widowControl/>
              <w:suppressLineNumbers w:val="0"/>
              <w:shd w:val="clear"/>
              <w:spacing w:line="240" w:lineRule="auto"/>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000000"/>
                <w:kern w:val="0"/>
                <w:sz w:val="21"/>
                <w:szCs w:val="21"/>
                <w:highlight w:val="none"/>
                <w:u w:val="none"/>
                <w:lang w:val="en-US" w:eastAsia="zh-CN" w:bidi="ar"/>
              </w:rPr>
              <w:t>公用经费标准</w:t>
            </w:r>
          </w:p>
        </w:tc>
        <w:tc>
          <w:tcPr>
            <w:tcW w:w="1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F6D2D">
            <w:pPr>
              <w:keepNext w:val="0"/>
              <w:keepLines w:val="0"/>
              <w:widowControl/>
              <w:suppressLineNumbers w:val="0"/>
              <w:shd w:val="clear"/>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000000"/>
                <w:kern w:val="0"/>
                <w:sz w:val="21"/>
                <w:szCs w:val="21"/>
                <w:highlight w:val="none"/>
                <w:u w:val="none"/>
                <w:lang w:val="en-US" w:eastAsia="zh-CN" w:bidi="ar"/>
              </w:rPr>
              <w:t>=940元/生/学年</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D9188E">
            <w:pPr>
              <w:keepNext w:val="0"/>
              <w:keepLines w:val="0"/>
              <w:widowControl/>
              <w:suppressLineNumbers w:val="0"/>
              <w:shd w:val="clear"/>
              <w:ind w:left="0" w:leftChars="0" w:firstLine="0" w:firstLineChars="0"/>
              <w:jc w:val="center"/>
              <w:textAlignment w:val="center"/>
              <w:rPr>
                <w:rFonts w:hint="eastAsia" w:cs="宋体"/>
                <w:color w:val="auto"/>
                <w:kern w:val="0"/>
                <w:sz w:val="20"/>
                <w:szCs w:val="20"/>
                <w:highlight w:val="none"/>
                <w:shd w:val="clear" w:color="auto" w:fill="auto"/>
                <w:lang w:val="en-US" w:eastAsia="zh-CN"/>
              </w:rPr>
            </w:pPr>
            <w:r>
              <w:rPr>
                <w:rFonts w:hint="eastAsia" w:cs="宋体"/>
                <w:i w:val="0"/>
                <w:color w:val="000000"/>
                <w:kern w:val="0"/>
                <w:sz w:val="21"/>
                <w:szCs w:val="21"/>
                <w:highlight w:val="none"/>
                <w:u w:val="none"/>
                <w:lang w:val="en-US" w:eastAsia="zh-CN" w:bidi="ar"/>
              </w:rPr>
              <w:t>5</w:t>
            </w: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F2D41A">
            <w:pPr>
              <w:keepNext w:val="0"/>
              <w:keepLines w:val="0"/>
              <w:widowControl/>
              <w:suppressLineNumbers w:val="0"/>
              <w:shd w:val="clear"/>
              <w:spacing w:line="240" w:lineRule="auto"/>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000000"/>
                <w:kern w:val="0"/>
                <w:sz w:val="21"/>
                <w:szCs w:val="21"/>
                <w:highlight w:val="none"/>
                <w:u w:val="none"/>
                <w:lang w:val="en-US" w:eastAsia="zh-CN" w:bidi="ar"/>
              </w:rPr>
              <w:t>940元/生/学年</w:t>
            </w:r>
          </w:p>
        </w:tc>
        <w:tc>
          <w:tcPr>
            <w:tcW w:w="4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F8D88">
            <w:pPr>
              <w:keepNext w:val="0"/>
              <w:keepLines w:val="0"/>
              <w:widowControl/>
              <w:suppressLineNumbers w:val="0"/>
              <w:shd w:val="clear"/>
              <w:ind w:left="0" w:leftChars="0" w:firstLine="0" w:firstLineChars="0"/>
              <w:jc w:val="center"/>
              <w:textAlignment w:val="center"/>
              <w:rPr>
                <w:rFonts w:hint="eastAsia" w:cs="宋体"/>
                <w:color w:val="auto"/>
                <w:kern w:val="0"/>
                <w:sz w:val="20"/>
                <w:szCs w:val="20"/>
                <w:highlight w:val="none"/>
                <w:shd w:val="clear" w:color="auto" w:fill="auto"/>
                <w:lang w:val="en-US" w:eastAsia="zh-CN"/>
              </w:rPr>
            </w:pPr>
            <w:r>
              <w:rPr>
                <w:rFonts w:hint="eastAsia" w:cs="宋体"/>
                <w:i w:val="0"/>
                <w:color w:val="000000"/>
                <w:kern w:val="0"/>
                <w:sz w:val="21"/>
                <w:szCs w:val="21"/>
                <w:highlight w:val="none"/>
                <w:u w:val="none"/>
                <w:lang w:val="en-US" w:eastAsia="zh-CN" w:bidi="ar"/>
              </w:rPr>
              <w:t>5</w:t>
            </w:r>
          </w:p>
        </w:tc>
      </w:tr>
      <w:tr w14:paraId="6ABB7BFB">
        <w:tblPrEx>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1C2ABB">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989764">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F9EC54">
            <w:pPr>
              <w:keepNext w:val="0"/>
              <w:keepLines w:val="0"/>
              <w:widowControl/>
              <w:suppressLineNumbers w:val="0"/>
              <w:shd w:val="clear"/>
              <w:spacing w:line="240" w:lineRule="auto"/>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000000"/>
                <w:kern w:val="0"/>
                <w:sz w:val="21"/>
                <w:szCs w:val="21"/>
                <w:highlight w:val="none"/>
                <w:u w:val="none"/>
                <w:lang w:val="en-US" w:eastAsia="zh-CN" w:bidi="ar"/>
              </w:rPr>
              <w:t>教师培训费占公用经费比例</w:t>
            </w:r>
          </w:p>
        </w:tc>
        <w:tc>
          <w:tcPr>
            <w:tcW w:w="1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1041F2">
            <w:pPr>
              <w:keepNext w:val="0"/>
              <w:keepLines w:val="0"/>
              <w:widowControl/>
              <w:suppressLineNumbers w:val="0"/>
              <w:shd w:val="clear"/>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000000"/>
                <w:kern w:val="0"/>
                <w:sz w:val="24"/>
                <w:szCs w:val="24"/>
                <w:highlight w:val="none"/>
                <w:u w:val="none"/>
                <w:lang w:val="en-US" w:eastAsia="zh-CN" w:bidi="ar"/>
              </w:rPr>
              <w:t>≥5%</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ABB74">
            <w:pPr>
              <w:keepNext w:val="0"/>
              <w:keepLines w:val="0"/>
              <w:widowControl/>
              <w:suppressLineNumbers w:val="0"/>
              <w:shd w:val="clear"/>
              <w:ind w:left="0" w:leftChars="0" w:firstLine="0" w:firstLineChars="0"/>
              <w:jc w:val="center"/>
              <w:textAlignment w:val="center"/>
              <w:rPr>
                <w:rFonts w:hint="default" w:ascii="宋体" w:hAnsi="宋体" w:eastAsia="宋体" w:cs="宋体"/>
                <w:color w:val="auto"/>
                <w:kern w:val="0"/>
                <w:sz w:val="20"/>
                <w:szCs w:val="20"/>
                <w:highlight w:val="none"/>
                <w:shd w:val="clear" w:color="auto" w:fill="auto"/>
                <w:lang w:val="en-US" w:eastAsia="zh-CN"/>
              </w:rPr>
            </w:pPr>
            <w:r>
              <w:rPr>
                <w:rFonts w:hint="eastAsia" w:cs="宋体"/>
                <w:i w:val="0"/>
                <w:color w:val="000000"/>
                <w:kern w:val="0"/>
                <w:sz w:val="21"/>
                <w:szCs w:val="21"/>
                <w:highlight w:val="none"/>
                <w:u w:val="none"/>
                <w:lang w:val="en-US" w:eastAsia="zh-CN" w:bidi="ar"/>
              </w:rPr>
              <w:t>5</w:t>
            </w: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D45D5E">
            <w:pPr>
              <w:keepNext w:val="0"/>
              <w:keepLines w:val="0"/>
              <w:widowControl/>
              <w:suppressLineNumbers w:val="0"/>
              <w:shd w:val="clear"/>
              <w:spacing w:line="240" w:lineRule="auto"/>
              <w:ind w:left="0" w:leftChars="0" w:firstLine="0" w:firstLineChars="0"/>
              <w:jc w:val="center"/>
              <w:textAlignment w:val="center"/>
              <w:rPr>
                <w:color w:val="auto"/>
                <w:highlight w:val="none"/>
              </w:rPr>
            </w:pPr>
            <w:r>
              <w:rPr>
                <w:rFonts w:hint="eastAsia" w:cs="宋体"/>
                <w:i w:val="0"/>
                <w:iCs w:val="0"/>
                <w:color w:val="000000"/>
                <w:kern w:val="0"/>
                <w:sz w:val="21"/>
                <w:szCs w:val="21"/>
                <w:highlight w:val="none"/>
                <w:u w:val="none"/>
                <w:lang w:val="en-US" w:eastAsia="zh-CN" w:bidi="ar"/>
              </w:rPr>
              <w:t>5%</w:t>
            </w:r>
          </w:p>
        </w:tc>
        <w:tc>
          <w:tcPr>
            <w:tcW w:w="4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76DA45">
            <w:pPr>
              <w:keepNext w:val="0"/>
              <w:keepLines w:val="0"/>
              <w:widowControl/>
              <w:suppressLineNumbers w:val="0"/>
              <w:shd w:val="clear"/>
              <w:ind w:left="0" w:leftChars="0" w:firstLine="0" w:firstLineChars="0"/>
              <w:jc w:val="center"/>
              <w:textAlignment w:val="center"/>
              <w:rPr>
                <w:rFonts w:hint="default" w:ascii="宋体" w:hAnsi="宋体" w:eastAsia="宋体" w:cs="宋体"/>
                <w:color w:val="auto"/>
                <w:kern w:val="0"/>
                <w:sz w:val="20"/>
                <w:szCs w:val="20"/>
                <w:highlight w:val="none"/>
                <w:shd w:val="clear" w:color="auto" w:fill="auto"/>
                <w:lang w:val="en-US" w:eastAsia="zh-CN"/>
              </w:rPr>
            </w:pPr>
            <w:r>
              <w:rPr>
                <w:rFonts w:hint="eastAsia" w:cs="宋体"/>
                <w:i w:val="0"/>
                <w:color w:val="000000"/>
                <w:kern w:val="0"/>
                <w:sz w:val="21"/>
                <w:szCs w:val="21"/>
                <w:highlight w:val="none"/>
                <w:u w:val="none"/>
                <w:lang w:val="en-US" w:eastAsia="zh-CN" w:bidi="ar"/>
              </w:rPr>
              <w:t>5</w:t>
            </w:r>
          </w:p>
        </w:tc>
      </w:tr>
      <w:tr w14:paraId="2AFD94FA">
        <w:tblPrEx>
          <w:shd w:val="clear" w:color="auto" w:fill="auto"/>
          <w:tblCellMar>
            <w:top w:w="0" w:type="dxa"/>
            <w:left w:w="0" w:type="dxa"/>
            <w:bottom w:w="0" w:type="dxa"/>
            <w:right w:w="0" w:type="dxa"/>
          </w:tblCellMar>
        </w:tblPrEx>
        <w:trPr>
          <w:trHeight w:val="428"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3FB90F">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ADB4D">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成本指标</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F56F7">
            <w:pPr>
              <w:keepNext w:val="0"/>
              <w:keepLines w:val="0"/>
              <w:widowControl/>
              <w:suppressLineNumbers w:val="0"/>
              <w:shd w:val="clear"/>
              <w:spacing w:line="240" w:lineRule="auto"/>
              <w:ind w:left="0" w:leftChars="0" w:firstLine="0" w:firstLineChars="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cs="宋体"/>
                <w:i w:val="0"/>
                <w:iCs w:val="0"/>
                <w:color w:val="000000"/>
                <w:kern w:val="0"/>
                <w:sz w:val="21"/>
                <w:szCs w:val="21"/>
                <w:highlight w:val="none"/>
                <w:u w:val="none"/>
                <w:lang w:val="en-US" w:eastAsia="zh-CN" w:bidi="ar"/>
              </w:rPr>
              <w:t>成本控制率</w:t>
            </w:r>
          </w:p>
        </w:tc>
        <w:tc>
          <w:tcPr>
            <w:tcW w:w="1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D966C0">
            <w:pPr>
              <w:keepNext w:val="0"/>
              <w:keepLines w:val="0"/>
              <w:widowControl/>
              <w:suppressLineNumbers w:val="0"/>
              <w:shd w:val="clear"/>
              <w:ind w:left="0" w:leftChars="0" w:firstLine="0" w:firstLineChars="0"/>
              <w:jc w:val="center"/>
              <w:textAlignment w:val="center"/>
              <w:rPr>
                <w:rFonts w:hint="default" w:ascii="宋体" w:hAnsi="宋体" w:eastAsia="宋体" w:cs="宋体"/>
                <w:i w:val="0"/>
                <w:color w:val="000000"/>
                <w:kern w:val="0"/>
                <w:sz w:val="24"/>
                <w:szCs w:val="24"/>
                <w:highlight w:val="none"/>
                <w:u w:val="none"/>
                <w:lang w:val="en-US" w:eastAsia="zh-CN" w:bidi="ar"/>
              </w:rPr>
            </w:pPr>
            <w:r>
              <w:rPr>
                <w:rFonts w:hint="eastAsia" w:cs="宋体"/>
                <w:i w:val="0"/>
                <w:color w:val="000000"/>
                <w:kern w:val="0"/>
                <w:sz w:val="24"/>
                <w:szCs w:val="24"/>
                <w:highlight w:val="none"/>
                <w:u w:val="none"/>
                <w:lang w:val="en-US" w:eastAsia="zh-CN" w:bidi="ar"/>
              </w:rPr>
              <w:t>100%</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753473">
            <w:pPr>
              <w:keepNext w:val="0"/>
              <w:keepLines w:val="0"/>
              <w:widowControl/>
              <w:suppressLineNumbers w:val="0"/>
              <w:shd w:val="clear"/>
              <w:ind w:left="0" w:leftChars="0" w:firstLine="0" w:firstLineChars="0"/>
              <w:jc w:val="center"/>
              <w:textAlignment w:val="center"/>
              <w:rPr>
                <w:rFonts w:hint="default" w:cs="宋体"/>
                <w:i w:val="0"/>
                <w:color w:val="000000"/>
                <w:kern w:val="0"/>
                <w:sz w:val="21"/>
                <w:szCs w:val="21"/>
                <w:highlight w:val="none"/>
                <w:u w:val="none"/>
                <w:lang w:val="en-US" w:eastAsia="zh-CN" w:bidi="ar"/>
              </w:rPr>
            </w:pPr>
            <w:r>
              <w:rPr>
                <w:rFonts w:hint="eastAsia" w:cs="宋体"/>
                <w:i w:val="0"/>
                <w:color w:val="000000"/>
                <w:kern w:val="0"/>
                <w:sz w:val="21"/>
                <w:szCs w:val="21"/>
                <w:highlight w:val="none"/>
                <w:u w:val="none"/>
                <w:lang w:val="en-US" w:eastAsia="zh-CN" w:bidi="ar"/>
              </w:rPr>
              <w:t>5</w:t>
            </w: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4348BD">
            <w:pPr>
              <w:keepNext w:val="0"/>
              <w:keepLines w:val="0"/>
              <w:widowControl/>
              <w:suppressLineNumbers w:val="0"/>
              <w:shd w:val="clear"/>
              <w:spacing w:line="240" w:lineRule="auto"/>
              <w:ind w:left="0" w:leftChars="0" w:firstLine="0" w:firstLineChars="0"/>
              <w:jc w:val="center"/>
              <w:textAlignment w:val="center"/>
              <w:rPr>
                <w:rFonts w:hint="default" w:cs="宋体"/>
                <w:i w:val="0"/>
                <w:iCs w:val="0"/>
                <w:color w:val="000000"/>
                <w:kern w:val="0"/>
                <w:sz w:val="21"/>
                <w:szCs w:val="21"/>
                <w:highlight w:val="none"/>
                <w:u w:val="none"/>
                <w:lang w:val="en-US" w:eastAsia="zh-CN" w:bidi="ar"/>
              </w:rPr>
            </w:pPr>
            <w:r>
              <w:rPr>
                <w:rFonts w:hint="eastAsia" w:cs="宋体"/>
                <w:i w:val="0"/>
                <w:iCs w:val="0"/>
                <w:color w:val="000000"/>
                <w:kern w:val="0"/>
                <w:sz w:val="21"/>
                <w:szCs w:val="21"/>
                <w:highlight w:val="none"/>
                <w:u w:val="none"/>
                <w:lang w:val="en-US" w:eastAsia="zh-CN" w:bidi="ar"/>
              </w:rPr>
              <w:t>100%</w:t>
            </w:r>
          </w:p>
        </w:tc>
        <w:tc>
          <w:tcPr>
            <w:tcW w:w="4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EB87FA">
            <w:pPr>
              <w:keepNext w:val="0"/>
              <w:keepLines w:val="0"/>
              <w:widowControl/>
              <w:suppressLineNumbers w:val="0"/>
              <w:shd w:val="clear"/>
              <w:ind w:left="0" w:leftChars="0" w:firstLine="0" w:firstLineChars="0"/>
              <w:jc w:val="center"/>
              <w:textAlignment w:val="center"/>
              <w:rPr>
                <w:rFonts w:hint="default" w:cs="宋体"/>
                <w:i w:val="0"/>
                <w:color w:val="000000"/>
                <w:kern w:val="0"/>
                <w:sz w:val="21"/>
                <w:szCs w:val="21"/>
                <w:highlight w:val="none"/>
                <w:u w:val="none"/>
                <w:lang w:val="en-US" w:eastAsia="zh-CN" w:bidi="ar"/>
              </w:rPr>
            </w:pPr>
            <w:r>
              <w:rPr>
                <w:rFonts w:hint="eastAsia" w:cs="宋体"/>
                <w:i w:val="0"/>
                <w:color w:val="000000"/>
                <w:kern w:val="0"/>
                <w:sz w:val="21"/>
                <w:szCs w:val="21"/>
                <w:highlight w:val="none"/>
                <w:u w:val="none"/>
                <w:lang w:val="en-US" w:eastAsia="zh-CN" w:bidi="ar"/>
              </w:rPr>
              <w:t>5</w:t>
            </w:r>
          </w:p>
        </w:tc>
      </w:tr>
      <w:tr w14:paraId="188CDFF1">
        <w:tblPrEx>
          <w:tblCellMar>
            <w:top w:w="0" w:type="dxa"/>
            <w:left w:w="0" w:type="dxa"/>
            <w:bottom w:w="0" w:type="dxa"/>
            <w:right w:w="0" w:type="dxa"/>
          </w:tblCellMar>
        </w:tblPrEx>
        <w:trPr>
          <w:trHeight w:val="403" w:hRule="atLeast"/>
        </w:trPr>
        <w:tc>
          <w:tcPr>
            <w:tcW w:w="5208"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162EA">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4949BF">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9CE1C4">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6DFDAC">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4F368440">
      <w:pPr>
        <w:pageBreakBefore w:val="0"/>
        <w:numPr>
          <w:ilvl w:val="0"/>
          <w:numId w:val="0"/>
        </w:numPr>
        <w:shd w:val="clea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FF0000"/>
          <w:sz w:val="32"/>
          <w:szCs w:val="32"/>
          <w:highlight w:val="none"/>
          <w:lang w:val="en-US" w:eastAsia="zh-CN"/>
        </w:rPr>
      </w:pPr>
      <w:bookmarkStart w:id="161" w:name="_Toc26689"/>
      <w:bookmarkStart w:id="162" w:name="_Toc11067"/>
      <w:r>
        <w:rPr>
          <w:rFonts w:hint="eastAsia" w:ascii="仿宋_GB2312" w:hAnsi="仿宋_GB2312" w:eastAsia="仿宋_GB2312" w:cs="仿宋_GB2312"/>
          <w:b/>
          <w:bCs/>
          <w:color w:val="auto"/>
          <w:kern w:val="2"/>
          <w:sz w:val="32"/>
          <w:szCs w:val="32"/>
          <w:highlight w:val="none"/>
          <w:lang w:val="en-US" w:eastAsia="zh-CN" w:bidi="ar-SA"/>
        </w:rPr>
        <w:t>1.</w:t>
      </w:r>
      <w:r>
        <w:rPr>
          <w:rFonts w:hint="eastAsia" w:ascii="仿宋_GB2312" w:hAnsi="仿宋_GB2312" w:eastAsia="仿宋_GB2312" w:cs="仿宋_GB2312"/>
          <w:b/>
          <w:bCs/>
          <w:color w:val="auto"/>
          <w:sz w:val="32"/>
          <w:szCs w:val="32"/>
          <w:highlight w:val="none"/>
          <w:lang w:val="en-US" w:eastAsia="zh-CN"/>
        </w:rPr>
        <w:t>数</w:t>
      </w:r>
      <w:r>
        <w:rPr>
          <w:rFonts w:hint="eastAsia" w:ascii="仿宋_GB2312" w:hAnsi="仿宋_GB2312" w:eastAsia="仿宋_GB2312" w:cs="仿宋_GB2312"/>
          <w:b/>
          <w:bCs/>
          <w:sz w:val="32"/>
          <w:szCs w:val="32"/>
          <w:highlight w:val="none"/>
          <w:lang w:val="en-US" w:eastAsia="zh-CN"/>
        </w:rPr>
        <w:t>量指标完成情况</w:t>
      </w:r>
      <w:bookmarkEnd w:id="161"/>
      <w:bookmarkEnd w:id="162"/>
    </w:p>
    <w:p w14:paraId="794C16C6">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“在校学生人数（人）”指标，预期目标值为1927人，实际完成为1927人。实际完成率=（1927/1927）×100%=100%，无偏差。</w:t>
      </w:r>
    </w:p>
    <w:p w14:paraId="332FDC90">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sz w:val="32"/>
          <w:szCs w:val="32"/>
          <w:highlight w:val="none"/>
          <w:lang w:val="en-US" w:eastAsia="zh-CN"/>
        </w:rPr>
        <w:t>（2）“开展视频会议、教学研讨会议次数”指标，预期目标值为≥8次，实际完成为10次。实际完成率100%，无偏差</w:t>
      </w:r>
      <w:r>
        <w:rPr>
          <w:rFonts w:hint="eastAsia" w:ascii="仿宋_GB2312" w:hAnsi="仿宋_GB2312" w:eastAsia="仿宋_GB2312" w:cs="仿宋_GB2312"/>
          <w:color w:val="auto"/>
          <w:sz w:val="32"/>
          <w:szCs w:val="32"/>
          <w:highlight w:val="none"/>
          <w:lang w:eastAsia="zh-CN"/>
        </w:rPr>
        <w:t>。</w:t>
      </w:r>
    </w:p>
    <w:p w14:paraId="7C1618B0">
      <w:pPr>
        <w:pageBreakBefore w:val="0"/>
        <w:shd w:val="clear"/>
        <w:kinsoku/>
        <w:wordWrap/>
        <w:overflowPunct/>
        <w:topLinePunct w:val="0"/>
        <w:autoSpaceDE/>
        <w:autoSpaceDN/>
        <w:bidi w:val="0"/>
        <w:spacing w:line="560" w:lineRule="exact"/>
        <w:textAlignment w:val="auto"/>
        <w:rPr>
          <w:rFonts w:hint="eastAsia"/>
          <w:highlight w:val="none"/>
          <w:lang w:val="en-US" w:eastAsia="zh-CN"/>
        </w:rPr>
      </w:pPr>
      <w:r>
        <w:rPr>
          <w:rFonts w:hint="eastAsia" w:ascii="仿宋_GB2312" w:hAnsi="仿宋_GB2312" w:eastAsia="仿宋_GB2312" w:cs="仿宋_GB2312"/>
          <w:sz w:val="32"/>
          <w:szCs w:val="32"/>
          <w:highlight w:val="none"/>
          <w:lang w:val="en-US" w:eastAsia="zh-CN"/>
        </w:rPr>
        <w:t>（3）“开展德育活动次数”指标，预期目标值为≥10次，实际完成为12次。实际完成率100%，无偏差</w:t>
      </w:r>
      <w:r>
        <w:rPr>
          <w:rFonts w:hint="eastAsia" w:ascii="仿宋_GB2312" w:hAnsi="仿宋_GB2312" w:eastAsia="仿宋_GB2312" w:cs="仿宋_GB2312"/>
          <w:color w:val="auto"/>
          <w:sz w:val="32"/>
          <w:szCs w:val="32"/>
          <w:highlight w:val="none"/>
          <w:lang w:eastAsia="zh-CN"/>
        </w:rPr>
        <w:t>。</w:t>
      </w:r>
    </w:p>
    <w:p w14:paraId="4D205A5A">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综上，该项指标满分15分，得分15分。</w:t>
      </w:r>
    </w:p>
    <w:p w14:paraId="662B2300">
      <w:pPr>
        <w:pageBreakBefore w:val="0"/>
        <w:shd w:val="clear"/>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highlight w:val="none"/>
          <w:lang w:val="en-US" w:eastAsia="zh-CN"/>
        </w:rPr>
      </w:pPr>
      <w:bookmarkStart w:id="163" w:name="_Toc31739"/>
      <w:bookmarkStart w:id="164" w:name="_Toc14255"/>
      <w:bookmarkStart w:id="165" w:name="_Toc13310"/>
      <w:r>
        <w:rPr>
          <w:rFonts w:hint="eastAsia" w:ascii="仿宋_GB2312" w:hAnsi="仿宋_GB2312" w:eastAsia="仿宋_GB2312" w:cs="仿宋_GB2312"/>
          <w:b/>
          <w:bCs/>
          <w:sz w:val="32"/>
          <w:szCs w:val="32"/>
          <w:highlight w:val="none"/>
          <w:lang w:val="en-US" w:eastAsia="zh-CN"/>
        </w:rPr>
        <w:t>2.</w:t>
      </w:r>
      <w:bookmarkEnd w:id="163"/>
      <w:r>
        <w:rPr>
          <w:rFonts w:hint="eastAsia" w:ascii="仿宋_GB2312" w:hAnsi="仿宋_GB2312" w:eastAsia="仿宋_GB2312" w:cs="仿宋_GB2312"/>
          <w:b/>
          <w:bCs/>
          <w:sz w:val="32"/>
          <w:szCs w:val="32"/>
          <w:highlight w:val="none"/>
          <w:lang w:val="en-US" w:eastAsia="zh-CN"/>
        </w:rPr>
        <w:t>质量指标完成情况</w:t>
      </w:r>
      <w:bookmarkEnd w:id="164"/>
      <w:bookmarkEnd w:id="165"/>
    </w:p>
    <w:p w14:paraId="050E3937">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eastAsia="zh-CN"/>
        </w:rPr>
        <w:t>）“开展视频会议、教学研讨会议完成率</w:t>
      </w:r>
      <w:r>
        <w:rPr>
          <w:rFonts w:hint="eastAsia" w:ascii="仿宋_GB2312" w:hAnsi="仿宋_GB2312" w:eastAsia="仿宋_GB2312" w:cs="仿宋_GB2312"/>
          <w:sz w:val="32"/>
          <w:szCs w:val="32"/>
          <w:highlight w:val="none"/>
          <w:lang w:val="en-US" w:eastAsia="zh-CN"/>
        </w:rPr>
        <w:t>”指标，预期目标值为100%，实际完成为100%。实际完成率100%，无偏差。</w:t>
      </w:r>
    </w:p>
    <w:p w14:paraId="0F93033C">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（2）“开展德育活动完成率”指标，预期目标值为100%，实际完成为100%。实际完成率100%，无偏差</w:t>
      </w:r>
      <w:r>
        <w:rPr>
          <w:rFonts w:hint="eastAsia" w:ascii="仿宋_GB2312" w:hAnsi="仿宋_GB2312" w:eastAsia="仿宋_GB2312" w:cs="仿宋_GB2312"/>
          <w:color w:val="auto"/>
          <w:sz w:val="32"/>
          <w:szCs w:val="32"/>
          <w:highlight w:val="none"/>
          <w:lang w:eastAsia="zh-CN"/>
        </w:rPr>
        <w:t>。</w:t>
      </w:r>
    </w:p>
    <w:p w14:paraId="4AD50323">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综上，该项指标满分10分，得分10分。</w:t>
      </w:r>
    </w:p>
    <w:p w14:paraId="775D0320">
      <w:pPr>
        <w:pageBreakBefore w:val="0"/>
        <w:shd w:val="clear"/>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highlight w:val="none"/>
          <w:lang w:val="en-US" w:eastAsia="zh-CN"/>
        </w:rPr>
      </w:pPr>
      <w:bookmarkStart w:id="166" w:name="_Toc18307"/>
      <w:bookmarkStart w:id="167" w:name="_Toc28885"/>
      <w:bookmarkStart w:id="168" w:name="_Toc11326"/>
      <w:r>
        <w:rPr>
          <w:rFonts w:hint="eastAsia" w:ascii="仿宋_GB2312" w:hAnsi="仿宋_GB2312" w:eastAsia="仿宋_GB2312" w:cs="仿宋_GB2312"/>
          <w:b/>
          <w:bCs/>
          <w:sz w:val="32"/>
          <w:szCs w:val="32"/>
          <w:highlight w:val="none"/>
          <w:lang w:val="en-US" w:eastAsia="zh-CN"/>
        </w:rPr>
        <w:t>3.</w:t>
      </w:r>
      <w:bookmarkEnd w:id="166"/>
      <w:r>
        <w:rPr>
          <w:rFonts w:hint="eastAsia" w:ascii="仿宋_GB2312" w:hAnsi="仿宋_GB2312" w:eastAsia="仿宋_GB2312" w:cs="仿宋_GB2312"/>
          <w:b/>
          <w:bCs/>
          <w:sz w:val="32"/>
          <w:szCs w:val="32"/>
          <w:highlight w:val="none"/>
          <w:lang w:val="en-US" w:eastAsia="zh-CN"/>
        </w:rPr>
        <w:t>时效指标完成情况</w:t>
      </w:r>
      <w:bookmarkEnd w:id="167"/>
      <w:bookmarkEnd w:id="168"/>
    </w:p>
    <w:p w14:paraId="467B2015">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公用经费标准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指标，预期目标值为940元/人/年，实际完成为940元/人/年。实际完成率100%，无偏差。</w:t>
      </w:r>
    </w:p>
    <w:p w14:paraId="75268889">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“教师培训费占公用经费比例</w:t>
      </w:r>
      <w:r>
        <w:rPr>
          <w:rFonts w:hint="eastAsia" w:ascii="仿宋_GB2312" w:hAnsi="仿宋_GB2312" w:eastAsia="仿宋_GB2312" w:cs="仿宋_GB2312"/>
          <w:color w:val="auto"/>
          <w:sz w:val="32"/>
          <w:szCs w:val="32"/>
          <w:highlight w:val="none"/>
          <w:lang w:val="en-US" w:eastAsia="zh-CN"/>
        </w:rPr>
        <w:t>”指标，预期目标值为</w:t>
      </w:r>
      <w:r>
        <w:rPr>
          <w:rFonts w:hint="eastAsia" w:ascii="宋体" w:hAnsi="宋体" w:eastAsia="宋体" w:cs="宋体"/>
          <w:i w:val="0"/>
          <w:color w:val="000000"/>
          <w:kern w:val="0"/>
          <w:sz w:val="24"/>
          <w:szCs w:val="24"/>
          <w:highlight w:val="none"/>
          <w:u w:val="none"/>
          <w:lang w:val="en-US" w:eastAsia="zh-CN" w:bidi="ar"/>
        </w:rPr>
        <w:t>≥5%</w:t>
      </w:r>
      <w:r>
        <w:rPr>
          <w:rFonts w:hint="eastAsia" w:cs="宋体"/>
          <w:i w:val="0"/>
          <w:color w:val="000000"/>
          <w:kern w:val="0"/>
          <w:sz w:val="24"/>
          <w:szCs w:val="24"/>
          <w:highlight w:val="none"/>
          <w:u w:val="none"/>
          <w:lang w:val="en-US" w:eastAsia="zh-CN" w:bidi="ar"/>
        </w:rPr>
        <w:t>，</w:t>
      </w:r>
      <w:r>
        <w:rPr>
          <w:rFonts w:hint="eastAsia" w:ascii="仿宋_GB2312" w:hAnsi="仿宋_GB2312" w:eastAsia="仿宋_GB2312" w:cs="仿宋_GB2312"/>
          <w:color w:val="auto"/>
          <w:sz w:val="32"/>
          <w:szCs w:val="32"/>
          <w:highlight w:val="none"/>
          <w:lang w:val="en-US" w:eastAsia="zh-CN"/>
        </w:rPr>
        <w:t>实际完成为5%。实际完成率100%，无偏差。</w:t>
      </w:r>
      <w:bookmarkStart w:id="169" w:name="_Toc32765"/>
      <w:bookmarkStart w:id="170" w:name="_Toc20607"/>
    </w:p>
    <w:p w14:paraId="67E5662E">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综上，该项指标满分10分，得分10分。</w:t>
      </w:r>
    </w:p>
    <w:p w14:paraId="42A7AF70">
      <w:pPr>
        <w:pageBreakBefore w:val="0"/>
        <w:shd w:val="clear"/>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4.项目</w:t>
      </w:r>
      <w:bookmarkEnd w:id="169"/>
      <w:r>
        <w:rPr>
          <w:rFonts w:hint="eastAsia" w:ascii="仿宋_GB2312" w:hAnsi="仿宋_GB2312" w:eastAsia="仿宋_GB2312" w:cs="仿宋_GB2312"/>
          <w:b/>
          <w:bCs/>
          <w:sz w:val="32"/>
          <w:szCs w:val="32"/>
          <w:lang w:val="en-US" w:eastAsia="zh-CN"/>
        </w:rPr>
        <w:t>成本情况</w:t>
      </w:r>
      <w:bookmarkEnd w:id="170"/>
    </w:p>
    <w:p w14:paraId="38A0CC0E">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经济</w:t>
      </w:r>
      <w:r>
        <w:rPr>
          <w:rFonts w:hint="eastAsia" w:ascii="仿宋_GB2312" w:hAnsi="仿宋_GB2312" w:eastAsia="仿宋_GB2312" w:cs="仿宋_GB2312"/>
          <w:b/>
          <w:bCs/>
          <w:sz w:val="32"/>
          <w:szCs w:val="32"/>
          <w:lang w:eastAsia="zh-CN"/>
        </w:rPr>
        <w:t>成本指标完成情况</w:t>
      </w:r>
    </w:p>
    <w:p w14:paraId="095F6AC9">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成本控制率</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指标，预期目标值为100%，实际完成为100%。实际完成率100%，无偏差。</w:t>
      </w:r>
    </w:p>
    <w:p w14:paraId="249A68A9">
      <w:pPr>
        <w:pageBreakBefore w:val="0"/>
        <w:shd w:val="clear"/>
        <w:kinsoku/>
        <w:wordWrap/>
        <w:overflowPunct/>
        <w:topLinePunct w:val="0"/>
        <w:autoSpaceDE/>
        <w:autoSpaceDN/>
        <w:bidi w:val="0"/>
        <w:spacing w:line="560" w:lineRule="exact"/>
        <w:textAlignment w:val="auto"/>
        <w:rPr>
          <w:rFonts w:hint="eastAsia"/>
          <w:lang w:val="en-US" w:eastAsia="zh-CN"/>
        </w:rPr>
      </w:pPr>
    </w:p>
    <w:p w14:paraId="00AC6A87">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7B5E70CA">
      <w:pPr>
        <w:pStyle w:val="14"/>
        <w:keepNext w:val="0"/>
        <w:keepLines w:val="0"/>
        <w:pageBreakBefore w:val="0"/>
        <w:widowControl/>
        <w:shd w:val="clear"/>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highlight w:val="none"/>
          <w:lang w:val="en-US" w:eastAsia="zh-CN"/>
        </w:rPr>
      </w:pPr>
      <w:bookmarkStart w:id="171" w:name="_Toc7160"/>
      <w:r>
        <w:rPr>
          <w:rFonts w:hint="eastAsia" w:ascii="Times New Roman" w:hAnsi="Times New Roman" w:eastAsia="楷体_GB2312" w:cs="Times New Roman"/>
          <w:kern w:val="28"/>
          <w:sz w:val="32"/>
          <w:highlight w:val="none"/>
          <w:lang w:val="en-US" w:eastAsia="zh-CN"/>
        </w:rPr>
        <w:t>（四）项目效益情况</w:t>
      </w:r>
      <w:bookmarkEnd w:id="171"/>
    </w:p>
    <w:p w14:paraId="516F5008">
      <w:pPr>
        <w:pageBreakBefore w:val="0"/>
        <w:widowControl w:val="0"/>
        <w:shd w:val="clear"/>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sz w:val="32"/>
          <w:szCs w:val="32"/>
          <w:highlight w:val="none"/>
          <w:lang w:val="en-US" w:eastAsia="zh-CN"/>
        </w:rPr>
        <w:t>包括</w:t>
      </w:r>
      <w:r>
        <w:rPr>
          <w:rFonts w:hint="eastAsia" w:ascii="Times New Roman" w:hAnsi="Times New Roman" w:eastAsia="仿宋_GB2312" w:cs="Times New Roman"/>
          <w:sz w:val="32"/>
          <w:szCs w:val="32"/>
          <w:highlight w:val="none"/>
          <w:lang w:val="en-US" w:eastAsia="zh-CN"/>
        </w:rPr>
        <w:t>社会效益指标</w:t>
      </w:r>
      <w:r>
        <w:rPr>
          <w:rFonts w:hint="default" w:ascii="Times New Roman" w:hAnsi="Times New Roman" w:eastAsia="仿宋_GB2312" w:cs="Times New Roman"/>
          <w:sz w:val="32"/>
          <w:szCs w:val="32"/>
          <w:highlight w:val="none"/>
          <w:lang w:val="en-US"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2640D204">
      <w:pPr>
        <w:pageBreakBefore w:val="0"/>
        <w:widowControl w:val="0"/>
        <w:shd w:val="clear"/>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4-4项目效益</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772BE6E9">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BD68A45">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bookmarkStart w:id="172" w:name="_Toc8010"/>
            <w:bookmarkStart w:id="173" w:name="_Toc5170"/>
            <w:bookmarkStart w:id="174" w:name="_Toc1096"/>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w:t>
            </w:r>
          </w:p>
          <w:p w14:paraId="602CF5F8">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1EC6BF60">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EA0EB0">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54EEE">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w:t>
            </w:r>
          </w:p>
          <w:p w14:paraId="6CC7170C">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22DFD2">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w:t>
            </w:r>
          </w:p>
          <w:p w14:paraId="1F1F339E">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EC48D5">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w:t>
            </w:r>
          </w:p>
          <w:p w14:paraId="43CE6DA1">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DFF6CA">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p w14:paraId="7056AFC5">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5F44D55E">
        <w:tblPrEx>
          <w:shd w:val="clear" w:color="auto" w:fill="auto"/>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6EDA6915">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效益</w:t>
            </w:r>
          </w:p>
        </w:tc>
        <w:tc>
          <w:tcPr>
            <w:tcW w:w="1725"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14:paraId="76CB6A6B">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66B0A7FD">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学校正常运转率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AB9D6">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CEBDE9">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48089A">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BF635">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1686C50E">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2E457939">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vMerge w:val="continue"/>
            <w:tcBorders>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3B122CA2">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DA0BEC0">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改善教学环境，提供良好的学生成长条件</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5FD2C0">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改善</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9C99C5">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78ED33">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达到预期目标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9D36C">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r>
      <w:tr w14:paraId="16C86EB6">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2A24649C">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041464DA">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2718236A">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师生满意度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887160">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F4A344">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8</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BB7B0">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7A3881">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8</w:t>
            </w:r>
          </w:p>
        </w:tc>
      </w:tr>
      <w:tr w14:paraId="52BF6833">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81912">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E34734">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60A502">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96DD5">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1264E701">
      <w:pPr>
        <w:pageBreakBefore w:val="0"/>
        <w:shd w:val="clear"/>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1.</w:t>
      </w:r>
      <w:bookmarkEnd w:id="172"/>
      <w:bookmarkEnd w:id="173"/>
      <w:bookmarkStart w:id="175" w:name="_Toc27006"/>
      <w:bookmarkStart w:id="176" w:name="_Toc29606"/>
      <w:r>
        <w:rPr>
          <w:rFonts w:hint="eastAsia" w:ascii="仿宋_GB2312" w:hAnsi="仿宋_GB2312" w:eastAsia="仿宋_GB2312" w:cs="仿宋_GB2312"/>
          <w:b/>
          <w:bCs/>
          <w:sz w:val="32"/>
          <w:szCs w:val="32"/>
          <w:highlight w:val="none"/>
          <w:lang w:val="en-US" w:eastAsia="zh-CN"/>
        </w:rPr>
        <w:t>社会效益指标</w:t>
      </w:r>
      <w:bookmarkEnd w:id="175"/>
      <w:r>
        <w:rPr>
          <w:rFonts w:hint="eastAsia" w:ascii="仿宋_GB2312" w:hAnsi="仿宋_GB2312" w:eastAsia="仿宋_GB2312" w:cs="仿宋_GB2312"/>
          <w:b/>
          <w:bCs/>
          <w:sz w:val="32"/>
          <w:szCs w:val="32"/>
          <w:highlight w:val="none"/>
          <w:lang w:val="en-US" w:eastAsia="zh-CN"/>
        </w:rPr>
        <w:t>完成情况</w:t>
      </w:r>
      <w:bookmarkEnd w:id="174"/>
      <w:bookmarkEnd w:id="176"/>
    </w:p>
    <w:p w14:paraId="3F44A69A">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（1）“学校正常运转率”指标，预期目标值为=100%，，实际完成为100%。偏差原因：无偏差。</w:t>
      </w:r>
    </w:p>
    <w:p w14:paraId="2C44C254">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通过项目的实施，学校正常运转率得到了提高。</w:t>
      </w:r>
    </w:p>
    <w:p w14:paraId="1951D9B9">
      <w:pPr>
        <w:pageBreakBefore w:val="0"/>
        <w:numPr>
          <w:ilvl w:val="0"/>
          <w:numId w:val="0"/>
        </w:numPr>
        <w:shd w:val="clea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bidi="ar-SA"/>
        </w:rPr>
        <w:t>（2）</w:t>
      </w:r>
      <w:r>
        <w:rPr>
          <w:rFonts w:hint="eastAsia" w:ascii="仿宋_GB2312" w:hAnsi="仿宋_GB2312" w:eastAsia="仿宋_GB2312" w:cs="仿宋_GB2312"/>
          <w:sz w:val="32"/>
          <w:szCs w:val="32"/>
          <w:highlight w:val="none"/>
          <w:lang w:val="en-US" w:eastAsia="zh-CN"/>
        </w:rPr>
        <w:t>“改善教学环境，提供良好的学生成长条件”指标，预期目标值为改善，实际完成为达到预期目标。</w:t>
      </w:r>
    </w:p>
    <w:p w14:paraId="7B32051B">
      <w:pPr>
        <w:pageBreakBefore w:val="0"/>
        <w:numPr>
          <w:ilvl w:val="0"/>
          <w:numId w:val="0"/>
        </w:numPr>
        <w:shd w:val="clea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通过项目的实施，改善了教学环境，提供良好的学生成长条件。</w:t>
      </w:r>
    </w:p>
    <w:p w14:paraId="6079EA3D">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综上，该项指标</w:t>
      </w:r>
      <w:r>
        <w:rPr>
          <w:rFonts w:hint="eastAsia" w:ascii="仿宋_GB2312" w:hAnsi="仿宋_GB2312" w:eastAsia="仿宋_GB2312" w:cs="仿宋_GB2312"/>
          <w:b/>
          <w:bCs/>
          <w:color w:val="auto"/>
          <w:sz w:val="32"/>
          <w:szCs w:val="32"/>
          <w:highlight w:val="none"/>
          <w:lang w:val="en-US" w:eastAsia="zh-CN"/>
        </w:rPr>
        <w:t>满分12分，得分12分。</w:t>
      </w:r>
    </w:p>
    <w:p w14:paraId="4F5713E3">
      <w:pPr>
        <w:pStyle w:val="14"/>
        <w:keepNext w:val="0"/>
        <w:keepLines w:val="0"/>
        <w:pageBreakBefore w:val="0"/>
        <w:widowControl/>
        <w:shd w:val="clear"/>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kern w:val="28"/>
          <w:sz w:val="32"/>
          <w:highlight w:val="none"/>
          <w:lang w:val="en-US" w:eastAsia="zh-CN"/>
        </w:rPr>
      </w:pPr>
      <w:bookmarkStart w:id="177" w:name="_Toc23313"/>
      <w:bookmarkStart w:id="178" w:name="_Toc8719"/>
      <w:r>
        <w:rPr>
          <w:rFonts w:hint="eastAsia" w:ascii="Times New Roman" w:hAnsi="Times New Roman" w:eastAsia="楷体_GB2312" w:cs="Times New Roman"/>
          <w:kern w:val="28"/>
          <w:sz w:val="32"/>
          <w:highlight w:val="none"/>
          <w:lang w:val="en-US" w:eastAsia="zh-CN"/>
        </w:rPr>
        <w:t>（五）满意度指标完成情况分析</w:t>
      </w:r>
      <w:bookmarkEnd w:id="177"/>
      <w:bookmarkEnd w:id="178"/>
    </w:p>
    <w:p w14:paraId="2ADCF616">
      <w:pPr>
        <w:pageBreakBefore w:val="0"/>
        <w:numPr>
          <w:ilvl w:val="0"/>
          <w:numId w:val="0"/>
        </w:numPr>
        <w:shd w:val="clea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“师生满意度”指标，预期目标值为≥90%，实际完成为90%。</w:t>
      </w:r>
    </w:p>
    <w:p w14:paraId="36E4A843">
      <w:pPr>
        <w:pageBreakBefore w:val="0"/>
        <w:shd w:val="clear"/>
        <w:kinsoku/>
        <w:wordWrap/>
        <w:overflowPunct/>
        <w:topLinePunct w:val="0"/>
        <w:autoSpaceDE/>
        <w:autoSpaceDN/>
        <w:bidi w:val="0"/>
        <w:spacing w:line="560" w:lineRule="exact"/>
        <w:textAlignment w:val="auto"/>
        <w:rPr>
          <w:rFonts w:hint="eastAsia"/>
          <w:lang w:val="en-US" w:eastAsia="zh-CN"/>
        </w:rPr>
      </w:pPr>
      <w:r>
        <w:rPr>
          <w:rFonts w:hint="eastAsia" w:ascii="仿宋_GB2312" w:hAnsi="仿宋_GB2312" w:eastAsia="仿宋_GB2312" w:cs="仿宋_GB2312"/>
          <w:b/>
          <w:bCs/>
          <w:color w:val="auto"/>
          <w:sz w:val="32"/>
          <w:szCs w:val="32"/>
          <w:highlight w:val="none"/>
          <w:lang w:val="en-US" w:eastAsia="zh-CN"/>
        </w:rPr>
        <w:t>综上，该项指标满分8分，得分8分。</w:t>
      </w:r>
    </w:p>
    <w:p w14:paraId="0629629E">
      <w:pPr>
        <w:pStyle w:val="3"/>
        <w:pageBreakBefore w:val="0"/>
        <w:shd w:val="clear"/>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79" w:name="_Toc3332"/>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五</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、主要经验及做法、存在的问题及原因分析</w:t>
      </w:r>
      <w:bookmarkEnd w:id="179"/>
    </w:p>
    <w:p w14:paraId="5DB70F35">
      <w:pPr>
        <w:pStyle w:val="14"/>
        <w:keepNext w:val="0"/>
        <w:keepLines w:val="0"/>
        <w:pageBreakBefore w:val="0"/>
        <w:widowControl/>
        <w:shd w:val="clear"/>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80" w:name="_Toc26102"/>
      <w:bookmarkStart w:id="181" w:name="_Toc1921"/>
      <w:bookmarkStart w:id="182" w:name="_Toc28290"/>
      <w:r>
        <w:rPr>
          <w:rFonts w:hint="eastAsia" w:ascii="Times New Roman" w:hAnsi="Times New Roman" w:eastAsia="楷体_GB2312" w:cs="Times New Roman"/>
          <w:b/>
          <w:bCs/>
          <w:kern w:val="28"/>
          <w:sz w:val="32"/>
          <w:highlight w:val="none"/>
          <w:lang w:val="en-US" w:eastAsia="zh-CN"/>
        </w:rPr>
        <w:t>（一）主要经验及做法</w:t>
      </w:r>
      <w:bookmarkEnd w:id="180"/>
    </w:p>
    <w:p w14:paraId="79ECB6B5">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昌州财教【2023】90号（保民生）提前下达2024年城乡义务教育补助经费（中央直达资金）公用经费初中</w:t>
      </w: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lang w:eastAsia="zh-CN"/>
        </w:rPr>
        <w:t>年预算</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lang w:val="en-US" w:eastAsia="zh-CN"/>
        </w:rPr>
        <w:t>173.98</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截至2024年12月31日共</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lang w:val="en-US" w:eastAsia="zh-CN"/>
        </w:rPr>
        <w:t>173.98</w:t>
      </w:r>
      <w:r>
        <w:rPr>
          <w:rFonts w:hint="eastAsia" w:ascii="仿宋_GB2312" w:hAnsi="仿宋_GB2312" w:eastAsia="仿宋_GB2312" w:cs="仿宋_GB2312"/>
          <w:color w:val="auto"/>
          <w:sz w:val="32"/>
          <w:szCs w:val="32"/>
          <w:highlight w:val="none"/>
          <w:lang w:eastAsia="zh-CN"/>
        </w:rPr>
        <w:t>万元，预算</w:t>
      </w:r>
      <w:r>
        <w:rPr>
          <w:rFonts w:hint="eastAsia" w:ascii="仿宋_GB2312" w:hAnsi="仿宋_GB2312" w:eastAsia="仿宋_GB2312" w:cs="仿宋_GB2312"/>
          <w:color w:val="auto"/>
          <w:sz w:val="32"/>
          <w:szCs w:val="32"/>
          <w:highlight w:val="none"/>
          <w:lang w:val="en-US" w:eastAsia="zh-CN"/>
        </w:rPr>
        <w:t>执行</w:t>
      </w:r>
      <w:r>
        <w:rPr>
          <w:rFonts w:hint="eastAsia" w:ascii="仿宋_GB2312" w:hAnsi="仿宋_GB2312" w:eastAsia="仿宋_GB2312" w:cs="仿宋_GB2312"/>
          <w:color w:val="auto"/>
          <w:sz w:val="32"/>
          <w:szCs w:val="32"/>
          <w:highlight w:val="none"/>
          <w:lang w:eastAsia="zh-CN"/>
        </w:rPr>
        <w:t>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w:t>
      </w:r>
    </w:p>
    <w:p w14:paraId="4D77FD2A">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阜康市第二中学</w:t>
      </w:r>
      <w:r>
        <w:rPr>
          <w:rFonts w:hint="eastAsia" w:ascii="仿宋_GB2312" w:hAnsi="仿宋_GB2312" w:eastAsia="仿宋_GB2312" w:cs="仿宋_GB2312"/>
          <w:color w:val="auto"/>
          <w:sz w:val="32"/>
          <w:szCs w:val="32"/>
          <w:highlight w:val="none"/>
          <w:lang w:eastAsia="zh-CN"/>
        </w:rPr>
        <w:t>建立健全了预算管理规章制度，各部门严格按照预算编制的原则和要求做好当年预算编制工作，在预算绩效管理工作中，做到合理安排各项资金</w:t>
      </w:r>
      <w:r>
        <w:rPr>
          <w:rFonts w:hint="eastAsia" w:ascii="仿宋_GB2312" w:hAnsi="仿宋_GB2312" w:eastAsia="仿宋_GB2312" w:cs="仿宋_GB2312"/>
          <w:sz w:val="32"/>
          <w:szCs w:val="32"/>
          <w:highlight w:val="none"/>
          <w:lang w:eastAsia="zh-CN"/>
        </w:rPr>
        <w:t>，重点保障基本支出，按轻重缓急顺序原则，优先</w:t>
      </w:r>
      <w:r>
        <w:rPr>
          <w:rFonts w:hint="eastAsia" w:ascii="仿宋_GB2312" w:hAnsi="仿宋_GB2312" w:eastAsia="仿宋_GB2312" w:cs="仿宋_GB2312"/>
          <w:color w:val="auto"/>
          <w:sz w:val="32"/>
          <w:szCs w:val="32"/>
          <w:highlight w:val="none"/>
          <w:lang w:eastAsia="zh-CN"/>
        </w:rPr>
        <w:t>安排了</w:t>
      </w:r>
      <w:r>
        <w:rPr>
          <w:rFonts w:hint="eastAsia" w:ascii="仿宋_GB2312" w:hAnsi="仿宋_GB2312" w:eastAsia="仿宋_GB2312" w:cs="仿宋_GB2312"/>
          <w:color w:val="auto"/>
          <w:sz w:val="32"/>
          <w:szCs w:val="32"/>
          <w:highlight w:val="none"/>
          <w:lang w:val="en-US" w:eastAsia="zh-CN"/>
        </w:rPr>
        <w:t>阜康市第二中学</w:t>
      </w:r>
      <w:r>
        <w:rPr>
          <w:rFonts w:hint="eastAsia" w:ascii="仿宋_GB2312" w:hAnsi="仿宋_GB2312" w:eastAsia="仿宋_GB2312" w:cs="仿宋_GB2312"/>
          <w:color w:val="auto"/>
          <w:sz w:val="32"/>
          <w:szCs w:val="32"/>
          <w:highlight w:val="none"/>
          <w:lang w:eastAsia="zh-CN"/>
        </w:rPr>
        <w:t>事业发展中关系民生与稳定的项目，切实优</w:t>
      </w:r>
      <w:r>
        <w:rPr>
          <w:rFonts w:hint="eastAsia" w:ascii="仿宋_GB2312" w:hAnsi="仿宋_GB2312" w:eastAsia="仿宋_GB2312" w:cs="仿宋_GB2312"/>
          <w:sz w:val="32"/>
          <w:szCs w:val="32"/>
          <w:highlight w:val="none"/>
          <w:lang w:eastAsia="zh-CN"/>
        </w:rPr>
        <w:t>化资源配置，提高了资金使用的效率和效果。</w:t>
      </w:r>
    </w:p>
    <w:bookmarkEnd w:id="181"/>
    <w:bookmarkEnd w:id="182"/>
    <w:p w14:paraId="0702C75B">
      <w:pPr>
        <w:pStyle w:val="14"/>
        <w:keepNext w:val="0"/>
        <w:keepLines w:val="0"/>
        <w:pageBreakBefore w:val="0"/>
        <w:widowControl/>
        <w:shd w:val="clear"/>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83" w:name="_Toc6554"/>
      <w:r>
        <w:rPr>
          <w:rFonts w:hint="eastAsia" w:ascii="Times New Roman" w:hAnsi="Times New Roman" w:eastAsia="楷体_GB2312" w:cs="Times New Roman"/>
          <w:b/>
          <w:bCs/>
          <w:kern w:val="28"/>
          <w:sz w:val="32"/>
          <w:highlight w:val="none"/>
          <w:lang w:val="en-US" w:eastAsia="zh-CN"/>
        </w:rPr>
        <w:t>（二）存在的问题及原因分析</w:t>
      </w:r>
      <w:bookmarkEnd w:id="183"/>
    </w:p>
    <w:p w14:paraId="0D740B3A">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在项目实施期间</w:t>
      </w:r>
      <w:r>
        <w:rPr>
          <w:rFonts w:hint="eastAsia" w:ascii="仿宋_GB2312" w:hAnsi="仿宋_GB2312" w:eastAsia="仿宋_GB2312" w:cs="仿宋_GB2312"/>
          <w:sz w:val="32"/>
          <w:szCs w:val="32"/>
          <w:highlight w:val="none"/>
          <w:lang w:eastAsia="zh-CN"/>
        </w:rPr>
        <w:t>部分业务人员未能全面深入认识理解</w:t>
      </w:r>
      <w:r>
        <w:rPr>
          <w:rFonts w:hint="eastAsia" w:ascii="仿宋_GB2312" w:hAnsi="仿宋_GB2312" w:eastAsia="仿宋_GB2312" w:cs="仿宋_GB2312"/>
          <w:sz w:val="32"/>
          <w:szCs w:val="32"/>
          <w:highlight w:val="none"/>
          <w:lang w:val="en-US" w:eastAsia="zh-CN"/>
        </w:rPr>
        <w:t>项目</w:t>
      </w:r>
      <w:r>
        <w:rPr>
          <w:rFonts w:hint="eastAsia" w:ascii="仿宋_GB2312" w:hAnsi="仿宋_GB2312" w:eastAsia="仿宋_GB2312" w:cs="仿宋_GB2312"/>
          <w:sz w:val="32"/>
          <w:szCs w:val="32"/>
          <w:highlight w:val="none"/>
          <w:lang w:eastAsia="zh-CN"/>
        </w:rPr>
        <w:t>管理工作的意义。</w:t>
      </w:r>
      <w:r>
        <w:rPr>
          <w:rFonts w:hint="eastAsia" w:ascii="仿宋_GB2312" w:hAnsi="仿宋_GB2312" w:eastAsia="仿宋_GB2312" w:cs="仿宋_GB2312"/>
          <w:sz w:val="32"/>
          <w:szCs w:val="32"/>
          <w:highlight w:val="none"/>
          <w:lang w:val="en-US" w:eastAsia="zh-CN"/>
        </w:rPr>
        <w:t>项目</w:t>
      </w:r>
      <w:r>
        <w:rPr>
          <w:rFonts w:hint="eastAsia" w:ascii="仿宋_GB2312" w:hAnsi="仿宋_GB2312" w:eastAsia="仿宋_GB2312" w:cs="仿宋_GB2312"/>
          <w:sz w:val="32"/>
          <w:szCs w:val="32"/>
          <w:highlight w:val="none"/>
          <w:lang w:eastAsia="zh-CN"/>
        </w:rPr>
        <w:t>管理经验不足，</w:t>
      </w:r>
      <w:r>
        <w:rPr>
          <w:rFonts w:hint="eastAsia" w:ascii="仿宋_GB2312" w:hAnsi="仿宋_GB2312" w:eastAsia="仿宋_GB2312" w:cs="仿宋_GB2312"/>
          <w:sz w:val="32"/>
          <w:szCs w:val="32"/>
          <w:highlight w:val="none"/>
          <w:lang w:val="en-US" w:eastAsia="zh-CN"/>
        </w:rPr>
        <w:t>项目</w:t>
      </w:r>
      <w:r>
        <w:rPr>
          <w:rFonts w:hint="eastAsia" w:ascii="仿宋_GB2312" w:hAnsi="仿宋_GB2312" w:eastAsia="仿宋_GB2312" w:cs="仿宋_GB2312"/>
          <w:sz w:val="32"/>
          <w:szCs w:val="32"/>
          <w:highlight w:val="none"/>
          <w:lang w:eastAsia="zh-CN"/>
        </w:rPr>
        <w:t>管理工作有待进一步落实。</w:t>
      </w:r>
    </w:p>
    <w:p w14:paraId="0F207739">
      <w:pPr>
        <w:pageBreakBefore w:val="0"/>
        <w:shd w:val="clear"/>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2.因年初预算数据不够清晰明确到明细科目，使得整个年度财务核算及审核流程不准确清晰。</w:t>
      </w:r>
    </w:p>
    <w:p w14:paraId="3276E9F2">
      <w:pPr>
        <w:pStyle w:val="3"/>
        <w:pageBreakBefore w:val="0"/>
        <w:shd w:val="clear"/>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84" w:name="_Toc24435"/>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六</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、有关建议</w:t>
      </w:r>
      <w:bookmarkEnd w:id="184"/>
    </w:p>
    <w:p w14:paraId="5B920B2B">
      <w:pPr>
        <w:pageBreakBefore w:val="0"/>
        <w:shd w:val="clear"/>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highlight w:val="none"/>
          <w:lang w:val="en-US" w:eastAsia="zh-CN"/>
        </w:rPr>
      </w:pPr>
      <w:bookmarkStart w:id="185" w:name="_Toc20454"/>
      <w:bookmarkStart w:id="186" w:name="_Toc3948"/>
      <w:r>
        <w:rPr>
          <w:rFonts w:hint="eastAsia" w:ascii="仿宋_GB2312" w:hAnsi="仿宋_GB2312" w:eastAsia="仿宋_GB2312" w:cs="仿宋_GB2312"/>
          <w:sz w:val="32"/>
          <w:szCs w:val="32"/>
          <w:highlight w:val="none"/>
          <w:lang w:val="en-US" w:eastAsia="zh-CN"/>
        </w:rPr>
        <w:t>（一）加强项目管理，健全单位项目管理制度体系。 加大项目管理人员的业务培训，确保项目能够顺利实施。</w:t>
      </w:r>
    </w:p>
    <w:p w14:paraId="058AC895">
      <w:pPr>
        <w:pageBreakBefore w:val="0"/>
        <w:shd w:val="clear"/>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（二）加强财务人员业务培训，在年初预算时及时与各科室联系，将年初预算数据填写清晰，确保财务支付审核程序顺利进行。</w:t>
      </w:r>
    </w:p>
    <w:bookmarkEnd w:id="185"/>
    <w:bookmarkEnd w:id="186"/>
    <w:p w14:paraId="339D7E17">
      <w:pPr>
        <w:pStyle w:val="3"/>
        <w:pageBreakBefore w:val="0"/>
        <w:shd w:val="clear"/>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87" w:name="_Toc22284"/>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七</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、其他需要说明的问题</w:t>
      </w:r>
      <w:bookmarkEnd w:id="187"/>
    </w:p>
    <w:p w14:paraId="3110E35F">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无其他需要说明的问题。</w:t>
      </w:r>
    </w:p>
    <w:p w14:paraId="0F776617">
      <w:pPr>
        <w:pageBreakBefore w:val="0"/>
        <w:shd w:val="clear"/>
        <w:kinsoku/>
        <w:wordWrap/>
        <w:overflowPunct/>
        <w:topLinePunct w:val="0"/>
        <w:autoSpaceDE/>
        <w:autoSpaceDN/>
        <w:bidi w:val="0"/>
        <w:adjustRightInd/>
        <w:spacing w:line="560" w:lineRule="exact"/>
        <w:textAlignment w:val="auto"/>
        <w:rPr>
          <w:rFonts w:hint="eastAsia" w:cs="宋体"/>
          <w:color w:val="000000" w:themeColor="text1"/>
          <w:highlight w:val="none"/>
          <w:shd w:val="clear" w:color="auto" w:fill="auto"/>
          <w:lang w:val="en-US" w:eastAsia="zh-CN"/>
          <w14:textFill>
            <w14:solidFill>
              <w14:schemeClr w14:val="tx1"/>
            </w14:solidFill>
          </w14:textFill>
        </w:rPr>
        <w:sectPr>
          <w:footerReference r:id="rId5" w:type="default"/>
          <w:pgSz w:w="11906" w:h="16838"/>
          <w:pgMar w:top="1440" w:right="1800" w:bottom="1440" w:left="1800" w:header="737" w:footer="851" w:gutter="0"/>
          <w:pgBorders>
            <w:top w:val="none" w:sz="0" w:space="0"/>
            <w:left w:val="none" w:sz="0" w:space="0"/>
            <w:bottom w:val="none" w:sz="0" w:space="0"/>
            <w:right w:val="none" w:sz="0" w:space="0"/>
          </w:pgBorders>
          <w:pgNumType w:fmt="decimal"/>
          <w:cols w:space="720" w:num="1"/>
          <w:docGrid w:type="lines" w:linePitch="408" w:charSpace="0"/>
        </w:sectPr>
      </w:pPr>
    </w:p>
    <w:p w14:paraId="14046E50">
      <w:pPr>
        <w:pStyle w:val="3"/>
        <w:pageBreakBefore w:val="0"/>
        <w:numPr>
          <w:ilvl w:val="0"/>
          <w:numId w:val="0"/>
        </w:numPr>
        <w:shd w:val="clear"/>
        <w:kinsoku/>
        <w:wordWrap/>
        <w:overflowPunct/>
        <w:topLinePunct w:val="0"/>
        <w:autoSpaceDE/>
        <w:autoSpaceDN/>
        <w:bidi w:val="0"/>
        <w:adjustRightInd/>
        <w:spacing w:beforeLines="0" w:afterLines="0" w:line="560" w:lineRule="exact"/>
        <w:textAlignment w:val="auto"/>
        <w:rPr>
          <w:highlight w:val="none"/>
        </w:rPr>
      </w:pPr>
      <w:bookmarkStart w:id="188" w:name="_Toc11349"/>
      <w:bookmarkStart w:id="189" w:name="_Toc4741"/>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附件一、项目支出绩效自评表</w:t>
      </w:r>
      <w:bookmarkEnd w:id="188"/>
      <w:bookmarkEnd w:id="189"/>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9"/>
        <w:gridCol w:w="890"/>
        <w:gridCol w:w="890"/>
        <w:gridCol w:w="890"/>
        <w:gridCol w:w="1217"/>
        <w:gridCol w:w="1217"/>
        <w:gridCol w:w="1135"/>
        <w:gridCol w:w="1053"/>
        <w:gridCol w:w="1135"/>
        <w:gridCol w:w="890"/>
        <w:gridCol w:w="1053"/>
        <w:gridCol w:w="890"/>
        <w:gridCol w:w="890"/>
        <w:gridCol w:w="1135"/>
      </w:tblGrid>
      <w:tr w14:paraId="0B1A1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11473F87">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bookmarkStart w:id="190" w:name="_Toc15067"/>
            <w:r>
              <w:rPr>
                <w:rFonts w:hint="eastAsia" w:ascii="宋体" w:hAnsi="宋体" w:eastAsia="宋体" w:cs="宋体"/>
                <w:b/>
                <w:bCs/>
                <w:i w:val="0"/>
                <w:iCs w:val="0"/>
                <w:color w:val="000000"/>
                <w:kern w:val="0"/>
                <w:sz w:val="32"/>
                <w:szCs w:val="32"/>
                <w:u w:val="none"/>
                <w:lang w:val="en-US" w:eastAsia="zh-CN" w:bidi="ar"/>
              </w:rPr>
              <w:t>项目支出绩效自评表</w:t>
            </w:r>
          </w:p>
        </w:tc>
      </w:tr>
      <w:tr w14:paraId="2519A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404B23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005A30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2"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2B07BA6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7"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14EEEC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昌州财教【2023】90号（保民生）提前下达2024年城乡义务教育补助经费（中央直达资金）公用经费初中</w:t>
            </w:r>
          </w:p>
        </w:tc>
      </w:tr>
      <w:tr w14:paraId="3922A4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5A117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1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2A72D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阜康市教育局</w:t>
            </w:r>
          </w:p>
        </w:tc>
        <w:tc>
          <w:tcPr>
            <w:tcW w:w="6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FB3BD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1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154C0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阜康市第二中学</w:t>
            </w:r>
          </w:p>
        </w:tc>
      </w:tr>
      <w:tr w14:paraId="1A673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099D3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98BE0A">
            <w:pPr>
              <w:jc w:val="center"/>
              <w:rPr>
                <w:rFonts w:hint="eastAsia" w:ascii="宋体" w:hAnsi="宋体" w:eastAsia="宋体" w:cs="宋体"/>
                <w:b/>
                <w:bCs/>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4214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56879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3AEF9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DDEDE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44062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7588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5F903E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C472EE">
            <w:pPr>
              <w:jc w:val="center"/>
              <w:rPr>
                <w:rFonts w:hint="eastAsia" w:ascii="宋体" w:hAnsi="宋体" w:eastAsia="宋体" w:cs="宋体"/>
                <w:b/>
                <w:bCs/>
                <w:i w:val="0"/>
                <w:iCs w:val="0"/>
                <w:color w:val="000000"/>
                <w:sz w:val="18"/>
                <w:szCs w:val="18"/>
                <w:u w:val="none"/>
              </w:rPr>
            </w:pPr>
          </w:p>
        </w:tc>
        <w:tc>
          <w:tcPr>
            <w:tcW w:w="7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1F865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11E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173.98</w:t>
            </w:r>
          </w:p>
        </w:tc>
        <w:tc>
          <w:tcPr>
            <w:tcW w:w="6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36A5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173.98</w:t>
            </w:r>
          </w:p>
        </w:tc>
        <w:tc>
          <w:tcPr>
            <w:tcW w:w="6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E0BC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173.98</w:t>
            </w:r>
          </w:p>
        </w:tc>
        <w:tc>
          <w:tcPr>
            <w:tcW w:w="6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18BA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D0E0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7DC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05CA3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8B5E9F">
            <w:pPr>
              <w:jc w:val="center"/>
              <w:rPr>
                <w:rFonts w:hint="eastAsia" w:ascii="宋体" w:hAnsi="宋体" w:eastAsia="宋体" w:cs="宋体"/>
                <w:b/>
                <w:bCs/>
                <w:i w:val="0"/>
                <w:iCs w:val="0"/>
                <w:color w:val="000000"/>
                <w:sz w:val="18"/>
                <w:szCs w:val="18"/>
                <w:u w:val="none"/>
              </w:rPr>
            </w:pPr>
          </w:p>
        </w:tc>
        <w:tc>
          <w:tcPr>
            <w:tcW w:w="7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F7B63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1CC2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173.98</w:t>
            </w:r>
          </w:p>
        </w:tc>
        <w:tc>
          <w:tcPr>
            <w:tcW w:w="6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4907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173.98</w:t>
            </w:r>
          </w:p>
        </w:tc>
        <w:tc>
          <w:tcPr>
            <w:tcW w:w="6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726C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173.98</w:t>
            </w:r>
          </w:p>
        </w:tc>
        <w:tc>
          <w:tcPr>
            <w:tcW w:w="6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0DA0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15DC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4B8C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17FEB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7ED710">
            <w:pPr>
              <w:jc w:val="center"/>
              <w:rPr>
                <w:rFonts w:hint="eastAsia" w:ascii="宋体" w:hAnsi="宋体" w:eastAsia="宋体" w:cs="宋体"/>
                <w:b/>
                <w:bCs/>
                <w:i w:val="0"/>
                <w:iCs w:val="0"/>
                <w:color w:val="000000"/>
                <w:sz w:val="18"/>
                <w:szCs w:val="18"/>
                <w:u w:val="none"/>
              </w:rPr>
            </w:pPr>
          </w:p>
        </w:tc>
        <w:tc>
          <w:tcPr>
            <w:tcW w:w="7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A100A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B2C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7E1C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402A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1A71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1108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636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646D9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94A7E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1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DC8C98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7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4EE2F9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77EFF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A65B68">
            <w:pPr>
              <w:jc w:val="center"/>
              <w:rPr>
                <w:rFonts w:hint="eastAsia" w:ascii="宋体" w:hAnsi="宋体" w:eastAsia="宋体" w:cs="宋体"/>
                <w:b/>
                <w:bCs/>
                <w:i w:val="0"/>
                <w:iCs w:val="0"/>
                <w:color w:val="000000"/>
                <w:sz w:val="18"/>
                <w:szCs w:val="18"/>
                <w:u w:val="none"/>
              </w:rPr>
            </w:pPr>
          </w:p>
        </w:tc>
        <w:tc>
          <w:tcPr>
            <w:tcW w:w="191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189CE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学校正常运转，完成教育教学活动和其他日常工作任务等方面的支出。通过项目的实施，目前在校人数1927人，2024年计划开展8次视频会议及教学研讨会议，预计完成率达到100%；开展10次德育活动，预计完成率达到100%；按照940元每生每学年标准支付，其中教师培训费占公用经费5%，预计达到改善教学环境，提供良好的成长条件，保障学校的正常运转。</w:t>
            </w:r>
          </w:p>
        </w:tc>
        <w:tc>
          <w:tcPr>
            <w:tcW w:w="287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B711D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止12月31日本项目完成每学年以940元/生/学年的标准使用公用经费，本年度开展视频会议、教学研讨会议10次，开展德育活动次数12次，完成率均达到100%。通过项目实施达到有效改善教学环境，提供良好的学生成长条件，学校正常运转率达到100%。</w:t>
            </w:r>
          </w:p>
        </w:tc>
      </w:tr>
      <w:tr w14:paraId="66B87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DDE1A2">
            <w:pPr>
              <w:jc w:val="center"/>
              <w:rPr>
                <w:rFonts w:hint="eastAsia" w:ascii="宋体" w:hAnsi="宋体" w:eastAsia="宋体" w:cs="宋体"/>
                <w:i w:val="0"/>
                <w:iCs w:val="0"/>
                <w:color w:val="000000"/>
                <w:sz w:val="18"/>
                <w:szCs w:val="18"/>
                <w:u w:val="none"/>
              </w:rPr>
            </w:pP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6972D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AAFDA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F7802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BC7A2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12059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F253E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6EF9B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BF781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099F5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6349A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316B6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2308C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62A10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47898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2758CF">
            <w:pPr>
              <w:jc w:val="center"/>
              <w:rPr>
                <w:rFonts w:hint="eastAsia" w:ascii="宋体" w:hAnsi="宋体" w:eastAsia="宋体" w:cs="宋体"/>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41B174">
            <w:pPr>
              <w:jc w:val="center"/>
              <w:rPr>
                <w:rFonts w:hint="eastAsia" w:ascii="宋体" w:hAnsi="宋体" w:eastAsia="宋体" w:cs="宋体"/>
                <w:b/>
                <w:bCs/>
                <w:i w:val="0"/>
                <w:iCs w:val="0"/>
                <w:color w:val="000000"/>
                <w:sz w:val="18"/>
                <w:szCs w:val="18"/>
                <w:u w:val="none"/>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59FB8D">
            <w:pPr>
              <w:jc w:val="center"/>
              <w:rPr>
                <w:rFonts w:hint="eastAsia" w:ascii="宋体" w:hAnsi="宋体" w:eastAsia="宋体" w:cs="宋体"/>
                <w:b/>
                <w:bCs/>
                <w:i w:val="0"/>
                <w:iCs w:val="0"/>
                <w:color w:val="000000"/>
                <w:sz w:val="18"/>
                <w:szCs w:val="18"/>
                <w:u w:val="none"/>
              </w:rPr>
            </w:pPr>
          </w:p>
        </w:tc>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3D4538">
            <w:pPr>
              <w:jc w:val="center"/>
              <w:rPr>
                <w:rFonts w:hint="eastAsia" w:ascii="宋体" w:hAnsi="宋体" w:eastAsia="宋体" w:cs="宋体"/>
                <w:b/>
                <w:bCs/>
                <w:i w:val="0"/>
                <w:iCs w:val="0"/>
                <w:color w:val="000000"/>
                <w:sz w:val="18"/>
                <w:szCs w:val="18"/>
                <w:u w:val="none"/>
              </w:rPr>
            </w:pPr>
          </w:p>
        </w:tc>
        <w:tc>
          <w:tcPr>
            <w:tcW w:w="3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960C80">
            <w:pPr>
              <w:jc w:val="center"/>
              <w:rPr>
                <w:rFonts w:hint="eastAsia" w:ascii="宋体" w:hAnsi="宋体" w:eastAsia="宋体" w:cs="宋体"/>
                <w:b/>
                <w:bCs/>
                <w:i w:val="0"/>
                <w:iCs w:val="0"/>
                <w:color w:val="000000"/>
                <w:sz w:val="18"/>
                <w:szCs w:val="18"/>
                <w:u w:val="none"/>
              </w:rPr>
            </w:pPr>
          </w:p>
        </w:tc>
        <w:tc>
          <w:tcPr>
            <w:tcW w:w="3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231851">
            <w:pPr>
              <w:jc w:val="center"/>
              <w:rPr>
                <w:rFonts w:hint="eastAsia" w:ascii="宋体" w:hAnsi="宋体" w:eastAsia="宋体" w:cs="宋体"/>
                <w:b/>
                <w:bCs/>
                <w:i w:val="0"/>
                <w:iCs w:val="0"/>
                <w:color w:val="000000"/>
                <w:sz w:val="18"/>
                <w:szCs w:val="18"/>
                <w:u w:val="none"/>
              </w:rPr>
            </w:pPr>
          </w:p>
        </w:tc>
        <w:tc>
          <w:tcPr>
            <w:tcW w:w="3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4B2120">
            <w:pPr>
              <w:jc w:val="center"/>
              <w:rPr>
                <w:rFonts w:hint="eastAsia" w:ascii="宋体" w:hAnsi="宋体" w:eastAsia="宋体" w:cs="宋体"/>
                <w:b/>
                <w:bCs/>
                <w:i w:val="0"/>
                <w:iCs w:val="0"/>
                <w:color w:val="000000"/>
                <w:sz w:val="18"/>
                <w:szCs w:val="18"/>
                <w:u w:val="none"/>
              </w:rPr>
            </w:pPr>
          </w:p>
        </w:tc>
        <w:tc>
          <w:tcPr>
            <w:tcW w:w="3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D94560">
            <w:pPr>
              <w:jc w:val="center"/>
              <w:rPr>
                <w:rFonts w:hint="eastAsia" w:ascii="宋体" w:hAnsi="宋体" w:eastAsia="宋体" w:cs="宋体"/>
                <w:b/>
                <w:bCs/>
                <w:i w:val="0"/>
                <w:iCs w:val="0"/>
                <w:color w:val="000000"/>
                <w:sz w:val="18"/>
                <w:szCs w:val="18"/>
                <w:u w:val="none"/>
              </w:rPr>
            </w:pPr>
          </w:p>
        </w:tc>
        <w:tc>
          <w:tcPr>
            <w:tcW w:w="3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88BF27">
            <w:pPr>
              <w:jc w:val="center"/>
              <w:rPr>
                <w:rFonts w:hint="eastAsia" w:ascii="宋体" w:hAnsi="宋体" w:eastAsia="宋体" w:cs="宋体"/>
                <w:b/>
                <w:bCs/>
                <w:i w:val="0"/>
                <w:iCs w:val="0"/>
                <w:color w:val="000000"/>
                <w:sz w:val="18"/>
                <w:szCs w:val="18"/>
                <w:u w:val="none"/>
              </w:rPr>
            </w:pPr>
          </w:p>
        </w:tc>
        <w:tc>
          <w:tcPr>
            <w:tcW w:w="3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16351B">
            <w:pPr>
              <w:jc w:val="center"/>
              <w:rPr>
                <w:rFonts w:hint="eastAsia" w:ascii="宋体" w:hAnsi="宋体" w:eastAsia="宋体" w:cs="宋体"/>
                <w:b/>
                <w:bCs/>
                <w:i w:val="0"/>
                <w:iCs w:val="0"/>
                <w:color w:val="000000"/>
                <w:sz w:val="18"/>
                <w:szCs w:val="18"/>
                <w:u w:val="none"/>
              </w:rPr>
            </w:pPr>
          </w:p>
        </w:tc>
        <w:tc>
          <w:tcPr>
            <w:tcW w:w="3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77876C">
            <w:pPr>
              <w:jc w:val="center"/>
              <w:rPr>
                <w:rFonts w:hint="eastAsia" w:ascii="宋体" w:hAnsi="宋体" w:eastAsia="宋体" w:cs="宋体"/>
                <w:b/>
                <w:bCs/>
                <w:i w:val="0"/>
                <w:iCs w:val="0"/>
                <w:color w:val="000000"/>
                <w:sz w:val="18"/>
                <w:szCs w:val="18"/>
                <w:u w:val="none"/>
              </w:rPr>
            </w:pPr>
          </w:p>
        </w:tc>
        <w:tc>
          <w:tcPr>
            <w:tcW w:w="3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A0E876">
            <w:pPr>
              <w:jc w:val="center"/>
              <w:rPr>
                <w:rFonts w:hint="eastAsia" w:ascii="宋体" w:hAnsi="宋体" w:eastAsia="宋体" w:cs="宋体"/>
                <w:b/>
                <w:bCs/>
                <w:i w:val="0"/>
                <w:iCs w:val="0"/>
                <w:color w:val="000000"/>
                <w:sz w:val="18"/>
                <w:szCs w:val="18"/>
                <w:u w:val="none"/>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F2AE42">
            <w:pPr>
              <w:jc w:val="center"/>
              <w:rPr>
                <w:rFonts w:hint="eastAsia" w:ascii="宋体" w:hAnsi="宋体" w:eastAsia="宋体" w:cs="宋体"/>
                <w:b/>
                <w:bCs/>
                <w:i w:val="0"/>
                <w:iCs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AF9595">
            <w:pPr>
              <w:jc w:val="center"/>
              <w:rPr>
                <w:rFonts w:hint="eastAsia" w:ascii="宋体" w:hAnsi="宋体" w:eastAsia="宋体" w:cs="宋体"/>
                <w:b/>
                <w:bCs/>
                <w:i w:val="0"/>
                <w:iCs w:val="0"/>
                <w:color w:val="000000"/>
                <w:sz w:val="18"/>
                <w:szCs w:val="18"/>
                <w:u w:val="none"/>
              </w:rPr>
            </w:pPr>
          </w:p>
        </w:tc>
      </w:tr>
      <w:tr w14:paraId="7E0BB1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22079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E476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909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E1C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在校学生人数（人）</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D4C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353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&gt;=1927人</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F93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=1927人</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70A45">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8D8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2A7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F87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1871人</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DAF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7FB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9267A">
            <w:pPr>
              <w:jc w:val="center"/>
              <w:rPr>
                <w:rFonts w:hint="eastAsia" w:ascii="宋体" w:hAnsi="宋体" w:eastAsia="宋体" w:cs="宋体"/>
                <w:i w:val="0"/>
                <w:iCs w:val="0"/>
                <w:color w:val="000000"/>
                <w:sz w:val="18"/>
                <w:szCs w:val="18"/>
                <w:u w:val="none"/>
              </w:rPr>
            </w:pPr>
          </w:p>
        </w:tc>
      </w:tr>
      <w:tr w14:paraId="7A291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F63882">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DEE2B2">
            <w:pPr>
              <w:jc w:val="center"/>
              <w:rPr>
                <w:rFonts w:hint="eastAsia" w:ascii="宋体" w:hAnsi="宋体" w:eastAsia="宋体" w:cs="宋体"/>
                <w:i w:val="0"/>
                <w:iCs w:val="0"/>
                <w:color w:val="000000"/>
                <w:sz w:val="18"/>
                <w:szCs w:val="18"/>
                <w:u w:val="none"/>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2C4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6BF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开展视频会议、教学研讨会议次数</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B5E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FCE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&gt;=8次</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A42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=10次</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C7E2B">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125%</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F08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3.75</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D97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C01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8次</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58F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216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E8D3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为进一步提高老师专业素养，本年度开展视频会议、教学研讨会议次数增多，</w:t>
            </w:r>
          </w:p>
        </w:tc>
      </w:tr>
      <w:tr w14:paraId="020AC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A417C6">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B49268">
            <w:pPr>
              <w:jc w:val="center"/>
              <w:rPr>
                <w:rFonts w:hint="eastAsia" w:ascii="宋体" w:hAnsi="宋体" w:eastAsia="宋体" w:cs="宋体"/>
                <w:i w:val="0"/>
                <w:iCs w:val="0"/>
                <w:color w:val="000000"/>
                <w:sz w:val="18"/>
                <w:szCs w:val="18"/>
                <w:u w:val="none"/>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23D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0AB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开展德育活动次数</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703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B16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&gt;=10次</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3D6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=12次</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7F2EB">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B98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1F1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546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10次</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0E1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BED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B62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培养学生德智体美劳全面发展，学校开展德育活动次数增多</w:t>
            </w:r>
          </w:p>
        </w:tc>
      </w:tr>
      <w:tr w14:paraId="562950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D0CBCD">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813E39">
            <w:pPr>
              <w:jc w:val="center"/>
              <w:rPr>
                <w:rFonts w:hint="eastAsia" w:ascii="宋体" w:hAnsi="宋体" w:eastAsia="宋体" w:cs="宋体"/>
                <w:i w:val="0"/>
                <w:iCs w:val="0"/>
                <w:color w:val="000000"/>
                <w:sz w:val="18"/>
                <w:szCs w:val="18"/>
                <w:u w:val="none"/>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718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8B9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开展视频会议、教学研讨会议完成率</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DB1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551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437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A7A0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CC8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A0D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221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146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77C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B567E">
            <w:pPr>
              <w:jc w:val="center"/>
              <w:rPr>
                <w:rFonts w:hint="eastAsia" w:ascii="宋体" w:hAnsi="宋体" w:eastAsia="宋体" w:cs="宋体"/>
                <w:i w:val="0"/>
                <w:iCs w:val="0"/>
                <w:color w:val="000000"/>
                <w:sz w:val="18"/>
                <w:szCs w:val="18"/>
                <w:u w:val="none"/>
              </w:rPr>
            </w:pPr>
          </w:p>
        </w:tc>
      </w:tr>
      <w:tr w14:paraId="143B0E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C39470">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DBF132">
            <w:pPr>
              <w:jc w:val="center"/>
              <w:rPr>
                <w:rFonts w:hint="eastAsia" w:ascii="宋体" w:hAnsi="宋体" w:eastAsia="宋体" w:cs="宋体"/>
                <w:i w:val="0"/>
                <w:iCs w:val="0"/>
                <w:color w:val="000000"/>
                <w:sz w:val="18"/>
                <w:szCs w:val="18"/>
                <w:u w:val="none"/>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B58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2F8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开展德育活动完成率</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5FA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F8F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875B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87C8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2E0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AB7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7E1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8C7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431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1516F1">
            <w:pPr>
              <w:jc w:val="center"/>
              <w:rPr>
                <w:rFonts w:hint="eastAsia" w:ascii="宋体" w:hAnsi="宋体" w:eastAsia="宋体" w:cs="宋体"/>
                <w:i w:val="0"/>
                <w:iCs w:val="0"/>
                <w:color w:val="000000"/>
                <w:sz w:val="18"/>
                <w:szCs w:val="18"/>
                <w:u w:val="none"/>
              </w:rPr>
            </w:pPr>
          </w:p>
        </w:tc>
      </w:tr>
      <w:tr w14:paraId="28406D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7D4543">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832A64">
            <w:pPr>
              <w:jc w:val="center"/>
              <w:rPr>
                <w:rFonts w:hint="eastAsia" w:ascii="宋体" w:hAnsi="宋体" w:eastAsia="宋体" w:cs="宋体"/>
                <w:i w:val="0"/>
                <w:iCs w:val="0"/>
                <w:color w:val="000000"/>
                <w:sz w:val="18"/>
                <w:szCs w:val="18"/>
                <w:u w:val="none"/>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A22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D98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C1F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A09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940元/生/学年</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580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=940元/生/学年</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B3905">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5E1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ED3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C0F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940元/生/学年</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823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F86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正式材料,原始凭证</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E32E2">
            <w:pPr>
              <w:jc w:val="center"/>
              <w:rPr>
                <w:rFonts w:hint="eastAsia" w:ascii="宋体" w:hAnsi="宋体" w:eastAsia="宋体" w:cs="宋体"/>
                <w:i w:val="0"/>
                <w:iCs w:val="0"/>
                <w:color w:val="000000"/>
                <w:sz w:val="18"/>
                <w:szCs w:val="18"/>
                <w:u w:val="none"/>
              </w:rPr>
            </w:pPr>
          </w:p>
        </w:tc>
      </w:tr>
      <w:tr w14:paraId="5ECE6A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968E64">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725BA2">
            <w:pPr>
              <w:jc w:val="center"/>
              <w:rPr>
                <w:rFonts w:hint="eastAsia" w:ascii="宋体" w:hAnsi="宋体" w:eastAsia="宋体" w:cs="宋体"/>
                <w:i w:val="0"/>
                <w:iCs w:val="0"/>
                <w:color w:val="000000"/>
                <w:sz w:val="18"/>
                <w:szCs w:val="18"/>
                <w:u w:val="none"/>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4AC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897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教师培训费占公用经费比例</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A29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6C3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&gt;=5%</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013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DA4C4">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538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796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D27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6F5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E21D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正式材料,原始凭证</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42CEA">
            <w:pPr>
              <w:jc w:val="center"/>
              <w:rPr>
                <w:rFonts w:hint="eastAsia" w:ascii="宋体" w:hAnsi="宋体" w:eastAsia="宋体" w:cs="宋体"/>
                <w:i w:val="0"/>
                <w:iCs w:val="0"/>
                <w:color w:val="000000"/>
                <w:sz w:val="18"/>
                <w:szCs w:val="18"/>
                <w:u w:val="none"/>
              </w:rPr>
            </w:pPr>
          </w:p>
        </w:tc>
      </w:tr>
      <w:tr w14:paraId="54DFD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F77DA5">
            <w:pPr>
              <w:jc w:val="center"/>
              <w:rPr>
                <w:rFonts w:hint="eastAsia" w:ascii="宋体" w:hAnsi="宋体" w:eastAsia="宋体" w:cs="宋体"/>
                <w:b/>
                <w:bCs/>
                <w:i w:val="0"/>
                <w:iCs w:val="0"/>
                <w:color w:val="000000"/>
                <w:sz w:val="18"/>
                <w:szCs w:val="18"/>
                <w:u w:val="none"/>
              </w:rPr>
            </w:pP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3BDB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AF0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B271B">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99EEB">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183E7">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E42EF">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70D21">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36B76">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CC90D">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24F19">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69A5B">
            <w:pPr>
              <w:jc w:val="center"/>
              <w:rPr>
                <w:rFonts w:hint="eastAsia" w:ascii="宋体" w:hAnsi="宋体" w:eastAsia="宋体" w:cs="宋体"/>
                <w:i w:val="0"/>
                <w:iCs w:val="0"/>
                <w:color w:val="000000"/>
                <w:sz w:val="18"/>
                <w:szCs w:val="18"/>
                <w:u w:val="none"/>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EC2C2">
            <w:pPr>
              <w:jc w:val="center"/>
              <w:rPr>
                <w:rFonts w:hint="eastAsia" w:ascii="宋体" w:hAnsi="宋体" w:eastAsia="宋体" w:cs="宋体"/>
                <w:i w:val="0"/>
                <w:iCs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FC476">
            <w:pPr>
              <w:jc w:val="center"/>
              <w:rPr>
                <w:rFonts w:hint="eastAsia" w:ascii="宋体" w:hAnsi="宋体" w:eastAsia="宋体" w:cs="宋体"/>
                <w:i w:val="0"/>
                <w:iCs w:val="0"/>
                <w:color w:val="000000"/>
                <w:sz w:val="18"/>
                <w:szCs w:val="18"/>
                <w:u w:val="none"/>
              </w:rPr>
            </w:pPr>
          </w:p>
        </w:tc>
      </w:tr>
      <w:tr w14:paraId="3C5057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C2EC45">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81137A">
            <w:pPr>
              <w:jc w:val="center"/>
              <w:rPr>
                <w:rFonts w:hint="eastAsia" w:ascii="宋体" w:hAnsi="宋体" w:eastAsia="宋体" w:cs="宋体"/>
                <w:i w:val="0"/>
                <w:iCs w:val="0"/>
                <w:color w:val="000000"/>
                <w:sz w:val="18"/>
                <w:szCs w:val="18"/>
                <w:u w:val="none"/>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52D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9570C">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8F1F3">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61C6D">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BF2F0">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72711">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E4E0F">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FFA4E">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FB152">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80FA5">
            <w:pPr>
              <w:jc w:val="center"/>
              <w:rPr>
                <w:rFonts w:hint="eastAsia" w:ascii="宋体" w:hAnsi="宋体" w:eastAsia="宋体" w:cs="宋体"/>
                <w:i w:val="0"/>
                <w:iCs w:val="0"/>
                <w:color w:val="000000"/>
                <w:sz w:val="18"/>
                <w:szCs w:val="18"/>
                <w:u w:val="none"/>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382CE">
            <w:pPr>
              <w:jc w:val="center"/>
              <w:rPr>
                <w:rFonts w:hint="eastAsia" w:ascii="宋体" w:hAnsi="宋体" w:eastAsia="宋体" w:cs="宋体"/>
                <w:i w:val="0"/>
                <w:iCs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9D397">
            <w:pPr>
              <w:jc w:val="center"/>
              <w:rPr>
                <w:rFonts w:hint="eastAsia" w:ascii="宋体" w:hAnsi="宋体" w:eastAsia="宋体" w:cs="宋体"/>
                <w:i w:val="0"/>
                <w:iCs w:val="0"/>
                <w:color w:val="000000"/>
                <w:sz w:val="18"/>
                <w:szCs w:val="18"/>
                <w:u w:val="none"/>
              </w:rPr>
            </w:pPr>
          </w:p>
        </w:tc>
      </w:tr>
      <w:tr w14:paraId="1F923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A79BD4">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BD4A74">
            <w:pPr>
              <w:jc w:val="center"/>
              <w:rPr>
                <w:rFonts w:hint="eastAsia" w:ascii="宋体" w:hAnsi="宋体" w:eastAsia="宋体" w:cs="宋体"/>
                <w:i w:val="0"/>
                <w:iCs w:val="0"/>
                <w:color w:val="000000"/>
                <w:sz w:val="18"/>
                <w:szCs w:val="18"/>
                <w:u w:val="none"/>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544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9BB1E">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F558F">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6D32F">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17667">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E5129">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E7265">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5718C">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5ACFB">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CBB20">
            <w:pPr>
              <w:jc w:val="center"/>
              <w:rPr>
                <w:rFonts w:hint="eastAsia" w:ascii="宋体" w:hAnsi="宋体" w:eastAsia="宋体" w:cs="宋体"/>
                <w:i w:val="0"/>
                <w:iCs w:val="0"/>
                <w:color w:val="000000"/>
                <w:sz w:val="18"/>
                <w:szCs w:val="18"/>
                <w:u w:val="none"/>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65AAA">
            <w:pPr>
              <w:jc w:val="center"/>
              <w:rPr>
                <w:rFonts w:hint="eastAsia" w:ascii="宋体" w:hAnsi="宋体" w:eastAsia="宋体" w:cs="宋体"/>
                <w:i w:val="0"/>
                <w:iCs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BA9ED">
            <w:pPr>
              <w:jc w:val="center"/>
              <w:rPr>
                <w:rFonts w:hint="eastAsia" w:ascii="宋体" w:hAnsi="宋体" w:eastAsia="宋体" w:cs="宋体"/>
                <w:i w:val="0"/>
                <w:iCs w:val="0"/>
                <w:color w:val="000000"/>
                <w:sz w:val="18"/>
                <w:szCs w:val="18"/>
                <w:u w:val="none"/>
              </w:rPr>
            </w:pPr>
          </w:p>
        </w:tc>
      </w:tr>
      <w:tr w14:paraId="45257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857BCF">
            <w:pPr>
              <w:jc w:val="center"/>
              <w:rPr>
                <w:rFonts w:hint="eastAsia" w:ascii="宋体" w:hAnsi="宋体" w:eastAsia="宋体" w:cs="宋体"/>
                <w:b/>
                <w:bCs/>
                <w:i w:val="0"/>
                <w:iCs w:val="0"/>
                <w:color w:val="000000"/>
                <w:sz w:val="18"/>
                <w:szCs w:val="18"/>
                <w:u w:val="none"/>
              </w:rPr>
            </w:pP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10C0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F1B6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695CD">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B0159">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3186E">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4B482">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FCD69">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48AE9">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575A6">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FBA29">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B3A65">
            <w:pPr>
              <w:jc w:val="center"/>
              <w:rPr>
                <w:rFonts w:hint="eastAsia" w:ascii="宋体" w:hAnsi="宋体" w:eastAsia="宋体" w:cs="宋体"/>
                <w:i w:val="0"/>
                <w:iCs w:val="0"/>
                <w:color w:val="000000"/>
                <w:sz w:val="18"/>
                <w:szCs w:val="18"/>
                <w:u w:val="none"/>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A906A">
            <w:pPr>
              <w:jc w:val="center"/>
              <w:rPr>
                <w:rFonts w:hint="eastAsia" w:ascii="宋体" w:hAnsi="宋体" w:eastAsia="宋体" w:cs="宋体"/>
                <w:i w:val="0"/>
                <w:iCs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80D24">
            <w:pPr>
              <w:jc w:val="center"/>
              <w:rPr>
                <w:rFonts w:hint="eastAsia" w:ascii="宋体" w:hAnsi="宋体" w:eastAsia="宋体" w:cs="宋体"/>
                <w:i w:val="0"/>
                <w:iCs w:val="0"/>
                <w:color w:val="000000"/>
                <w:sz w:val="18"/>
                <w:szCs w:val="18"/>
                <w:u w:val="none"/>
              </w:rPr>
            </w:pPr>
          </w:p>
        </w:tc>
      </w:tr>
      <w:tr w14:paraId="425EF8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7189FF">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B5175F">
            <w:pPr>
              <w:jc w:val="center"/>
              <w:rPr>
                <w:rFonts w:hint="eastAsia" w:ascii="宋体" w:hAnsi="宋体" w:eastAsia="宋体" w:cs="宋体"/>
                <w:i w:val="0"/>
                <w:iCs w:val="0"/>
                <w:color w:val="000000"/>
                <w:sz w:val="18"/>
                <w:szCs w:val="18"/>
                <w:u w:val="none"/>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BC6D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7C3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学校正常运转率</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57F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991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66A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2DD5A">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100</w:t>
            </w:r>
            <w:r>
              <w:rPr>
                <w:rFonts w:hint="eastAsia" w:cs="宋体"/>
                <w:i w:val="0"/>
                <w:iCs w:val="0"/>
                <w:color w:val="000000"/>
                <w:kern w:val="0"/>
                <w:sz w:val="18"/>
                <w:szCs w:val="18"/>
                <w:u w:val="none"/>
                <w:lang w:val="en-US" w:eastAsia="zh-CN" w:bidi="ar"/>
              </w:rPr>
              <w:t>%</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4F1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608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7120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E85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980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工作资料,说明材料</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56BA6">
            <w:pPr>
              <w:jc w:val="center"/>
              <w:rPr>
                <w:rFonts w:hint="eastAsia" w:ascii="宋体" w:hAnsi="宋体" w:eastAsia="宋体" w:cs="宋体"/>
                <w:i w:val="0"/>
                <w:iCs w:val="0"/>
                <w:color w:val="000000"/>
                <w:sz w:val="18"/>
                <w:szCs w:val="18"/>
                <w:u w:val="none"/>
              </w:rPr>
            </w:pPr>
          </w:p>
        </w:tc>
      </w:tr>
      <w:tr w14:paraId="36ADD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35B2C3">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B160CE">
            <w:pPr>
              <w:jc w:val="center"/>
              <w:rPr>
                <w:rFonts w:hint="eastAsia" w:ascii="宋体" w:hAnsi="宋体" w:eastAsia="宋体" w:cs="宋体"/>
                <w:i w:val="0"/>
                <w:iCs w:val="0"/>
                <w:color w:val="000000"/>
                <w:sz w:val="18"/>
                <w:szCs w:val="18"/>
                <w:u w:val="none"/>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762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81F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改善教学环境，提供良好的成长条件</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EF4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7193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245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2B470">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100</w:t>
            </w:r>
            <w:r>
              <w:rPr>
                <w:rFonts w:hint="eastAsia" w:cs="宋体"/>
                <w:i w:val="0"/>
                <w:iCs w:val="0"/>
                <w:color w:val="000000"/>
                <w:kern w:val="0"/>
                <w:sz w:val="18"/>
                <w:szCs w:val="18"/>
                <w:u w:val="none"/>
                <w:lang w:val="en-US" w:eastAsia="zh-CN" w:bidi="ar"/>
              </w:rPr>
              <w:t>%</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CC0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5E8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AB8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有效改善</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A74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7E1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BCC24">
            <w:pPr>
              <w:jc w:val="center"/>
              <w:rPr>
                <w:rFonts w:hint="eastAsia" w:ascii="宋体" w:hAnsi="宋体" w:eastAsia="宋体" w:cs="宋体"/>
                <w:i w:val="0"/>
                <w:iCs w:val="0"/>
                <w:color w:val="000000"/>
                <w:sz w:val="18"/>
                <w:szCs w:val="18"/>
                <w:u w:val="none"/>
              </w:rPr>
            </w:pPr>
          </w:p>
        </w:tc>
      </w:tr>
      <w:tr w14:paraId="4C3AE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C78DB2">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5843C7">
            <w:pPr>
              <w:jc w:val="center"/>
              <w:rPr>
                <w:rFonts w:hint="eastAsia" w:ascii="宋体" w:hAnsi="宋体" w:eastAsia="宋体" w:cs="宋体"/>
                <w:i w:val="0"/>
                <w:iCs w:val="0"/>
                <w:color w:val="000000"/>
                <w:sz w:val="18"/>
                <w:szCs w:val="18"/>
                <w:u w:val="none"/>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C23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A94FD">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4C3C2">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ADD95">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05CA6">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E4312">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7A2BC">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136DFD">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64460">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4D9EF">
            <w:pPr>
              <w:jc w:val="center"/>
              <w:rPr>
                <w:rFonts w:hint="eastAsia" w:ascii="宋体" w:hAnsi="宋体" w:eastAsia="宋体" w:cs="宋体"/>
                <w:i w:val="0"/>
                <w:iCs w:val="0"/>
                <w:color w:val="000000"/>
                <w:sz w:val="18"/>
                <w:szCs w:val="18"/>
                <w:u w:val="none"/>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CA30E">
            <w:pPr>
              <w:jc w:val="center"/>
              <w:rPr>
                <w:rFonts w:hint="eastAsia" w:ascii="宋体" w:hAnsi="宋体" w:eastAsia="宋体" w:cs="宋体"/>
                <w:i w:val="0"/>
                <w:iCs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AB214">
            <w:pPr>
              <w:jc w:val="center"/>
              <w:rPr>
                <w:rFonts w:hint="eastAsia" w:ascii="宋体" w:hAnsi="宋体" w:eastAsia="宋体" w:cs="宋体"/>
                <w:i w:val="0"/>
                <w:iCs w:val="0"/>
                <w:color w:val="000000"/>
                <w:sz w:val="18"/>
                <w:szCs w:val="18"/>
                <w:u w:val="none"/>
              </w:rPr>
            </w:pPr>
          </w:p>
        </w:tc>
      </w:tr>
      <w:tr w14:paraId="3174E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5D4507">
            <w:pPr>
              <w:jc w:val="center"/>
              <w:rPr>
                <w:rFonts w:hint="eastAsia" w:ascii="宋体" w:hAnsi="宋体" w:eastAsia="宋体" w:cs="宋体"/>
                <w:b/>
                <w:bCs/>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406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558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602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师生满意度</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AF6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402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843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93AC7">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100</w:t>
            </w:r>
            <w:r>
              <w:rPr>
                <w:rFonts w:hint="eastAsia" w:cs="宋体"/>
                <w:i w:val="0"/>
                <w:iCs w:val="0"/>
                <w:color w:val="000000"/>
                <w:kern w:val="0"/>
                <w:sz w:val="18"/>
                <w:szCs w:val="18"/>
                <w:u w:val="none"/>
                <w:lang w:val="en-US" w:eastAsia="zh-CN" w:bidi="ar"/>
              </w:rPr>
              <w:t>%</w:t>
            </w:r>
            <w:bookmarkStart w:id="192" w:name="_GoBack"/>
            <w:bookmarkEnd w:id="192"/>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E9B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162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ECC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373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35A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F24B3">
            <w:pPr>
              <w:jc w:val="center"/>
              <w:rPr>
                <w:rFonts w:hint="eastAsia" w:ascii="宋体" w:hAnsi="宋体" w:eastAsia="宋体" w:cs="宋体"/>
                <w:i w:val="0"/>
                <w:iCs w:val="0"/>
                <w:color w:val="000000"/>
                <w:sz w:val="18"/>
                <w:szCs w:val="18"/>
                <w:u w:val="none"/>
              </w:rPr>
            </w:pPr>
          </w:p>
        </w:tc>
      </w:tr>
      <w:tr w14:paraId="5ABBD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9" w:type="pct"/>
            <w:gridSpan w:val="4"/>
            <w:tcBorders>
              <w:top w:val="single" w:color="000000" w:sz="4" w:space="0"/>
              <w:left w:val="single" w:color="000000" w:sz="4" w:space="0"/>
              <w:bottom w:val="single" w:color="000000" w:sz="4" w:space="0"/>
              <w:right w:val="nil"/>
            </w:tcBorders>
            <w:shd w:val="clear" w:color="auto" w:fill="auto"/>
            <w:vAlign w:val="center"/>
          </w:tcPr>
          <w:p w14:paraId="4458775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5F5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nil"/>
              <w:bottom w:val="single" w:color="000000" w:sz="4" w:space="0"/>
              <w:right w:val="single" w:color="000000" w:sz="4" w:space="0"/>
            </w:tcBorders>
            <w:shd w:val="clear" w:color="auto" w:fill="auto"/>
            <w:vAlign w:val="center"/>
          </w:tcPr>
          <w:p w14:paraId="5CB3DBB9">
            <w:pPr>
              <w:rPr>
                <w:rFonts w:hint="eastAsia" w:ascii="宋体" w:hAnsi="宋体" w:eastAsia="宋体" w:cs="宋体"/>
                <w:b/>
                <w:bCs/>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44EE0">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6926D">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F5E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96.75分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1F252">
            <w:pP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717BF">
            <w:pP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0E85D">
            <w:pPr>
              <w:rPr>
                <w:rFonts w:hint="eastAsia" w:ascii="宋体" w:hAnsi="宋体" w:eastAsia="宋体" w:cs="宋体"/>
                <w:i w:val="0"/>
                <w:iCs w:val="0"/>
                <w:color w:val="000000"/>
                <w:sz w:val="18"/>
                <w:szCs w:val="18"/>
                <w:u w:val="none"/>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C1896">
            <w:pPr>
              <w:rPr>
                <w:rFonts w:hint="eastAsia" w:ascii="宋体" w:hAnsi="宋体" w:eastAsia="宋体" w:cs="宋体"/>
                <w:i w:val="0"/>
                <w:iCs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7F030">
            <w:pPr>
              <w:rPr>
                <w:rFonts w:hint="eastAsia" w:ascii="宋体" w:hAnsi="宋体" w:eastAsia="宋体" w:cs="宋体"/>
                <w:i w:val="0"/>
                <w:iCs w:val="0"/>
                <w:color w:val="000000"/>
                <w:sz w:val="18"/>
                <w:szCs w:val="18"/>
                <w:u w:val="none"/>
              </w:rPr>
            </w:pPr>
          </w:p>
        </w:tc>
      </w:tr>
    </w:tbl>
    <w:p w14:paraId="2B068334">
      <w:pP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br w:type="page"/>
      </w:r>
    </w:p>
    <w:p w14:paraId="6684E998">
      <w:pPr>
        <w:pStyle w:val="3"/>
        <w:pageBreakBefore w:val="0"/>
        <w:numPr>
          <w:ilvl w:val="0"/>
          <w:numId w:val="0"/>
        </w:numPr>
        <w:shd w:val="clea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191" w:name="_Toc16444"/>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附件二、项目支出绩效评价指标体系打分表</w:t>
      </w:r>
      <w:bookmarkEnd w:id="190"/>
      <w:bookmarkEnd w:id="191"/>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1497"/>
        <w:gridCol w:w="2685"/>
        <w:gridCol w:w="6600"/>
        <w:gridCol w:w="785"/>
        <w:gridCol w:w="769"/>
      </w:tblGrid>
      <w:tr w14:paraId="7E41C2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70A1C072">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一级指标</w:t>
            </w:r>
          </w:p>
        </w:tc>
        <w:tc>
          <w:tcPr>
            <w:tcW w:w="727" w:type="dxa"/>
            <w:shd w:val="clear" w:color="auto" w:fill="auto"/>
            <w:noWrap w:val="0"/>
            <w:vAlign w:val="center"/>
          </w:tcPr>
          <w:p w14:paraId="0F53E2AC">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二级指标</w:t>
            </w:r>
          </w:p>
        </w:tc>
        <w:tc>
          <w:tcPr>
            <w:tcW w:w="1497" w:type="dxa"/>
            <w:shd w:val="clear" w:color="auto" w:fill="auto"/>
            <w:noWrap w:val="0"/>
            <w:vAlign w:val="center"/>
          </w:tcPr>
          <w:p w14:paraId="71586532">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三级指标</w:t>
            </w:r>
          </w:p>
        </w:tc>
        <w:tc>
          <w:tcPr>
            <w:tcW w:w="2685" w:type="dxa"/>
            <w:shd w:val="clear" w:color="auto" w:fill="auto"/>
            <w:noWrap w:val="0"/>
            <w:vAlign w:val="center"/>
          </w:tcPr>
          <w:p w14:paraId="5986C6A0">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指标解释</w:t>
            </w:r>
          </w:p>
        </w:tc>
        <w:tc>
          <w:tcPr>
            <w:tcW w:w="6600" w:type="dxa"/>
            <w:shd w:val="clear" w:color="auto" w:fill="auto"/>
            <w:noWrap w:val="0"/>
            <w:vAlign w:val="center"/>
          </w:tcPr>
          <w:p w14:paraId="4243EF75">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指标说明</w:t>
            </w:r>
          </w:p>
        </w:tc>
        <w:tc>
          <w:tcPr>
            <w:tcW w:w="785" w:type="dxa"/>
            <w:shd w:val="clear" w:color="auto" w:fill="auto"/>
            <w:noWrap w:val="0"/>
            <w:vAlign w:val="center"/>
          </w:tcPr>
          <w:p w14:paraId="7274B354">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highlight w:val="none"/>
                <w:lang w:val="en-US" w:eastAsia="zh-CN"/>
              </w:rPr>
            </w:pPr>
            <w:r>
              <w:rPr>
                <w:rFonts w:hint="eastAsia" w:ascii="宋体" w:hAnsi="宋体" w:eastAsia="宋体" w:cs="宋体"/>
                <w:b/>
                <w:bCs/>
                <w:color w:val="000000"/>
                <w:kern w:val="0"/>
                <w:sz w:val="22"/>
                <w:szCs w:val="22"/>
                <w:highlight w:val="none"/>
                <w:lang w:val="en-US" w:eastAsia="zh-CN"/>
              </w:rPr>
              <w:t>分值</w:t>
            </w:r>
          </w:p>
        </w:tc>
        <w:tc>
          <w:tcPr>
            <w:tcW w:w="769" w:type="dxa"/>
            <w:shd w:val="clear" w:color="auto" w:fill="auto"/>
            <w:noWrap w:val="0"/>
            <w:vAlign w:val="center"/>
          </w:tcPr>
          <w:p w14:paraId="19FB8F6E">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highlight w:val="none"/>
                <w:lang w:val="en-US" w:eastAsia="zh-CN"/>
              </w:rPr>
            </w:pPr>
            <w:r>
              <w:rPr>
                <w:rFonts w:hint="eastAsia" w:ascii="宋体" w:hAnsi="宋体" w:eastAsia="宋体" w:cs="宋体"/>
                <w:b/>
                <w:bCs/>
                <w:color w:val="000000"/>
                <w:kern w:val="0"/>
                <w:sz w:val="22"/>
                <w:szCs w:val="22"/>
                <w:highlight w:val="none"/>
                <w:lang w:val="en-US" w:eastAsia="zh-CN"/>
              </w:rPr>
              <w:t>得分</w:t>
            </w:r>
          </w:p>
        </w:tc>
      </w:tr>
      <w:tr w14:paraId="13E7AF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08AE6D3A">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决策　</w:t>
            </w:r>
          </w:p>
          <w:p w14:paraId="4DC93029">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p w14:paraId="761327A1">
            <w:pPr>
              <w:pageBreakBefore w:val="0"/>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tc>
        <w:tc>
          <w:tcPr>
            <w:tcW w:w="727" w:type="dxa"/>
            <w:vMerge w:val="restart"/>
            <w:shd w:val="clear" w:color="auto" w:fill="auto"/>
            <w:noWrap w:val="0"/>
            <w:vAlign w:val="center"/>
          </w:tcPr>
          <w:p w14:paraId="56255FD9">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项目立项　</w:t>
            </w:r>
          </w:p>
        </w:tc>
        <w:tc>
          <w:tcPr>
            <w:tcW w:w="1497" w:type="dxa"/>
            <w:shd w:val="clear" w:color="auto" w:fill="auto"/>
            <w:noWrap w:val="0"/>
            <w:vAlign w:val="center"/>
          </w:tcPr>
          <w:p w14:paraId="3BCD2298">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立项依据</w:t>
            </w:r>
          </w:p>
          <w:p w14:paraId="797B61A5">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充分性</w:t>
            </w:r>
          </w:p>
        </w:tc>
        <w:tc>
          <w:tcPr>
            <w:tcW w:w="2685" w:type="dxa"/>
            <w:shd w:val="clear" w:color="auto" w:fill="auto"/>
            <w:noWrap w:val="0"/>
            <w:vAlign w:val="center"/>
          </w:tcPr>
          <w:p w14:paraId="1CECC3A2">
            <w:pPr>
              <w:pageBreakBefore w:val="0"/>
              <w:widowControl/>
              <w:shd w:val="clear"/>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项目立项是否符合法律法规、相关政策、发展规划以及部门职责，用以反映和考核项目立项依据情况。</w:t>
            </w:r>
          </w:p>
        </w:tc>
        <w:tc>
          <w:tcPr>
            <w:tcW w:w="6600" w:type="dxa"/>
            <w:shd w:val="clear" w:color="auto" w:fill="auto"/>
            <w:noWrap w:val="0"/>
            <w:vAlign w:val="center"/>
          </w:tcPr>
          <w:p w14:paraId="7B8BF3F1">
            <w:pPr>
              <w:pageBreakBefore w:val="0"/>
              <w:widowControl/>
              <w:shd w:val="clear"/>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5230E02C">
            <w:pPr>
              <w:pageBreakBefore w:val="0"/>
              <w:widowControl/>
              <w:shd w:val="clear"/>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①项目立项是否符合国家法律法规、国民经济发展规划和相关政策；</w:t>
            </w:r>
          </w:p>
          <w:p w14:paraId="7A3F56B6">
            <w:pPr>
              <w:pageBreakBefore w:val="0"/>
              <w:widowControl/>
              <w:shd w:val="clear"/>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②项目立项是否符合行业发展规划和政策要求；</w:t>
            </w:r>
          </w:p>
          <w:p w14:paraId="520C0B03">
            <w:pPr>
              <w:pageBreakBefore w:val="0"/>
              <w:widowControl/>
              <w:shd w:val="clear"/>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③项目立项是否与部门职责范围相符，属于部门履职所需；</w:t>
            </w:r>
          </w:p>
          <w:p w14:paraId="74D7BE90">
            <w:pPr>
              <w:pageBreakBefore w:val="0"/>
              <w:widowControl/>
              <w:shd w:val="clear"/>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④项目是否属于公共财政支持范围，是否符合中央、地方事权支出责任划分原则；</w:t>
            </w:r>
          </w:p>
          <w:p w14:paraId="11A3A758">
            <w:pPr>
              <w:pageBreakBefore w:val="0"/>
              <w:widowControl/>
              <w:shd w:val="clear"/>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⑤项目是否与相关部门同类项目或部门内部相关项目重复。</w:t>
            </w:r>
          </w:p>
        </w:tc>
        <w:tc>
          <w:tcPr>
            <w:tcW w:w="785" w:type="dxa"/>
            <w:shd w:val="clear" w:color="auto" w:fill="auto"/>
            <w:noWrap w:val="0"/>
            <w:vAlign w:val="center"/>
          </w:tcPr>
          <w:p w14:paraId="51F89C5D">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03C7B0E5">
            <w:pPr>
              <w:pageBreakBefore w:val="0"/>
              <w:widowControl/>
              <w:shd w:val="clear"/>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2</w:t>
            </w:r>
          </w:p>
        </w:tc>
      </w:tr>
      <w:tr w14:paraId="469AD9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54D7BCAB">
            <w:pPr>
              <w:pageBreakBefore w:val="0"/>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200206C9">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1497" w:type="dxa"/>
            <w:shd w:val="clear" w:color="auto" w:fill="auto"/>
            <w:noWrap w:val="0"/>
            <w:vAlign w:val="center"/>
          </w:tcPr>
          <w:p w14:paraId="06152619">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立项程序</w:t>
            </w:r>
          </w:p>
          <w:p w14:paraId="70B36E79">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规范性</w:t>
            </w:r>
          </w:p>
        </w:tc>
        <w:tc>
          <w:tcPr>
            <w:tcW w:w="2685" w:type="dxa"/>
            <w:shd w:val="clear" w:color="auto" w:fill="auto"/>
            <w:noWrap w:val="0"/>
            <w:vAlign w:val="center"/>
          </w:tcPr>
          <w:p w14:paraId="2F1F2E52">
            <w:pPr>
              <w:pageBreakBefore w:val="0"/>
              <w:widowControl/>
              <w:shd w:val="clear"/>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项目申请、设立过程是否符合相关要求，用以反映和考核项目立项的规范情况。</w:t>
            </w:r>
          </w:p>
        </w:tc>
        <w:tc>
          <w:tcPr>
            <w:tcW w:w="6600" w:type="dxa"/>
            <w:shd w:val="clear" w:color="auto" w:fill="auto"/>
            <w:noWrap w:val="0"/>
            <w:vAlign w:val="center"/>
          </w:tcPr>
          <w:p w14:paraId="5C454971">
            <w:pPr>
              <w:pageBreakBefore w:val="0"/>
              <w:widowControl/>
              <w:shd w:val="clear"/>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2A215DDE">
            <w:pPr>
              <w:pageBreakBefore w:val="0"/>
              <w:widowControl/>
              <w:shd w:val="clear"/>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①项目是否按照规定的程序申请设立；</w:t>
            </w:r>
          </w:p>
          <w:p w14:paraId="329C51E4">
            <w:pPr>
              <w:pageBreakBefore w:val="0"/>
              <w:widowControl/>
              <w:shd w:val="clear"/>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②审批文件、材料是否符合相关要求；</w:t>
            </w:r>
          </w:p>
          <w:p w14:paraId="5DDD2091">
            <w:pPr>
              <w:pageBreakBefore w:val="0"/>
              <w:widowControl/>
              <w:shd w:val="clear"/>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③事前是否已经过必要的可行性研究、专家论证、风险评估、绩效评估、集体决策。</w:t>
            </w:r>
          </w:p>
        </w:tc>
        <w:tc>
          <w:tcPr>
            <w:tcW w:w="785" w:type="dxa"/>
            <w:shd w:val="clear" w:color="auto" w:fill="auto"/>
            <w:noWrap w:val="0"/>
            <w:vAlign w:val="center"/>
          </w:tcPr>
          <w:p w14:paraId="56BE98C3">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08BFFA3E">
            <w:pPr>
              <w:pageBreakBefore w:val="0"/>
              <w:widowControl/>
              <w:shd w:val="clear"/>
              <w:kinsoku/>
              <w:wordWrap/>
              <w:overflowPunct/>
              <w:topLinePunct w:val="0"/>
              <w:autoSpaceDE/>
              <w:autoSpaceDN/>
              <w:bidi w:val="0"/>
              <w:spacing w:line="240" w:lineRule="auto"/>
              <w:ind w:firstLine="0" w:firstLineChars="0"/>
              <w:jc w:val="left"/>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2</w:t>
            </w:r>
          </w:p>
        </w:tc>
      </w:tr>
      <w:tr w14:paraId="1A4A98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78F715B6">
            <w:pPr>
              <w:pageBreakBefore w:val="0"/>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shd w:val="clear" w:color="auto" w:fill="auto"/>
            <w:noWrap w:val="0"/>
            <w:vAlign w:val="center"/>
          </w:tcPr>
          <w:p w14:paraId="5926AFD4">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绩效目标　</w:t>
            </w:r>
          </w:p>
        </w:tc>
        <w:tc>
          <w:tcPr>
            <w:tcW w:w="1497" w:type="dxa"/>
            <w:shd w:val="clear" w:color="auto" w:fill="auto"/>
            <w:noWrap w:val="0"/>
            <w:vAlign w:val="center"/>
          </w:tcPr>
          <w:p w14:paraId="39D7BD60">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绩效目标</w:t>
            </w:r>
          </w:p>
          <w:p w14:paraId="46956372">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合理性</w:t>
            </w:r>
          </w:p>
        </w:tc>
        <w:tc>
          <w:tcPr>
            <w:tcW w:w="2685" w:type="dxa"/>
            <w:shd w:val="clear" w:color="auto" w:fill="auto"/>
            <w:noWrap w:val="0"/>
            <w:vAlign w:val="center"/>
          </w:tcPr>
          <w:p w14:paraId="79327FF0">
            <w:pPr>
              <w:pageBreakBefore w:val="0"/>
              <w:widowControl/>
              <w:shd w:val="clear"/>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项目所设定的绩效目标是否依据充分，是否符合客观实际，用以反映和考核项目绩效目标与项目实施的相符情况。</w:t>
            </w:r>
          </w:p>
        </w:tc>
        <w:tc>
          <w:tcPr>
            <w:tcW w:w="6600" w:type="dxa"/>
            <w:shd w:val="clear" w:color="auto" w:fill="auto"/>
            <w:noWrap w:val="0"/>
            <w:vAlign w:val="center"/>
          </w:tcPr>
          <w:p w14:paraId="686BA589">
            <w:pPr>
              <w:pageBreakBefore w:val="0"/>
              <w:widowControl/>
              <w:shd w:val="clear"/>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20AC6FDE">
            <w:pPr>
              <w:pageBreakBefore w:val="0"/>
              <w:widowControl/>
              <w:shd w:val="clear"/>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（如未设定预算绩效目标，也可考核其他工作任务目标）</w:t>
            </w:r>
          </w:p>
          <w:p w14:paraId="1A12C3E5">
            <w:pPr>
              <w:pageBreakBefore w:val="0"/>
              <w:widowControl/>
              <w:shd w:val="clear"/>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①项目是否有绩效目标；</w:t>
            </w:r>
          </w:p>
          <w:p w14:paraId="6403B531">
            <w:pPr>
              <w:pageBreakBefore w:val="0"/>
              <w:widowControl/>
              <w:shd w:val="clear"/>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②项目绩效目标与实际工作内容是否具有相关性；</w:t>
            </w:r>
          </w:p>
          <w:p w14:paraId="329E736C">
            <w:pPr>
              <w:pageBreakBefore w:val="0"/>
              <w:widowControl/>
              <w:shd w:val="clear"/>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③项目预期产出效益和效果是否符合正常的业绩水平；</w:t>
            </w:r>
          </w:p>
          <w:p w14:paraId="5A651CE2">
            <w:pPr>
              <w:pageBreakBefore w:val="0"/>
              <w:widowControl/>
              <w:shd w:val="clear"/>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④是否与预算确定的项目投资额或资金量相匹配。</w:t>
            </w:r>
          </w:p>
        </w:tc>
        <w:tc>
          <w:tcPr>
            <w:tcW w:w="785" w:type="dxa"/>
            <w:shd w:val="clear" w:color="auto" w:fill="auto"/>
            <w:noWrap w:val="0"/>
            <w:vAlign w:val="center"/>
          </w:tcPr>
          <w:p w14:paraId="7D7B6DA9">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6C88B64E">
            <w:pPr>
              <w:pageBreakBefore w:val="0"/>
              <w:widowControl/>
              <w:shd w:val="clear"/>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1383A8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6B21C284">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决策　</w:t>
            </w:r>
          </w:p>
        </w:tc>
        <w:tc>
          <w:tcPr>
            <w:tcW w:w="727" w:type="dxa"/>
            <w:shd w:val="clear" w:color="auto" w:fill="auto"/>
            <w:noWrap w:val="0"/>
            <w:vAlign w:val="center"/>
          </w:tcPr>
          <w:p w14:paraId="4246D427">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绩效目标</w:t>
            </w:r>
          </w:p>
        </w:tc>
        <w:tc>
          <w:tcPr>
            <w:tcW w:w="1497" w:type="dxa"/>
            <w:shd w:val="clear" w:color="auto" w:fill="auto"/>
            <w:noWrap w:val="0"/>
            <w:vAlign w:val="center"/>
          </w:tcPr>
          <w:p w14:paraId="438ABDD4">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绩效指标</w:t>
            </w:r>
          </w:p>
          <w:p w14:paraId="448250F3">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明确性</w:t>
            </w:r>
          </w:p>
        </w:tc>
        <w:tc>
          <w:tcPr>
            <w:tcW w:w="2685" w:type="dxa"/>
            <w:shd w:val="clear" w:color="auto" w:fill="auto"/>
            <w:noWrap w:val="0"/>
            <w:vAlign w:val="center"/>
          </w:tcPr>
          <w:p w14:paraId="59183A7D">
            <w:pPr>
              <w:pageBreakBefore w:val="0"/>
              <w:widowControl/>
              <w:shd w:val="clear"/>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依据绩效目标设定的绩效指标是否清晰、细化、可衡量等，用以反映和考核项目绩效目标的明细化情况。</w:t>
            </w:r>
          </w:p>
        </w:tc>
        <w:tc>
          <w:tcPr>
            <w:tcW w:w="6600" w:type="dxa"/>
            <w:shd w:val="clear" w:color="auto" w:fill="auto"/>
            <w:noWrap w:val="0"/>
            <w:vAlign w:val="center"/>
          </w:tcPr>
          <w:p w14:paraId="0EC4DE93">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65F1369E">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①是否将项目绩效目标细化分解为具体的绩效指标；</w:t>
            </w:r>
          </w:p>
          <w:p w14:paraId="3EDBFF05">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②是否通过清晰、可衡量的指标值予以体现；</w:t>
            </w:r>
          </w:p>
          <w:p w14:paraId="1FC7E897">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③是否与项目目标任务数或计划数相对应。</w:t>
            </w:r>
          </w:p>
          <w:p w14:paraId="264F2EF6">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p>
        </w:tc>
        <w:tc>
          <w:tcPr>
            <w:tcW w:w="785" w:type="dxa"/>
            <w:shd w:val="clear" w:color="auto" w:fill="auto"/>
            <w:noWrap w:val="0"/>
            <w:vAlign w:val="center"/>
          </w:tcPr>
          <w:p w14:paraId="6B715A8B">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2AEAE634">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5E66D7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147CEA75">
            <w:pPr>
              <w:pageBreakBefore w:val="0"/>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restart"/>
            <w:shd w:val="clear" w:color="auto" w:fill="auto"/>
            <w:noWrap w:val="0"/>
            <w:vAlign w:val="center"/>
          </w:tcPr>
          <w:p w14:paraId="0A7377F2">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资金投入</w:t>
            </w:r>
          </w:p>
          <w:p w14:paraId="195C562C">
            <w:pPr>
              <w:pageBreakBefore w:val="0"/>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tc>
        <w:tc>
          <w:tcPr>
            <w:tcW w:w="1497" w:type="dxa"/>
            <w:shd w:val="clear" w:color="auto" w:fill="auto"/>
            <w:noWrap w:val="0"/>
            <w:vAlign w:val="center"/>
          </w:tcPr>
          <w:p w14:paraId="0752BA85">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预算编制</w:t>
            </w:r>
          </w:p>
          <w:p w14:paraId="66377C01">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科学性</w:t>
            </w:r>
          </w:p>
        </w:tc>
        <w:tc>
          <w:tcPr>
            <w:tcW w:w="2685" w:type="dxa"/>
            <w:shd w:val="clear" w:color="auto" w:fill="auto"/>
            <w:noWrap w:val="0"/>
            <w:vAlign w:val="center"/>
          </w:tcPr>
          <w:p w14:paraId="554E0AD6">
            <w:pPr>
              <w:pageBreakBefore w:val="0"/>
              <w:widowControl/>
              <w:shd w:val="clear"/>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项目预算编制是否经过科学论证、有明确标准，资金额度与年度目标是否相适应，用以反映和考核项目预算编制的科学性、合理性情况。</w:t>
            </w:r>
          </w:p>
        </w:tc>
        <w:tc>
          <w:tcPr>
            <w:tcW w:w="6600" w:type="dxa"/>
            <w:shd w:val="clear" w:color="auto" w:fill="auto"/>
            <w:noWrap w:val="0"/>
            <w:vAlign w:val="center"/>
          </w:tcPr>
          <w:p w14:paraId="16A217C2">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457EADA9">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①预算编制是否经过科学论证；</w:t>
            </w:r>
          </w:p>
          <w:p w14:paraId="143902DC">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②预算内容与项目内容是否匹配；</w:t>
            </w:r>
          </w:p>
          <w:p w14:paraId="13B50E67">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③预算额度测算依据是否充分，是否按照标准编制；</w:t>
            </w:r>
          </w:p>
          <w:p w14:paraId="3AEFB0D0">
            <w:pPr>
              <w:pageBreakBefore w:val="0"/>
              <w:widowControl/>
              <w:shd w:val="clear"/>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④预算确定的项目投资额或资金量是否与工作任务相匹配。</w:t>
            </w:r>
          </w:p>
        </w:tc>
        <w:tc>
          <w:tcPr>
            <w:tcW w:w="785" w:type="dxa"/>
            <w:shd w:val="clear" w:color="auto" w:fill="auto"/>
            <w:noWrap w:val="0"/>
            <w:vAlign w:val="center"/>
          </w:tcPr>
          <w:p w14:paraId="020B2B2B">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05B39B54">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2</w:t>
            </w:r>
          </w:p>
        </w:tc>
      </w:tr>
      <w:tr w14:paraId="0BDB6F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189" w:hRule="atLeast"/>
          <w:jc w:val="center"/>
        </w:trPr>
        <w:tc>
          <w:tcPr>
            <w:tcW w:w="861" w:type="dxa"/>
            <w:vMerge w:val="continue"/>
            <w:shd w:val="clear" w:color="auto" w:fill="auto"/>
            <w:noWrap w:val="0"/>
            <w:vAlign w:val="center"/>
          </w:tcPr>
          <w:p w14:paraId="75EC94AB">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4C7DD666">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1497" w:type="dxa"/>
            <w:shd w:val="clear" w:color="auto" w:fill="auto"/>
            <w:noWrap w:val="0"/>
            <w:vAlign w:val="center"/>
          </w:tcPr>
          <w:p w14:paraId="417F0379">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资金分配</w:t>
            </w:r>
          </w:p>
          <w:p w14:paraId="339F3A64">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合理性</w:t>
            </w:r>
          </w:p>
        </w:tc>
        <w:tc>
          <w:tcPr>
            <w:tcW w:w="2685" w:type="dxa"/>
            <w:shd w:val="clear" w:color="auto" w:fill="auto"/>
            <w:noWrap w:val="0"/>
            <w:vAlign w:val="center"/>
          </w:tcPr>
          <w:p w14:paraId="1B590F63">
            <w:pPr>
              <w:pageBreakBefore w:val="0"/>
              <w:widowControl/>
              <w:shd w:val="clear"/>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项目预算资金分配是否有测算依据，与补助单位或地方实际是否相适应，用以反映和考核项目预算资金分配的科学性、合理性情况。</w:t>
            </w:r>
          </w:p>
        </w:tc>
        <w:tc>
          <w:tcPr>
            <w:tcW w:w="6600" w:type="dxa"/>
            <w:shd w:val="clear" w:color="auto" w:fill="auto"/>
            <w:noWrap w:val="0"/>
            <w:vAlign w:val="center"/>
          </w:tcPr>
          <w:p w14:paraId="5DEF2CC3">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1D6999ED">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①预算资金分配依据是否充分；</w:t>
            </w:r>
          </w:p>
          <w:p w14:paraId="50CB0239">
            <w:pPr>
              <w:pageBreakBefore w:val="0"/>
              <w:widowControl/>
              <w:shd w:val="clear"/>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②资金分配额度是否合理，与项目单位或地方实际是否相适应。</w:t>
            </w:r>
          </w:p>
        </w:tc>
        <w:tc>
          <w:tcPr>
            <w:tcW w:w="785" w:type="dxa"/>
            <w:shd w:val="clear" w:color="auto" w:fill="auto"/>
            <w:noWrap w:val="0"/>
            <w:vAlign w:val="center"/>
          </w:tcPr>
          <w:p w14:paraId="760F5018">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64D0B0F4">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3</w:t>
            </w:r>
          </w:p>
        </w:tc>
      </w:tr>
      <w:tr w14:paraId="0159CD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2C3EE769">
            <w:pPr>
              <w:pageBreakBefore w:val="0"/>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过程</w:t>
            </w:r>
          </w:p>
        </w:tc>
        <w:tc>
          <w:tcPr>
            <w:tcW w:w="727" w:type="dxa"/>
            <w:vMerge w:val="restart"/>
            <w:shd w:val="clear" w:color="auto" w:fill="auto"/>
            <w:noWrap w:val="0"/>
            <w:vAlign w:val="center"/>
          </w:tcPr>
          <w:p w14:paraId="699084E5">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资金管理</w:t>
            </w:r>
          </w:p>
        </w:tc>
        <w:tc>
          <w:tcPr>
            <w:tcW w:w="1497" w:type="dxa"/>
            <w:shd w:val="clear" w:color="auto" w:fill="auto"/>
            <w:noWrap w:val="0"/>
            <w:vAlign w:val="center"/>
          </w:tcPr>
          <w:p w14:paraId="3E4C43E7">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资金到位率</w:t>
            </w:r>
          </w:p>
        </w:tc>
        <w:tc>
          <w:tcPr>
            <w:tcW w:w="2685" w:type="dxa"/>
            <w:shd w:val="clear" w:color="auto" w:fill="auto"/>
            <w:noWrap w:val="0"/>
            <w:vAlign w:val="center"/>
          </w:tcPr>
          <w:p w14:paraId="73E7E544">
            <w:pPr>
              <w:pageBreakBefore w:val="0"/>
              <w:widowControl/>
              <w:shd w:val="clear"/>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实际到位资金与预算资金的比率，用以反映和考核资金落实情况对项目实施的总体保障程度。</w:t>
            </w:r>
          </w:p>
        </w:tc>
        <w:tc>
          <w:tcPr>
            <w:tcW w:w="6600" w:type="dxa"/>
            <w:shd w:val="clear" w:color="auto" w:fill="auto"/>
            <w:noWrap w:val="0"/>
            <w:vAlign w:val="center"/>
          </w:tcPr>
          <w:p w14:paraId="2D26BB09">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资金到位率=（</w:t>
            </w:r>
          </w:p>
          <w:p w14:paraId="364EFE8B">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实际到位资金/预算资金）×100%。</w:t>
            </w:r>
          </w:p>
          <w:p w14:paraId="014B976E">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实际到位资金：一定时期（本年度或项目期）内落实到具体项目的资金。</w:t>
            </w:r>
          </w:p>
          <w:p w14:paraId="798A3675">
            <w:pPr>
              <w:pageBreakBefore w:val="0"/>
              <w:widowControl/>
              <w:shd w:val="clear"/>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预算资金：一定时期（本年度或项目期）内预算安排到具体项目的资金。</w:t>
            </w:r>
          </w:p>
        </w:tc>
        <w:tc>
          <w:tcPr>
            <w:tcW w:w="785" w:type="dxa"/>
            <w:shd w:val="clear" w:color="auto" w:fill="auto"/>
            <w:noWrap w:val="0"/>
            <w:vAlign w:val="center"/>
          </w:tcPr>
          <w:p w14:paraId="39DFF119">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2742030">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38753C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1E70C8B9">
            <w:pPr>
              <w:pageBreakBefore w:val="0"/>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39D4206B">
            <w:pPr>
              <w:pageBreakBefore w:val="0"/>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1497" w:type="dxa"/>
            <w:shd w:val="clear" w:color="auto" w:fill="auto"/>
            <w:noWrap w:val="0"/>
            <w:vAlign w:val="center"/>
          </w:tcPr>
          <w:p w14:paraId="38948E6B">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预算执行率</w:t>
            </w:r>
          </w:p>
        </w:tc>
        <w:tc>
          <w:tcPr>
            <w:tcW w:w="2685" w:type="dxa"/>
            <w:shd w:val="clear" w:color="auto" w:fill="auto"/>
            <w:noWrap w:val="0"/>
            <w:vAlign w:val="center"/>
          </w:tcPr>
          <w:p w14:paraId="35CEF4F8">
            <w:pPr>
              <w:pageBreakBefore w:val="0"/>
              <w:widowControl/>
              <w:shd w:val="clear"/>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项目预算资金是否按照计划执行，用以反映或考核项目预算执行情况。</w:t>
            </w:r>
          </w:p>
        </w:tc>
        <w:tc>
          <w:tcPr>
            <w:tcW w:w="6600" w:type="dxa"/>
            <w:shd w:val="clear" w:color="auto" w:fill="auto"/>
            <w:noWrap w:val="0"/>
            <w:vAlign w:val="center"/>
          </w:tcPr>
          <w:p w14:paraId="1CF76DD4">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预算执行率=（实际支出资金/实际到位资金）×100%。</w:t>
            </w:r>
          </w:p>
          <w:p w14:paraId="7D6F6F98">
            <w:pPr>
              <w:pageBreakBefore w:val="0"/>
              <w:widowControl/>
              <w:shd w:val="clear"/>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实际支出资金：一定时期（本年度或项目期）内项目实际拨付的资金。</w:t>
            </w:r>
          </w:p>
        </w:tc>
        <w:tc>
          <w:tcPr>
            <w:tcW w:w="785" w:type="dxa"/>
            <w:shd w:val="clear" w:color="auto" w:fill="auto"/>
            <w:noWrap w:val="0"/>
            <w:vAlign w:val="center"/>
          </w:tcPr>
          <w:p w14:paraId="5B7F5795">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3E908577">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14DB23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17A14F75">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p w14:paraId="4FE265AA">
            <w:pPr>
              <w:pageBreakBefore w:val="0"/>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过程　</w:t>
            </w:r>
          </w:p>
        </w:tc>
        <w:tc>
          <w:tcPr>
            <w:tcW w:w="727" w:type="dxa"/>
            <w:shd w:val="clear" w:color="auto" w:fill="auto"/>
            <w:noWrap w:val="0"/>
            <w:vAlign w:val="center"/>
          </w:tcPr>
          <w:p w14:paraId="1FF91FE9">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资金管理</w:t>
            </w:r>
          </w:p>
        </w:tc>
        <w:tc>
          <w:tcPr>
            <w:tcW w:w="1497" w:type="dxa"/>
            <w:shd w:val="clear" w:color="auto" w:fill="auto"/>
            <w:noWrap w:val="0"/>
            <w:vAlign w:val="center"/>
          </w:tcPr>
          <w:p w14:paraId="4F8AA211">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资金使用</w:t>
            </w:r>
          </w:p>
          <w:p w14:paraId="212887BE">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合规性</w:t>
            </w:r>
          </w:p>
        </w:tc>
        <w:tc>
          <w:tcPr>
            <w:tcW w:w="2685" w:type="dxa"/>
            <w:shd w:val="clear" w:color="auto" w:fill="auto"/>
            <w:noWrap w:val="0"/>
            <w:vAlign w:val="center"/>
          </w:tcPr>
          <w:p w14:paraId="2C2D717C">
            <w:pPr>
              <w:pageBreakBefore w:val="0"/>
              <w:widowControl/>
              <w:shd w:val="clear"/>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项目资金使用是否符合相关的财务管理制度规定，用以反映和考核项目资金的规范运行情况。</w:t>
            </w:r>
          </w:p>
        </w:tc>
        <w:tc>
          <w:tcPr>
            <w:tcW w:w="6600" w:type="dxa"/>
            <w:shd w:val="clear" w:color="auto" w:fill="auto"/>
            <w:noWrap w:val="0"/>
            <w:vAlign w:val="center"/>
          </w:tcPr>
          <w:p w14:paraId="0B025CED">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3C805E34">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①是否符合国家财经法规和财务管理制度以及有关专项资金管理办法的规定；</w:t>
            </w:r>
          </w:p>
          <w:p w14:paraId="15D4FEB6">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②资金的拨付是否有完整的审批程序和手续；</w:t>
            </w:r>
          </w:p>
          <w:p w14:paraId="03CF2ADE">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③是否符合项目预算批复或合同规定的用途；</w:t>
            </w:r>
          </w:p>
          <w:p w14:paraId="61E2F551">
            <w:pPr>
              <w:pageBreakBefore w:val="0"/>
              <w:widowControl/>
              <w:shd w:val="clear"/>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④是否存在截留、挤占、挪用、虚列支出等情况。</w:t>
            </w:r>
          </w:p>
        </w:tc>
        <w:tc>
          <w:tcPr>
            <w:tcW w:w="785" w:type="dxa"/>
            <w:shd w:val="clear" w:color="auto" w:fill="auto"/>
            <w:noWrap w:val="0"/>
            <w:vAlign w:val="center"/>
          </w:tcPr>
          <w:p w14:paraId="7B9F231F">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037C9AC2">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7B04FD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1B8BDF3C">
            <w:pPr>
              <w:pageBreakBefore w:val="0"/>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restart"/>
            <w:shd w:val="clear" w:color="auto" w:fill="auto"/>
            <w:noWrap w:val="0"/>
            <w:vAlign w:val="center"/>
          </w:tcPr>
          <w:p w14:paraId="1F5B9023">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组织实施</w:t>
            </w:r>
          </w:p>
          <w:p w14:paraId="1C58F672">
            <w:pPr>
              <w:pageBreakBefore w:val="0"/>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tc>
        <w:tc>
          <w:tcPr>
            <w:tcW w:w="1497" w:type="dxa"/>
            <w:shd w:val="clear" w:color="auto" w:fill="auto"/>
            <w:noWrap w:val="0"/>
            <w:vAlign w:val="center"/>
          </w:tcPr>
          <w:p w14:paraId="33E8DC6E">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管理制度</w:t>
            </w:r>
          </w:p>
          <w:p w14:paraId="2E671AF0">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健全性</w:t>
            </w:r>
          </w:p>
        </w:tc>
        <w:tc>
          <w:tcPr>
            <w:tcW w:w="2685" w:type="dxa"/>
            <w:shd w:val="clear" w:color="auto" w:fill="auto"/>
            <w:noWrap w:val="0"/>
            <w:vAlign w:val="center"/>
          </w:tcPr>
          <w:p w14:paraId="2ADD5596">
            <w:pPr>
              <w:pageBreakBefore w:val="0"/>
              <w:widowControl/>
              <w:shd w:val="clear"/>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项目实施单位的财务和业务管理制度是否健全，用以反映和考核财务和业务管理制度对项目顺利实施的保障情况。</w:t>
            </w:r>
          </w:p>
        </w:tc>
        <w:tc>
          <w:tcPr>
            <w:tcW w:w="6600" w:type="dxa"/>
            <w:shd w:val="clear" w:color="auto" w:fill="auto"/>
            <w:noWrap w:val="0"/>
            <w:vAlign w:val="center"/>
          </w:tcPr>
          <w:p w14:paraId="1CB11650">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63A9A6A5">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①是否已制定或具有相应的财务和业务管理制度；</w:t>
            </w:r>
          </w:p>
          <w:p w14:paraId="53DC5B9C">
            <w:pPr>
              <w:pageBreakBefore w:val="0"/>
              <w:widowControl/>
              <w:shd w:val="clear"/>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②财务和业务管理制度是否合法、合规、完整。</w:t>
            </w:r>
          </w:p>
        </w:tc>
        <w:tc>
          <w:tcPr>
            <w:tcW w:w="785" w:type="dxa"/>
            <w:shd w:val="clear" w:color="auto" w:fill="auto"/>
            <w:noWrap w:val="0"/>
            <w:vAlign w:val="center"/>
          </w:tcPr>
          <w:p w14:paraId="493774D2">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3DD6C6AF">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00767F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26BB6965">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79393327">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1497" w:type="dxa"/>
            <w:shd w:val="clear" w:color="auto" w:fill="auto"/>
            <w:noWrap w:val="0"/>
            <w:vAlign w:val="center"/>
          </w:tcPr>
          <w:p w14:paraId="02C7BD8E">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制度执行</w:t>
            </w:r>
          </w:p>
          <w:p w14:paraId="4C9BC35F">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有效性</w:t>
            </w:r>
          </w:p>
        </w:tc>
        <w:tc>
          <w:tcPr>
            <w:tcW w:w="2685" w:type="dxa"/>
            <w:shd w:val="clear" w:color="auto" w:fill="auto"/>
            <w:noWrap w:val="0"/>
            <w:vAlign w:val="center"/>
          </w:tcPr>
          <w:p w14:paraId="359E82AA">
            <w:pPr>
              <w:pageBreakBefore w:val="0"/>
              <w:widowControl/>
              <w:shd w:val="clear"/>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项目实施是否符合相关管理规定，用以反映和考核相关管理制度的有效执行情况。</w:t>
            </w:r>
          </w:p>
        </w:tc>
        <w:tc>
          <w:tcPr>
            <w:tcW w:w="6600" w:type="dxa"/>
            <w:shd w:val="clear" w:color="auto" w:fill="auto"/>
            <w:noWrap w:val="0"/>
            <w:vAlign w:val="center"/>
          </w:tcPr>
          <w:p w14:paraId="0C7FCE92">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0D124872">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①是否遵守相关法律法规和相关管理规定；</w:t>
            </w:r>
          </w:p>
          <w:p w14:paraId="48C10714">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②项目调整及支出调整手续是否完备；</w:t>
            </w:r>
          </w:p>
          <w:p w14:paraId="75F040FE">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③项目合同书、验收报告、技术鉴定等资料是否齐全并及时归档；</w:t>
            </w:r>
          </w:p>
          <w:p w14:paraId="2230071A">
            <w:pPr>
              <w:pageBreakBefore w:val="0"/>
              <w:widowControl/>
              <w:shd w:val="clear"/>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④项目实施的人员条件、场地设备、信息支撑等是否落实到位。</w:t>
            </w:r>
          </w:p>
        </w:tc>
        <w:tc>
          <w:tcPr>
            <w:tcW w:w="785" w:type="dxa"/>
            <w:shd w:val="clear" w:color="auto" w:fill="auto"/>
            <w:noWrap w:val="0"/>
            <w:vAlign w:val="center"/>
          </w:tcPr>
          <w:p w14:paraId="3855FCF9">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11E37511">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602791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6625957F">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1DD60000">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1497" w:type="dxa"/>
            <w:shd w:val="clear" w:color="auto" w:fill="auto"/>
            <w:noWrap w:val="0"/>
            <w:vAlign w:val="center"/>
          </w:tcPr>
          <w:p w14:paraId="0B45FCF3">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在校学生人数</w:t>
            </w:r>
          </w:p>
        </w:tc>
        <w:tc>
          <w:tcPr>
            <w:tcW w:w="2685" w:type="dxa"/>
            <w:shd w:val="clear" w:color="auto" w:fill="auto"/>
            <w:noWrap w:val="0"/>
            <w:vAlign w:val="center"/>
          </w:tcPr>
          <w:p w14:paraId="57EF1361">
            <w:pPr>
              <w:pageBreakBefore w:val="0"/>
              <w:widowControl/>
              <w:shd w:val="clear"/>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6600" w:type="dxa"/>
            <w:shd w:val="clear" w:color="auto" w:fill="auto"/>
            <w:noWrap w:val="0"/>
            <w:vAlign w:val="center"/>
          </w:tcPr>
          <w:p w14:paraId="3EE8309D">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564A5FD0">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5D099928">
            <w:pPr>
              <w:pageBreakBefore w:val="0"/>
              <w:widowControl/>
              <w:shd w:val="clear"/>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2F075771">
            <w:pPr>
              <w:pageBreakBefore w:val="0"/>
              <w:widowControl/>
              <w:shd w:val="clear"/>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53395602">
            <w:pPr>
              <w:pageBreakBefore w:val="0"/>
              <w:widowControl/>
              <w:shd w:val="clear"/>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69FE22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vMerge w:val="restart"/>
            <w:shd w:val="clear" w:color="auto" w:fill="auto"/>
            <w:noWrap w:val="0"/>
            <w:vAlign w:val="center"/>
          </w:tcPr>
          <w:p w14:paraId="70EF036A">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vMerge w:val="restart"/>
            <w:shd w:val="clear" w:color="auto" w:fill="auto"/>
            <w:noWrap w:val="0"/>
            <w:vAlign w:val="center"/>
          </w:tcPr>
          <w:p w14:paraId="2D1A2ED0">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r>
              <w:rPr>
                <w:rFonts w:hint="eastAsia" w:cs="宋体"/>
                <w:color w:val="auto"/>
                <w:kern w:val="0"/>
                <w:sz w:val="22"/>
                <w:szCs w:val="22"/>
                <w:highlight w:val="none"/>
                <w:lang w:val="en-US" w:eastAsia="zh-CN"/>
              </w:rPr>
              <w:t>数量</w:t>
            </w:r>
          </w:p>
          <w:p w14:paraId="2F0765CD">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p>
        </w:tc>
        <w:tc>
          <w:tcPr>
            <w:tcW w:w="1497" w:type="dxa"/>
            <w:shd w:val="clear" w:color="auto" w:fill="auto"/>
            <w:noWrap w:val="0"/>
            <w:vAlign w:val="center"/>
          </w:tcPr>
          <w:p w14:paraId="31FD6D38">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开展视频会议、教学研讨会议次数</w:t>
            </w:r>
          </w:p>
        </w:tc>
        <w:tc>
          <w:tcPr>
            <w:tcW w:w="2685" w:type="dxa"/>
            <w:shd w:val="clear" w:color="auto" w:fill="auto"/>
            <w:noWrap w:val="0"/>
            <w:vAlign w:val="center"/>
          </w:tcPr>
          <w:p w14:paraId="534EFF1B">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6600" w:type="dxa"/>
            <w:shd w:val="clear" w:color="auto" w:fill="auto"/>
            <w:noWrap w:val="0"/>
            <w:vAlign w:val="center"/>
          </w:tcPr>
          <w:p w14:paraId="7BBA5B08">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1B602585">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0C077BB1">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595DBE8F">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6BD814FE">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74B967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14:paraId="1ED90EDA">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32B427EA">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1497" w:type="dxa"/>
            <w:shd w:val="clear" w:color="auto" w:fill="auto"/>
            <w:noWrap w:val="0"/>
            <w:vAlign w:val="center"/>
          </w:tcPr>
          <w:p w14:paraId="33F551C7">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开展德育活动次数</w:t>
            </w:r>
          </w:p>
        </w:tc>
        <w:tc>
          <w:tcPr>
            <w:tcW w:w="2685" w:type="dxa"/>
            <w:shd w:val="clear" w:color="auto" w:fill="auto"/>
            <w:noWrap w:val="0"/>
            <w:vAlign w:val="center"/>
          </w:tcPr>
          <w:p w14:paraId="0B92E1ED">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6600" w:type="dxa"/>
            <w:shd w:val="clear" w:color="auto" w:fill="auto"/>
            <w:noWrap w:val="0"/>
            <w:vAlign w:val="center"/>
          </w:tcPr>
          <w:p w14:paraId="45A50B96">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21BD15F8">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2CF85162">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0ED63A7D">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132D527C">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rPr>
              <w:t>5</w:t>
            </w:r>
          </w:p>
        </w:tc>
      </w:tr>
      <w:tr w14:paraId="285C88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6B1DF81D">
            <w:pPr>
              <w:pageBreakBefore w:val="0"/>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4D5F932B">
            <w:pPr>
              <w:pageBreakBefore w:val="0"/>
              <w:shd w:val="clear"/>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质量指标</w:t>
            </w:r>
          </w:p>
        </w:tc>
        <w:tc>
          <w:tcPr>
            <w:tcW w:w="1497" w:type="dxa"/>
            <w:shd w:val="clear" w:color="auto" w:fill="auto"/>
            <w:noWrap w:val="0"/>
            <w:vAlign w:val="center"/>
          </w:tcPr>
          <w:p w14:paraId="7D7AF4AA">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开展视频会议、教学研讨会议完成率</w:t>
            </w:r>
          </w:p>
        </w:tc>
        <w:tc>
          <w:tcPr>
            <w:tcW w:w="2685" w:type="dxa"/>
            <w:shd w:val="clear" w:color="auto" w:fill="auto"/>
            <w:noWrap w:val="0"/>
            <w:vAlign w:val="center"/>
          </w:tcPr>
          <w:p w14:paraId="1C60BCF6">
            <w:pPr>
              <w:pageBreakBefore w:val="0"/>
              <w:widowControl/>
              <w:shd w:val="clear"/>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6600" w:type="dxa"/>
            <w:shd w:val="clear" w:color="auto" w:fill="auto"/>
            <w:noWrap w:val="0"/>
            <w:vAlign w:val="center"/>
          </w:tcPr>
          <w:p w14:paraId="0DE8D12A">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2E45B40E">
            <w:pPr>
              <w:pageBreakBefore w:val="0"/>
              <w:widowControl/>
              <w:shd w:val="clear"/>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5AE2CA98">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44B821FF">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r>
      <w:tr w14:paraId="315F54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4D694C8D">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4173485D">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1497" w:type="dxa"/>
            <w:shd w:val="clear" w:color="auto" w:fill="auto"/>
            <w:noWrap w:val="0"/>
            <w:vAlign w:val="center"/>
          </w:tcPr>
          <w:p w14:paraId="1F45FF78">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开展德育活动完成率</w:t>
            </w:r>
          </w:p>
        </w:tc>
        <w:tc>
          <w:tcPr>
            <w:tcW w:w="2685" w:type="dxa"/>
            <w:shd w:val="clear" w:color="auto" w:fill="auto"/>
            <w:noWrap w:val="0"/>
            <w:vAlign w:val="center"/>
          </w:tcPr>
          <w:p w14:paraId="2C620D53">
            <w:pPr>
              <w:pageBreakBefore w:val="0"/>
              <w:widowControl/>
              <w:shd w:val="clear"/>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6600" w:type="dxa"/>
            <w:shd w:val="clear" w:color="auto" w:fill="auto"/>
            <w:noWrap w:val="0"/>
            <w:vAlign w:val="center"/>
          </w:tcPr>
          <w:p w14:paraId="2C279AC1">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49348C02">
            <w:pPr>
              <w:pageBreakBefore w:val="0"/>
              <w:widowControl/>
              <w:shd w:val="clear"/>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0B6A1EAB">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1C386837">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r>
      <w:tr w14:paraId="62EA36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continue"/>
            <w:shd w:val="clear" w:color="auto" w:fill="auto"/>
            <w:noWrap w:val="0"/>
            <w:vAlign w:val="center"/>
          </w:tcPr>
          <w:p w14:paraId="51016069">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restart"/>
            <w:shd w:val="clear" w:color="auto" w:fill="auto"/>
            <w:noWrap w:val="0"/>
            <w:vAlign w:val="center"/>
          </w:tcPr>
          <w:p w14:paraId="29567FD1">
            <w:pPr>
              <w:pageBreakBefore w:val="0"/>
              <w:widowControl/>
              <w:shd w:val="clear"/>
              <w:tabs>
                <w:tab w:val="left" w:pos="419"/>
              </w:tabs>
              <w:kinsoku/>
              <w:wordWrap/>
              <w:overflowPunct/>
              <w:topLinePunct w:val="0"/>
              <w:autoSpaceDE/>
              <w:autoSpaceDN/>
              <w:bidi w:val="0"/>
              <w:spacing w:line="240" w:lineRule="auto"/>
              <w:ind w:firstLine="0" w:firstLineChars="0"/>
              <w:jc w:val="left"/>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eastAsia="zh-CN"/>
              </w:rPr>
              <w:tab/>
            </w:r>
            <w:r>
              <w:rPr>
                <w:rFonts w:hint="eastAsia" w:cs="宋体"/>
                <w:color w:val="auto"/>
                <w:kern w:val="0"/>
                <w:sz w:val="22"/>
                <w:szCs w:val="22"/>
                <w:highlight w:val="none"/>
                <w:lang w:val="en-US" w:eastAsia="zh-CN"/>
              </w:rPr>
              <w:t>时效指标</w:t>
            </w:r>
          </w:p>
        </w:tc>
        <w:tc>
          <w:tcPr>
            <w:tcW w:w="1497" w:type="dxa"/>
            <w:shd w:val="clear" w:color="auto" w:fill="auto"/>
            <w:noWrap w:val="0"/>
            <w:vAlign w:val="center"/>
          </w:tcPr>
          <w:p w14:paraId="1C760FBD">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公用经费标准</w:t>
            </w:r>
          </w:p>
        </w:tc>
        <w:tc>
          <w:tcPr>
            <w:tcW w:w="2685" w:type="dxa"/>
            <w:shd w:val="clear" w:color="auto" w:fill="auto"/>
            <w:noWrap w:val="0"/>
            <w:vAlign w:val="center"/>
          </w:tcPr>
          <w:p w14:paraId="29017E9F">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6600" w:type="dxa"/>
            <w:shd w:val="clear" w:color="auto" w:fill="auto"/>
            <w:noWrap w:val="0"/>
            <w:vAlign w:val="center"/>
          </w:tcPr>
          <w:p w14:paraId="3E789CA6">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67DBBC9C">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530FF0B8">
            <w:pPr>
              <w:pageBreakBefore w:val="0"/>
              <w:widowControl/>
              <w:shd w:val="clear"/>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75CD00B9">
            <w:pPr>
              <w:pageBreakBefore w:val="0"/>
              <w:widowControl/>
              <w:shd w:val="clear"/>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06FF6A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49" w:hRule="atLeast"/>
          <w:jc w:val="center"/>
        </w:trPr>
        <w:tc>
          <w:tcPr>
            <w:tcW w:w="861" w:type="dxa"/>
            <w:vMerge w:val="continue"/>
            <w:shd w:val="clear" w:color="auto" w:fill="auto"/>
            <w:noWrap w:val="0"/>
            <w:vAlign w:val="center"/>
          </w:tcPr>
          <w:p w14:paraId="7FF2047B">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441F76DA">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1497" w:type="dxa"/>
            <w:shd w:val="clear" w:color="auto" w:fill="auto"/>
            <w:noWrap w:val="0"/>
            <w:vAlign w:val="center"/>
          </w:tcPr>
          <w:p w14:paraId="47047F3D">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教师培训费占公用经费比例</w:t>
            </w:r>
          </w:p>
        </w:tc>
        <w:tc>
          <w:tcPr>
            <w:tcW w:w="2685" w:type="dxa"/>
            <w:shd w:val="clear" w:color="auto" w:fill="auto"/>
            <w:noWrap w:val="0"/>
            <w:vAlign w:val="center"/>
          </w:tcPr>
          <w:p w14:paraId="6FA37711">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6600" w:type="dxa"/>
            <w:shd w:val="clear" w:color="auto" w:fill="auto"/>
            <w:noWrap w:val="0"/>
            <w:vAlign w:val="center"/>
          </w:tcPr>
          <w:p w14:paraId="164D6505">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5A192D83">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754C7F42">
            <w:pPr>
              <w:pageBreakBefore w:val="0"/>
              <w:widowControl/>
              <w:shd w:val="clear"/>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053EBDC5">
            <w:pPr>
              <w:pageBreakBefore w:val="0"/>
              <w:widowControl/>
              <w:shd w:val="clear"/>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50FFC3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shd w:val="clear" w:color="auto" w:fill="auto"/>
            <w:noWrap w:val="0"/>
            <w:vAlign w:val="center"/>
          </w:tcPr>
          <w:p w14:paraId="71E36969">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shd w:val="clear" w:color="auto" w:fill="auto"/>
            <w:noWrap w:val="0"/>
            <w:vAlign w:val="center"/>
          </w:tcPr>
          <w:p w14:paraId="764BA48B">
            <w:pPr>
              <w:pageBreakBefore w:val="0"/>
              <w:widowControl/>
              <w:shd w:val="clear"/>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成本指标</w:t>
            </w:r>
          </w:p>
        </w:tc>
        <w:tc>
          <w:tcPr>
            <w:tcW w:w="1497" w:type="dxa"/>
            <w:shd w:val="clear" w:color="auto" w:fill="auto"/>
            <w:noWrap w:val="0"/>
            <w:vAlign w:val="center"/>
          </w:tcPr>
          <w:p w14:paraId="14249B22">
            <w:pPr>
              <w:pageBreakBefore w:val="0"/>
              <w:widowControl/>
              <w:shd w:val="clear"/>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成本控制率</w:t>
            </w:r>
          </w:p>
        </w:tc>
        <w:tc>
          <w:tcPr>
            <w:tcW w:w="2685" w:type="dxa"/>
            <w:shd w:val="clear" w:color="auto" w:fill="auto"/>
            <w:noWrap w:val="0"/>
            <w:vAlign w:val="center"/>
          </w:tcPr>
          <w:p w14:paraId="5BA858BF">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6600" w:type="dxa"/>
            <w:shd w:val="clear" w:color="auto" w:fill="auto"/>
            <w:noWrap w:val="0"/>
            <w:vAlign w:val="center"/>
          </w:tcPr>
          <w:p w14:paraId="3D2432DE">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p>
          <w:p w14:paraId="4D99586B">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成本节约率=[（计划成本-实际成本）/计划成本]×100%。</w:t>
            </w:r>
          </w:p>
          <w:p w14:paraId="3B9186E2">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实际成本：项目实施单位如期、保质、保量完成既定工作目标实际所耗费的支出。</w:t>
            </w:r>
          </w:p>
          <w:p w14:paraId="22128066">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000000"/>
                <w:kern w:val="0"/>
                <w:sz w:val="22"/>
                <w:szCs w:val="22"/>
              </w:rPr>
              <w:t>计划成本：项目实施单位为完成工作目标计划安排的支出，一般以项目预算为参考。</w:t>
            </w:r>
          </w:p>
        </w:tc>
        <w:tc>
          <w:tcPr>
            <w:tcW w:w="785" w:type="dxa"/>
            <w:shd w:val="clear" w:color="auto" w:fill="auto"/>
            <w:noWrap w:val="0"/>
            <w:vAlign w:val="center"/>
          </w:tcPr>
          <w:p w14:paraId="4DEC9CE5">
            <w:pPr>
              <w:pageBreakBefore w:val="0"/>
              <w:widowControl/>
              <w:shd w:val="clear"/>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5D78FA8B">
            <w:pPr>
              <w:pageBreakBefore w:val="0"/>
              <w:widowControl/>
              <w:shd w:val="clear"/>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324B6C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3EBF13C7">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727" w:type="dxa"/>
            <w:vMerge w:val="restart"/>
            <w:shd w:val="clear" w:color="auto" w:fill="auto"/>
            <w:noWrap w:val="0"/>
            <w:vAlign w:val="center"/>
          </w:tcPr>
          <w:p w14:paraId="281F3656">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　</w:t>
            </w:r>
          </w:p>
        </w:tc>
        <w:tc>
          <w:tcPr>
            <w:tcW w:w="1497" w:type="dxa"/>
            <w:shd w:val="clear" w:color="auto" w:fill="auto"/>
            <w:noWrap w:val="0"/>
            <w:vAlign w:val="center"/>
          </w:tcPr>
          <w:p w14:paraId="6DB19BCD">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正常运转率</w:t>
            </w:r>
          </w:p>
        </w:tc>
        <w:tc>
          <w:tcPr>
            <w:tcW w:w="2685" w:type="dxa"/>
            <w:shd w:val="clear" w:color="auto" w:fill="auto"/>
            <w:noWrap w:val="0"/>
            <w:vAlign w:val="center"/>
          </w:tcPr>
          <w:p w14:paraId="03FC0391">
            <w:pPr>
              <w:pageBreakBefore w:val="0"/>
              <w:widowControl/>
              <w:shd w:val="clear"/>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6600" w:type="dxa"/>
            <w:shd w:val="clear" w:color="auto" w:fill="auto"/>
            <w:noWrap w:val="0"/>
            <w:vAlign w:val="center"/>
          </w:tcPr>
          <w:p w14:paraId="3ED1338F">
            <w:pPr>
              <w:pageBreakBefore w:val="0"/>
              <w:widowControl/>
              <w:shd w:val="clear"/>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7CAACDFE">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4D9AB0A2">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r>
      <w:tr w14:paraId="1CFE97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36E54CC2">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4871F15E">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1497" w:type="dxa"/>
            <w:shd w:val="clear" w:color="auto" w:fill="auto"/>
            <w:noWrap w:val="0"/>
            <w:vAlign w:val="center"/>
          </w:tcPr>
          <w:p w14:paraId="330D8531">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rPr>
              <w:t>改善教学环境，提供良好的学生成长条件</w:t>
            </w:r>
          </w:p>
        </w:tc>
        <w:tc>
          <w:tcPr>
            <w:tcW w:w="2685" w:type="dxa"/>
            <w:shd w:val="clear" w:color="auto" w:fill="auto"/>
            <w:noWrap w:val="0"/>
            <w:vAlign w:val="center"/>
          </w:tcPr>
          <w:p w14:paraId="610BB72F">
            <w:pPr>
              <w:pageBreakBefore w:val="0"/>
              <w:widowControl/>
              <w:shd w:val="clear"/>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6600" w:type="dxa"/>
            <w:shd w:val="clear" w:color="auto" w:fill="auto"/>
            <w:noWrap w:val="0"/>
            <w:vAlign w:val="center"/>
          </w:tcPr>
          <w:p w14:paraId="26DCEE19">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5ED83AF6">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7</w:t>
            </w:r>
          </w:p>
        </w:tc>
        <w:tc>
          <w:tcPr>
            <w:tcW w:w="769" w:type="dxa"/>
            <w:shd w:val="clear" w:color="auto" w:fill="auto"/>
            <w:noWrap w:val="0"/>
            <w:vAlign w:val="center"/>
          </w:tcPr>
          <w:p w14:paraId="13CF9A09">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7</w:t>
            </w:r>
          </w:p>
        </w:tc>
      </w:tr>
      <w:tr w14:paraId="28D676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0468B9A5">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1AA538FD">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1497" w:type="dxa"/>
            <w:shd w:val="clear" w:color="auto" w:fill="auto"/>
            <w:noWrap w:val="0"/>
            <w:vAlign w:val="center"/>
          </w:tcPr>
          <w:p w14:paraId="5F8F0823">
            <w:pPr>
              <w:pageBreakBefore w:val="0"/>
              <w:widowControl/>
              <w:shd w:val="clear"/>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师生满意度</w:t>
            </w:r>
          </w:p>
        </w:tc>
        <w:tc>
          <w:tcPr>
            <w:tcW w:w="2685" w:type="dxa"/>
            <w:shd w:val="clear" w:color="auto" w:fill="auto"/>
            <w:noWrap w:val="0"/>
            <w:vAlign w:val="center"/>
          </w:tcPr>
          <w:p w14:paraId="5D1A4122">
            <w:pPr>
              <w:pageBreakBefore w:val="0"/>
              <w:widowControl/>
              <w:shd w:val="clear"/>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6600" w:type="dxa"/>
            <w:shd w:val="clear" w:color="auto" w:fill="auto"/>
            <w:noWrap w:val="0"/>
            <w:vAlign w:val="center"/>
          </w:tcPr>
          <w:p w14:paraId="542C54BE">
            <w:pPr>
              <w:pageBreakBefore w:val="0"/>
              <w:widowControl/>
              <w:shd w:val="clear"/>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427872E6">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8</w:t>
            </w:r>
          </w:p>
        </w:tc>
        <w:tc>
          <w:tcPr>
            <w:tcW w:w="769" w:type="dxa"/>
            <w:shd w:val="clear" w:color="auto" w:fill="auto"/>
            <w:noWrap w:val="0"/>
            <w:vAlign w:val="center"/>
          </w:tcPr>
          <w:p w14:paraId="500352C1">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8</w:t>
            </w:r>
          </w:p>
        </w:tc>
      </w:tr>
      <w:tr w14:paraId="005257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17" w:hRule="atLeast"/>
          <w:jc w:val="center"/>
        </w:trPr>
        <w:tc>
          <w:tcPr>
            <w:tcW w:w="5770" w:type="dxa"/>
            <w:gridSpan w:val="4"/>
            <w:shd w:val="clear" w:color="auto" w:fill="auto"/>
            <w:noWrap w:val="0"/>
            <w:vAlign w:val="center"/>
          </w:tcPr>
          <w:p w14:paraId="08777545">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合计</w:t>
            </w:r>
          </w:p>
        </w:tc>
        <w:tc>
          <w:tcPr>
            <w:tcW w:w="6600" w:type="dxa"/>
            <w:shd w:val="clear" w:color="auto" w:fill="auto"/>
            <w:noWrap w:val="0"/>
            <w:vAlign w:val="center"/>
          </w:tcPr>
          <w:p w14:paraId="0595C95A">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p>
        </w:tc>
        <w:tc>
          <w:tcPr>
            <w:tcW w:w="785" w:type="dxa"/>
            <w:shd w:val="clear" w:color="auto" w:fill="auto"/>
            <w:noWrap w:val="0"/>
            <w:vAlign w:val="center"/>
          </w:tcPr>
          <w:p w14:paraId="09BEED1D">
            <w:pPr>
              <w:pageBreakBefore w:val="0"/>
              <w:widowControl/>
              <w:shd w:val="clear"/>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100</w:t>
            </w:r>
          </w:p>
        </w:tc>
        <w:tc>
          <w:tcPr>
            <w:tcW w:w="769" w:type="dxa"/>
            <w:shd w:val="clear" w:color="auto" w:fill="auto"/>
            <w:noWrap w:val="0"/>
            <w:vAlign w:val="center"/>
          </w:tcPr>
          <w:p w14:paraId="0203A59F">
            <w:pPr>
              <w:pageBreakBefore w:val="0"/>
              <w:widowControl/>
              <w:shd w:val="clear"/>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99</w:t>
            </w:r>
          </w:p>
        </w:tc>
      </w:tr>
    </w:tbl>
    <w:p w14:paraId="7556BAE8">
      <w:pPr>
        <w:pageBreakBefore w:val="0"/>
        <w:shd w:val="clear"/>
        <w:kinsoku/>
        <w:wordWrap/>
        <w:overflowPunct/>
        <w:topLinePunct w:val="0"/>
        <w:autoSpaceDE/>
        <w:autoSpaceDN/>
        <w:bidi w:val="0"/>
        <w:spacing w:line="560" w:lineRule="exact"/>
        <w:ind w:left="0" w:leftChars="0" w:firstLine="0" w:firstLineChars="0"/>
        <w:textAlignment w:val="auto"/>
        <w:rPr>
          <w:rFonts w:hint="default"/>
          <w:highlight w:val="none"/>
          <w:lang w:val="en-US" w:eastAsia="zh-CN"/>
        </w:rPr>
      </w:pPr>
    </w:p>
    <w:sectPr>
      <w:pgSz w:w="16838" w:h="11906" w:orient="landscape"/>
      <w:pgMar w:top="1800" w:right="1440" w:bottom="1800" w:left="1440" w:header="737" w:footer="851" w:gutter="0"/>
      <w:pgBorders>
        <w:top w:val="none" w:sz="0" w:space="0"/>
        <w:left w:val="none" w:sz="0" w:space="0"/>
        <w:bottom w:val="none" w:sz="0" w:space="0"/>
        <w:right w:val="none" w:sz="0" w:space="0"/>
      </w:pgBorders>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0000000000000000000"/>
    <w:charset w:val="86"/>
    <w:family w:val="auto"/>
    <w:pitch w:val="default"/>
    <w:sig w:usb0="00000000" w:usb1="00000000" w:usb2="0000000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7AD14">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E175A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0E175A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7F0A1D"/>
    <w:rsid w:val="00E23C81"/>
    <w:rsid w:val="01253350"/>
    <w:rsid w:val="01282E62"/>
    <w:rsid w:val="014029CF"/>
    <w:rsid w:val="01470C4C"/>
    <w:rsid w:val="02200440"/>
    <w:rsid w:val="02284B43"/>
    <w:rsid w:val="028C3E62"/>
    <w:rsid w:val="02B015E2"/>
    <w:rsid w:val="02DC08FA"/>
    <w:rsid w:val="031908B1"/>
    <w:rsid w:val="033B569D"/>
    <w:rsid w:val="039C3BA0"/>
    <w:rsid w:val="03A845BB"/>
    <w:rsid w:val="03B45AD1"/>
    <w:rsid w:val="04D12EE4"/>
    <w:rsid w:val="04D63993"/>
    <w:rsid w:val="063F6102"/>
    <w:rsid w:val="07890F4F"/>
    <w:rsid w:val="083507A4"/>
    <w:rsid w:val="08892439"/>
    <w:rsid w:val="08EB30F3"/>
    <w:rsid w:val="09237408"/>
    <w:rsid w:val="09781BD6"/>
    <w:rsid w:val="09F359DF"/>
    <w:rsid w:val="0A575E65"/>
    <w:rsid w:val="0ACA0AB6"/>
    <w:rsid w:val="0B8271BF"/>
    <w:rsid w:val="0C032502"/>
    <w:rsid w:val="0C27698C"/>
    <w:rsid w:val="0CE353ED"/>
    <w:rsid w:val="0D4452F3"/>
    <w:rsid w:val="0F5E5042"/>
    <w:rsid w:val="0FE95707"/>
    <w:rsid w:val="10510571"/>
    <w:rsid w:val="10787A20"/>
    <w:rsid w:val="108672DE"/>
    <w:rsid w:val="10EC685A"/>
    <w:rsid w:val="11B00D0A"/>
    <w:rsid w:val="11FA6155"/>
    <w:rsid w:val="12CF0947"/>
    <w:rsid w:val="12F1313F"/>
    <w:rsid w:val="136C678E"/>
    <w:rsid w:val="13EB2FF5"/>
    <w:rsid w:val="14ED4CAC"/>
    <w:rsid w:val="15725168"/>
    <w:rsid w:val="15A46B04"/>
    <w:rsid w:val="16330688"/>
    <w:rsid w:val="165825BC"/>
    <w:rsid w:val="16BC5D73"/>
    <w:rsid w:val="176F36D7"/>
    <w:rsid w:val="1795226D"/>
    <w:rsid w:val="18456B1E"/>
    <w:rsid w:val="19176018"/>
    <w:rsid w:val="1C1171C5"/>
    <w:rsid w:val="1D265138"/>
    <w:rsid w:val="1D7B6BCA"/>
    <w:rsid w:val="1DA41A79"/>
    <w:rsid w:val="1DF53469"/>
    <w:rsid w:val="1E2F24F2"/>
    <w:rsid w:val="1E58492F"/>
    <w:rsid w:val="1E5B6757"/>
    <w:rsid w:val="1ECC0E79"/>
    <w:rsid w:val="1ED10AC6"/>
    <w:rsid w:val="1F89225F"/>
    <w:rsid w:val="1F900A1F"/>
    <w:rsid w:val="1FB07E05"/>
    <w:rsid w:val="1FC0575D"/>
    <w:rsid w:val="203B5A43"/>
    <w:rsid w:val="206132C7"/>
    <w:rsid w:val="21B00C1D"/>
    <w:rsid w:val="21D145C8"/>
    <w:rsid w:val="23031BEB"/>
    <w:rsid w:val="23917691"/>
    <w:rsid w:val="244D65B8"/>
    <w:rsid w:val="245E1E24"/>
    <w:rsid w:val="25AD5E5D"/>
    <w:rsid w:val="26AA1ACC"/>
    <w:rsid w:val="27002A25"/>
    <w:rsid w:val="2732478D"/>
    <w:rsid w:val="27661469"/>
    <w:rsid w:val="27900EAD"/>
    <w:rsid w:val="279B538A"/>
    <w:rsid w:val="286F545C"/>
    <w:rsid w:val="29314FBC"/>
    <w:rsid w:val="29EC1135"/>
    <w:rsid w:val="2AA2081A"/>
    <w:rsid w:val="2B100F8C"/>
    <w:rsid w:val="2C024B86"/>
    <w:rsid w:val="2C927671"/>
    <w:rsid w:val="2CC6306F"/>
    <w:rsid w:val="2D355E3C"/>
    <w:rsid w:val="2D7C5CD6"/>
    <w:rsid w:val="2E483E7E"/>
    <w:rsid w:val="2E690493"/>
    <w:rsid w:val="2E9854BD"/>
    <w:rsid w:val="2F0D407F"/>
    <w:rsid w:val="2F454B19"/>
    <w:rsid w:val="310224D9"/>
    <w:rsid w:val="31B4621C"/>
    <w:rsid w:val="31E3230A"/>
    <w:rsid w:val="330957E0"/>
    <w:rsid w:val="33356F64"/>
    <w:rsid w:val="33944516"/>
    <w:rsid w:val="34B62907"/>
    <w:rsid w:val="360F55C8"/>
    <w:rsid w:val="36BD137C"/>
    <w:rsid w:val="38053EDF"/>
    <w:rsid w:val="380812A4"/>
    <w:rsid w:val="385D37E7"/>
    <w:rsid w:val="38782EDD"/>
    <w:rsid w:val="3B42664A"/>
    <w:rsid w:val="3C7742CF"/>
    <w:rsid w:val="3CAD1E92"/>
    <w:rsid w:val="3D836A4E"/>
    <w:rsid w:val="3EA37E97"/>
    <w:rsid w:val="3FBE0BC5"/>
    <w:rsid w:val="4048103A"/>
    <w:rsid w:val="40736643"/>
    <w:rsid w:val="408B6A65"/>
    <w:rsid w:val="409D27F4"/>
    <w:rsid w:val="40D24A7A"/>
    <w:rsid w:val="42621029"/>
    <w:rsid w:val="43424558"/>
    <w:rsid w:val="435241E2"/>
    <w:rsid w:val="43975C51"/>
    <w:rsid w:val="439E3FA7"/>
    <w:rsid w:val="44B32266"/>
    <w:rsid w:val="44FC64F4"/>
    <w:rsid w:val="467F4585"/>
    <w:rsid w:val="470628CB"/>
    <w:rsid w:val="4729480B"/>
    <w:rsid w:val="47555BD4"/>
    <w:rsid w:val="47BC2DB1"/>
    <w:rsid w:val="47E96399"/>
    <w:rsid w:val="47F76025"/>
    <w:rsid w:val="486E33F5"/>
    <w:rsid w:val="48E12B50"/>
    <w:rsid w:val="497D63FE"/>
    <w:rsid w:val="499441BE"/>
    <w:rsid w:val="499A6C1C"/>
    <w:rsid w:val="4A195607"/>
    <w:rsid w:val="4A2138F0"/>
    <w:rsid w:val="4A583887"/>
    <w:rsid w:val="4B9F6E02"/>
    <w:rsid w:val="4C89637B"/>
    <w:rsid w:val="4D3B5D02"/>
    <w:rsid w:val="4D3C634C"/>
    <w:rsid w:val="4E6E48A8"/>
    <w:rsid w:val="4EEC036B"/>
    <w:rsid w:val="4F714FA1"/>
    <w:rsid w:val="4F9654F7"/>
    <w:rsid w:val="501D2673"/>
    <w:rsid w:val="50C80BF1"/>
    <w:rsid w:val="5161477E"/>
    <w:rsid w:val="51852833"/>
    <w:rsid w:val="52A13054"/>
    <w:rsid w:val="52F11AC8"/>
    <w:rsid w:val="534F49D9"/>
    <w:rsid w:val="53555F0F"/>
    <w:rsid w:val="535D23D5"/>
    <w:rsid w:val="537B5DF3"/>
    <w:rsid w:val="54267F71"/>
    <w:rsid w:val="56EB4522"/>
    <w:rsid w:val="56F4341A"/>
    <w:rsid w:val="575A7321"/>
    <w:rsid w:val="580C3AB9"/>
    <w:rsid w:val="583C7AE0"/>
    <w:rsid w:val="586C1E9A"/>
    <w:rsid w:val="586E0800"/>
    <w:rsid w:val="59216F96"/>
    <w:rsid w:val="598C4145"/>
    <w:rsid w:val="59957D1B"/>
    <w:rsid w:val="59D4294E"/>
    <w:rsid w:val="5B634312"/>
    <w:rsid w:val="5B9D2CCD"/>
    <w:rsid w:val="5B9E71EA"/>
    <w:rsid w:val="5E226FBC"/>
    <w:rsid w:val="5FE72BD2"/>
    <w:rsid w:val="60120613"/>
    <w:rsid w:val="618D5292"/>
    <w:rsid w:val="62143C96"/>
    <w:rsid w:val="622E78FA"/>
    <w:rsid w:val="63343F70"/>
    <w:rsid w:val="6377272F"/>
    <w:rsid w:val="63C139AA"/>
    <w:rsid w:val="64296E1C"/>
    <w:rsid w:val="64386FCC"/>
    <w:rsid w:val="649E64A2"/>
    <w:rsid w:val="65E5270A"/>
    <w:rsid w:val="663D3C54"/>
    <w:rsid w:val="667A6962"/>
    <w:rsid w:val="66862C89"/>
    <w:rsid w:val="66BB486D"/>
    <w:rsid w:val="67394C7D"/>
    <w:rsid w:val="68126B38"/>
    <w:rsid w:val="68291A1A"/>
    <w:rsid w:val="68352BB8"/>
    <w:rsid w:val="691327EB"/>
    <w:rsid w:val="691B1594"/>
    <w:rsid w:val="693A016B"/>
    <w:rsid w:val="6A17429C"/>
    <w:rsid w:val="6A567EA3"/>
    <w:rsid w:val="6B4B4368"/>
    <w:rsid w:val="6B79100E"/>
    <w:rsid w:val="6C844C00"/>
    <w:rsid w:val="6CC5035B"/>
    <w:rsid w:val="6E10212C"/>
    <w:rsid w:val="6E43561A"/>
    <w:rsid w:val="6E557973"/>
    <w:rsid w:val="6E9568DB"/>
    <w:rsid w:val="6EA57297"/>
    <w:rsid w:val="6F0D6C22"/>
    <w:rsid w:val="6F47657F"/>
    <w:rsid w:val="6FAF23D9"/>
    <w:rsid w:val="70593287"/>
    <w:rsid w:val="70635CF6"/>
    <w:rsid w:val="70670707"/>
    <w:rsid w:val="720E3691"/>
    <w:rsid w:val="7249173A"/>
    <w:rsid w:val="724E244C"/>
    <w:rsid w:val="72DA6946"/>
    <w:rsid w:val="732764B3"/>
    <w:rsid w:val="74026044"/>
    <w:rsid w:val="74325A77"/>
    <w:rsid w:val="74746410"/>
    <w:rsid w:val="75C8506C"/>
    <w:rsid w:val="75E5007C"/>
    <w:rsid w:val="77636B63"/>
    <w:rsid w:val="77813724"/>
    <w:rsid w:val="77861774"/>
    <w:rsid w:val="78587AD7"/>
    <w:rsid w:val="78F31435"/>
    <w:rsid w:val="79300B45"/>
    <w:rsid w:val="794D3E18"/>
    <w:rsid w:val="79F3729A"/>
    <w:rsid w:val="7A880722"/>
    <w:rsid w:val="7ABE6120"/>
    <w:rsid w:val="7ACB0498"/>
    <w:rsid w:val="7AD93EE7"/>
    <w:rsid w:val="7AED0B4D"/>
    <w:rsid w:val="7C1E4487"/>
    <w:rsid w:val="7C215E02"/>
    <w:rsid w:val="7CF23764"/>
    <w:rsid w:val="7D851A94"/>
    <w:rsid w:val="7E797F74"/>
    <w:rsid w:val="7EAE6376"/>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20"/>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240" w:after="240" w:line="360" w:lineRule="auto"/>
      <w:jc w:val="center"/>
    </w:pPr>
    <w:rPr>
      <w:b/>
      <w:sz w:val="44"/>
    </w:rPr>
  </w:style>
  <w:style w:type="paragraph" w:styleId="6">
    <w:name w:val="annotation text"/>
    <w:basedOn w:val="1"/>
    <w:qFormat/>
    <w:uiPriority w:val="0"/>
    <w:pPr>
      <w:jc w:val="left"/>
    </w:p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2"/>
    <w:qFormat/>
    <w:uiPriority w:val="0"/>
    <w:pPr>
      <w:spacing w:after="0"/>
      <w:ind w:firstLine="200" w:firstLineChars="200"/>
    </w:pPr>
  </w:style>
  <w:style w:type="character" w:styleId="18">
    <w:name w:val="Strong"/>
    <w:basedOn w:val="17"/>
    <w:qFormat/>
    <w:uiPriority w:val="0"/>
    <w:rPr>
      <w:b/>
      <w:bCs/>
    </w:rPr>
  </w:style>
  <w:style w:type="paragraph" w:customStyle="1" w:styleId="19">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20">
    <w:name w:val="标题 2 Char"/>
    <w:link w:val="4"/>
    <w:qFormat/>
    <w:uiPriority w:val="0"/>
    <w:rPr>
      <w:rFonts w:ascii="Arial" w:hAnsi="Arial" w:eastAsia="楷体"/>
      <w:b/>
      <w:sz w:val="32"/>
    </w:rPr>
  </w:style>
  <w:style w:type="paragraph" w:customStyle="1" w:styleId="21">
    <w:name w:val="WPSOffice手动目录 1"/>
    <w:qFormat/>
    <w:uiPriority w:val="0"/>
    <w:pPr>
      <w:ind w:leftChars="0"/>
    </w:pPr>
    <w:rPr>
      <w:rFonts w:ascii="Times New Roman" w:hAnsi="Times New Roman" w:eastAsia="宋体" w:cs="Times New Roman"/>
      <w:sz w:val="20"/>
      <w:szCs w:val="20"/>
    </w:rPr>
  </w:style>
  <w:style w:type="paragraph" w:customStyle="1" w:styleId="22">
    <w:name w:val="WPSOffice手动目录 2"/>
    <w:qFormat/>
    <w:uiPriority w:val="0"/>
    <w:pPr>
      <w:ind w:leftChars="200"/>
    </w:pPr>
    <w:rPr>
      <w:rFonts w:ascii="Times New Roman" w:hAnsi="Times New Roman" w:eastAsia="宋体" w:cs="Times New Roman"/>
      <w:sz w:val="20"/>
      <w:szCs w:val="20"/>
    </w:rPr>
  </w:style>
  <w:style w:type="paragraph" w:customStyle="1" w:styleId="23">
    <w:name w:val="WPSOffice手动目录 3"/>
    <w:qFormat/>
    <w:uiPriority w:val="0"/>
    <w:pPr>
      <w:ind w:leftChars="400"/>
    </w:pPr>
    <w:rPr>
      <w:rFonts w:ascii="Times New Roman" w:hAnsi="Times New Roman" w:eastAsia="宋体" w:cs="Times New Roman"/>
      <w:sz w:val="20"/>
      <w:szCs w:val="20"/>
    </w:rPr>
  </w:style>
  <w:style w:type="character" w:customStyle="1" w:styleId="24">
    <w:name w:val="font61"/>
    <w:basedOn w:val="17"/>
    <w:qFormat/>
    <w:uiPriority w:val="0"/>
    <w:rPr>
      <w:rFonts w:ascii="宋体" w:hAnsi="宋体" w:eastAsia="宋体" w:cs="宋体"/>
      <w:color w:val="000000"/>
      <w:sz w:val="20"/>
      <w:szCs w:val="20"/>
      <w:u w:val="none"/>
    </w:rPr>
  </w:style>
  <w:style w:type="character" w:customStyle="1" w:styleId="25">
    <w:name w:val="font41"/>
    <w:basedOn w:val="17"/>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11077</Words>
  <Characters>11772</Characters>
  <Lines>0</Lines>
  <Paragraphs>0</Paragraphs>
  <TotalTime>1</TotalTime>
  <ScaleCrop>false</ScaleCrop>
  <LinksUpToDate>false</LinksUpToDate>
  <CharactersWithSpaces>11843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2025-10-23T03:47:10Z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