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A0A222">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45956A2">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5C4CC31">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AF4690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5575"/>
      <w:bookmarkStart w:id="1" w:name="_Toc1949"/>
      <w:bookmarkStart w:id="2" w:name="_Toc15679"/>
      <w:bookmarkStart w:id="3" w:name="_Toc29123"/>
      <w:r>
        <w:rPr>
          <w:rFonts w:hint="eastAsia" w:ascii="宋体" w:hAnsi="宋体" w:eastAsia="宋体" w:cs="宋体"/>
          <w:b/>
          <w:bCs/>
          <w:color w:val="auto"/>
          <w:sz w:val="40"/>
          <w:szCs w:val="40"/>
          <w:highlight w:val="none"/>
          <w:shd w:val="clear" w:color="auto" w:fill="auto"/>
        </w:rPr>
        <w:t>2024年学前教育生均经费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w:t>
      </w:r>
    </w:p>
    <w:p w14:paraId="3BBE1BA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评价报告</w:t>
      </w:r>
      <w:bookmarkEnd w:id="0"/>
      <w:bookmarkEnd w:id="1"/>
      <w:bookmarkEnd w:id="2"/>
      <w:bookmarkEnd w:id="3"/>
    </w:p>
    <w:p w14:paraId="2289284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52A3DD9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625DE8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DCC46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4B2BF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55EB0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014AC9B">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508275F3">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项目名称：2024年学前教育生均经费</w:t>
      </w:r>
    </w:p>
    <w:p w14:paraId="5E490A9E">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eastAsia="zh-CN"/>
        </w:rPr>
        <w:t>阜康市城关镇中心幼儿园</w:t>
      </w:r>
    </w:p>
    <w:p w14:paraId="7EA68EA8">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eastAsia="zh-CN"/>
        </w:rPr>
        <w:t>阜康市教育局</w:t>
      </w:r>
    </w:p>
    <w:p w14:paraId="7FB28FF9">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樊晓宏</w:t>
      </w:r>
    </w:p>
    <w:p w14:paraId="4DD0D710">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2025年4月30日</w:t>
      </w:r>
    </w:p>
    <w:p w14:paraId="052854DA">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5EC67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67E057E2">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70854FD">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0C463CAA">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134ECE9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32BF7AE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00CADA3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583B13D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48B0B5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276AD81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10</w:t>
          </w:r>
          <w:r>
            <w:rPr>
              <w:color w:val="auto"/>
              <w:highlight w:val="none"/>
            </w:rPr>
            <w:fldChar w:fldCharType="end"/>
          </w:r>
          <w:r>
            <w:rPr>
              <w:rFonts w:hint="eastAsia"/>
              <w:color w:val="auto"/>
              <w:szCs w:val="28"/>
              <w:highlight w:val="none"/>
              <w:lang w:val="en-US" w:eastAsia="zh-CN"/>
            </w:rPr>
            <w:fldChar w:fldCharType="end"/>
          </w:r>
        </w:p>
        <w:p w14:paraId="0EEE062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276ED7C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6FF41C5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51342A5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1E42403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C951CE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1AC03E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20</w:t>
          </w:r>
          <w:r>
            <w:rPr>
              <w:color w:val="auto"/>
              <w:highlight w:val="none"/>
            </w:rPr>
            <w:fldChar w:fldCharType="end"/>
          </w:r>
          <w:r>
            <w:rPr>
              <w:rFonts w:hint="eastAsia"/>
              <w:color w:val="auto"/>
              <w:szCs w:val="28"/>
              <w:highlight w:val="none"/>
              <w:lang w:val="en-US" w:eastAsia="zh-CN"/>
            </w:rPr>
            <w:fldChar w:fldCharType="end"/>
          </w:r>
        </w:p>
        <w:p w14:paraId="05BD454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75E899A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0CF23FB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36C4208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1A03A0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266CEF2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6494842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555414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8A1380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2EDB1F9">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1523BD3">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2B1DB01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36"/>
          <w:szCs w:val="36"/>
          <w:highlight w:val="none"/>
          <w:shd w:val="clear" w:color="auto" w:fill="auto"/>
        </w:rPr>
      </w:pPr>
      <w:bookmarkStart w:id="4" w:name="_Toc1194"/>
      <w:bookmarkStart w:id="5" w:name="_Toc20432"/>
      <w:bookmarkStart w:id="6" w:name="_Toc22946"/>
      <w:bookmarkStart w:id="7" w:name="_Toc3663"/>
      <w:r>
        <w:rPr>
          <w:rFonts w:hint="eastAsia" w:ascii="宋体" w:hAnsi="宋体" w:eastAsia="宋体" w:cs="宋体"/>
          <w:b/>
          <w:bCs/>
          <w:color w:val="auto"/>
          <w:sz w:val="36"/>
          <w:szCs w:val="36"/>
          <w:highlight w:val="none"/>
          <w:shd w:val="clear" w:color="auto" w:fill="auto"/>
        </w:rPr>
        <w:t>2024年学前教育生均经费</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w:t>
      </w:r>
    </w:p>
    <w:p w14:paraId="0487E34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rPr>
        <w:t>报告</w:t>
      </w:r>
      <w:bookmarkEnd w:id="4"/>
      <w:bookmarkEnd w:id="5"/>
      <w:bookmarkEnd w:id="6"/>
      <w:bookmarkEnd w:id="7"/>
    </w:p>
    <w:p w14:paraId="30711593">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2DAF21F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69A3E889">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9812"/>
      <w:bookmarkStart w:id="11" w:name="_Toc10645"/>
      <w:bookmarkStart w:id="12" w:name="_Toc22346"/>
      <w:bookmarkStart w:id="13"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2C9612E9">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根据新疆维吾尔自治区关于《自治区农村学前三年免费教育经费保障机制管理办法》的通知（新财教[ 2017]19号）文件</w:t>
      </w:r>
      <w:r>
        <w:rPr>
          <w:rFonts w:hint="eastAsia" w:ascii="仿宋_GB2312" w:hAnsi="仿宋_GB2312" w:eastAsia="仿宋_GB2312" w:cs="仿宋_GB2312"/>
          <w:color w:val="auto"/>
          <w:sz w:val="32"/>
          <w:szCs w:val="32"/>
          <w:highlight w:val="none"/>
        </w:rPr>
        <w:t>要求，</w:t>
      </w:r>
      <w:r>
        <w:rPr>
          <w:rFonts w:hint="eastAsia" w:ascii="仿宋_GB2312" w:eastAsia="仿宋_GB2312"/>
          <w:color w:val="auto"/>
          <w:sz w:val="32"/>
          <w:szCs w:val="32"/>
          <w:highlight w:val="none"/>
          <w:lang w:eastAsia="zh-CN"/>
        </w:rPr>
        <w:t>为3-6岁学龄前儿童提供保育与教育，落实好学前三年教育目标，改善幼儿园的办学条件，保障幼儿在园教学需求，为幼儿提供优质的保教环境，</w:t>
      </w:r>
      <w:r>
        <w:rPr>
          <w:rFonts w:hint="eastAsia" w:ascii="仿宋_GB2312" w:hAnsi="仿宋_GB2312" w:eastAsia="仿宋_GB2312" w:cs="仿宋_GB2312"/>
          <w:color w:val="auto"/>
          <w:sz w:val="32"/>
          <w:szCs w:val="32"/>
          <w:highlight w:val="none"/>
        </w:rPr>
        <w:t>提升幼儿园教育质量，保障幼儿能接受优质、均衡的学前教育</w:t>
      </w:r>
      <w:r>
        <w:rPr>
          <w:rFonts w:hint="eastAsia" w:ascii="仿宋_GB2312" w:hAnsi="仿宋_GB2312" w:eastAsia="仿宋_GB2312" w:cs="仿宋_GB2312"/>
          <w:color w:val="auto"/>
          <w:sz w:val="32"/>
          <w:szCs w:val="32"/>
          <w:highlight w:val="none"/>
          <w:lang w:eastAsia="zh-CN"/>
        </w:rPr>
        <w:t>。</w:t>
      </w:r>
    </w:p>
    <w:p w14:paraId="4823DF84">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27343"/>
      <w:bookmarkStart w:id="15" w:name="_Toc1630"/>
      <w:bookmarkStart w:id="16" w:name="_Toc17880"/>
      <w:bookmarkStart w:id="17" w:name="_Toc107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2C85DB08">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18" w:name="_Toc27409"/>
      <w:bookmarkStart w:id="19" w:name="_Toc21898"/>
      <w:bookmarkStart w:id="20" w:name="_Toc16592"/>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lang w:val="en-US" w:eastAsia="zh-CN" w:bidi="ar-SA"/>
        </w:rPr>
        <w:t>依据幼儿园在园幼儿人数，按一定标准核算并下发生均经费。经费主要用于教师工资待遇提升，吸引和留住优秀师资；购置先进的教学设备，如多媒体教学工具、益智玩具等；开发适合幼儿的特色课程，丰富教学内容；完善幼儿园的安全防护设施，包括门禁系统、监控设备等。</w:t>
      </w:r>
    </w:p>
    <w:p w14:paraId="4B8D982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2月1日经阜康市财政局关于2024年阜财预字[2024]7号部门预算的文件批复，经阜康市城关镇中心幼儿园财经会议，确定了项目领导小组，明确了责任分工：组长为史莉，副组长为樊晓宏，项目负责人为樊晓宏,组员为吴梦君、安波，其中：樊晓宏负责监管工作，吴梦君负责项目档案资料，安波负责资金拨付工作。</w:t>
      </w:r>
    </w:p>
    <w:p w14:paraId="1F64B403">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本项目涉及学生人数131人，公用经费享受比例达到100%，教师培训结业率达到100%，公用经费标准以1100元/人/年完成，达到幼儿园正常运转率提高，改善教学环境，提供良好的学生成长条件，保障幼儿园各项工作平稳进行的效益，师生满意度达100%以上。</w:t>
      </w:r>
    </w:p>
    <w:p w14:paraId="75A51DD7">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2348"/>
      <w:bookmarkStart w:id="23" w:name="_Toc569"/>
      <w:bookmarkStart w:id="24" w:name="_Toc10240"/>
      <w:bookmarkStart w:id="25" w:name="_Toc185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2BB372D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3509"/>
      <w:bookmarkStart w:id="27" w:name="_Toc694"/>
      <w:bookmarkStart w:id="28" w:name="_Toc2636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28A9E83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29190"/>
      <w:bookmarkStart w:id="31" w:name="_Toc5573"/>
      <w:r>
        <w:rPr>
          <w:rFonts w:hint="eastAsia" w:ascii="仿宋_GB2312" w:hAnsi="仿宋_GB2312" w:eastAsia="仿宋_GB2312" w:cs="仿宋_GB2312"/>
          <w:color w:val="auto"/>
          <w:sz w:val="32"/>
          <w:szCs w:val="32"/>
          <w:highlight w:val="none"/>
          <w:lang w:val="en-US" w:eastAsia="zh-CN"/>
        </w:rPr>
        <w:t>该项目年初预算数36.68万元，全年预算数26.55万元。该项目资金已全部落实到位，资金来源为财政拨款。</w:t>
      </w:r>
      <w:bookmarkEnd w:id="29"/>
      <w:bookmarkEnd w:id="30"/>
      <w:bookmarkEnd w:id="31"/>
      <w:bookmarkStart w:id="32" w:name="_Toc1166"/>
      <w:bookmarkStart w:id="33" w:name="_Toc28187"/>
      <w:bookmarkStart w:id="34" w:name="_Toc3409"/>
    </w:p>
    <w:p w14:paraId="0867282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18F4CEC9">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29121"/>
      <w:bookmarkStart w:id="36" w:name="_Toc1430"/>
      <w:bookmarkStart w:id="37" w:name="_Toc11647"/>
      <w:r>
        <w:rPr>
          <w:rFonts w:hint="eastAsia" w:ascii="仿宋_GB2312" w:hAnsi="仿宋_GB2312" w:eastAsia="仿宋_GB2312" w:cs="仿宋_GB2312"/>
          <w:color w:val="auto"/>
          <w:sz w:val="32"/>
          <w:szCs w:val="32"/>
          <w:highlight w:val="none"/>
          <w:lang w:val="en-US" w:eastAsia="zh-CN"/>
        </w:rPr>
        <w:t>该项目年初预算数36.68万元，全年预算数26.55万元。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全年执行数26.55万元，预算执行率为100%，主要用于：主要用于主要用于支付日常办公用品采购、卫生用品购置、水费、电费、邮电费、取暖费缴纳、幼儿园设施设备维修及幼儿伙食补助发放等。</w:t>
      </w:r>
      <w:bookmarkEnd w:id="35"/>
      <w:bookmarkEnd w:id="36"/>
      <w:bookmarkEnd w:id="37"/>
    </w:p>
    <w:p w14:paraId="2FD8B2B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0D6C05E1">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0047"/>
      <w:bookmarkStart w:id="40" w:name="_Toc8528"/>
      <w:bookmarkStart w:id="41" w:name="_Toc2547"/>
      <w:bookmarkStart w:id="42" w:name="_Toc1475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4226360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绩效总体目标为：2024年阜康市城关镇中心幼儿园计划保障幼儿园正常运转，教学活动及其他日常业务的正常运转。计划完成每学年以1100元每生每学年的标准使用公用经费,总计在园幼儿人数131人。通过开展各类教育教学活动，促进幼儿园各项活动有序开展，实现幼儿园年初制定的各项工作目标，进一步提高幼儿园教育教学水平。</w:t>
      </w:r>
    </w:p>
    <w:p w14:paraId="14D15D66">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4487"/>
      <w:bookmarkStart w:id="44" w:name="_Toc4007"/>
      <w:bookmarkStart w:id="45" w:name="_Toc3255"/>
      <w:bookmarkStart w:id="46" w:name="_Toc8990"/>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32B649E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0BB96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40654F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7" w:name="_Toc26567"/>
      <w:r>
        <w:rPr>
          <w:rFonts w:hint="eastAsia" w:ascii="仿宋_GB2312" w:hAnsi="仿宋_GB2312" w:eastAsia="仿宋_GB2312" w:cs="仿宋_GB2312"/>
          <w:color w:val="auto"/>
          <w:sz w:val="32"/>
          <w:szCs w:val="32"/>
          <w:highlight w:val="none"/>
          <w:shd w:val="clear" w:color="auto" w:fill="auto"/>
          <w:lang w:val="en-US" w:eastAsia="zh-CN"/>
        </w:rPr>
        <w:t>①数量指标</w:t>
      </w:r>
    </w:p>
    <w:p w14:paraId="7C945C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在校学生人数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指标，预期目标值为=131人；</w:t>
      </w:r>
    </w:p>
    <w:p w14:paraId="7523B7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3EE313F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公用经费享受比例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CC4C4A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教师培训结业率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39C7BDA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4D25EA5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公用经费支出及时率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3E0E16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495147D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指标，预期目标值为=1100元/人/年；</w:t>
      </w:r>
    </w:p>
    <w:p w14:paraId="6C8DB76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170D0A7F">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4CD3145B">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幼儿园正常运转率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093F31C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0A13258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②满意度指标</w:t>
      </w:r>
    </w:p>
    <w:p w14:paraId="57730B1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师生满意度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43B92FB9">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rPr>
        <w:t>二、绩效评价工作开展情况</w:t>
      </w:r>
      <w:bookmarkEnd w:id="47"/>
    </w:p>
    <w:p w14:paraId="5C080D7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22169_WPSOffice_Level2"/>
      <w:bookmarkStart w:id="49" w:name="_Toc5462343"/>
      <w:bookmarkStart w:id="50" w:name="_Toc26632"/>
      <w:bookmarkStart w:id="51" w:name="_Toc21664"/>
      <w:bookmarkStart w:id="52" w:name="_Toc480473081"/>
      <w:bookmarkStart w:id="53" w:name="_Toc22922"/>
      <w:bookmarkStart w:id="54" w:name="_Toc12868"/>
      <w:bookmarkStart w:id="55" w:name="_Toc5258"/>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0FEFBD56">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bookmarkStart w:id="58" w:name="_Toc21311"/>
      <w:bookmarkStart w:id="59" w:name="_Toc11666"/>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693547D2">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B9B0D91">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3EE9B02C">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79F9676">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AC368B8">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3BBAAF0A">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0" w:name="_Toc417"/>
      <w:bookmarkStart w:id="61"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60"/>
      <w:bookmarkEnd w:id="61"/>
    </w:p>
    <w:p w14:paraId="5C300C7F">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0DE251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2" w:name="_Toc30609"/>
      <w:r>
        <w:rPr>
          <w:rFonts w:hint="default" w:ascii="Times New Roman" w:hAnsi="Times New Roman" w:eastAsia="仿宋_GB2312" w:cs="Times New Roman"/>
          <w:color w:val="auto"/>
          <w:sz w:val="32"/>
          <w:szCs w:val="32"/>
          <w:highlight w:val="none"/>
        </w:rPr>
        <w:t>（1）评估项目实施效果</w:t>
      </w:r>
    </w:p>
    <w:p w14:paraId="7097DD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1EF2E4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3A3496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3BD0D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644077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975B6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7971AA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1E4DB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AB96A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B0153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169A155">
      <w:pPr>
        <w:pStyle w:val="4"/>
        <w:pageBreakBefore w:val="0"/>
        <w:widowControl w:val="0"/>
        <w:kinsoku/>
        <w:wordWrap/>
        <w:overflowPunct/>
        <w:topLinePunct w:val="0"/>
        <w:autoSpaceDE/>
        <w:autoSpaceDN/>
        <w:bidi w:val="0"/>
        <w:adjustRightInd/>
        <w:snapToGrid/>
        <w:spacing w:line="560" w:lineRule="exact"/>
        <w:textAlignment w:val="auto"/>
        <w:rPr>
          <w:rFonts w:hint="eastAsia" w:cs="仿宋_GB2312"/>
          <w:color w:val="auto"/>
          <w:sz w:val="32"/>
          <w:szCs w:val="32"/>
          <w:highlight w:val="none"/>
          <w:shd w:val="clear" w:color="auto" w:fill="auto"/>
          <w:lang w:val="en-US" w:eastAsia="zh-CN"/>
        </w:rPr>
      </w:pPr>
      <w:bookmarkStart w:id="63" w:name="_Toc31970"/>
      <w:bookmarkStart w:id="64" w:name="_Toc16346"/>
      <w:r>
        <w:rPr>
          <w:rFonts w:hint="eastAsia" w:cs="仿宋_GB2312"/>
          <w:color w:val="auto"/>
          <w:sz w:val="32"/>
          <w:szCs w:val="32"/>
          <w:highlight w:val="none"/>
          <w:shd w:val="clear" w:color="auto" w:fill="auto"/>
          <w:lang w:val="en-US" w:eastAsia="zh-CN"/>
        </w:rPr>
        <w:t>3.绩效评价的对象</w:t>
      </w:r>
      <w:bookmarkEnd w:id="62"/>
      <w:bookmarkEnd w:id="63"/>
      <w:bookmarkEnd w:id="64"/>
    </w:p>
    <w:p w14:paraId="70988121">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此次我单位根据《财政支出绩效评价管理暂行办法》（财预〔2020〕10号）文件要求对2024年度我单位实施的2024年学前教育生均经费项目</w:t>
      </w:r>
      <w:r>
        <w:rPr>
          <w:rFonts w:hint="default" w:ascii="Times New Roman" w:hAnsi="Times New Roman" w:eastAsia="仿宋_GB2312" w:cs="Times New Roman"/>
          <w:b w:val="0"/>
          <w:bCs w:val="0"/>
          <w:color w:val="auto"/>
          <w:kern w:val="2"/>
          <w:sz w:val="32"/>
          <w:szCs w:val="32"/>
          <w:highlight w:val="none"/>
          <w:lang w:val="en-US" w:eastAsia="zh-CN" w:bidi="ar-SA"/>
        </w:rPr>
        <w:t>及其预算执行情况</w:t>
      </w:r>
      <w:r>
        <w:rPr>
          <w:rFonts w:hint="eastAsia" w:ascii="Times New Roman" w:hAnsi="Times New Roman" w:eastAsia="仿宋_GB2312" w:cs="Times New Roman"/>
          <w:b w:val="0"/>
          <w:bCs w:val="0"/>
          <w:color w:val="auto"/>
          <w:kern w:val="2"/>
          <w:sz w:val="32"/>
          <w:szCs w:val="32"/>
          <w:highlight w:val="none"/>
          <w:lang w:val="en-US" w:eastAsia="zh-CN" w:bidi="ar-SA"/>
        </w:rPr>
        <w:t>开展部门绩效评价。</w:t>
      </w:r>
    </w:p>
    <w:p w14:paraId="0F925EA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该项目由</w:t>
      </w:r>
      <w:r>
        <w:rPr>
          <w:rFonts w:hint="eastAsia" w:ascii="Times New Roman" w:hAnsi="Times New Roman" w:eastAsia="仿宋_GB2312" w:cs="Times New Roman"/>
          <w:b w:val="0"/>
          <w:bCs w:val="0"/>
          <w:color w:val="auto"/>
          <w:kern w:val="2"/>
          <w:sz w:val="32"/>
          <w:szCs w:val="32"/>
          <w:highlight w:val="none"/>
          <w:lang w:val="en-US" w:eastAsia="zh-CN" w:bidi="ar-SA"/>
        </w:rPr>
        <w:t>阜康市城关镇中心幼儿园</w:t>
      </w:r>
      <w:r>
        <w:rPr>
          <w:rFonts w:hint="default" w:ascii="Times New Roman" w:hAnsi="Times New Roman" w:eastAsia="仿宋_GB2312" w:cs="Times New Roman"/>
          <w:b w:val="0"/>
          <w:bCs w:val="0"/>
          <w:color w:val="auto"/>
          <w:kern w:val="2"/>
          <w:sz w:val="32"/>
          <w:szCs w:val="32"/>
          <w:highlight w:val="none"/>
          <w:lang w:val="en-US" w:eastAsia="zh-CN" w:bidi="ar-SA"/>
        </w:rPr>
        <w:t>负责实施，旨在提高幼儿园正常运转率，改善教学环境，提供良好的学生成长条件，保障幼儿园各项工作平稳进行</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2024年2月1日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26.55</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61ECC5BA">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r>
        <w:rPr>
          <w:rFonts w:hint="default" w:cs="仿宋_GB2312"/>
          <w:color w:val="auto"/>
          <w:sz w:val="32"/>
          <w:szCs w:val="32"/>
          <w:highlight w:val="none"/>
          <w:shd w:val="clear" w:color="auto" w:fill="auto"/>
          <w:lang w:val="en-US" w:eastAsia="zh-CN"/>
        </w:rPr>
        <w:t>4.绩效评价的范围</w:t>
      </w:r>
    </w:p>
    <w:p w14:paraId="6DAACDAF">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0DFCD9E3">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751731C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5C876C27">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52FFD1A3">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社会影响：考察项目对社会方面的综合影响。</w:t>
      </w:r>
    </w:p>
    <w:bookmarkEnd w:id="58"/>
    <w:bookmarkEnd w:id="59"/>
    <w:p w14:paraId="201D3886">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Chars="200"/>
        <w:jc w:val="both"/>
        <w:textAlignment w:val="auto"/>
        <w:outlineLvl w:val="9"/>
        <w:rPr>
          <w:rFonts w:hint="eastAsia" w:ascii="Times New Roman" w:hAnsi="Times New Roman" w:eastAsia="楷体_GB2312" w:cs="Times New Roman"/>
          <w:color w:val="auto"/>
          <w:kern w:val="28"/>
          <w:sz w:val="32"/>
          <w:highlight w:val="none"/>
          <w:lang w:val="en-US" w:eastAsia="zh-CN"/>
        </w:rPr>
      </w:pPr>
      <w:bookmarkStart w:id="65" w:name="_Toc29785"/>
      <w:bookmarkStart w:id="66"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2555F944">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13694"/>
      <w:bookmarkStart w:id="68" w:name="_Toc5354"/>
      <w:bookmarkStart w:id="69"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24647010">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42013583">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310966C1">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1D61B57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73A392A9">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58895D7D">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4D5D6C8C">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428278230"/>
      <w:bookmarkStart w:id="71" w:name="_Toc24396"/>
      <w:bookmarkStart w:id="72" w:name="_Toc419984722"/>
      <w:bookmarkStart w:id="73" w:name="_Toc26131"/>
      <w:bookmarkStart w:id="74" w:name="_Toc1913"/>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245C495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28D84E2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60B4AB6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521C98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1789E49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22E7D8A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8CD062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0DDE4A6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0658DE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40750FF6">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5690"/>
      <w:bookmarkStart w:id="77"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67C65B10">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651"/>
      <w:bookmarkStart w:id="79" w:name="_Toc25391"/>
      <w:bookmarkStart w:id="80" w:name="_Toc608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404761F0">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7AE759E">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auto"/>
          <w:spacing w:val="17"/>
          <w:sz w:val="32"/>
          <w:szCs w:val="32"/>
          <w:highlight w:val="none"/>
          <w:lang w:eastAsia="zh-CN"/>
        </w:rPr>
        <w:t>原因：利用比较法可以清楚对比项目的实施情况，更好的比对出项目之间的差距。</w:t>
      </w:r>
    </w:p>
    <w:p w14:paraId="792D7BD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r>
        <w:rPr>
          <w:rFonts w:hint="eastAsia" w:ascii="Times New Roman" w:hAnsi="Times New Roman" w:eastAsia="仿宋_GB2312" w:cs="Times New Roman"/>
          <w:color w:val="auto"/>
          <w:spacing w:val="17"/>
          <w:sz w:val="32"/>
          <w:szCs w:val="32"/>
          <w:highlight w:val="none"/>
          <w:lang w:eastAsia="zh-CN"/>
        </w:rPr>
        <w:t>原因：通过因素分析法，可以明确关键因素，预测影响项目目标的因素。</w:t>
      </w:r>
    </w:p>
    <w:p w14:paraId="7113768C">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1101210A">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bookmarkStart w:id="81" w:name="_Toc21435"/>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w:t>
      </w:r>
    </w:p>
    <w:p w14:paraId="3757BF70">
      <w:pPr>
        <w:numPr>
          <w:ilvl w:val="0"/>
          <w:numId w:val="2"/>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08288D03">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历史标准。指参照历史数据制定的评价标准，为体现绩效改进的原则，在可实现的条件下应当确定相对较高的评价标准。</w:t>
      </w:r>
    </w:p>
    <w:p w14:paraId="6A1E504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17DDAF43">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444A9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1194EBD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w:t>
      </w:r>
      <w:r>
        <w:rPr>
          <w:rFonts w:hint="eastAsia" w:ascii="Times New Roman" w:hAnsi="Times New Roman" w:eastAsia="仿宋_GB2312" w:cs="Times New Roman"/>
          <w:color w:val="000000"/>
          <w:spacing w:val="17"/>
          <w:sz w:val="32"/>
          <w:szCs w:val="32"/>
          <w:highlight w:val="none"/>
          <w:lang w:val="en-US" w:eastAsia="zh-CN"/>
        </w:rPr>
        <w:t>络制度、明确评价责任人、制定评价方案、实施具体评价等工作。</w:t>
      </w:r>
    </w:p>
    <w:p w14:paraId="18A29E7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5760AE5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84"/>
    </w:p>
    <w:p w14:paraId="7CCEB02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3A93651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0D743024">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3841C23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3C0E212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7BEB6C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29C7014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0E711C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27A6588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7053479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393E989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662918D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497EBF6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08A430B">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08B4980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20E782C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96CEEB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0C04247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2784523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48CE8A59">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6979916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465311D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415AE53A">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阜康市城关镇中心幼儿园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5CB2320B">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color w:val="auto"/>
          <w:sz w:val="32"/>
          <w:szCs w:val="32"/>
          <w:highlight w:val="none"/>
          <w:lang w:val="en-US" w:eastAsia="zh-CN"/>
        </w:rPr>
        <w:t>幼儿园正常运转率、改善教学环境，提供良好的学生成长条件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3B29E6B">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536AFC3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218E79B3">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72226F5D">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627BB8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表3-1：2024年学前教育生均经费项目得分表</w:t>
            </w:r>
          </w:p>
        </w:tc>
      </w:tr>
      <w:tr w14:paraId="30F84FB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F2D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246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028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368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FC2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1B6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3B5D5521">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12A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ECA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A25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1C5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543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EAE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08385CE6">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074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2DC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DFA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090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BE1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382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2D9B7AFF">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005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86E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586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C97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72F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887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55A0D2BB">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0BC7079">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082D5664">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7BD1C8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8815987">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1BD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B4B9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6E90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30E9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4406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A9D8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5D18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0A99211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9F4E1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47F5C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A4B38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0BD2C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2021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2ED3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9D03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79ECC22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3A115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A4537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7EF2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CDEB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5638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96C1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2B16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655A196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8091F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36F6E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C1FD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7878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BEAF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252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66BD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C18F9E4">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AD734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1D4E2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15AF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8053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27A5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8EBA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AC95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32FF9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754E2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EE065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7CEF3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47B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3456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1209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FA0A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E10B8B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32D3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C84B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25CE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7A4F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0017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EB24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8A4A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4C9D9201">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6023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08D2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C302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71B4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FD5A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450193D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28069"/>
      <w:bookmarkStart w:id="110" w:name="_Toc13522"/>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6998E0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①项目立项符合新疆维吾尔自治区关于《自治区农村学前三年免费教育经费保障机制管理办法》的通知（新财教[2017]19号）文件；</w:t>
      </w:r>
    </w:p>
    <w:p w14:paraId="5D10360E">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color w:val="auto"/>
          <w:sz w:val="32"/>
          <w:szCs w:val="32"/>
          <w:highlight w:val="none"/>
          <w:lang w:eastAsia="zh-CN"/>
        </w:rPr>
        <w:t>②项目立项符合项目立项符合《</w:t>
      </w:r>
      <w:r>
        <w:rPr>
          <w:rFonts w:hint="eastAsia" w:ascii="仿宋_GB2312" w:hAnsi="仿宋_GB2312" w:eastAsia="仿宋_GB2312" w:cs="仿宋_GB2312"/>
          <w:color w:val="auto"/>
          <w:sz w:val="32"/>
          <w:szCs w:val="32"/>
          <w:highlight w:val="none"/>
          <w:lang w:val="en-US" w:eastAsia="zh-CN"/>
        </w:rPr>
        <w:t>阜康市教育扶贫惠民政策宣传手册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政策要求；</w:t>
      </w:r>
    </w:p>
    <w:p w14:paraId="5E37163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w:t>
      </w:r>
      <w:r>
        <w:rPr>
          <w:rFonts w:hint="eastAsia" w:ascii="仿宋_GB2312" w:hAnsi="仿宋_GB2312" w:eastAsia="仿宋_GB2312" w:cs="仿宋_GB2312"/>
          <w:color w:val="auto"/>
          <w:sz w:val="32"/>
          <w:szCs w:val="32"/>
          <w:highlight w:val="none"/>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color w:val="auto"/>
          <w:sz w:val="32"/>
          <w:szCs w:val="32"/>
          <w:highlight w:val="none"/>
          <w:lang w:eastAsia="zh-CN"/>
        </w:rPr>
        <w:t>部门职责范围相符，属于部门履职所需；</w:t>
      </w:r>
    </w:p>
    <w:p w14:paraId="4B7F6E9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2B6ACEB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7EDEA48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26D82A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1976"/>
      <w:bookmarkStart w:id="112" w:name="_Toc23240"/>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2260948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24BDB61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31C63C5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但未经过可行性研究、专家论证、风险评估、绩效评估，扣0.8分</w:t>
      </w:r>
      <w:r>
        <w:rPr>
          <w:rFonts w:hint="eastAsia" w:ascii="仿宋_GB2312" w:hAnsi="仿宋_GB2312" w:eastAsia="仿宋_GB2312" w:cs="仿宋_GB2312"/>
          <w:color w:val="auto"/>
          <w:sz w:val="32"/>
          <w:szCs w:val="32"/>
          <w:highlight w:val="none"/>
          <w:lang w:eastAsia="zh-CN"/>
        </w:rPr>
        <w:t>。</w:t>
      </w:r>
    </w:p>
    <w:p w14:paraId="22325C3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45670FA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3542"/>
      <w:bookmarkStart w:id="114" w:name="_Toc1538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3912A8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4CA146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②该项目实际工作内容为：保障幼儿园正常运转，教学活动及其他日常业务的正常运转，完成每学年以1100元每生每学年的标准使用公用经费,总计在园幼儿人数</w:t>
      </w:r>
      <w:r>
        <w:rPr>
          <w:rFonts w:hint="eastAsia" w:ascii="仿宋_GB2312" w:hAnsi="仿宋_GB2312" w:eastAsia="仿宋_GB2312" w:cs="仿宋_GB2312"/>
          <w:color w:val="auto"/>
          <w:sz w:val="32"/>
          <w:szCs w:val="32"/>
          <w:highlight w:val="none"/>
          <w:lang w:val="en-US" w:eastAsia="zh-CN"/>
        </w:rPr>
        <w:t>131</w:t>
      </w:r>
      <w:r>
        <w:rPr>
          <w:rFonts w:hint="eastAsia" w:ascii="仿宋_GB2312" w:hAnsi="仿宋_GB2312" w:eastAsia="仿宋_GB2312" w:cs="仿宋_GB2312"/>
          <w:color w:val="auto"/>
          <w:sz w:val="32"/>
          <w:szCs w:val="32"/>
          <w:highlight w:val="none"/>
          <w:lang w:eastAsia="zh-CN"/>
        </w:rPr>
        <w:t>人。通过开展各类教育教学活动，促进幼儿园各项活动有序开展，实现幼儿园年初制定的各项工作目标，进一步提高幼儿园教育教学水平。绩效目标与实际工作内容一致，两者具有相关性。</w:t>
      </w:r>
    </w:p>
    <w:p w14:paraId="56B7D1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③该项目按照绩效目标完成数量指标、质量指标、时效指标、成本指标，完成了完成涉及学生人数</w:t>
      </w:r>
      <w:r>
        <w:rPr>
          <w:rFonts w:hint="eastAsia" w:ascii="仿宋_GB2312" w:hAnsi="仿宋_GB2312" w:eastAsia="仿宋_GB2312" w:cs="仿宋_GB2312"/>
          <w:color w:val="auto"/>
          <w:sz w:val="32"/>
          <w:szCs w:val="32"/>
          <w:highlight w:val="none"/>
          <w:lang w:val="en-US" w:eastAsia="zh-CN"/>
        </w:rPr>
        <w:t>131</w:t>
      </w:r>
      <w:r>
        <w:rPr>
          <w:rFonts w:hint="eastAsia" w:ascii="仿宋_GB2312" w:hAnsi="仿宋_GB2312" w:eastAsia="仿宋_GB2312" w:cs="仿宋_GB2312"/>
          <w:color w:val="auto"/>
          <w:sz w:val="32"/>
          <w:szCs w:val="32"/>
          <w:highlight w:val="none"/>
          <w:lang w:eastAsia="zh-CN"/>
        </w:rPr>
        <w:t>人，公用经费享受比例达到100%，教师培训结业率达到100%，公用经费标准以1100元/人/年使用经费，达到幼儿园正常运转率</w:t>
      </w:r>
      <w:r>
        <w:rPr>
          <w:rFonts w:hint="eastAsia" w:ascii="仿宋_GB2312" w:hAnsi="仿宋_GB2312" w:eastAsia="仿宋_GB2312" w:cs="仿宋_GB2312"/>
          <w:color w:val="auto"/>
          <w:sz w:val="32"/>
          <w:szCs w:val="32"/>
          <w:highlight w:val="none"/>
          <w:lang w:val="en-US" w:eastAsia="zh-CN"/>
        </w:rPr>
        <w:t>提高、改善教学环境，提供良好的学生成长条件</w:t>
      </w:r>
      <w:r>
        <w:rPr>
          <w:rFonts w:hint="eastAsia" w:ascii="仿宋_GB2312" w:hAnsi="仿宋_GB2312" w:eastAsia="仿宋_GB2312" w:cs="仿宋_GB2312"/>
          <w:color w:val="auto"/>
          <w:sz w:val="32"/>
          <w:szCs w:val="32"/>
          <w:highlight w:val="none"/>
          <w:lang w:eastAsia="zh-CN"/>
        </w:rPr>
        <w:t>效益，预期产出效益和效果符合正常的业绩水平。</w:t>
      </w:r>
    </w:p>
    <w:p w14:paraId="564E67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26.55</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32D3D8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4FE014B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0650"/>
      <w:bookmarkStart w:id="116" w:name="_Toc18198"/>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344C18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其中三级指标共计8个</w:t>
      </w:r>
      <w:r>
        <w:rPr>
          <w:rFonts w:hint="eastAsia" w:ascii="仿宋_GB2312" w:hAnsi="仿宋_GB2312" w:eastAsia="仿宋_GB2312" w:cs="仿宋_GB2312"/>
          <w:color w:val="auto"/>
          <w:sz w:val="32"/>
          <w:szCs w:val="32"/>
          <w:highlight w:val="none"/>
          <w:lang w:eastAsia="zh-CN"/>
        </w:rPr>
        <w:t>；</w:t>
      </w:r>
    </w:p>
    <w:p w14:paraId="7DDBAD5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量化率达到87.5%</w:t>
      </w:r>
      <w:r>
        <w:rPr>
          <w:rFonts w:hint="eastAsia" w:ascii="仿宋_GB2312" w:hAnsi="仿宋_GB2312" w:eastAsia="仿宋_GB2312" w:cs="仿宋_GB2312"/>
          <w:color w:val="auto"/>
          <w:sz w:val="32"/>
          <w:szCs w:val="32"/>
          <w:highlight w:val="none"/>
          <w:lang w:eastAsia="zh-CN"/>
        </w:rPr>
        <w:t>；</w:t>
      </w:r>
    </w:p>
    <w:p w14:paraId="1C943B2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035612E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07D5A4E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A60570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8296"/>
      <w:bookmarkStart w:id="118" w:name="_Toc19401"/>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4F0486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7498BD0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预算申请内容为提高幼儿园正常运转率，改善教学环境，提供良好的学生成长条件，保障幼儿园各项工作平稳进行，项目实际内容为改善教学环境，提供良好的学生成长条件，预算申请与项目内容匹配；</w:t>
      </w:r>
    </w:p>
    <w:p w14:paraId="03044AC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26.55万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元，我单位在预算申请中严格按照项目实施内容及测算标准进行核算，其中：办公费用</w:t>
      </w:r>
      <w:r>
        <w:rPr>
          <w:rFonts w:hint="eastAsia" w:ascii="仿宋_GB2312" w:hAnsi="仿宋_GB2312" w:eastAsia="仿宋_GB2312" w:cs="仿宋_GB2312"/>
          <w:color w:val="auto"/>
          <w:sz w:val="32"/>
          <w:szCs w:val="32"/>
          <w:highlight w:val="none"/>
          <w:lang w:val="en-US" w:eastAsia="zh-CN"/>
        </w:rPr>
        <w:t>1.27</w:t>
      </w:r>
      <w:r>
        <w:rPr>
          <w:rFonts w:hint="eastAsia" w:ascii="仿宋_GB2312" w:hAnsi="仿宋_GB2312" w:eastAsia="仿宋_GB2312" w:cs="仿宋_GB2312"/>
          <w:color w:val="auto"/>
          <w:sz w:val="32"/>
          <w:szCs w:val="32"/>
          <w:highlight w:val="none"/>
          <w:lang w:eastAsia="zh-CN"/>
        </w:rPr>
        <w:t>万元、维修费</w:t>
      </w:r>
      <w:r>
        <w:rPr>
          <w:rFonts w:hint="eastAsia" w:ascii="仿宋_GB2312" w:hAnsi="仿宋_GB2312" w:eastAsia="仿宋_GB2312" w:cs="仿宋_GB2312"/>
          <w:color w:val="auto"/>
          <w:sz w:val="32"/>
          <w:szCs w:val="32"/>
          <w:highlight w:val="none"/>
          <w:lang w:val="en-US" w:eastAsia="zh-CN"/>
        </w:rPr>
        <w:t>3.11万元、</w:t>
      </w:r>
      <w:r>
        <w:rPr>
          <w:rFonts w:hint="eastAsia" w:ascii="仿宋_GB2312" w:hAnsi="仿宋_GB2312" w:eastAsia="仿宋_GB2312" w:cs="仿宋_GB2312"/>
          <w:color w:val="auto"/>
          <w:sz w:val="32"/>
          <w:szCs w:val="32"/>
          <w:highlight w:val="none"/>
          <w:lang w:eastAsia="zh-CN"/>
        </w:rPr>
        <w:t>水费</w:t>
      </w:r>
      <w:r>
        <w:rPr>
          <w:rFonts w:hint="eastAsia" w:ascii="仿宋_GB2312" w:hAnsi="仿宋_GB2312" w:eastAsia="仿宋_GB2312" w:cs="仿宋_GB2312"/>
          <w:color w:val="auto"/>
          <w:sz w:val="32"/>
          <w:szCs w:val="32"/>
          <w:highlight w:val="none"/>
          <w:lang w:val="en-US" w:eastAsia="zh-CN"/>
        </w:rPr>
        <w:t>0.81</w:t>
      </w:r>
      <w:r>
        <w:rPr>
          <w:rFonts w:hint="eastAsia" w:ascii="仿宋_GB2312" w:hAnsi="仿宋_GB2312" w:eastAsia="仿宋_GB2312" w:cs="仿宋_GB2312"/>
          <w:color w:val="auto"/>
          <w:sz w:val="32"/>
          <w:szCs w:val="32"/>
          <w:highlight w:val="none"/>
          <w:lang w:eastAsia="zh-CN"/>
        </w:rPr>
        <w:t>万元、电费</w:t>
      </w:r>
      <w:r>
        <w:rPr>
          <w:rFonts w:hint="eastAsia" w:ascii="仿宋_GB2312" w:hAnsi="仿宋_GB2312" w:eastAsia="仿宋_GB2312" w:cs="仿宋_GB2312"/>
          <w:color w:val="auto"/>
          <w:sz w:val="32"/>
          <w:szCs w:val="32"/>
          <w:highlight w:val="none"/>
          <w:lang w:val="en-US" w:eastAsia="zh-CN"/>
        </w:rPr>
        <w:t>2.57</w:t>
      </w:r>
      <w:r>
        <w:rPr>
          <w:rFonts w:hint="eastAsia" w:ascii="仿宋_GB2312" w:hAnsi="仿宋_GB2312" w:eastAsia="仿宋_GB2312" w:cs="仿宋_GB2312"/>
          <w:color w:val="auto"/>
          <w:sz w:val="32"/>
          <w:szCs w:val="32"/>
          <w:highlight w:val="none"/>
          <w:lang w:eastAsia="zh-CN"/>
        </w:rPr>
        <w:t>万元、邮电费</w:t>
      </w:r>
      <w:r>
        <w:rPr>
          <w:rFonts w:hint="eastAsia" w:ascii="仿宋_GB2312" w:hAnsi="仿宋_GB2312" w:eastAsia="仿宋_GB2312" w:cs="仿宋_GB2312"/>
          <w:color w:val="auto"/>
          <w:sz w:val="32"/>
          <w:szCs w:val="32"/>
          <w:highlight w:val="none"/>
          <w:lang w:val="en-US" w:eastAsia="zh-CN"/>
        </w:rPr>
        <w:t>2.42</w:t>
      </w:r>
      <w:r>
        <w:rPr>
          <w:rFonts w:hint="eastAsia" w:ascii="仿宋_GB2312" w:hAnsi="仿宋_GB2312" w:eastAsia="仿宋_GB2312" w:cs="仿宋_GB2312"/>
          <w:color w:val="auto"/>
          <w:sz w:val="32"/>
          <w:szCs w:val="32"/>
          <w:highlight w:val="none"/>
          <w:lang w:eastAsia="zh-CN"/>
        </w:rPr>
        <w:t>万元、取暖费</w:t>
      </w:r>
      <w:r>
        <w:rPr>
          <w:rFonts w:hint="eastAsia" w:ascii="仿宋_GB2312" w:hAnsi="仿宋_GB2312" w:eastAsia="仿宋_GB2312" w:cs="仿宋_GB2312"/>
          <w:color w:val="auto"/>
          <w:sz w:val="32"/>
          <w:szCs w:val="32"/>
          <w:highlight w:val="none"/>
          <w:lang w:val="en-US" w:eastAsia="zh-CN"/>
        </w:rPr>
        <w:t>1.57万元、物业管理费0.93万元、培训费1.60万元、助学金12.27万元</w:t>
      </w:r>
      <w:r>
        <w:rPr>
          <w:rFonts w:hint="eastAsia" w:ascii="仿宋_GB2312" w:hAnsi="仿宋_GB2312" w:eastAsia="仿宋_GB2312" w:cs="仿宋_GB2312"/>
          <w:color w:val="auto"/>
          <w:sz w:val="32"/>
          <w:szCs w:val="32"/>
          <w:highlight w:val="none"/>
          <w:lang w:eastAsia="zh-CN"/>
        </w:rPr>
        <w:t>。</w:t>
      </w:r>
    </w:p>
    <w:p w14:paraId="2D705E2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1AAD6CF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13A45A8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556"/>
      <w:bookmarkStart w:id="120" w:name="_Toc697"/>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372A7B9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①项目实际分配资金以《财政支出预算管理办法》</w:t>
      </w:r>
      <w:r>
        <w:rPr>
          <w:rFonts w:hint="eastAsia" w:cs="宋体"/>
          <w:bCs/>
          <w:color w:val="auto"/>
          <w:highlight w:val="none"/>
          <w:shd w:val="clear" w:color="auto" w:fill="auto"/>
          <w:lang w:eastAsia="zh-CN"/>
        </w:rPr>
        <w:t>、</w:t>
      </w:r>
      <w:r>
        <w:rPr>
          <w:rFonts w:hint="eastAsia" w:ascii="仿宋_GB2312" w:hAnsi="仿宋_GB2312" w:eastAsia="仿宋_GB2312" w:cs="仿宋_GB2312"/>
          <w:color w:val="auto"/>
          <w:sz w:val="32"/>
          <w:szCs w:val="32"/>
          <w:highlight w:val="none"/>
          <w:lang w:eastAsia="zh-Hans"/>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Hans"/>
        </w:rPr>
        <w:t>年公用经费收支预算表》为依据进行资金分配，预算资金分配依据充分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37954A0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26.55</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760BDC51">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64C6D967">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4301FC5C">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D02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4B7378C7">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8EA5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8E7D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0781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7B5F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E333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89B8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8007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B16F17E">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DDDF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2E10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DED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151D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05F0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A788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53FB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6C747FE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8077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423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15C4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EFD1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6A4F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E72A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97B7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45E47D69">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9EF4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EFC2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7A7F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06E6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77A6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FD51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37C8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2E3E7C9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020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20DB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B9FE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7561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D899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04BA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AF7D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1527B921">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2485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E079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AD8F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094B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FA33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D1B6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C9C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19C0BD23">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813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4B00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4CD7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6461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8663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r>
    </w:tbl>
    <w:p w14:paraId="0AC9B06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1113816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26.55</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26.55</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050F1DE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b w:val="0"/>
          <w:bCs w:val="0"/>
          <w:color w:val="auto"/>
          <w:sz w:val="32"/>
          <w:szCs w:val="32"/>
          <w:highlight w:val="none"/>
          <w:lang w:val="en-US" w:eastAsia="zh-CN"/>
        </w:rPr>
        <w:t>26.55</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26.55</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p>
    <w:p w14:paraId="254BFAC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40B2D6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9705"/>
      <w:bookmarkStart w:id="125" w:name="_Toc17709"/>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0BEBD65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26.55</w:t>
      </w:r>
      <w:r>
        <w:rPr>
          <w:rFonts w:hint="eastAsia" w:ascii="仿宋_GB2312" w:hAnsi="仿宋_GB2312" w:eastAsia="仿宋_GB2312" w:cs="仿宋_GB2312"/>
          <w:color w:val="auto"/>
          <w:sz w:val="32"/>
          <w:szCs w:val="32"/>
          <w:highlight w:val="none"/>
          <w:lang w:val="en-US" w:eastAsia="zh-CN"/>
        </w:rPr>
        <w:t>万元。</w:t>
      </w:r>
    </w:p>
    <w:p w14:paraId="3425F3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26.55</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26.55</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p>
    <w:p w14:paraId="2B71F8F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544303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18691"/>
      <w:bookmarkStart w:id="127" w:name="_Toc28875"/>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362E5595">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①本项目资金支出符合国家财经法规、《政府会计制度》《阜康市城关镇中心幼儿园单位资金管理办法》《阜康市城关镇中心幼儿园专项资金管理办法》；</w:t>
      </w:r>
    </w:p>
    <w:p w14:paraId="072CF3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7EE63B6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074C132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7D0E119">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5B65C9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F78166E">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32E80A7">
      <w:pPr>
        <w:pageBreakBefore w:val="0"/>
        <w:kinsoku/>
        <w:wordWrap/>
        <w:overflowPunct/>
        <w:topLinePunct w:val="0"/>
        <w:autoSpaceDE/>
        <w:autoSpaceDN/>
        <w:bidi w:val="0"/>
        <w:spacing w:line="560" w:lineRule="exact"/>
        <w:textAlignment w:val="auto"/>
        <w:rPr>
          <w:rFonts w:hint="eastAsia" w:ascii="Times New Roman" w:hAnsi="Times New Roman" w:eastAsia="仿宋_GB2312" w:cs="Times New Roman"/>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Times New Roman" w:hAnsi="Times New Roman" w:eastAsia="仿宋_GB2312" w:cs="Times New Roman"/>
          <w:color w:val="auto"/>
          <w:sz w:val="32"/>
          <w:szCs w:val="32"/>
          <w:highlight w:val="none"/>
          <w:lang w:eastAsia="zh-CN"/>
        </w:rPr>
        <w:t>《阜康市城关镇中心幼儿园资金管理办法》《阜康市城关镇中心幼儿园收支业务管理制度》《阜康市城关镇中心幼儿园政府采购业务管理制度》《阜康市城关镇中心幼儿园合同管理制度》，</w:t>
      </w:r>
      <w:r>
        <w:rPr>
          <w:rFonts w:hint="eastAsia" w:ascii="Times New Roman" w:hAnsi="Times New Roman" w:eastAsia="仿宋_GB2312" w:cs="Times New Roman"/>
          <w:color w:val="auto"/>
          <w:sz w:val="32"/>
          <w:szCs w:val="32"/>
          <w:highlight w:val="none"/>
          <w:lang w:val="en-US" w:eastAsia="zh-CN"/>
        </w:rPr>
        <w:t>相关</w:t>
      </w:r>
      <w:r>
        <w:rPr>
          <w:rFonts w:hint="eastAsia" w:ascii="Times New Roman" w:hAnsi="Times New Roman" w:eastAsia="仿宋_GB2312" w:cs="Times New Roman"/>
          <w:color w:val="auto"/>
          <w:sz w:val="32"/>
          <w:szCs w:val="32"/>
          <w:highlight w:val="none"/>
          <w:lang w:eastAsia="zh-CN"/>
        </w:rPr>
        <w:t>制度均符合行政事业单位内控管理要求；</w:t>
      </w:r>
    </w:p>
    <w:p w14:paraId="45237A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512B34F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84502F0">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13984"/>
      <w:bookmarkStart w:id="129" w:name="_Toc316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5C81704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《阜康市</w:t>
      </w:r>
      <w:r>
        <w:rPr>
          <w:rFonts w:hint="eastAsia" w:ascii="Times New Roman" w:hAnsi="Times New Roman" w:eastAsia="仿宋_GB2312" w:cs="Times New Roman"/>
          <w:color w:val="auto"/>
          <w:sz w:val="32"/>
          <w:szCs w:val="32"/>
          <w:highlight w:val="none"/>
          <w:lang w:eastAsia="zh-CN"/>
        </w:rPr>
        <w:t>城关镇中心</w:t>
      </w:r>
      <w:r>
        <w:rPr>
          <w:rFonts w:hint="eastAsia" w:ascii="仿宋_GB2312" w:hAnsi="仿宋_GB2312" w:eastAsia="仿宋_GB2312" w:cs="仿宋_GB2312"/>
          <w:color w:val="auto"/>
          <w:sz w:val="32"/>
          <w:szCs w:val="32"/>
          <w:highlight w:val="none"/>
          <w:lang w:eastAsia="zh-CN"/>
        </w:rPr>
        <w:t>幼儿园单位资金管理办法》《阜康市</w:t>
      </w:r>
      <w:r>
        <w:rPr>
          <w:rFonts w:hint="eastAsia" w:ascii="Times New Roman" w:hAnsi="Times New Roman" w:eastAsia="仿宋_GB2312" w:cs="Times New Roman"/>
          <w:color w:val="auto"/>
          <w:sz w:val="32"/>
          <w:szCs w:val="32"/>
          <w:highlight w:val="none"/>
          <w:lang w:eastAsia="zh-CN"/>
        </w:rPr>
        <w:t>城关镇中心</w:t>
      </w:r>
      <w:r>
        <w:rPr>
          <w:rFonts w:hint="eastAsia" w:ascii="仿宋_GB2312" w:hAnsi="仿宋_GB2312" w:eastAsia="仿宋_GB2312" w:cs="仿宋_GB2312"/>
          <w:color w:val="auto"/>
          <w:sz w:val="32"/>
          <w:szCs w:val="32"/>
          <w:highlight w:val="none"/>
          <w:lang w:eastAsia="zh-CN"/>
        </w:rPr>
        <w:t>幼儿园财务管理制度》</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阜康市</w:t>
      </w:r>
      <w:r>
        <w:rPr>
          <w:rFonts w:hint="eastAsia" w:ascii="Times New Roman" w:hAnsi="Times New Roman" w:eastAsia="仿宋_GB2312" w:cs="Times New Roman"/>
          <w:color w:val="auto"/>
          <w:sz w:val="32"/>
          <w:szCs w:val="32"/>
          <w:highlight w:val="none"/>
          <w:lang w:eastAsia="zh-CN"/>
        </w:rPr>
        <w:t>城关镇中心</w:t>
      </w:r>
      <w:r>
        <w:rPr>
          <w:rFonts w:hint="eastAsia" w:ascii="仿宋_GB2312" w:hAnsi="仿宋_GB2312" w:eastAsia="仿宋_GB2312" w:cs="仿宋_GB2312"/>
          <w:color w:val="auto"/>
          <w:sz w:val="32"/>
          <w:szCs w:val="32"/>
          <w:highlight w:val="none"/>
          <w:lang w:eastAsia="zh-CN"/>
        </w:rPr>
        <w:t>幼儿园</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eastAsia="zh-CN"/>
        </w:rPr>
        <w:t>阜康市</w:t>
      </w:r>
      <w:r>
        <w:rPr>
          <w:rFonts w:hint="eastAsia" w:ascii="Times New Roman" w:hAnsi="Times New Roman" w:eastAsia="仿宋_GB2312" w:cs="Times New Roman"/>
          <w:color w:val="auto"/>
          <w:sz w:val="32"/>
          <w:szCs w:val="32"/>
          <w:highlight w:val="none"/>
          <w:lang w:eastAsia="zh-CN"/>
        </w:rPr>
        <w:t>城关镇中心</w:t>
      </w:r>
      <w:r>
        <w:rPr>
          <w:rFonts w:hint="eastAsia" w:ascii="仿宋_GB2312" w:hAnsi="仿宋_GB2312" w:eastAsia="仿宋_GB2312" w:cs="仿宋_GB2312"/>
          <w:color w:val="auto"/>
          <w:sz w:val="32"/>
          <w:szCs w:val="32"/>
          <w:highlight w:val="none"/>
          <w:lang w:eastAsia="zh-CN"/>
        </w:rPr>
        <w:t>幼儿园</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0E18AED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项目存在调整，调整手续齐全</w:t>
      </w:r>
      <w:r>
        <w:rPr>
          <w:rFonts w:hint="eastAsia" w:ascii="仿宋_GB2312" w:hAnsi="仿宋_GB2312" w:eastAsia="仿宋_GB2312" w:cs="仿宋_GB2312"/>
          <w:color w:val="auto"/>
          <w:sz w:val="32"/>
          <w:szCs w:val="32"/>
          <w:highlight w:val="none"/>
          <w:lang w:eastAsia="zh-CN"/>
        </w:rPr>
        <w:t>。</w:t>
      </w:r>
    </w:p>
    <w:p w14:paraId="40EE03DD">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5E991D6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2024年学前教育生均经费项目工作领导小组，由</w:t>
      </w:r>
      <w:r>
        <w:rPr>
          <w:rFonts w:hint="eastAsia" w:ascii="仿宋_GB2312" w:hAnsi="仿宋_GB2312" w:eastAsia="仿宋_GB2312" w:cs="仿宋_GB2312"/>
          <w:color w:val="auto"/>
          <w:sz w:val="32"/>
          <w:szCs w:val="32"/>
          <w:highlight w:val="none"/>
          <w:lang w:val="en-US" w:eastAsia="zh-CN"/>
        </w:rPr>
        <w:t>史莉</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樊晓宏</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安波和何月娇</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10375E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163148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4C2A6E15">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8ECA8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9CFC8D1">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DFF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3CF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8F38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37D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9000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925D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057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2644F62F">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EB81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1B4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027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在校学生人数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63BC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131</w:t>
            </w:r>
            <w:r>
              <w:rPr>
                <w:rFonts w:hint="eastAsia" w:ascii="宋体" w:hAnsi="宋体" w:eastAsia="宋体" w:cs="宋体"/>
                <w:color w:val="auto"/>
                <w:kern w:val="0"/>
                <w:sz w:val="20"/>
                <w:szCs w:val="20"/>
                <w:highlight w:val="none"/>
                <w:shd w:val="clear" w:color="auto" w:fill="auto"/>
                <w:lang w:val="en-US" w:eastAsia="zh-CN"/>
              </w:rPr>
              <w:t>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8104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71E9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131</w:t>
            </w:r>
            <w:r>
              <w:rPr>
                <w:rFonts w:hint="eastAsia" w:ascii="宋体" w:hAnsi="宋体" w:eastAsia="宋体" w:cs="宋体"/>
                <w:color w:val="auto"/>
                <w:kern w:val="0"/>
                <w:sz w:val="20"/>
                <w:szCs w:val="20"/>
                <w:highlight w:val="none"/>
                <w:shd w:val="clear" w:color="auto" w:fill="auto"/>
                <w:lang w:val="en-US" w:eastAsia="zh-CN"/>
              </w:rPr>
              <w:t>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302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A14EBB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9A64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43C63B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66E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C169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4055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8D74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1D6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12</w:t>
            </w:r>
          </w:p>
        </w:tc>
      </w:tr>
      <w:tr w14:paraId="2FC6C0C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59D2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668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4915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225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482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2D78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669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610626B">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3DA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325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0049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公用经费发放及时率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21D0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9EC5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D628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10F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57D361B5">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42D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77A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96FE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11CB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ABF0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859E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p w14:paraId="2741F92F">
            <w:pPr>
              <w:keepNext w:val="0"/>
              <w:keepLines w:val="0"/>
              <w:pageBreakBefore w:val="0"/>
              <w:kinsoku/>
              <w:wordWrap/>
              <w:overflowPunct/>
              <w:topLinePunct w:val="0"/>
              <w:autoSpaceDE/>
              <w:autoSpaceDN/>
              <w:bidi w:val="0"/>
              <w:adjustRightInd/>
              <w:spacing w:line="300" w:lineRule="exact"/>
              <w:textAlignment w:val="auto"/>
              <w:rPr>
                <w:color w:val="auto"/>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97C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10A72DA">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948D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4F7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26E8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762C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0B0662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21C0C9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在校学生人数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指标，预期目标值为=131人，实际完成为131人。实际完成率=（131/131）×100%=100%。</w:t>
      </w:r>
    </w:p>
    <w:p w14:paraId="4DDFCBD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72A7B73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23BC365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公用经费享受比例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指标，预期目标值为=100%，实际完成为100%。实际完成率=（100%/100%）×100%=100%。</w:t>
      </w:r>
    </w:p>
    <w:p w14:paraId="1D355442">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教师培训结业率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指标，预期目标值为=100%，实际完成为100%，实际完成率=（100%/100%）×100%=100%。</w:t>
      </w:r>
    </w:p>
    <w:p w14:paraId="22BBBF5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67ED60B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0D9D36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公用经费支出及时率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指标，预期目标值为=100%，实际完成为100%。实际完成率=（100%/100%）×100%=100%。</w:t>
      </w:r>
    </w:p>
    <w:p w14:paraId="49C812E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281CDF28">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1EB5FB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52E02B6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指标，预期目标值为=1100元/人/年，实际完成为1100元/人/年。实际完成率=（1100元/人/年/1100元/人/年）×100%=100%。</w:t>
      </w:r>
    </w:p>
    <w:p w14:paraId="1FFDC5F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56F7DCC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59A18D3B">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4C972D6">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33EA0322">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C1D593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7AFD42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2DAE9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F91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48A3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261A9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457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74AF8C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090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655224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1528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646C304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387DF6A0">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7D362D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3981C3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84C7B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幼儿园正常运转率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783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70C3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C1B7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98A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9C2FE84">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0B2AC8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721D93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2DAC3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FBFC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08F7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E939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B79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9C31800">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5D1DA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196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523D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1C57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2743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C49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69D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E6863BE">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5DE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31A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ABB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AFE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r>
    </w:tbl>
    <w:p w14:paraId="28B8AE9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8010"/>
      <w:bookmarkStart w:id="141" w:name="_Toc5170"/>
      <w:bookmarkStart w:id="142" w:name="_Toc29606"/>
      <w:bookmarkStart w:id="143" w:name="_Toc27006"/>
      <w:r>
        <w:rPr>
          <w:rFonts w:hint="eastAsia" w:ascii="仿宋_GB2312" w:hAnsi="仿宋_GB2312" w:eastAsia="仿宋_GB2312" w:cs="仿宋_GB2312"/>
          <w:b/>
          <w:bCs/>
          <w:color w:val="auto"/>
          <w:sz w:val="32"/>
          <w:szCs w:val="32"/>
          <w:highlight w:val="none"/>
          <w:lang w:val="en-US" w:eastAsia="zh-CN"/>
        </w:rPr>
        <w:t>1.</w:t>
      </w:r>
      <w:bookmarkEnd w:id="140"/>
      <w:bookmarkEnd w:id="141"/>
      <w:r>
        <w:rPr>
          <w:rFonts w:hint="eastAsia" w:ascii="仿宋_GB2312" w:hAnsi="仿宋_GB2312" w:eastAsia="仿宋_GB2312" w:cs="仿宋_GB2312"/>
          <w:b/>
          <w:bCs/>
          <w:color w:val="auto"/>
          <w:sz w:val="32"/>
          <w:szCs w:val="32"/>
          <w:highlight w:val="none"/>
          <w:lang w:val="en-US" w:eastAsia="zh-CN"/>
        </w:rPr>
        <w:t>社会效益指标完成情况</w:t>
      </w:r>
    </w:p>
    <w:p w14:paraId="426618E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幼儿园正常运转率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2"/>
          <w:sz w:val="32"/>
          <w:szCs w:val="32"/>
          <w:highlight w:val="none"/>
          <w:u w:color="000000"/>
          <w:shd w:val="clear" w:color="auto" w:fill="auto"/>
          <w:lang w:val="en-US" w:eastAsia="zh-CN"/>
        </w:rPr>
        <w:t>=100%</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2"/>
          <w:sz w:val="32"/>
          <w:szCs w:val="32"/>
          <w:highlight w:val="none"/>
          <w:u w:color="000000"/>
          <w:shd w:val="clear" w:color="auto" w:fill="auto"/>
          <w:lang w:val="en-US" w:eastAsia="zh-CN"/>
        </w:rPr>
        <w:t>100%</w:t>
      </w:r>
      <w:r>
        <w:rPr>
          <w:rFonts w:hint="eastAsia" w:ascii="仿宋_GB2312" w:hAnsi="仿宋_GB2312" w:eastAsia="仿宋_GB2312" w:cs="仿宋_GB2312"/>
          <w:color w:val="auto"/>
          <w:sz w:val="32"/>
          <w:szCs w:val="32"/>
          <w:highlight w:val="none"/>
          <w:lang w:val="en-US" w:eastAsia="zh-CN"/>
        </w:rPr>
        <w:t>。</w:t>
      </w:r>
    </w:p>
    <w:p w14:paraId="275D687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幼儿园正常运转率得到了提高。</w:t>
      </w:r>
    </w:p>
    <w:p w14:paraId="7913F1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2"/>
          <w:sz w:val="32"/>
          <w:szCs w:val="32"/>
          <w:highlight w:val="none"/>
          <w:u w:color="000000"/>
          <w:shd w:val="clear" w:color="auto" w:fill="auto"/>
          <w:lang w:val="en-US" w:eastAsia="zh-CN"/>
        </w:rPr>
        <w:t>改善</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2"/>
          <w:sz w:val="32"/>
          <w:szCs w:val="32"/>
          <w:highlight w:val="none"/>
          <w:u w:color="000000"/>
          <w:shd w:val="clear" w:color="auto" w:fill="auto"/>
          <w:lang w:val="en-US" w:eastAsia="zh-CN"/>
        </w:rPr>
        <w:t>达到预期指标</w:t>
      </w:r>
      <w:r>
        <w:rPr>
          <w:rFonts w:hint="eastAsia" w:ascii="仿宋_GB2312" w:hAnsi="仿宋_GB2312" w:eastAsia="仿宋_GB2312" w:cs="仿宋_GB2312"/>
          <w:color w:val="auto"/>
          <w:sz w:val="32"/>
          <w:szCs w:val="32"/>
          <w:highlight w:val="none"/>
          <w:lang w:val="en-US" w:eastAsia="zh-CN"/>
        </w:rPr>
        <w:t>。</w:t>
      </w:r>
    </w:p>
    <w:p w14:paraId="0B3F48E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通过项目的实施，改善了</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幼儿园的环境，为幼儿提供了良好的成长条件。</w:t>
      </w:r>
    </w:p>
    <w:p w14:paraId="5CAC509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44" w:name="_Toc23106"/>
      <w:bookmarkStart w:id="145" w:name="_Toc14320"/>
      <w:r>
        <w:rPr>
          <w:rFonts w:hint="eastAsia" w:ascii="仿宋_GB2312" w:hAnsi="仿宋_GB2312" w:eastAsia="仿宋_GB2312" w:cs="仿宋_GB2312"/>
          <w:b/>
          <w:bCs/>
          <w:color w:val="auto"/>
          <w:sz w:val="32"/>
          <w:szCs w:val="32"/>
          <w:highlight w:val="none"/>
          <w:lang w:val="en-US" w:eastAsia="zh-CN"/>
        </w:rPr>
        <w:t>综上，该项指标满分20分，得分20分。</w:t>
      </w:r>
    </w:p>
    <w:bookmarkEnd w:id="142"/>
    <w:bookmarkEnd w:id="143"/>
    <w:bookmarkEnd w:id="144"/>
    <w:bookmarkEnd w:id="145"/>
    <w:p w14:paraId="53821550">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6"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6"/>
    </w:p>
    <w:p w14:paraId="44D0B357">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师生</w:t>
      </w:r>
      <w:r>
        <w:rPr>
          <w:rFonts w:hint="eastAsia" w:ascii="仿宋_GB2312" w:hAnsi="仿宋_GB2312" w:eastAsia="仿宋_GB2312" w:cs="仿宋_GB2312"/>
          <w:color w:val="auto"/>
          <w:sz w:val="32"/>
          <w:szCs w:val="32"/>
          <w:highlight w:val="none"/>
          <w:lang w:eastAsia="zh-CN"/>
        </w:rPr>
        <w:t>满意度”</w:t>
      </w:r>
      <w:r>
        <w:rPr>
          <w:rFonts w:hint="eastAsia" w:ascii="仿宋_GB2312" w:hAnsi="仿宋_GB2312" w:eastAsia="仿宋_GB2312" w:cs="仿宋_GB2312"/>
          <w:color w:val="auto"/>
          <w:sz w:val="32"/>
          <w:szCs w:val="32"/>
          <w:highlight w:val="none"/>
          <w:lang w:val="en-US" w:eastAsia="zh-CN"/>
        </w:rPr>
        <w:t>指标，预期目标值为≥90%，实际完成为90%。</w:t>
      </w:r>
    </w:p>
    <w:p w14:paraId="39FC85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C8BB476">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7"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7"/>
    </w:p>
    <w:p w14:paraId="6913145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8" w:name="_Toc15449"/>
      <w:bookmarkStart w:id="149" w:name="_Toc1921"/>
      <w:bookmarkStart w:id="150"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8"/>
    </w:p>
    <w:p w14:paraId="2D07999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2024年学前教育生均经费项目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26.55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26.55</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7CCADB7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阜康市城关镇中心幼儿园</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阜康市第四幼儿园</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9"/>
    <w:bookmarkEnd w:id="150"/>
    <w:p w14:paraId="2BE7694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51"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51"/>
    </w:p>
    <w:p w14:paraId="2E3D1F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在项目实施期间</w:t>
      </w:r>
      <w:r>
        <w:rPr>
          <w:rFonts w:hint="eastAsia" w:ascii="仿宋_GB2312" w:hAnsi="仿宋_GB2312" w:eastAsia="仿宋_GB2312" w:cs="仿宋_GB2312"/>
          <w:color w:val="auto"/>
          <w:sz w:val="32"/>
          <w:szCs w:val="32"/>
          <w:highlight w:val="none"/>
          <w:lang w:eastAsia="zh-CN"/>
        </w:rPr>
        <w:t>部分业务人员未能全面深入认识理解</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管理工作的意义。</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管理经验不足，</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管理工作有待进一步落实。</w:t>
      </w:r>
    </w:p>
    <w:p w14:paraId="4ACA24F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2.因年初预算数据不够清晰明确到明细科目，使得整个年度财务核算及审核流程不准确清晰。</w:t>
      </w:r>
    </w:p>
    <w:p w14:paraId="3914CDDD">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2"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52"/>
    </w:p>
    <w:p w14:paraId="7D11FA6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53" w:name="_Toc20454"/>
      <w:bookmarkStart w:id="154" w:name="_Toc3948"/>
      <w:r>
        <w:rPr>
          <w:rFonts w:hint="eastAsia" w:ascii="仿宋_GB2312" w:hAnsi="仿宋_GB2312" w:eastAsia="仿宋_GB2312" w:cs="仿宋_GB2312"/>
          <w:color w:val="auto"/>
          <w:sz w:val="32"/>
          <w:szCs w:val="32"/>
          <w:highlight w:val="none"/>
          <w:lang w:val="en-US" w:eastAsia="zh-CN"/>
        </w:rPr>
        <w:t>（一）加强项目管理，健全单位项目管理制度体系。 加大项目管理人员的业务培训，确保项目能够顺利实施。</w:t>
      </w:r>
    </w:p>
    <w:p w14:paraId="2945C0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（二）加强财务人员业务培训，在年初预算时及时与各科室联系，将年初预算数据填写清晰，确保财务支付审核程序顺利进行。</w:t>
      </w:r>
    </w:p>
    <w:bookmarkEnd w:id="153"/>
    <w:bookmarkEnd w:id="154"/>
    <w:p w14:paraId="26B310E9">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5"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5"/>
    </w:p>
    <w:p w14:paraId="5FD73D3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13FB8E41">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3A047CF9">
      <w:pPr>
        <w:pStyle w:val="2"/>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6" w:name="_Toc11349"/>
      <w:bookmarkStart w:id="157"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6"/>
      <w:bookmarkEnd w:id="157"/>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4"/>
        <w:gridCol w:w="895"/>
        <w:gridCol w:w="895"/>
        <w:gridCol w:w="895"/>
        <w:gridCol w:w="1142"/>
        <w:gridCol w:w="1142"/>
        <w:gridCol w:w="1142"/>
        <w:gridCol w:w="1059"/>
        <w:gridCol w:w="1224"/>
        <w:gridCol w:w="895"/>
        <w:gridCol w:w="1059"/>
        <w:gridCol w:w="895"/>
        <w:gridCol w:w="895"/>
        <w:gridCol w:w="1142"/>
      </w:tblGrid>
      <w:tr w14:paraId="241CC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3442B79F">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CB12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6D81E6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3173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A83F0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3D20A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2024年学前教育生均经费</w:t>
            </w:r>
          </w:p>
        </w:tc>
      </w:tr>
      <w:tr w14:paraId="63D81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1629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27AC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D2B1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2589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阜康市城关镇中心幼儿园</w:t>
            </w:r>
          </w:p>
        </w:tc>
      </w:tr>
      <w:tr w14:paraId="423C2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1EB8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25CD0D">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2E0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96E6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C2B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65F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5944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312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D815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20784">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F2DF5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AC8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36.68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8A5C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26.55</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6B96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26.55</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3C7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CFBE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578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3BC57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2EB85">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D540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A70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36.68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4532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26.55</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5F01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26.55</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1D48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3FE7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257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39C8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8B5C2">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3F36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76A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7EBD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1156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0067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4334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16D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EB8D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E081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93206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B5F87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6746E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6A1D2">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8423B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阜康市城关镇中心幼儿园计划保障幼儿园正常运转，教学活动及其他日常业务的正常运转。计划完成每学年以1100元每生每学年的标准使用公用经费,总计在园幼儿人数131人。通过开展各类教育教学活动，促进幼儿园各项活动有序开展，实现幼儿园年初制定的各项工作目标，进一步提高幼儿园教育教学水平。</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6B31A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截至2024年12月31日，学前教育生均经费项目资金36.68万元，预算数26.55 万元，实际支付26.55万元，预算执行率100%。项目的实施提升了幼儿园日常教学工作有序开展，促进了教学环境的改善，提供良好的学生成长条件.幼儿园正常运转率达到100%。</w:t>
            </w:r>
          </w:p>
        </w:tc>
      </w:tr>
      <w:tr w14:paraId="637F8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88B66F">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83A0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59CD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C7EA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8D80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54EA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1287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9219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AF96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4034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B976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7253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6635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B67F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4DEF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73BF6">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605E4">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9C38A">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9DD5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D7A7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49D65">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377BC">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51349">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9696C">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99CBF">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B5579">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F0FE5">
            <w:pPr>
              <w:jc w:val="center"/>
              <w:rPr>
                <w:rFonts w:hint="eastAsia" w:ascii="宋体" w:hAnsi="宋体" w:eastAsia="宋体" w:cs="宋体"/>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4866F">
            <w:pPr>
              <w:jc w:val="center"/>
              <w:rPr>
                <w:rFonts w:hint="eastAsia" w:ascii="宋体" w:hAnsi="宋体" w:eastAsia="宋体" w:cs="宋体"/>
                <w:b/>
                <w:bCs/>
                <w:i w:val="0"/>
                <w:iCs w:val="0"/>
                <w:color w:val="000000"/>
                <w:sz w:val="18"/>
                <w:szCs w:val="18"/>
                <w:u w:val="none"/>
              </w:rPr>
            </w:pP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05BB7">
            <w:pPr>
              <w:jc w:val="center"/>
              <w:rPr>
                <w:rFonts w:hint="eastAsia" w:ascii="宋体" w:hAnsi="宋体" w:eastAsia="宋体" w:cs="宋体"/>
                <w:b/>
                <w:bCs/>
                <w:i w:val="0"/>
                <w:iCs w:val="0"/>
                <w:color w:val="000000"/>
                <w:sz w:val="18"/>
                <w:szCs w:val="18"/>
                <w:u w:val="none"/>
              </w:rPr>
            </w:pPr>
          </w:p>
        </w:tc>
      </w:tr>
      <w:tr w14:paraId="09485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33FF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CF97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225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06B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C77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F17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101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=131人</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1C24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6BF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6A2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3F3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409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A04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095CD">
            <w:pPr>
              <w:jc w:val="center"/>
              <w:rPr>
                <w:rFonts w:hint="eastAsia" w:ascii="宋体" w:hAnsi="宋体" w:eastAsia="宋体" w:cs="宋体"/>
                <w:i w:val="0"/>
                <w:iCs w:val="0"/>
                <w:color w:val="000000"/>
                <w:sz w:val="18"/>
                <w:szCs w:val="18"/>
                <w:u w:val="none"/>
              </w:rPr>
            </w:pPr>
          </w:p>
        </w:tc>
      </w:tr>
      <w:tr w14:paraId="60DAE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79DCA">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7195C">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6FC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94B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AD2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C68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A7E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4FEC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5D7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6D5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738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A81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17E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EF854">
            <w:pPr>
              <w:jc w:val="center"/>
              <w:rPr>
                <w:rFonts w:hint="eastAsia" w:ascii="宋体" w:hAnsi="宋体" w:eastAsia="宋体" w:cs="宋体"/>
                <w:i w:val="0"/>
                <w:iCs w:val="0"/>
                <w:color w:val="000000"/>
                <w:sz w:val="18"/>
                <w:szCs w:val="18"/>
                <w:u w:val="none"/>
              </w:rPr>
            </w:pPr>
          </w:p>
        </w:tc>
      </w:tr>
      <w:tr w14:paraId="305B8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8ED1C">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DB72F">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E44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8D7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D4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B7D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B34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77AC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2F4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E0E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B85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BED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ECA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4CA5C">
            <w:pPr>
              <w:jc w:val="center"/>
              <w:rPr>
                <w:rFonts w:hint="eastAsia" w:ascii="宋体" w:hAnsi="宋体" w:eastAsia="宋体" w:cs="宋体"/>
                <w:i w:val="0"/>
                <w:iCs w:val="0"/>
                <w:color w:val="000000"/>
                <w:sz w:val="18"/>
                <w:szCs w:val="18"/>
                <w:u w:val="none"/>
              </w:rPr>
            </w:pPr>
          </w:p>
        </w:tc>
      </w:tr>
      <w:tr w14:paraId="60561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D3501">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34F0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BA8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4B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公用经费发放及时率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095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01D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621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AC52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998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14C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EB4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F73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30E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83979">
            <w:pPr>
              <w:jc w:val="center"/>
              <w:rPr>
                <w:rFonts w:hint="eastAsia" w:ascii="宋体" w:hAnsi="宋体" w:eastAsia="宋体" w:cs="宋体"/>
                <w:i w:val="0"/>
                <w:iCs w:val="0"/>
                <w:color w:val="000000"/>
                <w:sz w:val="18"/>
                <w:szCs w:val="18"/>
                <w:u w:val="none"/>
              </w:rPr>
            </w:pPr>
          </w:p>
        </w:tc>
      </w:tr>
      <w:tr w14:paraId="25668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0F2AB">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4169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C4B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A73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483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C99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11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125A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061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550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905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DD9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024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2095C">
            <w:pPr>
              <w:jc w:val="center"/>
              <w:rPr>
                <w:rFonts w:hint="eastAsia" w:ascii="宋体" w:hAnsi="宋体" w:eastAsia="宋体" w:cs="宋体"/>
                <w:i w:val="0"/>
                <w:iCs w:val="0"/>
                <w:color w:val="000000"/>
                <w:sz w:val="18"/>
                <w:szCs w:val="18"/>
                <w:u w:val="none"/>
              </w:rPr>
            </w:pPr>
          </w:p>
        </w:tc>
      </w:tr>
      <w:tr w14:paraId="676F2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74683">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655F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899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5515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9235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C322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C573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5BCE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E515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EF5E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FA113">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AD756">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52F8A">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F4232">
            <w:pPr>
              <w:jc w:val="center"/>
              <w:rPr>
                <w:rFonts w:hint="eastAsia" w:ascii="宋体" w:hAnsi="宋体" w:eastAsia="宋体" w:cs="宋体"/>
                <w:i w:val="0"/>
                <w:iCs w:val="0"/>
                <w:color w:val="000000"/>
                <w:sz w:val="18"/>
                <w:szCs w:val="18"/>
                <w:u w:val="none"/>
              </w:rPr>
            </w:pPr>
          </w:p>
        </w:tc>
      </w:tr>
      <w:tr w14:paraId="24025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05A9C">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05B26">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C34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4F80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D3F2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6D48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7191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2478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ACEC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4F70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3858D">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B2671">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74A43">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86018">
            <w:pPr>
              <w:jc w:val="center"/>
              <w:rPr>
                <w:rFonts w:hint="eastAsia" w:ascii="宋体" w:hAnsi="宋体" w:eastAsia="宋体" w:cs="宋体"/>
                <w:i w:val="0"/>
                <w:iCs w:val="0"/>
                <w:color w:val="000000"/>
                <w:sz w:val="18"/>
                <w:szCs w:val="18"/>
                <w:u w:val="none"/>
              </w:rPr>
            </w:pPr>
          </w:p>
        </w:tc>
      </w:tr>
      <w:tr w14:paraId="0AF86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CE932">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FD3A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BB8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F791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37EF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040A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F2E4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5285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49AF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D2D4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89A1A">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B3545">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D5DE1">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66284">
            <w:pPr>
              <w:jc w:val="center"/>
              <w:rPr>
                <w:rFonts w:hint="eastAsia" w:ascii="宋体" w:hAnsi="宋体" w:eastAsia="宋体" w:cs="宋体"/>
                <w:i w:val="0"/>
                <w:iCs w:val="0"/>
                <w:color w:val="000000"/>
                <w:sz w:val="18"/>
                <w:szCs w:val="18"/>
                <w:u w:val="none"/>
              </w:rPr>
            </w:pPr>
          </w:p>
        </w:tc>
      </w:tr>
      <w:tr w14:paraId="7572B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AC3D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9A6E5">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AD4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2C9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幼儿园正常运转率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053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A5C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F7F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9E78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992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36E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A5F8F">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89C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0B4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36B75">
            <w:pPr>
              <w:jc w:val="center"/>
              <w:rPr>
                <w:rFonts w:hint="eastAsia" w:ascii="宋体" w:hAnsi="宋体" w:eastAsia="宋体" w:cs="宋体"/>
                <w:i w:val="0"/>
                <w:iCs w:val="0"/>
                <w:color w:val="000000"/>
                <w:sz w:val="18"/>
                <w:szCs w:val="18"/>
                <w:u w:val="none"/>
              </w:rPr>
            </w:pPr>
          </w:p>
        </w:tc>
      </w:tr>
      <w:tr w14:paraId="43A76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B3660">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3E059">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E74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ED2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33F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161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26D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AF07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FC4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59F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ADA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A9D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AB6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510C6">
            <w:pPr>
              <w:jc w:val="center"/>
              <w:rPr>
                <w:rFonts w:hint="eastAsia" w:ascii="宋体" w:hAnsi="宋体" w:eastAsia="宋体" w:cs="宋体"/>
                <w:i w:val="0"/>
                <w:iCs w:val="0"/>
                <w:color w:val="000000"/>
                <w:sz w:val="18"/>
                <w:szCs w:val="18"/>
                <w:u w:val="none"/>
              </w:rPr>
            </w:pPr>
          </w:p>
        </w:tc>
      </w:tr>
      <w:tr w14:paraId="05C73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034D6">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12069">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23D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D9B3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E057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73A3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49CF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79FC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6F8A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1397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D1D39">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578DF">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ADAFE">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5AB6D">
            <w:pPr>
              <w:jc w:val="center"/>
              <w:rPr>
                <w:rFonts w:hint="eastAsia" w:ascii="宋体" w:hAnsi="宋体" w:eastAsia="宋体" w:cs="宋体"/>
                <w:i w:val="0"/>
                <w:iCs w:val="0"/>
                <w:color w:val="000000"/>
                <w:sz w:val="18"/>
                <w:szCs w:val="18"/>
                <w:u w:val="none"/>
              </w:rPr>
            </w:pPr>
          </w:p>
        </w:tc>
      </w:tr>
      <w:tr w14:paraId="5CC0F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14A16">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D96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827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21A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EEB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F61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FAB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078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BA2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52B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w:t>
            </w:r>
            <w:bookmarkStart w:id="160" w:name="_GoBack"/>
            <w:bookmarkEnd w:id="160"/>
            <w:r>
              <w:rPr>
                <w:rFonts w:hint="eastAsia" w:ascii="宋体" w:hAnsi="宋体" w:eastAsia="宋体" w:cs="宋体"/>
                <w:i w:val="0"/>
                <w:iCs w:val="0"/>
                <w:color w:val="000000"/>
                <w:kern w:val="0"/>
                <w:sz w:val="18"/>
                <w:szCs w:val="18"/>
                <w:u w:val="none"/>
                <w:lang w:val="en-US" w:eastAsia="zh-CN" w:bidi="ar"/>
              </w:rPr>
              <w:t>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B8BF4">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9A6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666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36843">
            <w:pPr>
              <w:jc w:val="center"/>
              <w:rPr>
                <w:rFonts w:hint="eastAsia" w:ascii="宋体" w:hAnsi="宋体" w:eastAsia="宋体" w:cs="宋体"/>
                <w:i w:val="0"/>
                <w:iCs w:val="0"/>
                <w:color w:val="000000"/>
                <w:sz w:val="18"/>
                <w:szCs w:val="18"/>
                <w:u w:val="none"/>
              </w:rPr>
            </w:pPr>
          </w:p>
        </w:tc>
      </w:tr>
      <w:tr w14:paraId="6DFAB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0C0555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2D9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56C8E802">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248D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9EA7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D22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42721">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87A54">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BAB19">
            <w:pP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036BF">
            <w:pP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C61EE">
            <w:pPr>
              <w:rPr>
                <w:rFonts w:hint="eastAsia" w:ascii="宋体" w:hAnsi="宋体" w:eastAsia="宋体" w:cs="宋体"/>
                <w:i w:val="0"/>
                <w:iCs w:val="0"/>
                <w:color w:val="000000"/>
                <w:sz w:val="18"/>
                <w:szCs w:val="18"/>
                <w:u w:val="none"/>
              </w:rPr>
            </w:pPr>
          </w:p>
        </w:tc>
      </w:tr>
    </w:tbl>
    <w:p w14:paraId="1ACB4282">
      <w:pPr>
        <w:keepNext w:val="0"/>
        <w:keepLines w:val="0"/>
        <w:widowControl/>
        <w:suppressLineNumbers w:val="0"/>
        <w:spacing w:line="240" w:lineRule="auto"/>
        <w:ind w:left="0" w:leftChars="0" w:firstLine="0" w:firstLineChars="0"/>
        <w:jc w:val="center"/>
        <w:textAlignment w:val="center"/>
      </w:pPr>
      <w:r>
        <w:rPr>
          <w:rFonts w:hint="eastAsia" w:ascii="宋体" w:hAnsi="宋体" w:eastAsia="宋体" w:cs="宋体"/>
          <w:i w:val="0"/>
          <w:iCs w:val="0"/>
          <w:color w:val="000000"/>
          <w:kern w:val="0"/>
          <w:sz w:val="20"/>
          <w:szCs w:val="20"/>
          <w:u w:val="none"/>
          <w:lang w:val="en-US" w:eastAsia="zh-CN" w:bidi="ar"/>
        </w:rPr>
        <w:br w:type="page"/>
      </w:r>
    </w:p>
    <w:p w14:paraId="771E19D6">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8" w:name="_Toc15067"/>
      <w:bookmarkStart w:id="159"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8"/>
      <w:bookmarkEnd w:id="159"/>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3FD516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025965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36766D7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078A736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1A86D83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7D2AAB9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21459B1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149BF1E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36323B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42CD8F5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1444CAB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483A993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313A74B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462BAAB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7ECDD5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5592046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4B5360F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71EAD1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123E1C3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57C3548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01804C0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4656DE1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76F827B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6C8BDE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441AC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520A2E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300EFE8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57982EF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6EB280A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2402A12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151CB26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9CDD81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67FF59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60100E53">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4D45EC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25ED39E0">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2.2</w:t>
            </w:r>
          </w:p>
        </w:tc>
      </w:tr>
      <w:tr w14:paraId="61AC8F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716CAB1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656A7AC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7BF8225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5D3268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3DE0683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7F8FE5B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B402F5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02955E8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000BD5F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0F44DCA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367206F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5D9A451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CC7906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41B88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6723A5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0B0A8FE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4CA8D4B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59EE458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5CC1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39692FA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A78EA7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19B11B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54C485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159312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456F17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194C09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3FE00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186990F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2516F90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6A75A6A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2BA0CB5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324AFC5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1CC2920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7A5AE5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8EB02C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3280E92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5270B3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41E52A0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2D5AC5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F13E78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20192A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28DD00B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27F0EF3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0936B54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62E96FF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2A9930B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05EAEA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28918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6B200DD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48AE226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7D4E3BB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3E2761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67FEE288">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78DFD2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40CD7A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1CD071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5E4F934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695A93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069E57F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015923E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627705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2FA96E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0E966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217FA968">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4A610CD7">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64E7971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6B2A615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0E62525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00C889F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4248C5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A3FC6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30306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58B3230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6940690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727" w:type="dxa"/>
            <w:shd w:val="clear" w:color="auto" w:fill="auto"/>
            <w:noWrap w:val="0"/>
            <w:vAlign w:val="center"/>
          </w:tcPr>
          <w:p w14:paraId="4696E6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14:paraId="5FB22CA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14:paraId="3C1F281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2141" w:type="dxa"/>
            <w:shd w:val="clear" w:color="auto" w:fill="auto"/>
            <w:noWrap w:val="0"/>
            <w:vAlign w:val="center"/>
          </w:tcPr>
          <w:p w14:paraId="49B8A71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670149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57993E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①是否符合国家财经法规和财务管理制度以及有关专项资金管理办法的规定；</w:t>
            </w:r>
          </w:p>
          <w:p w14:paraId="0643FD3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②资金的拨付是否有完整的审批程序和手续；</w:t>
            </w:r>
          </w:p>
          <w:p w14:paraId="7ACAB1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③是否符合项目预算批复或合同规定的用途；</w:t>
            </w:r>
          </w:p>
          <w:p w14:paraId="7316232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④是否存在截留、挤占、挪用、虚列支出等情况。</w:t>
            </w:r>
          </w:p>
        </w:tc>
        <w:tc>
          <w:tcPr>
            <w:tcW w:w="785" w:type="dxa"/>
            <w:shd w:val="clear" w:color="auto" w:fill="auto"/>
            <w:noWrap w:val="0"/>
            <w:vAlign w:val="center"/>
          </w:tcPr>
          <w:p w14:paraId="211341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1C254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5F5C3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58B5460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0453B57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14:paraId="4A400C7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14:paraId="272B9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14:paraId="35827EE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2141" w:type="dxa"/>
            <w:shd w:val="clear" w:color="auto" w:fill="auto"/>
            <w:noWrap w:val="0"/>
            <w:vAlign w:val="center"/>
          </w:tcPr>
          <w:p w14:paraId="1021BD3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F9D6C1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20161C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①是否已制定或具有相应的财务和业务管理制度；</w:t>
            </w:r>
          </w:p>
          <w:p w14:paraId="60A4EE6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②财务和业务管理制度是否合法、合规、完整。</w:t>
            </w:r>
          </w:p>
        </w:tc>
        <w:tc>
          <w:tcPr>
            <w:tcW w:w="785" w:type="dxa"/>
            <w:shd w:val="clear" w:color="auto" w:fill="auto"/>
            <w:noWrap w:val="0"/>
            <w:vAlign w:val="center"/>
          </w:tcPr>
          <w:p w14:paraId="2189C4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DA5F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1625F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7577B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6EAA8E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5CA8895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14:paraId="53AE205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141" w:type="dxa"/>
            <w:shd w:val="clear" w:color="auto" w:fill="auto"/>
            <w:noWrap w:val="0"/>
            <w:vAlign w:val="center"/>
          </w:tcPr>
          <w:p w14:paraId="3B43695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7CC56F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2B7C2D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①是否遵守相关法律法规和相关管理规定；</w:t>
            </w:r>
          </w:p>
          <w:p w14:paraId="46F3C1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②项目调整及支出调整手续是否完备；</w:t>
            </w:r>
          </w:p>
          <w:p w14:paraId="6CC95F8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③项目合同书、验收报告、技术鉴定等资料是否齐全并及时归档；</w:t>
            </w:r>
          </w:p>
          <w:p w14:paraId="7CF89B8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④项目实施的人员条件、场地设备、信息支撑等是否落实到位。</w:t>
            </w:r>
          </w:p>
        </w:tc>
        <w:tc>
          <w:tcPr>
            <w:tcW w:w="785" w:type="dxa"/>
            <w:shd w:val="clear" w:color="auto" w:fill="auto"/>
            <w:noWrap w:val="0"/>
            <w:vAlign w:val="center"/>
          </w:tcPr>
          <w:p w14:paraId="318796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285516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01791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D8D295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06EB3C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2F5389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在校学生人数</w:t>
            </w:r>
          </w:p>
        </w:tc>
        <w:tc>
          <w:tcPr>
            <w:tcW w:w="2141" w:type="dxa"/>
            <w:shd w:val="clear" w:color="auto" w:fill="auto"/>
            <w:noWrap w:val="0"/>
            <w:vAlign w:val="center"/>
          </w:tcPr>
          <w:p w14:paraId="3D0C6D6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0C7908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445F787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7CFC4A8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054153C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0DD72F5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5EADF5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692D3C2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210ECA9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6F2A37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公用经费享受比例</w:t>
            </w:r>
          </w:p>
        </w:tc>
        <w:tc>
          <w:tcPr>
            <w:tcW w:w="2141" w:type="dxa"/>
            <w:shd w:val="clear" w:color="auto" w:fill="auto"/>
            <w:noWrap w:val="0"/>
            <w:vAlign w:val="center"/>
          </w:tcPr>
          <w:p w14:paraId="615BD8B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1E1A47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6433901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1156C8A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12</w:t>
            </w:r>
          </w:p>
        </w:tc>
        <w:tc>
          <w:tcPr>
            <w:tcW w:w="769" w:type="dxa"/>
            <w:shd w:val="clear" w:color="auto" w:fill="auto"/>
            <w:noWrap w:val="0"/>
            <w:vAlign w:val="center"/>
          </w:tcPr>
          <w:p w14:paraId="303DC8D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12</w:t>
            </w:r>
          </w:p>
        </w:tc>
      </w:tr>
      <w:tr w14:paraId="1DF5DD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2097CCB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27F1A2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5298E6F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教师培训结业率</w:t>
            </w:r>
          </w:p>
        </w:tc>
        <w:tc>
          <w:tcPr>
            <w:tcW w:w="2141" w:type="dxa"/>
            <w:shd w:val="clear" w:color="auto" w:fill="auto"/>
            <w:noWrap w:val="0"/>
            <w:vAlign w:val="center"/>
          </w:tcPr>
          <w:p w14:paraId="1CBE69C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2F03D37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76EF02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1B24C49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54BCA4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2E5EFF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6CE31CD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6CB1D1D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0445001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公用经费支出及时率</w:t>
            </w:r>
          </w:p>
        </w:tc>
        <w:tc>
          <w:tcPr>
            <w:tcW w:w="2141" w:type="dxa"/>
            <w:shd w:val="clear" w:color="auto" w:fill="auto"/>
            <w:noWrap w:val="0"/>
            <w:vAlign w:val="center"/>
          </w:tcPr>
          <w:p w14:paraId="6FDECAA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1F9059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050D3DA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25B961F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c>
          <w:tcPr>
            <w:tcW w:w="769" w:type="dxa"/>
            <w:shd w:val="clear" w:color="auto" w:fill="auto"/>
            <w:noWrap w:val="0"/>
            <w:vAlign w:val="center"/>
          </w:tcPr>
          <w:p w14:paraId="62658FF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r>
      <w:tr w14:paraId="1D1FE6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6009F45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35E5D7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423E4D18">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公用经费标准</w:t>
            </w:r>
          </w:p>
        </w:tc>
        <w:tc>
          <w:tcPr>
            <w:tcW w:w="2141" w:type="dxa"/>
            <w:shd w:val="clear" w:color="auto" w:fill="auto"/>
            <w:noWrap w:val="0"/>
            <w:vAlign w:val="center"/>
          </w:tcPr>
          <w:p w14:paraId="5FD28D4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5298564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30763F7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6DD9B1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7625EB3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6196BD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0BB71E2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14:paraId="4B9056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879CC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36E392D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6DFC426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幼儿园正常运转率</w:t>
            </w:r>
          </w:p>
        </w:tc>
        <w:tc>
          <w:tcPr>
            <w:tcW w:w="2141" w:type="dxa"/>
            <w:shd w:val="clear" w:color="auto" w:fill="auto"/>
            <w:noWrap w:val="0"/>
            <w:vAlign w:val="center"/>
          </w:tcPr>
          <w:p w14:paraId="3F7CBD61">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6494322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72F291A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1503A05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7B3A85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71D0CCF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F3917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7E4FDC9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改善教学环境，提供良好的学生成长条件</w:t>
            </w:r>
          </w:p>
        </w:tc>
        <w:tc>
          <w:tcPr>
            <w:tcW w:w="2141" w:type="dxa"/>
            <w:shd w:val="clear" w:color="auto" w:fill="auto"/>
            <w:noWrap w:val="0"/>
            <w:vAlign w:val="center"/>
          </w:tcPr>
          <w:p w14:paraId="24BBE53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39E87D4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12630E9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498A7FB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25D091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0E40A28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BB6602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5889F0F0">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师生满意度</w:t>
            </w:r>
          </w:p>
        </w:tc>
        <w:tc>
          <w:tcPr>
            <w:tcW w:w="2141" w:type="dxa"/>
            <w:shd w:val="clear" w:color="auto" w:fill="auto"/>
            <w:noWrap w:val="0"/>
            <w:vAlign w:val="center"/>
          </w:tcPr>
          <w:p w14:paraId="1870BE6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7821" w:type="dxa"/>
            <w:shd w:val="clear" w:color="auto" w:fill="auto"/>
            <w:noWrap w:val="0"/>
            <w:vAlign w:val="center"/>
          </w:tcPr>
          <w:p w14:paraId="1DFEF80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452792A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523C714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14:paraId="0AA3E7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5699E3B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合计</w:t>
            </w:r>
          </w:p>
        </w:tc>
        <w:tc>
          <w:tcPr>
            <w:tcW w:w="7821" w:type="dxa"/>
            <w:shd w:val="clear" w:color="auto" w:fill="auto"/>
            <w:noWrap w:val="0"/>
            <w:vAlign w:val="center"/>
          </w:tcPr>
          <w:p w14:paraId="2455A09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785" w:type="dxa"/>
            <w:shd w:val="clear" w:color="auto" w:fill="auto"/>
            <w:noWrap w:val="0"/>
            <w:vAlign w:val="center"/>
          </w:tcPr>
          <w:p w14:paraId="3D0BA3F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c>
          <w:tcPr>
            <w:tcW w:w="769" w:type="dxa"/>
            <w:shd w:val="clear" w:color="auto" w:fill="auto"/>
            <w:noWrap w:val="0"/>
            <w:vAlign w:val="center"/>
          </w:tcPr>
          <w:p w14:paraId="3A7A602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99.2</w:t>
            </w:r>
          </w:p>
        </w:tc>
      </w:tr>
    </w:tbl>
    <w:p w14:paraId="1154EDE0">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30F636CE">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CCE51">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88725F">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88725F">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78D0DE69"/>
    <w:multiLevelType w:val="singleLevel"/>
    <w:tmpl w:val="78D0DE6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14F6641"/>
    <w:rsid w:val="01C25065"/>
    <w:rsid w:val="0204742C"/>
    <w:rsid w:val="02200440"/>
    <w:rsid w:val="02284B43"/>
    <w:rsid w:val="025263E9"/>
    <w:rsid w:val="02532161"/>
    <w:rsid w:val="02B015E2"/>
    <w:rsid w:val="02DC08FA"/>
    <w:rsid w:val="02FF5E45"/>
    <w:rsid w:val="033B569D"/>
    <w:rsid w:val="03457CFC"/>
    <w:rsid w:val="03806F86"/>
    <w:rsid w:val="039C3BA0"/>
    <w:rsid w:val="03A845BB"/>
    <w:rsid w:val="03B45AD1"/>
    <w:rsid w:val="03D675FB"/>
    <w:rsid w:val="046046C1"/>
    <w:rsid w:val="04832134"/>
    <w:rsid w:val="049F343C"/>
    <w:rsid w:val="04D12EE4"/>
    <w:rsid w:val="04D63993"/>
    <w:rsid w:val="04EA4FB7"/>
    <w:rsid w:val="05304EF1"/>
    <w:rsid w:val="05B44CC5"/>
    <w:rsid w:val="060E6ACB"/>
    <w:rsid w:val="06C90C44"/>
    <w:rsid w:val="071E0F8F"/>
    <w:rsid w:val="07890F4F"/>
    <w:rsid w:val="07DB624E"/>
    <w:rsid w:val="080C0DE8"/>
    <w:rsid w:val="0865499C"/>
    <w:rsid w:val="08892439"/>
    <w:rsid w:val="08E55072"/>
    <w:rsid w:val="08EB30F3"/>
    <w:rsid w:val="09237408"/>
    <w:rsid w:val="09594501"/>
    <w:rsid w:val="09781BD6"/>
    <w:rsid w:val="09D771D4"/>
    <w:rsid w:val="09F359DF"/>
    <w:rsid w:val="0A1B2F87"/>
    <w:rsid w:val="0A5371A2"/>
    <w:rsid w:val="0A575E65"/>
    <w:rsid w:val="0ABF65E6"/>
    <w:rsid w:val="0ACA0AB6"/>
    <w:rsid w:val="0B2E72C7"/>
    <w:rsid w:val="0BB35A1E"/>
    <w:rsid w:val="0BC86E4F"/>
    <w:rsid w:val="0C032502"/>
    <w:rsid w:val="0C27698C"/>
    <w:rsid w:val="0D4452F3"/>
    <w:rsid w:val="0D674D12"/>
    <w:rsid w:val="0D6D057B"/>
    <w:rsid w:val="0DC75487"/>
    <w:rsid w:val="0DE2190D"/>
    <w:rsid w:val="0E4018D9"/>
    <w:rsid w:val="0E8611C8"/>
    <w:rsid w:val="0EA77ABC"/>
    <w:rsid w:val="0ED14B39"/>
    <w:rsid w:val="0F0767AD"/>
    <w:rsid w:val="0F2C7FC2"/>
    <w:rsid w:val="0F5E5042"/>
    <w:rsid w:val="0F727F00"/>
    <w:rsid w:val="0FE95707"/>
    <w:rsid w:val="103A1227"/>
    <w:rsid w:val="10510571"/>
    <w:rsid w:val="107439CE"/>
    <w:rsid w:val="10787A20"/>
    <w:rsid w:val="108672DE"/>
    <w:rsid w:val="10EC685A"/>
    <w:rsid w:val="10F90377"/>
    <w:rsid w:val="11812847"/>
    <w:rsid w:val="11FA6155"/>
    <w:rsid w:val="12CF0947"/>
    <w:rsid w:val="12E806A4"/>
    <w:rsid w:val="12EF3BA9"/>
    <w:rsid w:val="12F1313F"/>
    <w:rsid w:val="13201BEB"/>
    <w:rsid w:val="13645F7C"/>
    <w:rsid w:val="136C678E"/>
    <w:rsid w:val="13EB2FF5"/>
    <w:rsid w:val="14ED4CAC"/>
    <w:rsid w:val="153768DF"/>
    <w:rsid w:val="15A46B04"/>
    <w:rsid w:val="15E6711C"/>
    <w:rsid w:val="16227B76"/>
    <w:rsid w:val="165825BC"/>
    <w:rsid w:val="169528F0"/>
    <w:rsid w:val="16BC5D73"/>
    <w:rsid w:val="16F74821"/>
    <w:rsid w:val="176F36D7"/>
    <w:rsid w:val="1795226D"/>
    <w:rsid w:val="179901BE"/>
    <w:rsid w:val="17BD20FF"/>
    <w:rsid w:val="17FD24FB"/>
    <w:rsid w:val="18456B1E"/>
    <w:rsid w:val="18820C52"/>
    <w:rsid w:val="18DD5C74"/>
    <w:rsid w:val="195919B3"/>
    <w:rsid w:val="1968587F"/>
    <w:rsid w:val="196D1903"/>
    <w:rsid w:val="1A2C4198"/>
    <w:rsid w:val="1A350FE8"/>
    <w:rsid w:val="1A575D56"/>
    <w:rsid w:val="1A8168AB"/>
    <w:rsid w:val="1A9A6727"/>
    <w:rsid w:val="1AC76DF0"/>
    <w:rsid w:val="1ACB068F"/>
    <w:rsid w:val="1ACB68E1"/>
    <w:rsid w:val="1B216501"/>
    <w:rsid w:val="1B50290F"/>
    <w:rsid w:val="1B8F079A"/>
    <w:rsid w:val="1BE0460E"/>
    <w:rsid w:val="1C1171C5"/>
    <w:rsid w:val="1C4A5F2B"/>
    <w:rsid w:val="1C915908"/>
    <w:rsid w:val="1D265138"/>
    <w:rsid w:val="1D7B6BCA"/>
    <w:rsid w:val="1D9531D6"/>
    <w:rsid w:val="1DA41A79"/>
    <w:rsid w:val="1DC35F95"/>
    <w:rsid w:val="1DF24184"/>
    <w:rsid w:val="1DF53469"/>
    <w:rsid w:val="1DFE521F"/>
    <w:rsid w:val="1E2F24F2"/>
    <w:rsid w:val="1E4A2212"/>
    <w:rsid w:val="1E58492F"/>
    <w:rsid w:val="1E5B6757"/>
    <w:rsid w:val="1ED10AC6"/>
    <w:rsid w:val="1F1D343E"/>
    <w:rsid w:val="1F4629DA"/>
    <w:rsid w:val="1F503858"/>
    <w:rsid w:val="1F89225F"/>
    <w:rsid w:val="1F900A1F"/>
    <w:rsid w:val="1FB87FC7"/>
    <w:rsid w:val="1FC0575D"/>
    <w:rsid w:val="1FFE1506"/>
    <w:rsid w:val="2020147D"/>
    <w:rsid w:val="206132C7"/>
    <w:rsid w:val="20A43E5C"/>
    <w:rsid w:val="20D61B3B"/>
    <w:rsid w:val="212136FE"/>
    <w:rsid w:val="21971532"/>
    <w:rsid w:val="21B00C1D"/>
    <w:rsid w:val="226A2E83"/>
    <w:rsid w:val="22E36792"/>
    <w:rsid w:val="23031BEB"/>
    <w:rsid w:val="23917691"/>
    <w:rsid w:val="2419690F"/>
    <w:rsid w:val="242157C3"/>
    <w:rsid w:val="242B219E"/>
    <w:rsid w:val="244D65B8"/>
    <w:rsid w:val="245E1E24"/>
    <w:rsid w:val="247C6E9E"/>
    <w:rsid w:val="2492046F"/>
    <w:rsid w:val="249D7540"/>
    <w:rsid w:val="25034EC9"/>
    <w:rsid w:val="251470D6"/>
    <w:rsid w:val="25AD5E5D"/>
    <w:rsid w:val="262A4E03"/>
    <w:rsid w:val="263166E8"/>
    <w:rsid w:val="264A7253"/>
    <w:rsid w:val="265005E2"/>
    <w:rsid w:val="26684A8F"/>
    <w:rsid w:val="27215DC3"/>
    <w:rsid w:val="2732478D"/>
    <w:rsid w:val="275D2FB6"/>
    <w:rsid w:val="27661469"/>
    <w:rsid w:val="276C144B"/>
    <w:rsid w:val="27900EAD"/>
    <w:rsid w:val="279B538A"/>
    <w:rsid w:val="28237D5C"/>
    <w:rsid w:val="28302479"/>
    <w:rsid w:val="286F545C"/>
    <w:rsid w:val="29314FBC"/>
    <w:rsid w:val="299D769A"/>
    <w:rsid w:val="29EF381F"/>
    <w:rsid w:val="2A7A3E7F"/>
    <w:rsid w:val="2AA2081A"/>
    <w:rsid w:val="2AC84BEB"/>
    <w:rsid w:val="2AFE685E"/>
    <w:rsid w:val="2B514BE0"/>
    <w:rsid w:val="2B51698E"/>
    <w:rsid w:val="2B597F39"/>
    <w:rsid w:val="2B8A1EA0"/>
    <w:rsid w:val="2BE90CC2"/>
    <w:rsid w:val="2C024B86"/>
    <w:rsid w:val="2C1C3440"/>
    <w:rsid w:val="2C2422F5"/>
    <w:rsid w:val="2C293467"/>
    <w:rsid w:val="2C5801F0"/>
    <w:rsid w:val="2C927671"/>
    <w:rsid w:val="2CC6306F"/>
    <w:rsid w:val="2CCD64E8"/>
    <w:rsid w:val="2D2307FE"/>
    <w:rsid w:val="2D410C84"/>
    <w:rsid w:val="2D594220"/>
    <w:rsid w:val="2D6329A9"/>
    <w:rsid w:val="2D7C5CD6"/>
    <w:rsid w:val="2DF126AA"/>
    <w:rsid w:val="2E3D58F0"/>
    <w:rsid w:val="2E483E7E"/>
    <w:rsid w:val="2E690493"/>
    <w:rsid w:val="2E9372BE"/>
    <w:rsid w:val="2E9854BD"/>
    <w:rsid w:val="2F0D407F"/>
    <w:rsid w:val="2F454B19"/>
    <w:rsid w:val="2F662C24"/>
    <w:rsid w:val="30552308"/>
    <w:rsid w:val="306B04F2"/>
    <w:rsid w:val="30BC70DA"/>
    <w:rsid w:val="30E51B72"/>
    <w:rsid w:val="310224D9"/>
    <w:rsid w:val="3143321D"/>
    <w:rsid w:val="315A27CD"/>
    <w:rsid w:val="31B4621C"/>
    <w:rsid w:val="31E16592"/>
    <w:rsid w:val="31E3230A"/>
    <w:rsid w:val="330957E0"/>
    <w:rsid w:val="33356F64"/>
    <w:rsid w:val="33944516"/>
    <w:rsid w:val="33D04B10"/>
    <w:rsid w:val="34B62907"/>
    <w:rsid w:val="34BD32E6"/>
    <w:rsid w:val="35661675"/>
    <w:rsid w:val="36394BEF"/>
    <w:rsid w:val="36BD137C"/>
    <w:rsid w:val="37620175"/>
    <w:rsid w:val="37D44BCF"/>
    <w:rsid w:val="37EF6120"/>
    <w:rsid w:val="37FC2378"/>
    <w:rsid w:val="38053EDF"/>
    <w:rsid w:val="380812A4"/>
    <w:rsid w:val="382275F5"/>
    <w:rsid w:val="385D37E7"/>
    <w:rsid w:val="38782EDD"/>
    <w:rsid w:val="387F5947"/>
    <w:rsid w:val="38A670F1"/>
    <w:rsid w:val="39305678"/>
    <w:rsid w:val="39305851"/>
    <w:rsid w:val="3A563FC1"/>
    <w:rsid w:val="3A687850"/>
    <w:rsid w:val="3A7E7074"/>
    <w:rsid w:val="3A886068"/>
    <w:rsid w:val="3AA82343"/>
    <w:rsid w:val="3B42664A"/>
    <w:rsid w:val="3CA57DE3"/>
    <w:rsid w:val="3CAD1E92"/>
    <w:rsid w:val="3CD76F0F"/>
    <w:rsid w:val="3D836A4E"/>
    <w:rsid w:val="3DCE20C0"/>
    <w:rsid w:val="3DE372D7"/>
    <w:rsid w:val="3DFC6C2D"/>
    <w:rsid w:val="3E216694"/>
    <w:rsid w:val="3E94330A"/>
    <w:rsid w:val="3EA37E97"/>
    <w:rsid w:val="3EC2272D"/>
    <w:rsid w:val="3EDD0E34"/>
    <w:rsid w:val="3EEC6CA2"/>
    <w:rsid w:val="3F2C52F0"/>
    <w:rsid w:val="3FBE0BC5"/>
    <w:rsid w:val="4048103A"/>
    <w:rsid w:val="40556AC9"/>
    <w:rsid w:val="40736643"/>
    <w:rsid w:val="40D24A7A"/>
    <w:rsid w:val="41603FFE"/>
    <w:rsid w:val="41B63597"/>
    <w:rsid w:val="41D028AB"/>
    <w:rsid w:val="425D1C65"/>
    <w:rsid w:val="42621029"/>
    <w:rsid w:val="428801E6"/>
    <w:rsid w:val="42982C9D"/>
    <w:rsid w:val="42E83C24"/>
    <w:rsid w:val="435241E2"/>
    <w:rsid w:val="438A4CDB"/>
    <w:rsid w:val="43975C51"/>
    <w:rsid w:val="439E3FA7"/>
    <w:rsid w:val="43E73EDC"/>
    <w:rsid w:val="44B32266"/>
    <w:rsid w:val="44C304A5"/>
    <w:rsid w:val="44FC64F4"/>
    <w:rsid w:val="4588754D"/>
    <w:rsid w:val="45F94EA0"/>
    <w:rsid w:val="463F7FFF"/>
    <w:rsid w:val="46671304"/>
    <w:rsid w:val="466A4950"/>
    <w:rsid w:val="467F4585"/>
    <w:rsid w:val="469F19F6"/>
    <w:rsid w:val="470628CB"/>
    <w:rsid w:val="471F573B"/>
    <w:rsid w:val="4729480B"/>
    <w:rsid w:val="47555BD4"/>
    <w:rsid w:val="47BC2DB1"/>
    <w:rsid w:val="47E96399"/>
    <w:rsid w:val="47F76025"/>
    <w:rsid w:val="484E4529"/>
    <w:rsid w:val="486E33F5"/>
    <w:rsid w:val="48994F34"/>
    <w:rsid w:val="48BF5427"/>
    <w:rsid w:val="48E12B50"/>
    <w:rsid w:val="49492F43"/>
    <w:rsid w:val="499441BE"/>
    <w:rsid w:val="499A6C1C"/>
    <w:rsid w:val="499F0DB5"/>
    <w:rsid w:val="49D97E23"/>
    <w:rsid w:val="4A195607"/>
    <w:rsid w:val="4A2138F0"/>
    <w:rsid w:val="4A4638A0"/>
    <w:rsid w:val="4A583887"/>
    <w:rsid w:val="4A930919"/>
    <w:rsid w:val="4B187071"/>
    <w:rsid w:val="4B7E5126"/>
    <w:rsid w:val="4B9F6E02"/>
    <w:rsid w:val="4C89637B"/>
    <w:rsid w:val="4CB15087"/>
    <w:rsid w:val="4CE511D4"/>
    <w:rsid w:val="4D74696D"/>
    <w:rsid w:val="4D77007F"/>
    <w:rsid w:val="4E6E48A8"/>
    <w:rsid w:val="4EC47055"/>
    <w:rsid w:val="4EC512BE"/>
    <w:rsid w:val="4EE03A01"/>
    <w:rsid w:val="4EEC036B"/>
    <w:rsid w:val="4F0537F9"/>
    <w:rsid w:val="4F714FA1"/>
    <w:rsid w:val="501D2673"/>
    <w:rsid w:val="502B33A2"/>
    <w:rsid w:val="50C80BF1"/>
    <w:rsid w:val="51256043"/>
    <w:rsid w:val="51852833"/>
    <w:rsid w:val="52224331"/>
    <w:rsid w:val="52BC4786"/>
    <w:rsid w:val="52F11AC8"/>
    <w:rsid w:val="534D3630"/>
    <w:rsid w:val="534F49D9"/>
    <w:rsid w:val="53555F0F"/>
    <w:rsid w:val="535D23D5"/>
    <w:rsid w:val="537A08C9"/>
    <w:rsid w:val="539E4E4F"/>
    <w:rsid w:val="53EE4D91"/>
    <w:rsid w:val="54240834"/>
    <w:rsid w:val="54EF0E42"/>
    <w:rsid w:val="553158A2"/>
    <w:rsid w:val="556D1D67"/>
    <w:rsid w:val="557B26D6"/>
    <w:rsid w:val="55BB0D24"/>
    <w:rsid w:val="5613290E"/>
    <w:rsid w:val="561A3C9D"/>
    <w:rsid w:val="567809C3"/>
    <w:rsid w:val="56F4341A"/>
    <w:rsid w:val="57212E09"/>
    <w:rsid w:val="57503D8E"/>
    <w:rsid w:val="575A7321"/>
    <w:rsid w:val="57AC4DC9"/>
    <w:rsid w:val="580C3AB9"/>
    <w:rsid w:val="583C7AE0"/>
    <w:rsid w:val="586637F2"/>
    <w:rsid w:val="586C1E9A"/>
    <w:rsid w:val="586E0800"/>
    <w:rsid w:val="587673A6"/>
    <w:rsid w:val="59216F96"/>
    <w:rsid w:val="598C4145"/>
    <w:rsid w:val="59957D1B"/>
    <w:rsid w:val="59A9126B"/>
    <w:rsid w:val="59D4294E"/>
    <w:rsid w:val="59E009DF"/>
    <w:rsid w:val="5ABD553F"/>
    <w:rsid w:val="5AD84127"/>
    <w:rsid w:val="5ADC3C17"/>
    <w:rsid w:val="5B242EC8"/>
    <w:rsid w:val="5B634312"/>
    <w:rsid w:val="5B6D3527"/>
    <w:rsid w:val="5B9D2CCD"/>
    <w:rsid w:val="5B9E71EA"/>
    <w:rsid w:val="5C5623DB"/>
    <w:rsid w:val="5C642116"/>
    <w:rsid w:val="5D355860"/>
    <w:rsid w:val="5D4B578F"/>
    <w:rsid w:val="5E226FBC"/>
    <w:rsid w:val="5E4D2736"/>
    <w:rsid w:val="5EE96902"/>
    <w:rsid w:val="5F334546"/>
    <w:rsid w:val="5F954394"/>
    <w:rsid w:val="5FA840C8"/>
    <w:rsid w:val="5FE72BD2"/>
    <w:rsid w:val="6005151A"/>
    <w:rsid w:val="60120613"/>
    <w:rsid w:val="612105D5"/>
    <w:rsid w:val="61265BEC"/>
    <w:rsid w:val="61834DEC"/>
    <w:rsid w:val="618D5292"/>
    <w:rsid w:val="622E78FA"/>
    <w:rsid w:val="62513031"/>
    <w:rsid w:val="63100901"/>
    <w:rsid w:val="631101D6"/>
    <w:rsid w:val="632223E3"/>
    <w:rsid w:val="63343F70"/>
    <w:rsid w:val="633B5253"/>
    <w:rsid w:val="63827325"/>
    <w:rsid w:val="639744D5"/>
    <w:rsid w:val="63B95A6A"/>
    <w:rsid w:val="64266808"/>
    <w:rsid w:val="64296E1C"/>
    <w:rsid w:val="64386FCC"/>
    <w:rsid w:val="649E64A2"/>
    <w:rsid w:val="65E5270A"/>
    <w:rsid w:val="66252916"/>
    <w:rsid w:val="663D3C54"/>
    <w:rsid w:val="66431F24"/>
    <w:rsid w:val="667A6962"/>
    <w:rsid w:val="66862C89"/>
    <w:rsid w:val="66A31A8D"/>
    <w:rsid w:val="66BB486D"/>
    <w:rsid w:val="67394C7D"/>
    <w:rsid w:val="676C6322"/>
    <w:rsid w:val="67A1421E"/>
    <w:rsid w:val="67EE4F89"/>
    <w:rsid w:val="68126B38"/>
    <w:rsid w:val="68282249"/>
    <w:rsid w:val="68291A1A"/>
    <w:rsid w:val="68352BB8"/>
    <w:rsid w:val="68C006D4"/>
    <w:rsid w:val="691327EB"/>
    <w:rsid w:val="691B1594"/>
    <w:rsid w:val="693A016B"/>
    <w:rsid w:val="69731BEA"/>
    <w:rsid w:val="6A17429C"/>
    <w:rsid w:val="6A567EA3"/>
    <w:rsid w:val="6B4B4368"/>
    <w:rsid w:val="6B79100E"/>
    <w:rsid w:val="6B916358"/>
    <w:rsid w:val="6C24541E"/>
    <w:rsid w:val="6C314E5C"/>
    <w:rsid w:val="6C782F8E"/>
    <w:rsid w:val="6C844C00"/>
    <w:rsid w:val="6CD45901"/>
    <w:rsid w:val="6D0D5EB2"/>
    <w:rsid w:val="6D65342A"/>
    <w:rsid w:val="6D910891"/>
    <w:rsid w:val="6DA32372"/>
    <w:rsid w:val="6DCF13B9"/>
    <w:rsid w:val="6E10212C"/>
    <w:rsid w:val="6E43561A"/>
    <w:rsid w:val="6E557973"/>
    <w:rsid w:val="6E9568DB"/>
    <w:rsid w:val="6F0D6C22"/>
    <w:rsid w:val="6F210EE5"/>
    <w:rsid w:val="6F47657F"/>
    <w:rsid w:val="6F914B78"/>
    <w:rsid w:val="6FA26D85"/>
    <w:rsid w:val="6FAF23D9"/>
    <w:rsid w:val="70196DDB"/>
    <w:rsid w:val="70635CF6"/>
    <w:rsid w:val="70670707"/>
    <w:rsid w:val="709D4651"/>
    <w:rsid w:val="70AB3233"/>
    <w:rsid w:val="70AE3508"/>
    <w:rsid w:val="70E60EF4"/>
    <w:rsid w:val="712D2997"/>
    <w:rsid w:val="71B608C6"/>
    <w:rsid w:val="720E3691"/>
    <w:rsid w:val="7249173A"/>
    <w:rsid w:val="724E244C"/>
    <w:rsid w:val="72DA6946"/>
    <w:rsid w:val="732764B3"/>
    <w:rsid w:val="73553E03"/>
    <w:rsid w:val="73D75556"/>
    <w:rsid w:val="74026044"/>
    <w:rsid w:val="7420296E"/>
    <w:rsid w:val="742D0BE7"/>
    <w:rsid w:val="74325A77"/>
    <w:rsid w:val="74402983"/>
    <w:rsid w:val="74746410"/>
    <w:rsid w:val="74EF5795"/>
    <w:rsid w:val="750929EB"/>
    <w:rsid w:val="750D2EF3"/>
    <w:rsid w:val="753A7A60"/>
    <w:rsid w:val="75566425"/>
    <w:rsid w:val="75C8506C"/>
    <w:rsid w:val="75E5007C"/>
    <w:rsid w:val="760E258D"/>
    <w:rsid w:val="76B05236"/>
    <w:rsid w:val="76C03F95"/>
    <w:rsid w:val="76C53359"/>
    <w:rsid w:val="77476464"/>
    <w:rsid w:val="77534E09"/>
    <w:rsid w:val="77636B63"/>
    <w:rsid w:val="77813724"/>
    <w:rsid w:val="77861774"/>
    <w:rsid w:val="77D777E8"/>
    <w:rsid w:val="77E51F05"/>
    <w:rsid w:val="77E64099"/>
    <w:rsid w:val="780A196C"/>
    <w:rsid w:val="78F31435"/>
    <w:rsid w:val="78FD6DDA"/>
    <w:rsid w:val="79273E57"/>
    <w:rsid w:val="79300B45"/>
    <w:rsid w:val="794D3E18"/>
    <w:rsid w:val="79AD6A52"/>
    <w:rsid w:val="79BD656A"/>
    <w:rsid w:val="79F3729A"/>
    <w:rsid w:val="7A6D61E2"/>
    <w:rsid w:val="7A880722"/>
    <w:rsid w:val="7AB20098"/>
    <w:rsid w:val="7ABE6120"/>
    <w:rsid w:val="7ACB0498"/>
    <w:rsid w:val="7AED0B4D"/>
    <w:rsid w:val="7B05466C"/>
    <w:rsid w:val="7BD52290"/>
    <w:rsid w:val="7C1E4487"/>
    <w:rsid w:val="7C215E02"/>
    <w:rsid w:val="7C9A0DE4"/>
    <w:rsid w:val="7CA13F21"/>
    <w:rsid w:val="7CF130FA"/>
    <w:rsid w:val="7CF23764"/>
    <w:rsid w:val="7D851A94"/>
    <w:rsid w:val="7D99569A"/>
    <w:rsid w:val="7E0D5D12"/>
    <w:rsid w:val="7E797F74"/>
    <w:rsid w:val="7E8C291E"/>
    <w:rsid w:val="7E977CD1"/>
    <w:rsid w:val="7EE03426"/>
    <w:rsid w:val="7F875650"/>
    <w:rsid w:val="7F924011"/>
    <w:rsid w:val="7FC52DC2"/>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20"/>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3"/>
    <w:qFormat/>
    <w:uiPriority w:val="0"/>
    <w:rPr>
      <w:rFonts w:ascii="Arial" w:hAnsi="Arial" w:eastAsia="楷体"/>
      <w:b/>
      <w:sz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 w:type="character" w:customStyle="1" w:styleId="24">
    <w:name w:val="font11"/>
    <w:basedOn w:val="17"/>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10424</Words>
  <Characters>11101</Characters>
  <Lines>0</Lines>
  <Paragraphs>0</Paragraphs>
  <TotalTime>0</TotalTime>
  <ScaleCrop>false</ScaleCrop>
  <LinksUpToDate>false</LinksUpToDate>
  <CharactersWithSpaces>11173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2025-10-23T03:33:48Z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2F294BBEAAF140C7B8ACCA3C4FA29F1F_13</vt:lpwstr>
  </property>
  <property fmtid="{D5CDD505-2E9C-101B-9397-08002B2CF9AE}" pid="4" name="KSOTemplateDocerSaveRecord">
    <vt:lpwstr>eyJoZGlkIjoiNTY3MmI4ODZmMjljZWZhNGFkN2U2N2Y4ODgwYjM5ZGIiLCJ1c2VySWQiOiIzNjI1MzY3NzcifQ==</vt:lpwstr>
  </property>
</Properties>
</file>