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531909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5575"/>
      <w:bookmarkStart w:id="2" w:name="_Toc29123"/>
      <w:bookmarkStart w:id="3" w:name="_Toc1949"/>
      <w:r>
        <w:rPr>
          <w:rFonts w:hint="eastAsia" w:cs="宋体"/>
          <w:b/>
          <w:bCs/>
          <w:color w:val="auto"/>
          <w:sz w:val="40"/>
          <w:szCs w:val="40"/>
          <w:highlight w:val="none"/>
          <w:shd w:val="clear" w:color="auto" w:fill="auto"/>
          <w:lang w:val="en-US" w:eastAsia="zh-CN"/>
        </w:rPr>
        <w:t>2024年残保金</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w:t>
      </w: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eastAsia="zh-CN"/>
        </w:rPr>
        <w:t>：</w:t>
      </w:r>
      <w:r>
        <w:rPr>
          <w:rFonts w:hint="eastAsia" w:ascii="黑体" w:hAnsi="Times New Roman" w:eastAsia="黑体"/>
          <w:b w:val="0"/>
          <w:bCs/>
          <w:color w:val="auto"/>
          <w:sz w:val="30"/>
          <w:szCs w:val="30"/>
          <w:highlight w:val="none"/>
          <w:lang w:val="en-US" w:eastAsia="zh-CN"/>
        </w:rPr>
        <w:t>2024年残保金项目</w:t>
      </w:r>
    </w:p>
    <w:p w14:paraId="7CB8A243">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阜康市残疾人联合会</w:t>
      </w:r>
    </w:p>
    <w:p w14:paraId="1CD13478">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阜康市残疾人联合会</w:t>
      </w:r>
    </w:p>
    <w:p w14:paraId="065BEE39">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邢小红</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5E9F2796">
      <w:pPr>
        <w:pStyle w:val="15"/>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32</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143CC7D">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highlight w:val="none"/>
          <w:shd w:val="clear" w:color="auto" w:fill="auto"/>
        </w:rPr>
      </w:pPr>
      <w:bookmarkStart w:id="4" w:name="_Toc20432"/>
      <w:bookmarkStart w:id="5" w:name="_Toc22946"/>
      <w:bookmarkStart w:id="6" w:name="_Toc1194"/>
      <w:bookmarkStart w:id="7" w:name="_Toc3663"/>
      <w:r>
        <w:rPr>
          <w:rFonts w:hint="eastAsia" w:cs="宋体"/>
          <w:b/>
          <w:bCs/>
          <w:color w:val="auto"/>
          <w:sz w:val="36"/>
          <w:szCs w:val="36"/>
          <w:highlight w:val="none"/>
          <w:shd w:val="clear" w:color="auto" w:fill="auto"/>
          <w:lang w:val="en-US" w:eastAsia="zh-CN"/>
        </w:rPr>
        <w:t>2024年残保金</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33D1C29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0" w:name="_Toc10645"/>
      <w:bookmarkStart w:id="11" w:name="_Toc22346"/>
      <w:bookmarkStart w:id="12" w:name="_Toc29812"/>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48C0F5F6">
      <w:pPr>
        <w:pStyle w:val="24"/>
        <w:keepNext w:val="0"/>
        <w:keepLines w:val="0"/>
        <w:pageBreakBefore w:val="0"/>
        <w:widowControl w:val="0"/>
        <w:kinsoku/>
        <w:wordWrap/>
        <w:overflowPunct/>
        <w:topLinePunct w:val="0"/>
        <w:autoSpaceDE/>
        <w:autoSpaceDN/>
        <w:bidi w:val="0"/>
        <w:adjustRightInd/>
        <w:snapToGrid/>
        <w:spacing w:after="0" w:line="560" w:lineRule="exact"/>
        <w:ind w:left="0" w:leftChars="0"/>
        <w:jc w:val="left"/>
        <w:textAlignment w:val="auto"/>
        <w:rPr>
          <w:rFonts w:hint="eastAsia" w:asciiTheme="minorEastAsia" w:hAnsiTheme="minorEastAsia" w:eastAsiaTheme="minorEastAsia" w:cstheme="minorEastAsia"/>
          <w:b w:val="0"/>
          <w:bCs w:val="0"/>
          <w:color w:val="auto"/>
          <w:sz w:val="28"/>
          <w:szCs w:val="28"/>
          <w:highlight w:val="none"/>
          <w:shd w:val="clear" w:color="auto" w:fill="auto"/>
          <w:lang w:eastAsia="zh-CN"/>
        </w:rPr>
      </w:pPr>
      <w:bookmarkStart w:id="14" w:name="_Toc27343"/>
      <w:bookmarkStart w:id="15" w:name="_Toc1630"/>
      <w:bookmarkStart w:id="16" w:name="_Toc17880"/>
      <w:bookmarkStart w:id="17" w:name="_Toc10730"/>
      <w:r>
        <w:rPr>
          <w:rFonts w:hint="eastAsia" w:cs="宋体"/>
          <w:b w:val="0"/>
          <w:bCs w:val="0"/>
          <w:color w:val="auto"/>
          <w:highlight w:val="none"/>
          <w:shd w:val="clear" w:color="auto" w:fill="auto"/>
          <w:lang w:val="en-US" w:eastAsia="zh-CN"/>
        </w:rPr>
        <w:t>阜康市截至2024年12月31日，全市共有各类持证残疾人4489人，</w:t>
      </w:r>
      <w:r>
        <w:rPr>
          <w:rFonts w:hint="default" w:ascii="Times New Roman" w:hAnsi="Times New Roman" w:eastAsia="仿宋_GB2312" w:cs="Times New Roman"/>
          <w:b w:val="0"/>
          <w:bCs/>
          <w:color w:val="auto"/>
          <w:kern w:val="0"/>
          <w:sz w:val="32"/>
          <w:szCs w:val="32"/>
          <w:highlight w:val="none"/>
          <w:lang w:val="en-US" w:eastAsia="zh-CN" w:bidi="ar"/>
        </w:rPr>
        <w:t>其中视力残疾373人、听力残疾583人、言语残疾46人、肢体残疾2454人、智力残疾399人、精神残疾328人、多重残疾306人，</w:t>
      </w:r>
      <w:r>
        <w:rPr>
          <w:rFonts w:hint="eastAsia" w:ascii="Times New Roman" w:hAnsi="Times New Roman" w:eastAsia="仿宋_GB2312" w:cs="Times New Roman"/>
          <w:b w:val="0"/>
          <w:bCs/>
          <w:color w:val="auto"/>
          <w:kern w:val="0"/>
          <w:sz w:val="32"/>
          <w:szCs w:val="32"/>
          <w:highlight w:val="none"/>
          <w:lang w:val="en-US" w:eastAsia="zh-CN" w:bidi="ar"/>
        </w:rPr>
        <w:t>包括</w:t>
      </w:r>
      <w:r>
        <w:rPr>
          <w:rFonts w:hint="default" w:ascii="Times New Roman" w:hAnsi="Times New Roman" w:eastAsia="仿宋_GB2312" w:cs="Times New Roman"/>
          <w:b w:val="0"/>
          <w:bCs/>
          <w:color w:val="auto"/>
          <w:kern w:val="0"/>
          <w:sz w:val="32"/>
          <w:szCs w:val="32"/>
          <w:highlight w:val="none"/>
          <w:lang w:val="en-US" w:eastAsia="zh-CN" w:bidi="ar"/>
        </w:rPr>
        <w:t>城镇残疾人1780人，农村残疾人2709人。</w:t>
      </w:r>
      <w:r>
        <w:rPr>
          <w:rFonts w:hint="eastAsia" w:cs="宋体"/>
          <w:b w:val="0"/>
          <w:bCs w:val="0"/>
          <w:color w:val="auto"/>
          <w:highlight w:val="none"/>
          <w:shd w:val="clear" w:color="auto" w:fill="auto"/>
          <w:lang w:val="en-US" w:eastAsia="zh-CN"/>
        </w:rPr>
        <w:t>为满足残疾人康复、教育、就业和维权等方面需求，</w:t>
      </w:r>
      <w:r>
        <w:rPr>
          <w:rFonts w:hint="eastAsia" w:asciiTheme="minorEastAsia" w:hAnsiTheme="minorEastAsia" w:eastAsiaTheme="minorEastAsia" w:cstheme="minorEastAsia"/>
          <w:b w:val="0"/>
          <w:bCs w:val="0"/>
          <w:color w:val="auto"/>
          <w:sz w:val="28"/>
          <w:szCs w:val="28"/>
          <w:highlight w:val="none"/>
          <w:shd w:val="clear" w:color="auto" w:fill="auto"/>
          <w:lang w:eastAsia="zh-CN"/>
        </w:rPr>
        <w:t>依照《中华人民共和国残疾人保障法》</w:t>
      </w:r>
      <w:r>
        <w:rPr>
          <w:rFonts w:hint="eastAsia" w:asciiTheme="minorEastAsia" w:hAnsiTheme="minorEastAsia" w:eastAsiaTheme="minorEastAsia" w:cstheme="minorEastAsia"/>
          <w:b w:val="0"/>
          <w:bCs w:val="0"/>
          <w:color w:val="auto"/>
          <w:sz w:val="28"/>
          <w:szCs w:val="28"/>
          <w:highlight w:val="none"/>
          <w:shd w:val="clear" w:color="auto" w:fill="auto"/>
          <w:lang w:val="en-US" w:eastAsia="zh-CN"/>
        </w:rPr>
        <w:t>和</w:t>
      </w:r>
      <w:r>
        <w:rPr>
          <w:rFonts w:hint="eastAsia" w:asciiTheme="minorEastAsia" w:hAnsiTheme="minorEastAsia" w:eastAsiaTheme="minorEastAsia" w:cstheme="minorEastAsia"/>
          <w:b w:val="0"/>
          <w:bCs w:val="0"/>
          <w:color w:val="auto"/>
          <w:sz w:val="28"/>
          <w:szCs w:val="28"/>
          <w:highlight w:val="none"/>
          <w:lang w:eastAsia="zh-CN"/>
        </w:rPr>
        <w:t>《新疆维吾尔自治区残疾人就业保障金征收使用管理办法》的通知（新财非税【</w:t>
      </w:r>
      <w:r>
        <w:rPr>
          <w:rFonts w:hint="eastAsia" w:asciiTheme="minorEastAsia" w:hAnsiTheme="minorEastAsia" w:eastAsiaTheme="minorEastAsia" w:cstheme="minorEastAsia"/>
          <w:b w:val="0"/>
          <w:bCs w:val="0"/>
          <w:color w:val="auto"/>
          <w:sz w:val="28"/>
          <w:szCs w:val="28"/>
          <w:highlight w:val="none"/>
          <w:lang w:val="en-US" w:eastAsia="zh-CN"/>
        </w:rPr>
        <w:t>2016</w:t>
      </w:r>
      <w:r>
        <w:rPr>
          <w:rFonts w:hint="eastAsia" w:asciiTheme="minorEastAsia" w:hAnsiTheme="minorEastAsia" w:eastAsiaTheme="minorEastAsia" w:cstheme="minorEastAsia"/>
          <w:b w:val="0"/>
          <w:bCs w:val="0"/>
          <w:color w:val="auto"/>
          <w:sz w:val="28"/>
          <w:szCs w:val="28"/>
          <w:highlight w:val="none"/>
          <w:lang w:eastAsia="zh-CN"/>
        </w:rPr>
        <w:t>】</w:t>
      </w:r>
      <w:r>
        <w:rPr>
          <w:rFonts w:hint="eastAsia" w:asciiTheme="minorEastAsia" w:hAnsiTheme="minorEastAsia" w:eastAsiaTheme="minorEastAsia" w:cstheme="minorEastAsia"/>
          <w:b w:val="0"/>
          <w:bCs w:val="0"/>
          <w:color w:val="auto"/>
          <w:sz w:val="28"/>
          <w:szCs w:val="28"/>
          <w:highlight w:val="none"/>
          <w:lang w:val="en-US" w:eastAsia="zh-CN"/>
        </w:rPr>
        <w:t>28号</w:t>
      </w:r>
      <w:r>
        <w:rPr>
          <w:rFonts w:hint="eastAsia" w:asciiTheme="minorEastAsia" w:hAnsiTheme="minorEastAsia" w:eastAsiaTheme="minorEastAsia" w:cstheme="minorEastAsia"/>
          <w:b w:val="0"/>
          <w:bCs w:val="0"/>
          <w:color w:val="auto"/>
          <w:sz w:val="28"/>
          <w:szCs w:val="28"/>
          <w:highlight w:val="none"/>
          <w:lang w:eastAsia="zh-CN"/>
        </w:rPr>
        <w:t>）文件精神，结合</w:t>
      </w:r>
      <w:r>
        <w:rPr>
          <w:rFonts w:hint="eastAsia" w:asciiTheme="minorEastAsia" w:hAnsiTheme="minorEastAsia" w:eastAsiaTheme="minorEastAsia" w:cstheme="minorEastAsia"/>
          <w:b w:val="0"/>
          <w:bCs w:val="0"/>
          <w:color w:val="auto"/>
          <w:sz w:val="28"/>
          <w:szCs w:val="28"/>
          <w:highlight w:val="none"/>
          <w:lang w:val="en-US" w:eastAsia="zh-CN"/>
        </w:rPr>
        <w:t>上级残联年度残疾人工作安排部署，为维护好残疾人教育、就业、康复和社会保障等方面基本权益，</w:t>
      </w:r>
      <w:r>
        <w:rPr>
          <w:rFonts w:hint="eastAsia" w:asciiTheme="minorEastAsia" w:hAnsiTheme="minorEastAsia" w:eastAsiaTheme="minorEastAsia" w:cstheme="minorEastAsia"/>
          <w:b w:val="0"/>
          <w:bCs w:val="0"/>
          <w:color w:val="auto"/>
          <w:sz w:val="28"/>
          <w:szCs w:val="28"/>
          <w:highlight w:val="none"/>
          <w:shd w:val="clear" w:color="auto" w:fill="auto"/>
          <w:lang w:val="en-US" w:eastAsia="zh-CN"/>
        </w:rPr>
        <w:t>保障残疾人工作运行</w:t>
      </w:r>
      <w:r>
        <w:rPr>
          <w:rFonts w:hint="eastAsia" w:asciiTheme="minorEastAsia" w:hAnsiTheme="minorEastAsia" w:eastAsiaTheme="minorEastAsia" w:cstheme="minorEastAsia"/>
          <w:b w:val="0"/>
          <w:bCs w:val="0"/>
          <w:color w:val="auto"/>
          <w:sz w:val="28"/>
          <w:szCs w:val="28"/>
          <w:highlight w:val="none"/>
          <w:shd w:val="clear" w:color="auto" w:fill="auto"/>
          <w:lang w:eastAsia="zh-CN"/>
        </w:rPr>
        <w:t>，</w:t>
      </w:r>
      <w:r>
        <w:rPr>
          <w:rFonts w:hint="eastAsia" w:asciiTheme="minorEastAsia" w:hAnsiTheme="minorEastAsia" w:eastAsiaTheme="minorEastAsia" w:cstheme="minorEastAsia"/>
          <w:b w:val="0"/>
          <w:bCs w:val="0"/>
          <w:color w:val="auto"/>
          <w:sz w:val="28"/>
          <w:szCs w:val="28"/>
          <w:highlight w:val="none"/>
          <w:lang w:val="en-US" w:eastAsia="zh-CN"/>
        </w:rPr>
        <w:t>切实推动我市残疾人事业持续、健康、有序发展，</w:t>
      </w:r>
      <w:r>
        <w:rPr>
          <w:rFonts w:hint="eastAsia" w:asciiTheme="minorEastAsia" w:hAnsiTheme="minorEastAsia" w:eastAsiaTheme="minorEastAsia" w:cstheme="minorEastAsia"/>
          <w:b w:val="0"/>
          <w:bCs w:val="0"/>
          <w:color w:val="auto"/>
          <w:sz w:val="28"/>
          <w:szCs w:val="28"/>
          <w:highlight w:val="none"/>
          <w:shd w:val="clear" w:color="auto" w:fill="auto"/>
          <w:lang w:eastAsia="zh-CN"/>
        </w:rPr>
        <w:t>设立本项目。</w:t>
      </w:r>
    </w:p>
    <w:p w14:paraId="4F5AE66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490A71B">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宋体" w:hAnsi="宋体" w:eastAsia="宋体" w:cs="宋体"/>
          <w:color w:val="auto"/>
          <w:highlight w:val="none"/>
          <w:shd w:val="clear" w:color="auto" w:fill="auto"/>
          <w:lang w:eastAsia="zh-CN"/>
        </w:rPr>
      </w:pPr>
      <w:bookmarkStart w:id="18" w:name="_Toc21898"/>
      <w:bookmarkStart w:id="19" w:name="_Toc27409"/>
      <w:bookmarkStart w:id="20" w:name="_Toc16592"/>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宋体" w:hAnsi="宋体" w:eastAsia="宋体" w:cs="宋体"/>
          <w:color w:val="auto"/>
          <w:highlight w:val="none"/>
          <w:shd w:val="clear" w:color="auto" w:fill="auto"/>
          <w:lang w:val="en-US" w:eastAsia="zh-CN"/>
        </w:rPr>
        <w:t>宣传、贯彻、落实国家法律、法规、严格执法，保障残疾人合法权利；听取残疾人意见，反映残疾人需求，维护残疾人权益，为残疾人服务</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团结、教育残疾人，遵守法律，履行应尽义务；保障残疾人工作运行所需人员工资及社保，以切实增强为残疾人服务水平，提升贫困残疾人生活水平。截至202</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val="en-US" w:eastAsia="zh-CN"/>
        </w:rPr>
        <w:t>年12月31日，本项目完成10名残疾人工作运行人员工资及社保发放缴纳，保障残疾人工作运行人员工资及社保每月发放一次，发放完成率达到100﹪</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通过项目的实施，能够长期保障残疾人工作运行人员工资及社保，</w:t>
      </w:r>
      <w:r>
        <w:rPr>
          <w:rFonts w:hint="eastAsia" w:cs="宋体"/>
          <w:color w:val="auto"/>
          <w:highlight w:val="none"/>
          <w:shd w:val="clear" w:color="auto" w:fill="auto"/>
          <w:lang w:val="en-US" w:eastAsia="zh-CN"/>
        </w:rPr>
        <w:t>解决残疾人在康复、就业和社会保障等方面的困难问题，</w:t>
      </w:r>
      <w:r>
        <w:rPr>
          <w:rFonts w:hint="eastAsia" w:ascii="宋体" w:hAnsi="宋体" w:eastAsia="宋体" w:cs="宋体"/>
          <w:color w:val="auto"/>
          <w:highlight w:val="none"/>
          <w:shd w:val="clear" w:color="auto" w:fill="auto"/>
          <w:lang w:val="en-US" w:eastAsia="zh-CN"/>
        </w:rPr>
        <w:t>增强</w:t>
      </w:r>
      <w:r>
        <w:rPr>
          <w:rFonts w:hint="eastAsia" w:cs="宋体"/>
          <w:color w:val="auto"/>
          <w:highlight w:val="none"/>
          <w:shd w:val="clear" w:color="auto" w:fill="auto"/>
          <w:lang w:val="en-US" w:eastAsia="zh-CN"/>
        </w:rPr>
        <w:t>为残疾人</w:t>
      </w:r>
      <w:r>
        <w:rPr>
          <w:rFonts w:hint="eastAsia" w:ascii="宋体" w:hAnsi="宋体" w:eastAsia="宋体" w:cs="宋体"/>
          <w:color w:val="auto"/>
          <w:highlight w:val="none"/>
          <w:shd w:val="clear" w:color="auto" w:fill="auto"/>
          <w:lang w:val="en-US" w:eastAsia="zh-CN"/>
        </w:rPr>
        <w:t>服务</w:t>
      </w:r>
      <w:r>
        <w:rPr>
          <w:rFonts w:hint="eastAsia" w:cs="宋体"/>
          <w:color w:val="auto"/>
          <w:highlight w:val="none"/>
          <w:shd w:val="clear" w:color="auto" w:fill="auto"/>
          <w:lang w:val="en-US" w:eastAsia="zh-CN"/>
        </w:rPr>
        <w:t>的</w:t>
      </w:r>
      <w:r>
        <w:rPr>
          <w:rFonts w:hint="eastAsia" w:ascii="宋体" w:hAnsi="宋体" w:eastAsia="宋体" w:cs="宋体"/>
          <w:color w:val="auto"/>
          <w:highlight w:val="none"/>
          <w:shd w:val="clear" w:color="auto" w:fill="auto"/>
          <w:lang w:val="en-US" w:eastAsia="zh-CN"/>
        </w:rPr>
        <w:t>水平，提升贫困残疾人生活水平的效益。</w:t>
      </w:r>
    </w:p>
    <w:p w14:paraId="15C645C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宋体" w:hAnsi="宋体" w:eastAsia="宋体" w:cs="宋体"/>
          <w:color w:val="auto"/>
          <w:highlight w:val="none"/>
          <w:shd w:val="clear" w:color="auto" w:fill="auto"/>
          <w:lang w:val="en-US" w:eastAsia="zh-CN"/>
        </w:rPr>
        <w:t>本项目自</w:t>
      </w:r>
      <w:r>
        <w:rPr>
          <w:rFonts w:hint="eastAsia" w:cs="宋体"/>
          <w:color w:val="auto"/>
          <w:highlight w:val="none"/>
          <w:shd w:val="clear" w:color="auto" w:fill="auto"/>
          <w:lang w:val="en-US" w:eastAsia="zh-CN"/>
        </w:rPr>
        <w:t>2024</w:t>
      </w:r>
      <w:r>
        <w:rPr>
          <w:rFonts w:hint="eastAsia" w:ascii="宋体" w:hAnsi="宋体" w:eastAsia="宋体" w:cs="宋体"/>
          <w:color w:val="auto"/>
          <w:highlight w:val="none"/>
          <w:shd w:val="clear" w:color="auto" w:fill="auto"/>
          <w:lang w:val="en-US" w:eastAsia="zh-CN"/>
        </w:rPr>
        <w:t>年</w:t>
      </w:r>
      <w:r>
        <w:rPr>
          <w:rFonts w:hint="eastAsia"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val="en-US" w:eastAsia="zh-CN"/>
        </w:rPr>
        <w:t>月</w:t>
      </w:r>
      <w:r>
        <w:rPr>
          <w:rFonts w:hint="eastAsia"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val="en-US" w:eastAsia="zh-CN"/>
        </w:rPr>
        <w:t>日经</w:t>
      </w:r>
      <w:r>
        <w:rPr>
          <w:rFonts w:hint="eastAsia" w:cs="宋体"/>
          <w:color w:val="auto"/>
          <w:highlight w:val="none"/>
          <w:shd w:val="clear" w:color="auto" w:fill="auto"/>
          <w:lang w:val="en-US" w:eastAsia="zh-CN"/>
        </w:rPr>
        <w:t>阜康市委财经委（阜财经办字【2024】55号）</w:t>
      </w:r>
      <w:r>
        <w:rPr>
          <w:rFonts w:hint="eastAsia" w:ascii="宋体" w:hAnsi="宋体" w:eastAsia="宋体" w:cs="宋体"/>
          <w:color w:val="auto"/>
          <w:highlight w:val="none"/>
          <w:shd w:val="clear" w:color="auto" w:fill="auto"/>
          <w:lang w:val="en-US" w:eastAsia="zh-CN"/>
        </w:rPr>
        <w:t>文件批复，经</w:t>
      </w:r>
      <w:r>
        <w:rPr>
          <w:rFonts w:hint="eastAsia" w:cs="宋体"/>
          <w:color w:val="auto"/>
          <w:highlight w:val="none"/>
          <w:shd w:val="clear" w:color="auto" w:fill="auto"/>
          <w:lang w:val="en-US" w:eastAsia="zh-CN"/>
        </w:rPr>
        <w:t>阜康市残联党组</w:t>
      </w:r>
      <w:r>
        <w:rPr>
          <w:rFonts w:hint="eastAsia" w:ascii="宋体" w:hAnsi="宋体" w:eastAsia="宋体" w:cs="宋体"/>
          <w:color w:val="auto"/>
          <w:highlight w:val="none"/>
          <w:shd w:val="clear" w:color="auto" w:fill="auto"/>
          <w:lang w:val="en-US" w:eastAsia="zh-CN"/>
        </w:rPr>
        <w:t>会议</w:t>
      </w:r>
      <w:r>
        <w:rPr>
          <w:rFonts w:hint="eastAsia" w:cs="宋体"/>
          <w:color w:val="auto"/>
          <w:highlight w:val="none"/>
          <w:shd w:val="clear" w:color="auto" w:fill="auto"/>
          <w:lang w:val="en-US" w:eastAsia="zh-CN"/>
        </w:rPr>
        <w:t>研究</w:t>
      </w:r>
      <w:r>
        <w:rPr>
          <w:rFonts w:hint="eastAsia" w:ascii="宋体" w:hAnsi="宋体" w:eastAsia="宋体" w:cs="宋体"/>
          <w:color w:val="auto"/>
          <w:highlight w:val="none"/>
          <w:shd w:val="clear" w:color="auto" w:fill="auto"/>
          <w:lang w:val="en-US" w:eastAsia="zh-CN"/>
        </w:rPr>
        <w:t>确定了项目领导小组，明确了责任分工：组长为</w:t>
      </w:r>
      <w:r>
        <w:rPr>
          <w:rFonts w:hint="eastAsia" w:cs="宋体"/>
          <w:color w:val="auto"/>
          <w:highlight w:val="none"/>
          <w:shd w:val="clear" w:color="auto" w:fill="auto"/>
          <w:lang w:val="en-US" w:eastAsia="zh-CN"/>
        </w:rPr>
        <w:t>宋刚</w:t>
      </w:r>
      <w:r>
        <w:rPr>
          <w:rFonts w:hint="eastAsia" w:ascii="宋体" w:hAnsi="宋体" w:eastAsia="宋体" w:cs="宋体"/>
          <w:color w:val="auto"/>
          <w:highlight w:val="none"/>
          <w:shd w:val="clear" w:color="auto" w:fill="auto"/>
          <w:lang w:val="en-US" w:eastAsia="zh-CN"/>
        </w:rPr>
        <w:t>，副组长为</w:t>
      </w:r>
      <w:r>
        <w:rPr>
          <w:rFonts w:hint="eastAsia" w:cs="宋体"/>
          <w:color w:val="auto"/>
          <w:highlight w:val="none"/>
          <w:shd w:val="clear" w:color="auto" w:fill="auto"/>
          <w:lang w:val="en-US" w:eastAsia="zh-CN"/>
        </w:rPr>
        <w:t>邢小红</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项目负责人为邢小红,</w:t>
      </w:r>
      <w:r>
        <w:rPr>
          <w:rFonts w:hint="eastAsia" w:ascii="宋体" w:hAnsi="宋体" w:eastAsia="宋体" w:cs="宋体"/>
          <w:color w:val="auto"/>
          <w:highlight w:val="none"/>
          <w:shd w:val="clear" w:color="auto" w:fill="auto"/>
          <w:lang w:val="en-US" w:eastAsia="zh-CN"/>
        </w:rPr>
        <w:t>组员为</w:t>
      </w:r>
      <w:r>
        <w:rPr>
          <w:rFonts w:hint="eastAsia" w:cs="宋体"/>
          <w:color w:val="auto"/>
          <w:highlight w:val="none"/>
          <w:shd w:val="clear" w:color="auto" w:fill="auto"/>
          <w:lang w:val="en-US" w:eastAsia="zh-CN"/>
        </w:rPr>
        <w:t>马瑞华</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李睿、周海英、贾建红、李翔</w:t>
      </w:r>
      <w:r>
        <w:rPr>
          <w:rFonts w:hint="eastAsia" w:ascii="宋体" w:hAnsi="宋体" w:eastAsia="宋体" w:cs="宋体"/>
          <w:color w:val="auto"/>
          <w:highlight w:val="none"/>
          <w:shd w:val="clear" w:color="auto" w:fill="auto"/>
          <w:lang w:val="en-US" w:eastAsia="zh-CN"/>
        </w:rPr>
        <w:t>，其中：</w:t>
      </w:r>
      <w:r>
        <w:rPr>
          <w:rFonts w:hint="eastAsia" w:cs="宋体"/>
          <w:color w:val="auto"/>
          <w:highlight w:val="none"/>
          <w:shd w:val="clear" w:color="auto" w:fill="auto"/>
          <w:lang w:val="en-US" w:eastAsia="zh-CN"/>
        </w:rPr>
        <w:t>贾建红</w:t>
      </w:r>
      <w:r>
        <w:rPr>
          <w:rFonts w:hint="eastAsia" w:ascii="宋体" w:hAnsi="宋体" w:eastAsia="宋体" w:cs="宋体"/>
          <w:color w:val="auto"/>
          <w:highlight w:val="none"/>
          <w:shd w:val="clear" w:color="auto" w:fill="auto"/>
          <w:lang w:val="en-US" w:eastAsia="zh-CN"/>
        </w:rPr>
        <w:t>负责监管工作，</w:t>
      </w:r>
      <w:r>
        <w:rPr>
          <w:rFonts w:hint="eastAsia" w:cs="宋体"/>
          <w:color w:val="auto"/>
          <w:highlight w:val="none"/>
          <w:shd w:val="clear" w:color="auto" w:fill="auto"/>
          <w:lang w:val="en-US" w:eastAsia="zh-CN"/>
        </w:rPr>
        <w:t>马瑞华、李睿、周海英</w:t>
      </w:r>
      <w:r>
        <w:rPr>
          <w:rFonts w:hint="eastAsia" w:ascii="宋体" w:hAnsi="宋体" w:eastAsia="宋体" w:cs="宋体"/>
          <w:color w:val="auto"/>
          <w:highlight w:val="none"/>
          <w:shd w:val="clear" w:color="auto" w:fill="auto"/>
          <w:lang w:val="en-US" w:eastAsia="zh-CN"/>
        </w:rPr>
        <w:t>负责项目档案资料，</w:t>
      </w:r>
      <w:r>
        <w:rPr>
          <w:rFonts w:hint="eastAsia" w:cs="宋体"/>
          <w:color w:val="auto"/>
          <w:highlight w:val="none"/>
          <w:shd w:val="clear" w:color="auto" w:fill="auto"/>
          <w:lang w:val="en-US" w:eastAsia="zh-CN"/>
        </w:rPr>
        <w:t>李翔</w:t>
      </w:r>
      <w:r>
        <w:rPr>
          <w:rFonts w:hint="eastAsia" w:ascii="宋体" w:hAnsi="宋体" w:eastAsia="宋体" w:cs="宋体"/>
          <w:color w:val="auto"/>
          <w:highlight w:val="none"/>
          <w:shd w:val="clear" w:color="auto" w:fill="auto"/>
          <w:lang w:val="en-US" w:eastAsia="zh-CN"/>
        </w:rPr>
        <w:t>负责资金拨付工作。</w:t>
      </w:r>
    </w:p>
    <w:p w14:paraId="16D2F7A0">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color w:val="auto"/>
          <w:highlight w:val="none"/>
          <w:u w:val="none"/>
          <w:lang w:val="en-US" w:eastAsia="zh-CN"/>
        </w:rPr>
        <w:t>通过实施本项目，完成保障残疾人康复、就业、社会保障和维权等残疾人工作持续健康运行运转；完成</w:t>
      </w:r>
      <w:r>
        <w:rPr>
          <w:rFonts w:hint="eastAsia" w:ascii="宋体" w:hAnsi="宋体" w:eastAsia="宋体" w:cs="宋体"/>
          <w:color w:val="auto"/>
          <w:highlight w:val="none"/>
          <w:u w:val="none"/>
          <w:shd w:val="clear" w:color="auto" w:fill="auto"/>
          <w:lang w:val="en-US" w:eastAsia="zh-CN"/>
        </w:rPr>
        <w:t>保障</w:t>
      </w:r>
      <w:r>
        <w:rPr>
          <w:rFonts w:hint="eastAsia" w:cs="宋体"/>
          <w:color w:val="auto"/>
          <w:highlight w:val="none"/>
          <w:u w:val="none"/>
          <w:shd w:val="clear" w:color="auto" w:fill="auto"/>
          <w:lang w:val="en-US" w:eastAsia="zh-CN"/>
        </w:rPr>
        <w:t>10名残疾人就业、康复、维权专干</w:t>
      </w:r>
      <w:r>
        <w:rPr>
          <w:rFonts w:hint="eastAsia" w:ascii="宋体" w:hAnsi="宋体" w:eastAsia="宋体" w:cs="宋体"/>
          <w:color w:val="auto"/>
          <w:highlight w:val="none"/>
          <w:u w:val="none"/>
          <w:shd w:val="clear" w:color="auto" w:fill="auto"/>
          <w:lang w:val="en-US" w:eastAsia="zh-CN"/>
        </w:rPr>
        <w:t>工资社保</w:t>
      </w:r>
      <w:r>
        <w:rPr>
          <w:rFonts w:hint="eastAsia" w:cs="宋体"/>
          <w:color w:val="auto"/>
          <w:highlight w:val="none"/>
          <w:u w:val="none"/>
          <w:shd w:val="clear" w:color="auto" w:fill="auto"/>
          <w:lang w:val="en-US" w:eastAsia="zh-CN"/>
        </w:rPr>
        <w:t>。</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858"/>
      <w:bookmarkStart w:id="24" w:name="_Toc10240"/>
      <w:bookmarkStart w:id="25"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694"/>
      <w:bookmarkStart w:id="27" w:name="_Toc23509"/>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4D9D79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5573"/>
      <w:bookmarkStart w:id="31" w:name="_Toc9464"/>
      <w:r>
        <w:rPr>
          <w:rFonts w:hint="eastAsia" w:ascii="仿宋_GB2312" w:hAnsi="仿宋_GB2312" w:eastAsia="仿宋_GB2312" w:cs="仿宋_GB2312"/>
          <w:color w:val="auto"/>
          <w:sz w:val="32"/>
          <w:szCs w:val="32"/>
          <w:highlight w:val="none"/>
          <w:lang w:val="en-US" w:eastAsia="zh-CN"/>
        </w:rPr>
        <w:t>该项目年初预算数100.00万元，全年预算数100.00万元，该项目资金已全部落实到位，资金来源为财政拨款。</w:t>
      </w:r>
      <w:bookmarkEnd w:id="29"/>
      <w:bookmarkEnd w:id="30"/>
      <w:bookmarkEnd w:id="31"/>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1166"/>
      <w:bookmarkStart w:id="33" w:name="_Toc28187"/>
      <w:bookmarkStart w:id="34" w:name="_Toc3409"/>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35" w:name="_Toc29121"/>
      <w:bookmarkStart w:id="36" w:name="_Toc1430"/>
      <w:bookmarkStart w:id="37" w:name="_Toc11647"/>
      <w:r>
        <w:rPr>
          <w:rFonts w:hint="eastAsia" w:ascii="仿宋_GB2312" w:hAnsi="仿宋_GB2312" w:eastAsia="仿宋_GB2312" w:cs="仿宋_GB2312"/>
          <w:color w:val="auto"/>
          <w:sz w:val="32"/>
          <w:szCs w:val="32"/>
          <w:highlight w:val="none"/>
          <w:lang w:val="en-US" w:eastAsia="zh-CN"/>
        </w:rPr>
        <w:t>该项目年初预算数100.00万元，全年预算数100.00万元，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全年执行数98.60万元，预算执行率为98.60%，主要用于：保障残疾人工作运行经费以及10名残疾人工作运行人员工资及社保</w:t>
      </w:r>
      <w:r>
        <w:rPr>
          <w:rFonts w:hint="eastAsia" w:ascii="仿宋_GB2312" w:hAnsi="仿宋_GB2312" w:eastAsia="仿宋_GB2312" w:cs="仿宋_GB2312"/>
          <w:color w:val="auto"/>
          <w:sz w:val="32"/>
          <w:szCs w:val="32"/>
          <w:highlight w:val="none"/>
          <w:shd w:val="clear" w:color="auto" w:fill="auto"/>
          <w:lang w:val="en-US" w:eastAsia="zh-CN"/>
        </w:rPr>
        <w:t>，增强残疾人工作服务水平，提升贫困残疾人生活水平。</w:t>
      </w:r>
      <w:bookmarkEnd w:id="35"/>
      <w:bookmarkEnd w:id="36"/>
      <w:bookmarkEnd w:id="37"/>
    </w:p>
    <w:p w14:paraId="2DCACF36">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8528"/>
      <w:bookmarkStart w:id="41" w:name="_Toc10047"/>
      <w:bookmarkStart w:id="42" w:name="_Toc25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61F430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残保金项目绩效总体目标为：阜康市残疾人联合会通过开展残保金项目，负责宣传、贯彻、落实国家法律、法规、严格执法，保障残疾人合法权利；听取残疾人意见，反映残疾人需求，维护残疾人权益，为残疾人服务；团结、教育残疾人，遵守法律，履行应尽义务。2024年预计完成保障残疾人工作运行人员工资及社保人数10人，保障残疾人工作运行人员工资及社保发放完成率达到100﹪，通过项目的实施，预计达到保障残疾人工作运行人员工资及社保，增强服务水平，提升贫困残疾人生活水平的效益。</w:t>
      </w:r>
      <w:bookmarkStart w:id="43" w:name="_Toc4007"/>
      <w:bookmarkStart w:id="44" w:name="_Toc8990"/>
      <w:bookmarkStart w:id="45" w:name="_Toc4487"/>
      <w:bookmarkStart w:id="46" w:name="_Toc3255"/>
    </w:p>
    <w:p w14:paraId="11885277">
      <w:pPr>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阶段性目标</w:t>
      </w:r>
      <w:bookmarkEnd w:id="43"/>
      <w:bookmarkEnd w:id="44"/>
      <w:bookmarkEnd w:id="45"/>
      <w:bookmarkEnd w:id="46"/>
    </w:p>
    <w:p w14:paraId="6472F4B4">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保障残疾人工作运行人员工资及社保人数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指标，预期目标值为≧10人；</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保障残疾人工作运行人员工资及社保发放完成率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0D156E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保障残疾人工作运行人员工资及社保发放时间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指标，预期目标值为=1次/月；</w:t>
      </w:r>
    </w:p>
    <w:p w14:paraId="4061558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49E6FEC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①经济成本指标</w:t>
      </w:r>
    </w:p>
    <w:p w14:paraId="1C917A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残疾人工作运行经费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指标，预期目标值为≤35万元；</w:t>
      </w:r>
    </w:p>
    <w:p w14:paraId="177748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保障残疾人工作运行人员工资及社保发放额</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指标，预期目标值为≤65万元；</w:t>
      </w:r>
    </w:p>
    <w:p w14:paraId="67D64A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②社会成本指标</w:t>
      </w:r>
    </w:p>
    <w:p w14:paraId="1358970F">
      <w:pPr>
        <w:pStyle w:val="11"/>
        <w:pageBreakBefore w:val="0"/>
        <w:kinsoku/>
        <w:wordWrap/>
        <w:overflowPunct/>
        <w:topLinePunct w:val="0"/>
        <w:autoSpaceDE/>
        <w:autoSpaceDN/>
        <w:bidi w:val="0"/>
        <w:adjustRightInd/>
        <w:spacing w:line="560" w:lineRule="exact"/>
        <w:textAlignment w:val="auto"/>
        <w:rPr>
          <w:rFonts w:hint="default"/>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本项目不涉及社会成本指标。</w:t>
      </w:r>
    </w:p>
    <w:p w14:paraId="1922F59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③生态环境成本指标</w:t>
      </w:r>
    </w:p>
    <w:p w14:paraId="6C3D22DD">
      <w:pPr>
        <w:pStyle w:val="11"/>
        <w:pageBreakBefore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本项目不涉及生态环境成本指标。</w:t>
      </w:r>
    </w:p>
    <w:p w14:paraId="19C85988">
      <w:pPr>
        <w:pStyle w:val="11"/>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5B2D4A53">
      <w:pPr>
        <w:pStyle w:val="11"/>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提升贫困残疾人生活水平</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指标，预期目标值为有所提高；</w:t>
      </w:r>
    </w:p>
    <w:p w14:paraId="2784F0B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保障残疾人工作运行人员工资及社保，增强服务水平</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指标，预期目标值为长期；</w:t>
      </w:r>
    </w:p>
    <w:p w14:paraId="198AC474">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5231A85D">
      <w:pPr>
        <w:pStyle w:val="11"/>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7FD2AC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2AD1F28A">
      <w:pPr>
        <w:pStyle w:val="11"/>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本项目不涉及可持续影响指标。</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2CAF8820">
      <w:pPr>
        <w:pStyle w:val="11"/>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本项目不涉及满意度指标</w:t>
      </w:r>
      <w:bookmarkStart w:id="47" w:name="_Toc26567"/>
      <w:r>
        <w:rPr>
          <w:rFonts w:hint="eastAsia" w:ascii="仿宋_GB2312" w:hAnsi="仿宋_GB2312" w:eastAsia="仿宋_GB2312" w:cs="仿宋_GB2312"/>
          <w:color w:val="auto"/>
          <w:sz w:val="32"/>
          <w:szCs w:val="32"/>
          <w:highlight w:val="none"/>
          <w:shd w:val="clear" w:color="auto" w:fill="auto"/>
          <w:lang w:val="en-US" w:eastAsia="zh-CN"/>
        </w:rPr>
        <w:t>。</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eastAsia="黑体" w:cs="黑体"/>
          <w:b w:val="0"/>
          <w:bCs w:val="0"/>
          <w:color w:val="auto"/>
          <w:highlight w:val="none"/>
          <w:shd w:val="clear" w:color="auto" w:fill="auto"/>
          <w:lang w:val="en-US" w:eastAsia="zh-CN"/>
        </w:rPr>
        <w:t>二、绩效评价工作开展情况</w:t>
      </w:r>
      <w:bookmarkEnd w:id="47"/>
    </w:p>
    <w:p w14:paraId="2CC9CEB1">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5462343"/>
      <w:bookmarkStart w:id="49" w:name="_Toc480473081"/>
      <w:bookmarkStart w:id="50" w:name="_Toc5258"/>
      <w:bookmarkStart w:id="51" w:name="_Toc26632"/>
      <w:bookmarkStart w:id="52" w:name="_Toc22922"/>
      <w:bookmarkStart w:id="53" w:name="_Toc22169_WPSOffice_Level2"/>
      <w:bookmarkStart w:id="54" w:name="_Toc21664"/>
      <w:bookmarkStart w:id="55" w:name="_Toc12868"/>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5"/>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w:t>
      </w:r>
      <w:r>
        <w:rPr>
          <w:rFonts w:hint="eastAsia" w:ascii="Times New Roman" w:hAnsi="Times New Roman" w:eastAsia="仿宋_GB2312" w:cs="Times New Roman"/>
          <w:color w:val="auto"/>
          <w:sz w:val="32"/>
          <w:szCs w:val="32"/>
          <w:highlight w:val="none"/>
          <w:lang w:val="en-US" w:eastAsia="zh-CN"/>
        </w:rPr>
        <w:t>社会</w:t>
      </w:r>
      <w:r>
        <w:rPr>
          <w:rFonts w:hint="default" w:ascii="Times New Roman" w:hAnsi="Times New Roman" w:eastAsia="仿宋_GB2312" w:cs="Times New Roman"/>
          <w:color w:val="auto"/>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pageBreakBefore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pageBreakBefore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eastAsia" w:ascii="Times New Roman" w:hAnsi="Times New Roman" w:eastAsia="仿宋_GB2312" w:cs="Times New Roman"/>
          <w:color w:val="auto"/>
          <w:sz w:val="32"/>
          <w:szCs w:val="32"/>
          <w:highlight w:val="none"/>
          <w:lang w:val="en-US" w:eastAsia="zh-CN"/>
        </w:rPr>
        <w:t>社会</w:t>
      </w:r>
      <w:r>
        <w:rPr>
          <w:rFonts w:hint="default" w:ascii="Times New Roman" w:hAnsi="Times New Roman" w:eastAsia="仿宋_GB2312" w:cs="Times New Roman"/>
          <w:color w:val="auto"/>
          <w:sz w:val="32"/>
          <w:szCs w:val="32"/>
          <w:highlight w:val="none"/>
          <w:lang w:val="en-US" w:eastAsia="zh-CN"/>
        </w:rPr>
        <w:t>效益</w:t>
      </w:r>
      <w:r>
        <w:rPr>
          <w:rFonts w:hint="default" w:ascii="Times New Roman" w:hAnsi="Times New Roman" w:eastAsia="仿宋_GB2312" w:cs="Times New Roman"/>
          <w:color w:val="auto"/>
          <w:sz w:val="32"/>
          <w:szCs w:val="32"/>
          <w:highlight w:val="none"/>
        </w:rPr>
        <w:t>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文件要求对2024年度我单位实施的2024年残保金项目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阜康市残疾人联合会</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负责宣传、贯彻、落实国家法律、法规、严格执法，保障残疾人合法权利；听取残疾人意见，反映残疾人需求，维护残疾人权益，为残疾人服务；团结、教育残疾人，遵守法律，履行应尽义务。2024年预计完成保障残疾人工作运行人员工资及社保人数10人，保障残疾人工作运行人员工资及社保发放完成率达到100﹪，通过项目的实施，预计达到保障残疾人工作运行人员工资及社保，增强服务水平，提升贫困残疾人生活水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简述项目目标或预期成果</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98.6</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3F83EA6E">
      <w:pPr>
        <w:pStyle w:val="1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5"/>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5"/>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5"/>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w:t>
      </w:r>
      <w:r>
        <w:rPr>
          <w:rFonts w:hint="eastAsia" w:ascii="仿宋_GB2312" w:hAnsi="仿宋_GB2312" w:eastAsia="仿宋_GB2312" w:cs="仿宋_GB2312"/>
          <w:b w:val="0"/>
          <w:bCs w:val="0"/>
          <w:color w:val="auto"/>
          <w:sz w:val="32"/>
          <w:szCs w:val="32"/>
          <w:highlight w:val="none"/>
          <w:lang w:val="en-US" w:eastAsia="zh-CN"/>
        </w:rPr>
        <w:t>效益</w:t>
      </w:r>
      <w:r>
        <w:rPr>
          <w:rFonts w:hint="eastAsia" w:ascii="仿宋_GB2312" w:hAnsi="仿宋_GB2312" w:eastAsia="仿宋_GB2312" w:cs="仿宋_GB2312"/>
          <w:b w:val="0"/>
          <w:bCs w:val="0"/>
          <w:color w:val="auto"/>
          <w:sz w:val="32"/>
          <w:szCs w:val="32"/>
          <w:highlight w:val="none"/>
        </w:rPr>
        <w:t>等方面的综合影响。</w:t>
      </w:r>
    </w:p>
    <w:p w14:paraId="01C5BF3E">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5354"/>
      <w:bookmarkStart w:id="68" w:name="_Toc24506"/>
      <w:bookmarkStart w:id="69" w:name="_Toc1369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2024年残保金</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7860D5DF">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28278230"/>
      <w:bookmarkStart w:id="71" w:name="_Toc24396"/>
      <w:bookmarkStart w:id="72" w:name="_Toc26131"/>
      <w:bookmarkStart w:id="73" w:name="_Toc419984722"/>
      <w:bookmarkStart w:id="74"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ascii="仿宋" w:hAnsi="仿宋" w:eastAsia="仿宋" w:cs="仿宋"/>
          <w:color w:val="auto"/>
          <w:sz w:val="32"/>
          <w:szCs w:val="32"/>
          <w:highlight w:val="none"/>
          <w:shd w:val="clear" w:color="auto" w:fill="auto"/>
        </w:rPr>
        <w:t>本次绩效评价采用的方法</w:t>
      </w:r>
      <w:r>
        <w:rPr>
          <w:rFonts w:hint="eastAsia" w:ascii="仿宋" w:hAnsi="仿宋" w:eastAsia="仿宋" w:cs="仿宋"/>
          <w:color w:val="auto"/>
          <w:sz w:val="32"/>
          <w:szCs w:val="32"/>
          <w:highlight w:val="none"/>
          <w:shd w:val="clear" w:color="auto" w:fill="auto"/>
          <w:lang w:val="en-US" w:eastAsia="zh-CN"/>
        </w:rPr>
        <w:t>为成本效益分析法</w:t>
      </w:r>
      <w:r>
        <w:rPr>
          <w:rFonts w:hint="eastAsia" w:ascii="仿宋" w:hAnsi="仿宋" w:eastAsia="仿宋" w:cs="仿宋"/>
          <w:color w:val="auto"/>
          <w:sz w:val="32"/>
          <w:szCs w:val="32"/>
          <w:highlight w:val="none"/>
          <w:shd w:val="clear" w:color="auto" w:fill="auto"/>
          <w:lang w:eastAsia="zh-CN"/>
        </w:rPr>
        <w:t>、</w:t>
      </w:r>
      <w:r>
        <w:rPr>
          <w:rFonts w:hint="eastAsia" w:ascii="仿宋" w:hAnsi="仿宋" w:eastAsia="仿宋" w:cs="仿宋"/>
          <w:color w:val="auto"/>
          <w:sz w:val="32"/>
          <w:szCs w:val="32"/>
          <w:highlight w:val="none"/>
          <w:shd w:val="clear" w:color="auto" w:fill="auto"/>
          <w:lang w:val="en-US" w:eastAsia="zh-CN"/>
        </w:rPr>
        <w:t>最低成本法、公众评判法等方式对项目实施情况与绩效目标确定的前提下，成本最小者为优的方法对绩效目标预期目标值与实施情况进行比较对2024年残保金项目进行评价。</w:t>
      </w:r>
    </w:p>
    <w:p w14:paraId="525E1797">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原因系本单位公共资源有限，通过成本效益分析法选择投入产出比最高的方案，避免资源浪费</w:t>
      </w:r>
    </w:p>
    <w:p w14:paraId="70DCCE3A">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auto"/>
          <w:spacing w:val="17"/>
          <w:sz w:val="32"/>
          <w:szCs w:val="32"/>
          <w:highlight w:val="none"/>
          <w:lang w:val="en-US" w:eastAsia="zh-CN"/>
        </w:rPr>
        <w:t>原因系公众是直接受益者，公众评判法直接将公民及其亲属满意度作为核心指标，体现“以人民为中心的治理理念”。</w:t>
      </w:r>
    </w:p>
    <w:p w14:paraId="1BCF9B2D">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25651"/>
      <w:bookmarkStart w:id="80"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预算支出</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val="en-US" w:eastAsia="zh-CN"/>
        </w:rPr>
        <w:t>和计划标准</w:t>
      </w:r>
      <w:r>
        <w:rPr>
          <w:rFonts w:hint="default" w:ascii="Times New Roman" w:hAnsi="Times New Roman" w:eastAsia="仿宋_GB2312" w:cs="Times New Roman"/>
          <w:color w:val="auto"/>
          <w:spacing w:val="17"/>
          <w:sz w:val="32"/>
          <w:szCs w:val="32"/>
          <w:highlight w:val="none"/>
        </w:rPr>
        <w:t>。</w:t>
      </w:r>
    </w:p>
    <w:p w14:paraId="67322669">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200FF264">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财政部门和预算部门确认或认可的其他标准。</w:t>
      </w:r>
    </w:p>
    <w:p w14:paraId="692A02F9">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pageBreakBefore w:val="0"/>
        <w:kinsoku/>
        <w:wordWrap/>
        <w:overflowPunct/>
        <w:topLinePunct w:val="0"/>
        <w:autoSpaceDE/>
        <w:autoSpaceDN/>
        <w:bidi w:val="0"/>
        <w:adjustRightInd/>
        <w:spacing w:line="560" w:lineRule="exact"/>
        <w:ind w:firstLine="711" w:firstLineChars="200"/>
        <w:textAlignment w:val="auto"/>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2024年残保金项目实施内容、目标信息、预算信息以及其他的一些项目基本信息，有了初步了解，为制定绩效评价工作方案做好准备。</w:t>
      </w:r>
      <w:bookmarkEnd w:id="84"/>
    </w:p>
    <w:p w14:paraId="3DD54E12">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pageBreakBefore w:val="0"/>
        <w:kinsoku/>
        <w:wordWrap/>
        <w:overflowPunct/>
        <w:topLinePunct w:val="0"/>
        <w:autoSpaceDE/>
        <w:autoSpaceDN/>
        <w:bidi w:val="0"/>
        <w:adjustRightInd/>
        <w:spacing w:line="560" w:lineRule="exact"/>
        <w:ind w:firstLine="711" w:firstLineChars="200"/>
        <w:textAlignment w:val="auto"/>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pageBreakBefore w:val="0"/>
        <w:kinsoku/>
        <w:wordWrap/>
        <w:overflowPunct/>
        <w:topLinePunct w:val="0"/>
        <w:autoSpaceDE/>
        <w:autoSpaceDN/>
        <w:bidi w:val="0"/>
        <w:adjustRightInd/>
        <w:spacing w:line="560" w:lineRule="exact"/>
        <w:ind w:firstLine="711" w:firstLineChars="200"/>
        <w:textAlignment w:val="auto"/>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2024年残保金项目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阜康市残疾人联合会</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贫困残疾人生活水平、保障残疾人工作运行人员工资及社保，增强服务水平</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2024年残保金项目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2024年残保金项目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98.86</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19.94</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99.7</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39.3</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98.25</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7"/>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残保金</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19.94</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39.3</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98.24</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99.7</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98.25</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98.24</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5"/>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7"/>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8069"/>
      <w:bookmarkStart w:id="110" w:name="_Toc13522"/>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2C35AD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①项目立项符合</w:t>
      </w:r>
      <w:r>
        <w:rPr>
          <w:rFonts w:hint="eastAsia" w:ascii="仿宋" w:hAnsi="仿宋" w:eastAsia="仿宋" w:cs="仿宋"/>
          <w:color w:val="auto"/>
          <w:sz w:val="32"/>
          <w:szCs w:val="32"/>
          <w:highlight w:val="none"/>
          <w:lang w:val="en-US" w:eastAsia="zh-CN"/>
        </w:rPr>
        <w:t>《关于印发【新疆维吾尔自治区残疾人就业保障金征收使用管理办法】的通知》、《阜财经办字[2024]55号》《新财非税[2016]28号》文件。</w:t>
      </w:r>
    </w:p>
    <w:p w14:paraId="1685BCFB">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②项目立项</w:t>
      </w:r>
      <w:r>
        <w:rPr>
          <w:rFonts w:hint="eastAsia" w:ascii="仿宋" w:hAnsi="仿宋" w:eastAsia="仿宋" w:cs="仿宋"/>
          <w:color w:val="auto"/>
          <w:sz w:val="32"/>
          <w:szCs w:val="32"/>
          <w:highlight w:val="none"/>
          <w:lang w:val="en-US" w:eastAsia="zh-CN"/>
        </w:rPr>
        <w:t>涉及的范围有残疾人教育、就业、扶贫、职业培训及就业服务等关于残疾人的各项服务及保障</w:t>
      </w:r>
      <w:r>
        <w:rPr>
          <w:rFonts w:hint="eastAsia" w:ascii="仿宋" w:hAnsi="仿宋" w:eastAsia="仿宋" w:cs="仿宋"/>
          <w:color w:val="auto"/>
          <w:sz w:val="32"/>
          <w:szCs w:val="32"/>
          <w:highlight w:val="none"/>
          <w:lang w:eastAsia="zh-CN"/>
        </w:rPr>
        <w:t>；</w:t>
      </w:r>
    </w:p>
    <w:p w14:paraId="2055DC9A">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③项目立项</w:t>
      </w:r>
      <w:r>
        <w:rPr>
          <w:rFonts w:hint="eastAsia" w:ascii="仿宋" w:hAnsi="仿宋" w:eastAsia="仿宋" w:cs="仿宋"/>
          <w:color w:val="auto"/>
          <w:sz w:val="32"/>
          <w:szCs w:val="32"/>
          <w:highlight w:val="none"/>
          <w:lang w:val="en-US" w:eastAsia="zh-CN"/>
        </w:rPr>
        <w:t>根据批复的残保金项目补助资金计划，把残保金涉及的具体项目目标任务数分解至实施科室，根据相关的文件确定相关项目额度、明确目标、具体实施过程效果，提高残疾人教育、就业、扶贫、职业培训等</w:t>
      </w:r>
      <w:r>
        <w:rPr>
          <w:rFonts w:hint="eastAsia" w:ascii="仿宋" w:hAnsi="仿宋" w:eastAsia="仿宋" w:cs="仿宋"/>
          <w:color w:val="auto"/>
          <w:sz w:val="32"/>
          <w:szCs w:val="32"/>
          <w:highlight w:val="none"/>
          <w:lang w:eastAsia="zh-CN"/>
        </w:rPr>
        <w:t>；</w:t>
      </w:r>
    </w:p>
    <w:p w14:paraId="1D0AF5BE">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④项目属于公共财政支持范围，符合中央、地方事权支出责任划分原则；</w:t>
      </w:r>
    </w:p>
    <w:p w14:paraId="78F82CF4">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⑤项目与相关部门同类项目、部门内部相关项目</w:t>
      </w:r>
      <w:r>
        <w:rPr>
          <w:rFonts w:hint="eastAsia" w:ascii="仿宋" w:hAnsi="仿宋" w:eastAsia="仿宋" w:cs="仿宋"/>
          <w:color w:val="auto"/>
          <w:sz w:val="32"/>
          <w:szCs w:val="32"/>
          <w:highlight w:val="none"/>
          <w:lang w:val="en-US" w:eastAsia="zh-CN"/>
        </w:rPr>
        <w:t>不</w:t>
      </w:r>
      <w:r>
        <w:rPr>
          <w:rFonts w:hint="eastAsia" w:ascii="仿宋" w:hAnsi="仿宋" w:eastAsia="仿宋" w:cs="仿宋"/>
          <w:color w:val="auto"/>
          <w:sz w:val="32"/>
          <w:szCs w:val="32"/>
          <w:highlight w:val="none"/>
          <w:lang w:eastAsia="zh-CN"/>
        </w:rPr>
        <w:t>重复。</w:t>
      </w:r>
    </w:p>
    <w:p w14:paraId="29058457">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437F2B8">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4F2D6F2">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经过必要的可行性研究、专家论证、风险评估、绩效评估、集体决策。</w:t>
      </w:r>
    </w:p>
    <w:p w14:paraId="5997C792">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val="en-US" w:eastAsia="zh-CN"/>
        </w:rPr>
        <w:t>保障残疾人工作运行经费、保障残疾人工作人员工资及社保发放</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color w:val="auto"/>
          <w:sz w:val="32"/>
          <w:szCs w:val="32"/>
          <w:highlight w:val="none"/>
          <w:lang w:val="en-US" w:eastAsia="zh-CN"/>
        </w:rPr>
        <w:t>保障残疾人工作运行经费、保障残疾人工作人员工资及社保发放</w:t>
      </w:r>
      <w:r>
        <w:rPr>
          <w:rFonts w:hint="eastAsia" w:ascii="仿宋_GB2312" w:hAnsi="仿宋_GB2312" w:eastAsia="仿宋_GB2312" w:cs="仿宋_GB2312"/>
          <w:color w:val="auto"/>
          <w:sz w:val="32"/>
          <w:szCs w:val="32"/>
          <w:highlight w:val="none"/>
          <w:lang w:eastAsia="zh-CN"/>
        </w:rPr>
        <w:t>，达到增强</w:t>
      </w:r>
      <w:r>
        <w:rPr>
          <w:rFonts w:hint="eastAsia" w:ascii="仿宋_GB2312" w:hAnsi="仿宋_GB2312" w:eastAsia="仿宋_GB2312" w:cs="仿宋_GB2312"/>
          <w:color w:val="auto"/>
          <w:sz w:val="32"/>
          <w:szCs w:val="32"/>
          <w:highlight w:val="none"/>
          <w:lang w:val="en-US" w:eastAsia="zh-CN"/>
        </w:rPr>
        <w:t>残疾人</w:t>
      </w:r>
      <w:r>
        <w:rPr>
          <w:rFonts w:hint="eastAsia" w:ascii="仿宋_GB2312" w:hAnsi="仿宋_GB2312" w:eastAsia="仿宋_GB2312" w:cs="仿宋_GB2312"/>
          <w:color w:val="auto"/>
          <w:sz w:val="32"/>
          <w:szCs w:val="32"/>
          <w:highlight w:val="none"/>
          <w:lang w:eastAsia="zh-CN"/>
        </w:rPr>
        <w:t>服务水平，提升贫困残疾人生活水平的效益，预期产出效益和效果是否符合正常的业绩水平。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6E34D403">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量化率达到75%</w:t>
      </w:r>
      <w:r>
        <w:rPr>
          <w:rFonts w:hint="eastAsia" w:ascii="仿宋_GB2312" w:hAnsi="仿宋_GB2312" w:eastAsia="仿宋_GB2312" w:cs="仿宋_GB2312"/>
          <w:color w:val="auto"/>
          <w:sz w:val="32"/>
          <w:szCs w:val="32"/>
          <w:highlight w:val="none"/>
          <w:lang w:eastAsia="zh-CN"/>
        </w:rPr>
        <w:t>；</w:t>
      </w:r>
    </w:p>
    <w:p w14:paraId="63658DBE">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 w:hAnsi="仿宋" w:eastAsia="仿宋"/>
          <w:color w:val="auto"/>
          <w:sz w:val="32"/>
          <w:highlight w:val="none"/>
          <w:lang w:val="en-US" w:eastAsia="zh-CN"/>
        </w:rPr>
        <w:t>依据</w:t>
      </w:r>
      <w:r>
        <w:rPr>
          <w:rFonts w:hint="eastAsia" w:ascii="仿宋" w:hAnsi="仿宋" w:eastAsia="仿宋"/>
          <w:color w:val="auto"/>
          <w:sz w:val="32"/>
          <w:highlight w:val="none"/>
          <w:lang w:eastAsia="zh-CN"/>
        </w:rPr>
        <w:t>《新疆维吾尔自治区残疾人就业保障金征收使用管理办法》的通知（新财非税【</w:t>
      </w:r>
      <w:r>
        <w:rPr>
          <w:rFonts w:hint="eastAsia" w:ascii="仿宋" w:hAnsi="仿宋" w:eastAsia="仿宋"/>
          <w:color w:val="auto"/>
          <w:sz w:val="32"/>
          <w:highlight w:val="none"/>
          <w:lang w:val="en-US" w:eastAsia="zh-CN"/>
        </w:rPr>
        <w:t>2016</w:t>
      </w:r>
      <w:r>
        <w:rPr>
          <w:rFonts w:hint="eastAsia" w:ascii="仿宋" w:hAnsi="仿宋" w:eastAsia="仿宋"/>
          <w:color w:val="auto"/>
          <w:sz w:val="32"/>
          <w:highlight w:val="none"/>
          <w:lang w:eastAsia="zh-CN"/>
        </w:rPr>
        <w:t>】</w:t>
      </w:r>
      <w:r>
        <w:rPr>
          <w:rFonts w:hint="eastAsia" w:ascii="仿宋" w:hAnsi="仿宋" w:eastAsia="仿宋"/>
          <w:color w:val="auto"/>
          <w:sz w:val="32"/>
          <w:highlight w:val="none"/>
          <w:lang w:val="en-US" w:eastAsia="zh-CN"/>
        </w:rPr>
        <w:t>28号</w:t>
      </w:r>
      <w:r>
        <w:rPr>
          <w:rFonts w:hint="eastAsia" w:ascii="仿宋" w:hAnsi="仿宋" w:eastAsia="仿宋"/>
          <w:color w:val="auto"/>
          <w:sz w:val="32"/>
          <w:highlight w:val="none"/>
          <w:lang w:eastAsia="zh-CN"/>
        </w:rPr>
        <w:t>）文件精神，</w:t>
      </w:r>
      <w:r>
        <w:rPr>
          <w:rFonts w:hint="eastAsia" w:ascii="仿宋" w:hAnsi="仿宋" w:eastAsia="仿宋"/>
          <w:color w:val="auto"/>
          <w:sz w:val="32"/>
          <w:highlight w:val="none"/>
          <w:lang w:val="en-US" w:eastAsia="zh-CN"/>
        </w:rPr>
        <w:t>为开展好残疾人教育、就业、康复和社会保障等工作，切实保障我市残疾人事业持续、健康、有序发展，</w:t>
      </w:r>
      <w:r>
        <w:rPr>
          <w:rFonts w:hint="eastAsia" w:ascii="仿宋" w:hAnsi="仿宋" w:eastAsia="仿宋"/>
          <w:color w:val="auto"/>
          <w:sz w:val="32"/>
          <w:highlight w:val="none"/>
          <w:lang w:eastAsia="zh-CN"/>
        </w:rPr>
        <w:t>根据</w:t>
      </w:r>
      <w:r>
        <w:rPr>
          <w:rFonts w:hint="eastAsia" w:ascii="仿宋" w:hAnsi="仿宋" w:eastAsia="仿宋"/>
          <w:color w:val="auto"/>
          <w:sz w:val="32"/>
          <w:highlight w:val="none"/>
          <w:lang w:val="en-US" w:eastAsia="zh-CN"/>
        </w:rPr>
        <w:t>上级残联年度残疾人工作安排部署，结合我市残疾人工作实际，2024年度阜康市残联申报年初业务费预算资金100万元。</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保障残疾人工作运行经费，保障</w:t>
      </w:r>
      <w:r>
        <w:rPr>
          <w:rFonts w:hint="eastAsia" w:ascii="仿宋_GB2312" w:hAnsi="仿宋_GB2312" w:eastAsia="仿宋_GB2312" w:cs="仿宋_GB2312"/>
          <w:color w:val="auto"/>
          <w:sz w:val="32"/>
          <w:szCs w:val="32"/>
          <w:highlight w:val="none"/>
          <w:lang w:eastAsia="zh-CN"/>
        </w:rPr>
        <w:t>10名残疾人工作运行人员工资及社保发放缴纳，通过项目的实施，能够长期保障残疾人工作运行人员工资及社保，增强服务水平，提升贫困残疾人生活水平。预算申请与项目内容匹配；</w:t>
      </w:r>
    </w:p>
    <w:p w14:paraId="63525413">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③</w:t>
      </w:r>
      <w:r>
        <w:rPr>
          <w:rFonts w:hint="eastAsia" w:ascii="仿宋" w:hAnsi="仿宋" w:eastAsia="仿宋" w:cs="仿宋"/>
          <w:color w:val="auto"/>
          <w:sz w:val="32"/>
          <w:szCs w:val="32"/>
          <w:highlight w:val="none"/>
          <w:lang w:eastAsia="zh-CN"/>
        </w:rPr>
        <w:t>项目预算申请资金</w:t>
      </w:r>
      <w:r>
        <w:rPr>
          <w:rFonts w:hint="eastAsia" w:ascii="仿宋" w:hAnsi="仿宋" w:eastAsia="仿宋" w:cs="仿宋"/>
          <w:color w:val="auto"/>
          <w:sz w:val="32"/>
          <w:szCs w:val="32"/>
          <w:highlight w:val="none"/>
          <w:lang w:val="en-US" w:eastAsia="zh-CN"/>
        </w:rPr>
        <w:t>100万</w:t>
      </w:r>
      <w:r>
        <w:rPr>
          <w:rFonts w:hint="eastAsia" w:ascii="仿宋" w:hAnsi="仿宋" w:eastAsia="仿宋" w:cs="仿宋"/>
          <w:color w:val="auto"/>
          <w:sz w:val="32"/>
          <w:szCs w:val="32"/>
          <w:highlight w:val="none"/>
          <w:lang w:eastAsia="zh-CN"/>
        </w:rPr>
        <w:t>元，我单位在预算申请中严格按照项目实施内容及测算标准进行核算，其中：</w:t>
      </w:r>
      <w:r>
        <w:rPr>
          <w:rFonts w:hint="eastAsia" w:ascii="仿宋" w:hAnsi="仿宋" w:eastAsia="仿宋" w:cs="仿宋"/>
          <w:color w:val="auto"/>
          <w:sz w:val="32"/>
          <w:szCs w:val="32"/>
          <w:highlight w:val="none"/>
          <w:lang w:val="en-US" w:eastAsia="zh-CN"/>
        </w:rPr>
        <w:t>残疾人工作运行</w:t>
      </w:r>
      <w:r>
        <w:rPr>
          <w:rFonts w:hint="eastAsia" w:ascii="仿宋" w:hAnsi="仿宋" w:eastAsia="仿宋" w:cs="仿宋"/>
          <w:color w:val="auto"/>
          <w:sz w:val="32"/>
          <w:szCs w:val="32"/>
          <w:highlight w:val="none"/>
          <w:lang w:eastAsia="zh-CN"/>
        </w:rPr>
        <w:t>费用</w:t>
      </w:r>
      <w:r>
        <w:rPr>
          <w:rFonts w:hint="eastAsia" w:ascii="仿宋" w:hAnsi="仿宋" w:eastAsia="仿宋" w:cs="仿宋"/>
          <w:color w:val="auto"/>
          <w:sz w:val="32"/>
          <w:szCs w:val="32"/>
          <w:highlight w:val="none"/>
          <w:lang w:val="en-US" w:eastAsia="zh-CN"/>
        </w:rPr>
        <w:t>35</w:t>
      </w:r>
      <w:r>
        <w:rPr>
          <w:rFonts w:hint="eastAsia" w:ascii="仿宋" w:hAnsi="仿宋" w:eastAsia="仿宋" w:cs="仿宋"/>
          <w:color w:val="auto"/>
          <w:sz w:val="32"/>
          <w:szCs w:val="32"/>
          <w:highlight w:val="none"/>
          <w:lang w:eastAsia="zh-CN"/>
        </w:rPr>
        <w:t>万元、</w:t>
      </w:r>
      <w:r>
        <w:rPr>
          <w:rFonts w:hint="eastAsia" w:ascii="仿宋" w:hAnsi="仿宋" w:eastAsia="仿宋" w:cs="仿宋"/>
          <w:color w:val="auto"/>
          <w:sz w:val="32"/>
          <w:szCs w:val="32"/>
          <w:highlight w:val="none"/>
          <w:lang w:val="en-US" w:eastAsia="zh-CN"/>
        </w:rPr>
        <w:t>残疾人工作人员工资及社保</w:t>
      </w:r>
      <w:r>
        <w:rPr>
          <w:rFonts w:hint="eastAsia" w:ascii="仿宋" w:hAnsi="仿宋" w:eastAsia="仿宋" w:cs="仿宋"/>
          <w:color w:val="auto"/>
          <w:sz w:val="32"/>
          <w:szCs w:val="32"/>
          <w:highlight w:val="none"/>
          <w:lang w:eastAsia="zh-CN"/>
        </w:rPr>
        <w:t>费用</w:t>
      </w:r>
      <w:r>
        <w:rPr>
          <w:rFonts w:hint="eastAsia" w:ascii="仿宋" w:hAnsi="仿宋" w:eastAsia="仿宋" w:cs="仿宋"/>
          <w:color w:val="auto"/>
          <w:sz w:val="32"/>
          <w:szCs w:val="32"/>
          <w:highlight w:val="none"/>
          <w:lang w:val="en-US" w:eastAsia="zh-CN"/>
        </w:rPr>
        <w:t>65</w:t>
      </w:r>
      <w:r>
        <w:rPr>
          <w:rFonts w:hint="eastAsia" w:ascii="仿宋" w:hAnsi="仿宋" w:eastAsia="仿宋" w:cs="仿宋"/>
          <w:color w:val="auto"/>
          <w:sz w:val="32"/>
          <w:szCs w:val="32"/>
          <w:highlight w:val="none"/>
          <w:lang w:eastAsia="zh-CN"/>
        </w:rPr>
        <w:t>万元。</w:t>
      </w:r>
    </w:p>
    <w:p w14:paraId="0F6CBF35">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lang w:val="en-US" w:eastAsia="zh-CN"/>
        </w:rPr>
        <w:t>2024年残疾人事业保障金</w:t>
      </w:r>
      <w:r>
        <w:rPr>
          <w:rFonts w:hint="eastAsia" w:ascii="仿宋_GB2312" w:hAnsi="仿宋_GB2312" w:eastAsia="仿宋_GB2312" w:cs="仿宋_GB2312"/>
          <w:color w:val="auto"/>
          <w:sz w:val="32"/>
          <w:szCs w:val="32"/>
          <w:highlight w:val="none"/>
          <w:lang w:eastAsia="zh-CN"/>
        </w:rPr>
        <w:t>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keepNext w:val="0"/>
        <w:keepLines w:val="0"/>
        <w:pageBreakBefore w:val="0"/>
        <w:kinsoku/>
        <w:wordWrap/>
        <w:overflowPunct/>
        <w:topLinePunct w:val="0"/>
        <w:autoSpaceDE/>
        <w:autoSpaceDN/>
        <w:bidi w:val="0"/>
        <w:adjustRightInd/>
        <w:snapToGrid/>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5"/>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27E3CE0A">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19.94</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7"/>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19.94</w:t>
            </w:r>
          </w:p>
        </w:tc>
      </w:tr>
    </w:tbl>
    <w:p w14:paraId="537A6D46">
      <w:pPr>
        <w:keepNext w:val="0"/>
        <w:keepLines w:val="0"/>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3886"/>
      <w:bookmarkStart w:id="123" w:name="_Toc20449"/>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keepNext w:val="0"/>
        <w:keepLines w:val="0"/>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bCs/>
          <w:color w:val="auto"/>
          <w:sz w:val="32"/>
          <w:szCs w:val="32"/>
          <w:highlight w:val="none"/>
          <w:lang w:val="en-US" w:eastAsia="zh-CN"/>
        </w:rPr>
        <w:t>。</w:t>
      </w:r>
    </w:p>
    <w:p w14:paraId="0E1C3C59">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keepNext w:val="0"/>
        <w:keepLines w:val="0"/>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keepNext w:val="0"/>
        <w:keepLines w:val="0"/>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98.6</w:t>
      </w:r>
      <w:r>
        <w:rPr>
          <w:rFonts w:hint="eastAsia" w:ascii="仿宋_GB2312" w:hAnsi="仿宋_GB2312" w:eastAsia="仿宋_GB2312" w:cs="仿宋_GB2312"/>
          <w:color w:val="auto"/>
          <w:sz w:val="32"/>
          <w:szCs w:val="32"/>
          <w:highlight w:val="none"/>
          <w:lang w:val="en-US" w:eastAsia="zh-CN"/>
        </w:rPr>
        <w:t>万元。</w:t>
      </w:r>
    </w:p>
    <w:p w14:paraId="116B3B11">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98.6</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98.6%。</w:t>
      </w:r>
    </w:p>
    <w:p w14:paraId="5540FCFB">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综上，该项指标满分4分，得分3.94分。</w:t>
      </w:r>
    </w:p>
    <w:p w14:paraId="32D3A950">
      <w:pPr>
        <w:keepNext w:val="0"/>
        <w:keepLines w:val="0"/>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keepNext w:val="0"/>
        <w:keepLines w:val="0"/>
        <w:pageBreakBefore w:val="0"/>
        <w:kinsoku/>
        <w:wordWrap/>
        <w:overflowPunct/>
        <w:topLinePunct w:val="0"/>
        <w:autoSpaceDE/>
        <w:autoSpaceDN/>
        <w:bidi w:val="0"/>
        <w:adjustRightInd/>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阜康市残疾人联合会</w:t>
      </w:r>
      <w:r>
        <w:rPr>
          <w:rFonts w:hint="eastAsia" w:ascii="仿宋_GB2312" w:hAnsi="仿宋_GB2312" w:eastAsia="仿宋_GB2312" w:cs="仿宋_GB2312"/>
          <w:color w:val="auto"/>
          <w:sz w:val="32"/>
          <w:szCs w:val="32"/>
          <w:highlight w:val="none"/>
          <w:lang w:eastAsia="zh-CN"/>
        </w:rPr>
        <w:t>单位资金管理办法》《</w:t>
      </w:r>
      <w:r>
        <w:rPr>
          <w:rFonts w:hint="eastAsia" w:ascii="宋体" w:hAnsi="宋体" w:eastAsia="宋体" w:cs="宋体"/>
          <w:b w:val="0"/>
          <w:bCs w:val="0"/>
          <w:color w:val="auto"/>
          <w:sz w:val="28"/>
          <w:szCs w:val="28"/>
          <w:highlight w:val="none"/>
          <w:lang w:eastAsia="zh-CN"/>
        </w:rPr>
        <w:t>新疆维吾尔自治区残疾人就业保障金征收使用</w:t>
      </w:r>
      <w:r>
        <w:rPr>
          <w:rFonts w:hint="eastAsia" w:ascii="仿宋_GB2312" w:hAnsi="仿宋_GB2312" w:eastAsia="仿宋_GB2312" w:cs="仿宋_GB2312"/>
          <w:color w:val="auto"/>
          <w:sz w:val="32"/>
          <w:szCs w:val="32"/>
          <w:highlight w:val="none"/>
          <w:lang w:eastAsia="zh-CN"/>
        </w:rPr>
        <w:t>专项资金管理办法》</w:t>
      </w:r>
      <w:r>
        <w:rPr>
          <w:rFonts w:hint="eastAsia" w:ascii="宋体" w:hAnsi="宋体" w:eastAsia="宋体" w:cs="宋体"/>
          <w:b w:val="0"/>
          <w:bCs w:val="0"/>
          <w:color w:val="auto"/>
          <w:sz w:val="28"/>
          <w:szCs w:val="28"/>
          <w:highlight w:val="none"/>
          <w:lang w:eastAsia="zh-CN"/>
        </w:rPr>
        <w:t>的通知（新财非税【</w:t>
      </w:r>
      <w:r>
        <w:rPr>
          <w:rFonts w:hint="eastAsia" w:ascii="宋体" w:hAnsi="宋体" w:eastAsia="宋体" w:cs="宋体"/>
          <w:b w:val="0"/>
          <w:bCs w:val="0"/>
          <w:color w:val="auto"/>
          <w:sz w:val="28"/>
          <w:szCs w:val="28"/>
          <w:highlight w:val="none"/>
          <w:lang w:val="en-US" w:eastAsia="zh-CN"/>
        </w:rPr>
        <w:t>2016</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28号</w:t>
      </w:r>
      <w:r>
        <w:rPr>
          <w:rFonts w:hint="eastAsia" w:ascii="宋体" w:hAnsi="宋体" w:eastAsia="宋体" w:cs="宋体"/>
          <w:b w:val="0"/>
          <w:bCs w:val="0"/>
          <w:color w:val="auto"/>
          <w:sz w:val="28"/>
          <w:szCs w:val="28"/>
          <w:highlight w:val="none"/>
          <w:lang w:eastAsia="zh-CN"/>
        </w:rPr>
        <w:t>）以及有关专项资金管理办法的规定</w:t>
      </w:r>
      <w:r>
        <w:rPr>
          <w:rFonts w:hint="eastAsia" w:ascii="仿宋_GB2312" w:hAnsi="仿宋_GB2312" w:eastAsia="仿宋_GB2312" w:cs="仿宋_GB2312"/>
          <w:color w:val="auto"/>
          <w:sz w:val="32"/>
          <w:szCs w:val="32"/>
          <w:highlight w:val="none"/>
          <w:lang w:eastAsia="zh-CN"/>
        </w:rPr>
        <w:t>；</w:t>
      </w:r>
    </w:p>
    <w:p w14:paraId="3CF9268E">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keepNext w:val="0"/>
        <w:keepLines w:val="0"/>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keepNext w:val="0"/>
        <w:keepLines w:val="0"/>
        <w:pageBreakBefore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宋体" w:hAnsi="宋体" w:eastAsia="宋体" w:cs="宋体"/>
          <w:b w:val="0"/>
          <w:bCs w:val="0"/>
          <w:color w:val="auto"/>
          <w:sz w:val="28"/>
          <w:szCs w:val="28"/>
          <w:highlight w:val="none"/>
          <w:lang w:eastAsia="zh-CN"/>
        </w:rPr>
        <w:t>阜康市残联</w:t>
      </w:r>
      <w:r>
        <w:rPr>
          <w:rFonts w:hint="eastAsia" w:ascii="宋体" w:hAnsi="宋体" w:eastAsia="宋体" w:cs="宋体"/>
          <w:b w:val="0"/>
          <w:bCs w:val="0"/>
          <w:color w:val="auto"/>
          <w:sz w:val="28"/>
          <w:szCs w:val="28"/>
          <w:highlight w:val="none"/>
        </w:rPr>
        <w:t>专项资金管理</w:t>
      </w:r>
      <w:r>
        <w:rPr>
          <w:rFonts w:hint="eastAsia" w:ascii="仿宋_GB2312" w:hAnsi="仿宋_GB2312" w:eastAsia="仿宋_GB2312" w:cs="仿宋_GB2312"/>
          <w:color w:val="auto"/>
          <w:sz w:val="32"/>
          <w:szCs w:val="32"/>
          <w:highlight w:val="none"/>
          <w:lang w:eastAsia="zh-CN"/>
        </w:rPr>
        <w:t>办法》《</w:t>
      </w:r>
      <w:r>
        <w:rPr>
          <w:rFonts w:hint="eastAsia" w:ascii="仿宋_GB2312" w:hAnsi="仿宋_GB2312" w:eastAsia="仿宋_GB2312" w:cs="仿宋_GB2312"/>
          <w:color w:val="auto"/>
          <w:sz w:val="32"/>
          <w:szCs w:val="32"/>
          <w:highlight w:val="none"/>
          <w:lang w:val="en-US" w:eastAsia="zh-CN"/>
        </w:rPr>
        <w:t>阜康市残联残疾人保障金</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阜康市残联</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阜康市残联</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keepNext w:val="0"/>
        <w:keepLines w:val="0"/>
        <w:pageBreakBefore w:val="0"/>
        <w:kinsoku/>
        <w:wordWrap/>
        <w:overflowPunct/>
        <w:topLinePunct w:val="0"/>
        <w:autoSpaceDE/>
        <w:autoSpaceDN/>
        <w:bidi w:val="0"/>
        <w:adjustRightInd/>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2024年残保金</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宋体" w:hAnsi="宋体" w:eastAsia="宋体" w:cs="宋体"/>
          <w:b w:val="0"/>
          <w:bCs w:val="0"/>
          <w:color w:val="auto"/>
          <w:sz w:val="28"/>
          <w:szCs w:val="28"/>
          <w:highlight w:val="none"/>
          <w:lang w:eastAsia="zh-CN"/>
        </w:rPr>
        <w:t>新疆维吾尔自治区残疾人就业保障金征收使用</w:t>
      </w:r>
      <w:r>
        <w:rPr>
          <w:rFonts w:hint="eastAsia" w:ascii="仿宋_GB2312" w:hAnsi="仿宋_GB2312" w:eastAsia="仿宋_GB2312" w:cs="仿宋_GB2312"/>
          <w:color w:val="auto"/>
          <w:sz w:val="32"/>
          <w:szCs w:val="32"/>
          <w:highlight w:val="none"/>
          <w:lang w:eastAsia="zh-CN"/>
        </w:rPr>
        <w:t>专项资金</w:t>
      </w:r>
      <w:r>
        <w:rPr>
          <w:rFonts w:hint="eastAsia" w:ascii="仿宋_GB2312" w:hAnsi="仿宋_GB2312" w:eastAsia="仿宋_GB2312" w:cs="仿宋_GB2312"/>
          <w:color w:val="auto"/>
          <w:sz w:val="32"/>
          <w:szCs w:val="32"/>
          <w:highlight w:val="none"/>
          <w:lang w:val="en-US" w:eastAsia="zh-CN"/>
        </w:rPr>
        <w:t>管理</w:t>
      </w:r>
      <w:r>
        <w:rPr>
          <w:rFonts w:hint="eastAsia" w:ascii="仿宋_GB2312" w:hAnsi="仿宋_GB2312" w:eastAsia="仿宋_GB2312" w:cs="仿宋_GB2312"/>
          <w:color w:val="auto"/>
          <w:sz w:val="32"/>
          <w:szCs w:val="32"/>
          <w:highlight w:val="none"/>
        </w:rPr>
        <w:t>办法》</w:t>
      </w:r>
      <w:r>
        <w:rPr>
          <w:rFonts w:hint="eastAsia" w:ascii="宋体" w:hAnsi="宋体" w:eastAsia="宋体" w:cs="宋体"/>
          <w:b w:val="0"/>
          <w:bCs w:val="0"/>
          <w:color w:val="auto"/>
          <w:sz w:val="28"/>
          <w:szCs w:val="28"/>
          <w:highlight w:val="none"/>
          <w:lang w:eastAsia="zh-CN"/>
        </w:rPr>
        <w:t>的通知（新财非税【</w:t>
      </w:r>
      <w:r>
        <w:rPr>
          <w:rFonts w:hint="eastAsia" w:ascii="宋体" w:hAnsi="宋体" w:eastAsia="宋体" w:cs="宋体"/>
          <w:b w:val="0"/>
          <w:bCs w:val="0"/>
          <w:color w:val="auto"/>
          <w:sz w:val="28"/>
          <w:szCs w:val="28"/>
          <w:highlight w:val="none"/>
          <w:lang w:val="en-US" w:eastAsia="zh-CN"/>
        </w:rPr>
        <w:t>2016</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val="en-US" w:eastAsia="zh-CN"/>
        </w:rPr>
        <w:t>28号</w:t>
      </w:r>
      <w:r>
        <w:rPr>
          <w:rFonts w:hint="eastAsia" w:ascii="宋体" w:hAnsi="宋体" w:eastAsia="宋体" w:cs="宋体"/>
          <w:b w:val="0"/>
          <w:bCs w:val="0"/>
          <w:color w:val="auto"/>
          <w:sz w:val="28"/>
          <w:szCs w:val="28"/>
          <w:highlight w:val="none"/>
          <w:lang w:eastAsia="zh-CN"/>
        </w:rPr>
        <w:t>）以及有关专项资金管理办法的规定</w:t>
      </w:r>
      <w:r>
        <w:rPr>
          <w:rFonts w:hint="eastAsia" w:ascii="仿宋_GB2312" w:hAnsi="仿宋_GB2312" w:eastAsia="仿宋_GB2312" w:cs="仿宋_GB2312"/>
          <w:color w:val="auto"/>
          <w:sz w:val="32"/>
          <w:szCs w:val="32"/>
          <w:highlight w:val="none"/>
          <w:lang w:eastAsia="zh-CN"/>
        </w:rPr>
        <w:t>；</w:t>
      </w:r>
    </w:p>
    <w:p w14:paraId="32CE02E7">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181BF9BA">
      <w:pPr>
        <w:keepNext w:val="0"/>
        <w:keepLines w:val="0"/>
        <w:pageBreakBefore w:val="0"/>
        <w:widowControl w:val="0"/>
        <w:kinsoku/>
        <w:wordWrap/>
        <w:overflowPunct/>
        <w:topLinePunct w:val="0"/>
        <w:autoSpaceDE/>
        <w:autoSpaceDN/>
        <w:bidi w:val="0"/>
        <w:adjustRightInd/>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lang w:val="en-US" w:eastAsia="zh-CN"/>
        </w:rPr>
        <w:t>2024年残保金</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宋刚</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邢小红</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cs="宋体"/>
          <w:color w:val="auto"/>
          <w:highlight w:val="none"/>
          <w:shd w:val="clear" w:color="auto" w:fill="auto"/>
          <w:lang w:val="en-US" w:eastAsia="zh-CN"/>
        </w:rPr>
        <w:t>马瑞华</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李睿、周海英、贾建红、李翔</w:t>
      </w:r>
      <w:r>
        <w:rPr>
          <w:rFonts w:hint="eastAsia" w:ascii="宋体" w:hAnsi="宋体" w:eastAsia="宋体" w:cs="宋体"/>
          <w:color w:val="auto"/>
          <w:highlight w:val="none"/>
          <w:shd w:val="clear" w:color="auto" w:fill="auto"/>
          <w:lang w:val="en-US" w:eastAsia="zh-CN"/>
        </w:rPr>
        <w:t>，</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30C4868">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keepNext w:val="0"/>
        <w:keepLines w:val="0"/>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6</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39.3</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7"/>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59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保障残疾人工作运行人员工资及社保发放完成率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4859D95C">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16A21E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F45F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19C21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6413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CB8E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3CB0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3964A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保障残疾人工作运行人员工资及社保发放时间</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3B63910E">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4CFBF0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724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残疾人工作运行经费</w:t>
            </w:r>
          </w:p>
        </w:tc>
        <w:tc>
          <w:tcPr>
            <w:tcW w:w="14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37B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≤35万元</w:t>
            </w:r>
          </w:p>
        </w:tc>
        <w:tc>
          <w:tcPr>
            <w:tcW w:w="55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203F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B2A39">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rFonts w:hint="default" w:eastAsia="宋体"/>
                <w:color w:val="auto"/>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33.6</w:t>
            </w:r>
            <w:r>
              <w:rPr>
                <w:rFonts w:hint="eastAsia" w:cs="宋体"/>
                <w:color w:val="auto"/>
                <w:kern w:val="0"/>
                <w:sz w:val="20"/>
                <w:szCs w:val="20"/>
                <w:highlight w:val="none"/>
                <w:shd w:val="clear" w:color="auto" w:fill="auto"/>
                <w:lang w:val="en-US" w:eastAsia="zh-CN"/>
              </w:rPr>
              <w:t>万元</w:t>
            </w:r>
          </w:p>
        </w:tc>
        <w:tc>
          <w:tcPr>
            <w:tcW w:w="63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064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6.3</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EE8B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保障残疾人工作运行人员工资及社保发放额</w:t>
            </w:r>
          </w:p>
        </w:tc>
        <w:tc>
          <w:tcPr>
            <w:tcW w:w="14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≤65万元</w:t>
            </w:r>
          </w:p>
        </w:tc>
        <w:tc>
          <w:tcPr>
            <w:tcW w:w="55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rFonts w:hint="default" w:eastAsia="宋体"/>
                <w:color w:val="auto"/>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65万</w:t>
            </w:r>
            <w:r>
              <w:rPr>
                <w:rFonts w:hint="eastAsia" w:cs="宋体"/>
                <w:color w:val="auto"/>
                <w:kern w:val="0"/>
                <w:sz w:val="20"/>
                <w:szCs w:val="20"/>
                <w:highlight w:val="none"/>
                <w:shd w:val="clear" w:color="auto" w:fill="auto"/>
                <w:lang w:val="en-US" w:eastAsia="zh-CN"/>
              </w:rPr>
              <w:t>元</w:t>
            </w:r>
          </w:p>
        </w:tc>
        <w:tc>
          <w:tcPr>
            <w:tcW w:w="63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567D231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39.3</w:t>
            </w:r>
          </w:p>
        </w:tc>
      </w:tr>
    </w:tbl>
    <w:p w14:paraId="5DD9B75C">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保障残疾人工作运行人员工资及社保人数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指标，预期目标值为10人，实际完成为10人。实际完成率=（10人/10人）×100%=100%，无偏差。</w:t>
      </w:r>
    </w:p>
    <w:p w14:paraId="5F8BC032">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14:paraId="3B64E8D1">
      <w:pPr>
        <w:keepNext w:val="0"/>
        <w:keepLines w:val="0"/>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3298ABF5">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保障残疾人工作运行人员工资及社保发放完成率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指标，预期目标值为100%，实际完成为100%。实际完成率100%，无偏差。</w:t>
      </w:r>
    </w:p>
    <w:p w14:paraId="3505598F">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10F7C751">
      <w:pPr>
        <w:keepNext w:val="0"/>
        <w:keepLines w:val="0"/>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43995B76">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资金支付及时率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指标，预期目标值为100%，实际完成为100%。实际完成率100%，无偏差。</w:t>
      </w:r>
    </w:p>
    <w:p w14:paraId="0EFCD450">
      <w:pPr>
        <w:keepNext w:val="0"/>
        <w:keepLines w:val="0"/>
        <w:pageBreakBefore w:val="0"/>
        <w:kinsoku/>
        <w:wordWrap/>
        <w:overflowPunct/>
        <w:topLinePunct w:val="0"/>
        <w:autoSpaceDE/>
        <w:autoSpaceDN/>
        <w:bidi w:val="0"/>
        <w:adjustRightIn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保障残疾人工作运行人员工资及社保发放时间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指标，预期目标值为1次/月，实际完成为1次/月。实际完成率100%，无偏差。</w:t>
      </w:r>
    </w:p>
    <w:p w14:paraId="75875897">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综上，该项指标满分13分，得分13分。</w:t>
      </w:r>
    </w:p>
    <w:p w14:paraId="32C7A21C">
      <w:pPr>
        <w:keepNext w:val="0"/>
        <w:keepLines w:val="0"/>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残疾人工作运行经费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指标，预期目标值为35万元，实际完成为33.6万元。实际完成率=（33.6万元/35万元）×100%=96%，</w:t>
      </w:r>
      <w:r>
        <w:rPr>
          <w:rFonts w:hint="eastAsia" w:ascii="仿宋_GB2312" w:hAnsi="仿宋_GB2312" w:eastAsia="仿宋_GB2312" w:cs="仿宋_GB2312"/>
          <w:color w:val="auto"/>
          <w:sz w:val="32"/>
          <w:szCs w:val="32"/>
          <w:highlight w:val="none"/>
          <w:lang w:eastAsia="zh-CN"/>
        </w:rPr>
        <w:t>偏差原因：依据新财非税【2016】28号文件，厉行节约原则，缩减残疾人工作运行经费1.4万元</w:t>
      </w:r>
      <w:r>
        <w:rPr>
          <w:rFonts w:hint="eastAsia" w:ascii="仿宋_GB2312" w:hAnsi="仿宋_GB2312" w:eastAsia="仿宋_GB2312" w:cs="仿宋_GB2312"/>
          <w:color w:val="auto"/>
          <w:sz w:val="32"/>
          <w:szCs w:val="32"/>
          <w:highlight w:val="none"/>
          <w:lang w:val="en-US" w:eastAsia="zh-CN"/>
        </w:rPr>
        <w:t>。</w:t>
      </w:r>
    </w:p>
    <w:p w14:paraId="51BF3449">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保障残疾人工作运行人员工资及社保发放额</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指标，预期目标值为65万元，实际完成为65万元。实际完成率=（65/65）×100%=100%，无偏差。</w:t>
      </w:r>
    </w:p>
    <w:p w14:paraId="1C8D6081">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综上，该项指标满分14分，得分13.3分。</w:t>
      </w:r>
    </w:p>
    <w:p w14:paraId="7F558F43">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keepNext w:val="0"/>
        <w:keepLines w:val="0"/>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keepNext w:val="0"/>
        <w:keepLines w:val="0"/>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7"/>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8922ACE">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46311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2073A78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2BFE7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提升贫困残疾人生活水平</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21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有所提高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F83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264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A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688F769C">
        <w:tblPrEx>
          <w:shd w:val="clear" w:color="auto" w:fill="auto"/>
          <w:tblCellMar>
            <w:top w:w="0" w:type="dxa"/>
            <w:left w:w="0" w:type="dxa"/>
            <w:bottom w:w="0" w:type="dxa"/>
            <w:right w:w="0" w:type="dxa"/>
          </w:tblCellMar>
        </w:tblPrEx>
        <w:trPr>
          <w:trHeight w:val="90"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保障残疾人工作运行人员工资及社保，增强服务水平</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675A4D96">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172140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841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C6D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困难重度残疾人家庭无障碍改造满意度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807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7B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BDA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10F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27006"/>
      <w:bookmarkStart w:id="141" w:name="_Toc29606"/>
      <w:r>
        <w:rPr>
          <w:rFonts w:hint="eastAsia" w:ascii="仿宋_GB2312" w:hAnsi="仿宋_GB2312" w:eastAsia="仿宋_GB2312" w:cs="仿宋_GB2312"/>
          <w:b/>
          <w:bCs/>
          <w:color w:val="auto"/>
          <w:sz w:val="32"/>
          <w:szCs w:val="32"/>
          <w:highlight w:val="none"/>
          <w:lang w:val="en-US" w:eastAsia="zh-CN"/>
        </w:rPr>
        <w:t>1.社会效益指标</w:t>
      </w:r>
      <w:bookmarkEnd w:id="140"/>
      <w:r>
        <w:rPr>
          <w:rFonts w:hint="eastAsia" w:ascii="仿宋_GB2312" w:hAnsi="仿宋_GB2312" w:eastAsia="仿宋_GB2312" w:cs="仿宋_GB2312"/>
          <w:b/>
          <w:bCs/>
          <w:color w:val="auto"/>
          <w:sz w:val="32"/>
          <w:szCs w:val="32"/>
          <w:highlight w:val="none"/>
          <w:lang w:val="en-US" w:eastAsia="zh-CN"/>
        </w:rPr>
        <w:t>完成情况</w:t>
      </w:r>
      <w:bookmarkEnd w:id="141"/>
    </w:p>
    <w:p w14:paraId="62B1F18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提升贫困残疾人生活水平</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指标，预期目标值为有所提高，实际完成为达到预期指标，实际完成率100%，无偏差。</w:t>
      </w:r>
    </w:p>
    <w:p w14:paraId="2C1D36F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通过项目的实施，有效提升贫困残疾人生活水平，达到提升残疾人服务水平的效益</w:t>
      </w:r>
      <w:r>
        <w:rPr>
          <w:rFonts w:hint="eastAsia" w:ascii="仿宋_GB2312" w:hAnsi="仿宋_GB2312" w:eastAsia="仿宋_GB2312" w:cs="仿宋_GB2312"/>
          <w:color w:val="auto"/>
          <w:sz w:val="32"/>
          <w:szCs w:val="32"/>
          <w:highlight w:val="none"/>
          <w:lang w:val="en-US" w:eastAsia="zh-CN"/>
        </w:rPr>
        <w:t>。</w:t>
      </w:r>
    </w:p>
    <w:p w14:paraId="221F23A0">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保障残疾人工作运行人员工资及社保，增强服务水平</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指标，预期目标值为长期，实际完成为达到预期指标，实际完成率100%，无偏差。</w:t>
      </w:r>
    </w:p>
    <w:p w14:paraId="68ED0A40">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通过项目的实施，长期保障残疾人工作运行人员工资及社保，增强为残疾人服务水平的效益。</w:t>
      </w:r>
    </w:p>
    <w:p w14:paraId="0FE3E45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综上，该项指标满分14分，得分14分。</w:t>
      </w:r>
    </w:p>
    <w:p w14:paraId="0415259E">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3DB44EA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困难重度残疾人家庭无障碍改造满意度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default" w:ascii="Arial" w:hAnsi="Arial" w:eastAsia="仿宋_GB2312" w:cs="Arial"/>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90%，实际完成为100%。</w:t>
      </w:r>
    </w:p>
    <w:p w14:paraId="3F742AA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3"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3"/>
    </w:p>
    <w:p w14:paraId="67DA88AD">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4" w:name="_Toc15449"/>
      <w:bookmarkStart w:id="145" w:name="_Toc1921"/>
      <w:bookmarkStart w:id="146"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4"/>
    </w:p>
    <w:p w14:paraId="604C55E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2024年残保金项目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98.6</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98.6</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阜康市残疾人联合会</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阜康市残疾人联合会</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5"/>
    <w:bookmarkEnd w:id="146"/>
    <w:p w14:paraId="2C571FBF">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7"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7"/>
    </w:p>
    <w:p w14:paraId="394805F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8" w:name="_Toc3333"/>
      <w:r>
        <w:rPr>
          <w:rFonts w:hint="eastAsia" w:ascii="仿宋_GB2312" w:hAnsi="仿宋_GB2312" w:eastAsia="仿宋_GB2312" w:cs="仿宋_GB2312"/>
          <w:color w:val="auto"/>
          <w:sz w:val="32"/>
          <w:szCs w:val="32"/>
          <w:highlight w:val="none"/>
          <w:lang w:val="en-US" w:eastAsia="zh-CN"/>
        </w:rPr>
        <w:t>1.个别项目还不能满足残疾人多样化的培训就业需求，主动参与度不高，又有抵触情绪。</w:t>
      </w:r>
    </w:p>
    <w:p w14:paraId="64E2033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2.教育方面的问题，</w:t>
      </w:r>
      <w:bookmarkStart w:id="149" w:name="_Toc5230"/>
      <w:r>
        <w:rPr>
          <w:rFonts w:hint="eastAsia" w:ascii="仿宋_GB2312" w:hAnsi="仿宋_GB2312" w:eastAsia="仿宋_GB2312" w:cs="仿宋_GB2312"/>
          <w:color w:val="auto"/>
          <w:sz w:val="32"/>
          <w:szCs w:val="32"/>
          <w:highlight w:val="none"/>
          <w:lang w:val="en-US" w:eastAsia="zh-CN"/>
        </w:rPr>
        <w:t>由于家庭经济困难或其他原因，长时间接受教育的耗费较高，导致许多残疾人没有机会接受足够的教育或者缺乏足够的自主性教育活动，一部分残疾人不能充分参与学校教育。</w:t>
      </w:r>
    </w:p>
    <w:bookmarkEnd w:id="149"/>
    <w:p w14:paraId="5C603715">
      <w:pPr>
        <w:pageBreakBefore w:val="0"/>
        <w:numPr>
          <w:ilvl w:val="0"/>
          <w:numId w:val="0"/>
        </w:numPr>
        <w:kinsoku/>
        <w:wordWrap/>
        <w:overflowPunct/>
        <w:topLinePunct w:val="0"/>
        <w:autoSpaceDE/>
        <w:autoSpaceDN/>
        <w:bidi w:val="0"/>
        <w:adjustRightInd/>
        <w:spacing w:line="560" w:lineRule="exact"/>
        <w:ind w:firstLine="560" w:firstLineChars="200"/>
        <w:textAlignment w:val="auto"/>
        <w:rPr>
          <w:rFonts w:hint="eastAsia" w:ascii="宋体" w:hAnsi="宋体" w:eastAsia="宋体" w:cs="宋体"/>
          <w:b/>
          <w:bCs/>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8"/>
    </w:p>
    <w:p w14:paraId="6EE34F6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（一）加大宣传力度，加强专业技术人员的培训能力和服务水平，制订相关优惠政策和制度，鼓励残疾人自主创业，积极参加教育培训的工作。</w:t>
      </w:r>
    </w:p>
    <w:p w14:paraId="1EF1576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加强残疾人的教育培训工作，提升他们的受教育能力，建立健全残疾人职业培训体系，制定多样化的培训计划，根据残疾人的职业特长和兴趣，为他们提供个性化的职业培训服务，提高他们的就业竞争力，同时，要积极引导社会力量参与残疾人的教育培训工作。</w:t>
      </w:r>
    </w:p>
    <w:p w14:paraId="5BDE53F2">
      <w:pPr>
        <w:pageBreakBefore w:val="0"/>
        <w:kinsoku/>
        <w:wordWrap/>
        <w:overflowPunct/>
        <w:topLinePunct w:val="0"/>
        <w:autoSpaceDE/>
        <w:autoSpaceDN/>
        <w:bidi w:val="0"/>
        <w:adjustRightInd/>
        <w:spacing w:line="560" w:lineRule="exact"/>
        <w:ind w:left="0" w:leftChars="0" w:firstLine="560" w:firstLineChars="200"/>
        <w:textAlignment w:val="auto"/>
        <w:rPr>
          <w:rFonts w:hint="eastAsia" w:ascii="黑体" w:hAnsi="黑体" w:eastAsia="黑体" w:cs="黑体"/>
          <w:b w:val="0"/>
          <w:bCs w:val="0"/>
          <w:color w:val="auto"/>
          <w:highlight w:val="none"/>
          <w:shd w:val="clear" w:color="auto" w:fill="auto"/>
          <w:lang w:val="en-US" w:eastAsia="zh-CN"/>
        </w:rPr>
      </w:pPr>
      <w:bookmarkStart w:id="150"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0"/>
    </w:p>
    <w:p w14:paraId="3D39D3EA">
      <w:pPr>
        <w:pageBreakBefore w:val="0"/>
        <w:kinsoku/>
        <w:wordWrap/>
        <w:overflowPunct/>
        <w:topLinePunct w:val="0"/>
        <w:autoSpaceDE/>
        <w:autoSpaceDN/>
        <w:bidi w:val="0"/>
        <w:adjustRightInd/>
        <w:spacing w:line="560" w:lineRule="exact"/>
        <w:ind w:firstLine="960" w:firstLineChars="3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7A1B8A0D">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1" w:name="_Toc28971"/>
      <w:bookmarkStart w:id="152" w:name="_Toc11349"/>
      <w:r>
        <w:rPr>
          <w:rFonts w:hint="eastAsia" w:ascii="宋体" w:hAnsi="宋体" w:eastAsia="宋体" w:cs="宋体"/>
          <w:b/>
          <w:bCs/>
          <w:color w:val="auto"/>
          <w:highlight w:val="none"/>
          <w:shd w:val="clear" w:color="auto" w:fill="auto"/>
          <w:lang w:val="en-US" w:eastAsia="zh-CN"/>
        </w:rPr>
        <w:t>附件一、项目支出绩效自评表</w:t>
      </w:r>
      <w:bookmarkEnd w:id="151"/>
      <w:bookmarkEnd w:id="152"/>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0"/>
        <w:gridCol w:w="910"/>
        <w:gridCol w:w="910"/>
        <w:gridCol w:w="910"/>
        <w:gridCol w:w="1247"/>
        <w:gridCol w:w="1163"/>
        <w:gridCol w:w="1163"/>
        <w:gridCol w:w="1078"/>
        <w:gridCol w:w="1163"/>
        <w:gridCol w:w="910"/>
        <w:gridCol w:w="910"/>
        <w:gridCol w:w="910"/>
        <w:gridCol w:w="911"/>
        <w:gridCol w:w="1079"/>
      </w:tblGrid>
      <w:tr w14:paraId="0DFDC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56BE5BB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E3A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98E6B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8D02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5"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2ED82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4"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5FC94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2024年残保金项目</w:t>
            </w:r>
          </w:p>
        </w:tc>
      </w:tr>
      <w:tr w14:paraId="12CFD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EBD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1FAA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阜康市残疾人联合会</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E892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15B5C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阜康市残疾人联合会</w:t>
            </w:r>
          </w:p>
        </w:tc>
      </w:tr>
      <w:tr w14:paraId="27188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AC0B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8EAE1">
            <w:pPr>
              <w:jc w:val="center"/>
              <w:rPr>
                <w:rFonts w:hint="eastAsia" w:ascii="宋体" w:hAnsi="宋体" w:eastAsia="宋体" w:cs="宋体"/>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603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8997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8D7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1D2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F0D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CD4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592B2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B4F30">
            <w:pPr>
              <w:jc w:val="center"/>
              <w:rPr>
                <w:rFonts w:hint="eastAsia" w:ascii="宋体" w:hAnsi="宋体" w:eastAsia="宋体" w:cs="宋体"/>
                <w:b/>
                <w:bCs/>
                <w:i w:val="0"/>
                <w:iCs w:val="0"/>
                <w:color w:val="000000"/>
                <w:sz w:val="18"/>
                <w:szCs w:val="18"/>
                <w:u w:val="none"/>
              </w:rPr>
            </w:pP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C363F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26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937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3073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98.60</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805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2BB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98.60%</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003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9.86</w:t>
            </w:r>
          </w:p>
        </w:tc>
      </w:tr>
      <w:tr w14:paraId="387B6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6E4F7">
            <w:pPr>
              <w:jc w:val="center"/>
              <w:rPr>
                <w:rFonts w:hint="eastAsia" w:ascii="宋体" w:hAnsi="宋体" w:eastAsia="宋体" w:cs="宋体"/>
                <w:b/>
                <w:bCs/>
                <w:i w:val="0"/>
                <w:iCs w:val="0"/>
                <w:color w:val="000000"/>
                <w:sz w:val="18"/>
                <w:szCs w:val="18"/>
                <w:u w:val="none"/>
              </w:rPr>
            </w:pP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388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F6C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FE2D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49D0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98.60</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C3C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0871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C4B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83C3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B80D4">
            <w:pPr>
              <w:jc w:val="center"/>
              <w:rPr>
                <w:rFonts w:hint="eastAsia" w:ascii="宋体" w:hAnsi="宋体" w:eastAsia="宋体" w:cs="宋体"/>
                <w:b/>
                <w:bCs/>
                <w:i w:val="0"/>
                <w:iCs w:val="0"/>
                <w:color w:val="000000"/>
                <w:sz w:val="18"/>
                <w:szCs w:val="18"/>
                <w:u w:val="none"/>
              </w:rPr>
            </w:pP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529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976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4EB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E6C0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0473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3705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40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11A3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EBD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9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0AB6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9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0E672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52A0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62ACF">
            <w:pPr>
              <w:jc w:val="center"/>
              <w:rPr>
                <w:rFonts w:hint="eastAsia" w:ascii="宋体" w:hAnsi="宋体" w:eastAsia="宋体" w:cs="宋体"/>
                <w:b/>
                <w:bCs/>
                <w:i w:val="0"/>
                <w:iCs w:val="0"/>
                <w:color w:val="000000"/>
                <w:sz w:val="18"/>
                <w:szCs w:val="18"/>
                <w:u w:val="none"/>
              </w:rPr>
            </w:pPr>
          </w:p>
        </w:tc>
        <w:tc>
          <w:tcPr>
            <w:tcW w:w="189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AE8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残疾人联合会通过开展残保金项目，负责宣传、贯彻、落实国家法律、法规、严格执法，保障残疾人合法权利；听取残疾人意见，反映残疾人需求，维护残疾人权益，为残疾人服务；团结、教育残疾人，遵守法律，履行应尽义务。2024年预计完成保障残疾人工作运行人员工资及社保人数10人，保障残疾人工作运行人员工资及社保发放完成率达到100﹪，通过项目的实施，预计达到保障残疾人工作运行人员工资及社保，增强服务水平，提升贫困残疾人生活水平的效益。</w:t>
            </w:r>
          </w:p>
        </w:tc>
        <w:tc>
          <w:tcPr>
            <w:tcW w:w="289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6EAB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10名残疾人工作运行人员工资及社保发放缴纳，保障残疾人工作运行人员工资及社保每月发放一次，发放完成率达到100﹪，通过项目的实施，能够长期保障残疾人工作运行人员工资及社保，增强服务水平，提升贫困残疾人生活水平。</w:t>
            </w:r>
          </w:p>
        </w:tc>
      </w:tr>
      <w:tr w14:paraId="5D4E4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ED7BA">
            <w:pPr>
              <w:jc w:val="center"/>
              <w:rPr>
                <w:rFonts w:hint="eastAsia" w:ascii="宋体" w:hAnsi="宋体" w:eastAsia="宋体" w:cs="宋体"/>
                <w:i w:val="0"/>
                <w:iCs w:val="0"/>
                <w:color w:val="000000"/>
                <w:sz w:val="18"/>
                <w:szCs w:val="18"/>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20C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FAD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EE45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7455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3D8E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B47D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C10E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F39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256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CF71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A6E9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F728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44A2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0E36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B9F49">
            <w:pPr>
              <w:jc w:val="center"/>
              <w:rPr>
                <w:rFonts w:hint="eastAsia" w:ascii="宋体" w:hAnsi="宋体" w:eastAsia="宋体" w:cs="宋体"/>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ECBE2">
            <w:pPr>
              <w:jc w:val="center"/>
              <w:rPr>
                <w:rFonts w:hint="eastAsia" w:ascii="宋体" w:hAnsi="宋体" w:eastAsia="宋体" w:cs="宋体"/>
                <w:b/>
                <w:bCs/>
                <w:i w:val="0"/>
                <w:iCs w:val="0"/>
                <w:color w:val="000000"/>
                <w:sz w:val="18"/>
                <w:szCs w:val="18"/>
                <w:u w:val="none"/>
              </w:rPr>
            </w:pPr>
          </w:p>
        </w:tc>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A8AC1">
            <w:pPr>
              <w:jc w:val="center"/>
              <w:rPr>
                <w:rFonts w:hint="eastAsia" w:ascii="宋体" w:hAnsi="宋体" w:eastAsia="宋体" w:cs="宋体"/>
                <w:b/>
                <w:bCs/>
                <w:i w:val="0"/>
                <w:iCs w:val="0"/>
                <w:color w:val="000000"/>
                <w:sz w:val="18"/>
                <w:szCs w:val="18"/>
                <w:u w:val="none"/>
              </w:rPr>
            </w:pPr>
          </w:p>
        </w:tc>
        <w:tc>
          <w:tcPr>
            <w:tcW w:w="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382B3">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5FD89">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B18D2">
            <w:pPr>
              <w:jc w:val="center"/>
              <w:rPr>
                <w:rFonts w:hint="eastAsia" w:ascii="宋体" w:hAnsi="宋体" w:eastAsia="宋体" w:cs="宋体"/>
                <w:b/>
                <w:bCs/>
                <w:i w:val="0"/>
                <w:iCs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348AE">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81C08">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9FE3A">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76189">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A218B">
            <w:pPr>
              <w:jc w:val="center"/>
              <w:rPr>
                <w:rFonts w:hint="eastAsia" w:ascii="宋体" w:hAnsi="宋体" w:eastAsia="宋体" w:cs="宋体"/>
                <w:b/>
                <w:bCs/>
                <w:i w:val="0"/>
                <w:iCs w:val="0"/>
                <w:color w:val="000000"/>
                <w:sz w:val="18"/>
                <w:szCs w:val="18"/>
                <w:u w:val="none"/>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F8567">
            <w:pPr>
              <w:jc w:val="center"/>
              <w:rPr>
                <w:rFonts w:hint="eastAsia" w:ascii="宋体" w:hAnsi="宋体" w:eastAsia="宋体" w:cs="宋体"/>
                <w:b/>
                <w:bCs/>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219E1">
            <w:pPr>
              <w:jc w:val="center"/>
              <w:rPr>
                <w:rFonts w:hint="eastAsia" w:ascii="宋体" w:hAnsi="宋体" w:eastAsia="宋体" w:cs="宋体"/>
                <w:b/>
                <w:bCs/>
                <w:i w:val="0"/>
                <w:iCs w:val="0"/>
                <w:color w:val="000000"/>
                <w:sz w:val="18"/>
                <w:szCs w:val="18"/>
                <w:u w:val="none"/>
              </w:rPr>
            </w:pPr>
          </w:p>
        </w:tc>
        <w:tc>
          <w:tcPr>
            <w:tcW w:w="8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66D09">
            <w:pPr>
              <w:jc w:val="center"/>
              <w:rPr>
                <w:rFonts w:hint="eastAsia" w:ascii="宋体" w:hAnsi="宋体" w:eastAsia="宋体" w:cs="宋体"/>
                <w:b/>
                <w:bCs/>
                <w:i w:val="0"/>
                <w:iCs w:val="0"/>
                <w:color w:val="000000"/>
                <w:sz w:val="18"/>
                <w:szCs w:val="18"/>
                <w:u w:val="none"/>
              </w:rPr>
            </w:pPr>
          </w:p>
        </w:tc>
      </w:tr>
      <w:tr w14:paraId="7A7C0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AB26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466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78E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DD9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保障残疾人工作运行人员工资及社保人数</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848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AFF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&gt;=10人</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60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=10人</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C7C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74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FFF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15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8F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1E8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616D8">
            <w:pPr>
              <w:jc w:val="center"/>
              <w:rPr>
                <w:rFonts w:hint="eastAsia" w:ascii="宋体" w:hAnsi="宋体" w:eastAsia="宋体" w:cs="宋体"/>
                <w:i w:val="0"/>
                <w:iCs w:val="0"/>
                <w:color w:val="000000"/>
                <w:sz w:val="18"/>
                <w:szCs w:val="18"/>
                <w:u w:val="none"/>
              </w:rPr>
            </w:pPr>
          </w:p>
        </w:tc>
      </w:tr>
      <w:tr w14:paraId="339C2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1A8A5">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E42A4">
            <w:pPr>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87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AF4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保障残疾人工作运行人员工资及社保发放完成率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23F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74E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F7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9118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498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9A7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B37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A20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89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91026">
            <w:pPr>
              <w:jc w:val="center"/>
              <w:rPr>
                <w:rFonts w:hint="eastAsia" w:ascii="宋体" w:hAnsi="宋体" w:eastAsia="宋体" w:cs="宋体"/>
                <w:i w:val="0"/>
                <w:iCs w:val="0"/>
                <w:color w:val="000000"/>
                <w:sz w:val="18"/>
                <w:szCs w:val="18"/>
                <w:u w:val="none"/>
              </w:rPr>
            </w:pPr>
          </w:p>
        </w:tc>
      </w:tr>
      <w:tr w14:paraId="4F615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EF631">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9CAF7">
            <w:pPr>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62B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CEB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E85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84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B2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C765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768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68A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8C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9A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272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50669">
            <w:pPr>
              <w:jc w:val="center"/>
              <w:rPr>
                <w:rFonts w:hint="eastAsia" w:ascii="宋体" w:hAnsi="宋体" w:eastAsia="宋体" w:cs="宋体"/>
                <w:i w:val="0"/>
                <w:iCs w:val="0"/>
                <w:color w:val="000000"/>
                <w:sz w:val="18"/>
                <w:szCs w:val="18"/>
                <w:u w:val="none"/>
              </w:rPr>
            </w:pPr>
          </w:p>
        </w:tc>
      </w:tr>
      <w:tr w14:paraId="3B472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F99DF">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F577F">
            <w:pPr>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F09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1F3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保障残疾人工作运行人员工资及社保发放时间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60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7BB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AF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3BEF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FF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37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CA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287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84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B9C2A">
            <w:pPr>
              <w:jc w:val="center"/>
              <w:rPr>
                <w:rFonts w:hint="eastAsia" w:ascii="宋体" w:hAnsi="宋体" w:eastAsia="宋体" w:cs="宋体"/>
                <w:i w:val="0"/>
                <w:iCs w:val="0"/>
                <w:color w:val="000000"/>
                <w:sz w:val="18"/>
                <w:szCs w:val="18"/>
                <w:u w:val="none"/>
              </w:rPr>
            </w:pPr>
          </w:p>
        </w:tc>
      </w:tr>
      <w:tr w14:paraId="27437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AEEFF">
            <w:pPr>
              <w:jc w:val="center"/>
              <w:rPr>
                <w:rFonts w:hint="eastAsia" w:ascii="宋体" w:hAnsi="宋体" w:eastAsia="宋体" w:cs="宋体"/>
                <w:b/>
                <w:bCs/>
                <w:i w:val="0"/>
                <w:iCs w:val="0"/>
                <w:color w:val="000000"/>
                <w:sz w:val="18"/>
                <w:szCs w:val="18"/>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F9F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78D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9E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残疾人工作运行经费</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C1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A6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&lt;=35万元</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3DE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C8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C24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BF1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0E3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CD2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885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627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依据新财非税【2016】28号文件，厉行节约原则，缩减残疾人工作运行经费1.4万元。</w:t>
            </w:r>
          </w:p>
        </w:tc>
      </w:tr>
      <w:tr w14:paraId="1E18A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09CFF">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F8510">
            <w:pPr>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9DD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C55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保障残疾人工作运行人员工资及社保发放额</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84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F30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&lt;=65万元</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5B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6D1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24D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161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812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47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7B9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47C77">
            <w:pPr>
              <w:jc w:val="center"/>
              <w:rPr>
                <w:rFonts w:hint="eastAsia" w:ascii="宋体" w:hAnsi="宋体" w:eastAsia="宋体" w:cs="宋体"/>
                <w:i w:val="0"/>
                <w:iCs w:val="0"/>
                <w:color w:val="000000"/>
                <w:sz w:val="18"/>
                <w:szCs w:val="18"/>
                <w:u w:val="none"/>
              </w:rPr>
            </w:pPr>
          </w:p>
        </w:tc>
      </w:tr>
      <w:tr w14:paraId="74BBF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22CB1">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1D9D2">
            <w:pPr>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6FA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FEB73">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78A23">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73BA8">
            <w:pPr>
              <w:jc w:val="center"/>
              <w:rPr>
                <w:rFonts w:hint="eastAsia" w:ascii="宋体" w:hAnsi="宋体" w:eastAsia="宋体" w:cs="宋体"/>
                <w:i w:val="0"/>
                <w:iCs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49D31">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CE4A2">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C0275">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6A484">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68E9F">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50ABE">
            <w:pPr>
              <w:jc w:val="center"/>
              <w:rPr>
                <w:rFonts w:hint="eastAsia" w:ascii="宋体" w:hAnsi="宋体" w:eastAsia="宋体" w:cs="宋体"/>
                <w:i w:val="0"/>
                <w:iCs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E5C33">
            <w:pPr>
              <w:jc w:val="center"/>
              <w:rPr>
                <w:rFonts w:hint="eastAsia" w:ascii="宋体" w:hAnsi="宋体" w:eastAsia="宋体" w:cs="宋体"/>
                <w:i w:val="0"/>
                <w:iCs w:val="0"/>
                <w:color w:val="000000"/>
                <w:sz w:val="18"/>
                <w:szCs w:val="18"/>
                <w:u w:val="none"/>
              </w:rPr>
            </w:pP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1D171">
            <w:pPr>
              <w:jc w:val="center"/>
              <w:rPr>
                <w:rFonts w:hint="eastAsia" w:ascii="宋体" w:hAnsi="宋体" w:eastAsia="宋体" w:cs="宋体"/>
                <w:i w:val="0"/>
                <w:iCs w:val="0"/>
                <w:color w:val="000000"/>
                <w:sz w:val="18"/>
                <w:szCs w:val="18"/>
                <w:u w:val="none"/>
              </w:rPr>
            </w:pPr>
          </w:p>
        </w:tc>
      </w:tr>
      <w:tr w14:paraId="7E52D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46A98">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52AC2">
            <w:pPr>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83F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894FB">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1AEB2">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7B416">
            <w:pPr>
              <w:jc w:val="center"/>
              <w:rPr>
                <w:rFonts w:hint="eastAsia" w:ascii="宋体" w:hAnsi="宋体" w:eastAsia="宋体" w:cs="宋体"/>
                <w:i w:val="0"/>
                <w:iCs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7DF5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19330">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EA73F">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F2364">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2FD91">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25C8F">
            <w:pPr>
              <w:jc w:val="center"/>
              <w:rPr>
                <w:rFonts w:hint="eastAsia" w:ascii="宋体" w:hAnsi="宋体" w:eastAsia="宋体" w:cs="宋体"/>
                <w:i w:val="0"/>
                <w:iCs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74E21">
            <w:pPr>
              <w:jc w:val="center"/>
              <w:rPr>
                <w:rFonts w:hint="eastAsia" w:ascii="宋体" w:hAnsi="宋体" w:eastAsia="宋体" w:cs="宋体"/>
                <w:i w:val="0"/>
                <w:iCs w:val="0"/>
                <w:color w:val="000000"/>
                <w:sz w:val="18"/>
                <w:szCs w:val="18"/>
                <w:u w:val="none"/>
              </w:rPr>
            </w:pP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9C74A">
            <w:pPr>
              <w:jc w:val="center"/>
              <w:rPr>
                <w:rFonts w:hint="eastAsia" w:ascii="宋体" w:hAnsi="宋体" w:eastAsia="宋体" w:cs="宋体"/>
                <w:i w:val="0"/>
                <w:iCs w:val="0"/>
                <w:color w:val="000000"/>
                <w:sz w:val="18"/>
                <w:szCs w:val="18"/>
                <w:u w:val="none"/>
              </w:rPr>
            </w:pPr>
          </w:p>
        </w:tc>
      </w:tr>
      <w:tr w14:paraId="05CB9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F8CDC">
            <w:pPr>
              <w:jc w:val="center"/>
              <w:rPr>
                <w:rFonts w:hint="eastAsia" w:ascii="宋体" w:hAnsi="宋体" w:eastAsia="宋体" w:cs="宋体"/>
                <w:b/>
                <w:bCs/>
                <w:i w:val="0"/>
                <w:iCs w:val="0"/>
                <w:color w:val="000000"/>
                <w:sz w:val="18"/>
                <w:szCs w:val="18"/>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62AF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861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AC3C1">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166C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DA662">
            <w:pPr>
              <w:jc w:val="center"/>
              <w:rPr>
                <w:rFonts w:hint="eastAsia" w:ascii="宋体" w:hAnsi="宋体" w:eastAsia="宋体" w:cs="宋体"/>
                <w:i w:val="0"/>
                <w:iCs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D5B66">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45060">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37E78">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D98B4">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A2A4C">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0374A">
            <w:pPr>
              <w:jc w:val="center"/>
              <w:rPr>
                <w:rFonts w:hint="eastAsia" w:ascii="宋体" w:hAnsi="宋体" w:eastAsia="宋体" w:cs="宋体"/>
                <w:i w:val="0"/>
                <w:iCs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915F3">
            <w:pPr>
              <w:jc w:val="center"/>
              <w:rPr>
                <w:rFonts w:hint="eastAsia" w:ascii="宋体" w:hAnsi="宋体" w:eastAsia="宋体" w:cs="宋体"/>
                <w:i w:val="0"/>
                <w:iCs w:val="0"/>
                <w:color w:val="000000"/>
                <w:sz w:val="18"/>
                <w:szCs w:val="18"/>
                <w:u w:val="none"/>
              </w:rPr>
            </w:pP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88916">
            <w:pPr>
              <w:jc w:val="center"/>
              <w:rPr>
                <w:rFonts w:hint="eastAsia" w:ascii="宋体" w:hAnsi="宋体" w:eastAsia="宋体" w:cs="宋体"/>
                <w:i w:val="0"/>
                <w:iCs w:val="0"/>
                <w:color w:val="000000"/>
                <w:sz w:val="18"/>
                <w:szCs w:val="18"/>
                <w:u w:val="none"/>
              </w:rPr>
            </w:pPr>
          </w:p>
        </w:tc>
      </w:tr>
      <w:tr w14:paraId="32C6F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EB698">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CCD2C">
            <w:pPr>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166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570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提升贫困残疾人生活水平</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2F4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D5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08C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36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DEA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BBA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E55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C21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1A5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C7243">
            <w:pPr>
              <w:jc w:val="center"/>
              <w:rPr>
                <w:rFonts w:hint="eastAsia" w:ascii="宋体" w:hAnsi="宋体" w:eastAsia="宋体" w:cs="宋体"/>
                <w:i w:val="0"/>
                <w:iCs w:val="0"/>
                <w:color w:val="000000"/>
                <w:sz w:val="18"/>
                <w:szCs w:val="18"/>
                <w:u w:val="none"/>
              </w:rPr>
            </w:pPr>
          </w:p>
        </w:tc>
      </w:tr>
      <w:tr w14:paraId="2671C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B4C88">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BDE0F">
            <w:pPr>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9E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AA8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保障残疾人工作运行人员工资及社保，增强服务水平</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352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457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EC3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A10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bookmarkStart w:id="155" w:name="_GoBack"/>
            <w:bookmarkEnd w:id="155"/>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650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1B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8C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FD7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4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1D62E">
            <w:pPr>
              <w:jc w:val="center"/>
              <w:rPr>
                <w:rFonts w:hint="eastAsia" w:ascii="宋体" w:hAnsi="宋体" w:eastAsia="宋体" w:cs="宋体"/>
                <w:i w:val="0"/>
                <w:iCs w:val="0"/>
                <w:color w:val="000000"/>
                <w:sz w:val="18"/>
                <w:szCs w:val="18"/>
                <w:u w:val="none"/>
              </w:rPr>
            </w:pPr>
          </w:p>
        </w:tc>
      </w:tr>
      <w:tr w14:paraId="1F21E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67822">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E139C">
            <w:pPr>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994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8B713">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4EAFE">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21103">
            <w:pPr>
              <w:jc w:val="center"/>
              <w:rPr>
                <w:rFonts w:hint="eastAsia" w:ascii="宋体" w:hAnsi="宋体" w:eastAsia="宋体" w:cs="宋体"/>
                <w:i w:val="0"/>
                <w:iCs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09BF4">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00F6A">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7EB6E">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8FBA6">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6A376">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140C7">
            <w:pPr>
              <w:jc w:val="center"/>
              <w:rPr>
                <w:rFonts w:hint="eastAsia" w:ascii="宋体" w:hAnsi="宋体" w:eastAsia="宋体" w:cs="宋体"/>
                <w:i w:val="0"/>
                <w:iCs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A3FB8">
            <w:pPr>
              <w:jc w:val="center"/>
              <w:rPr>
                <w:rFonts w:hint="eastAsia" w:ascii="宋体" w:hAnsi="宋体" w:eastAsia="宋体" w:cs="宋体"/>
                <w:i w:val="0"/>
                <w:iCs w:val="0"/>
                <w:color w:val="000000"/>
                <w:sz w:val="18"/>
                <w:szCs w:val="18"/>
                <w:u w:val="none"/>
              </w:rPr>
            </w:pP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F6EB2">
            <w:pPr>
              <w:jc w:val="center"/>
              <w:rPr>
                <w:rFonts w:hint="eastAsia" w:ascii="宋体" w:hAnsi="宋体" w:eastAsia="宋体" w:cs="宋体"/>
                <w:i w:val="0"/>
                <w:iCs w:val="0"/>
                <w:color w:val="000000"/>
                <w:sz w:val="18"/>
                <w:szCs w:val="18"/>
                <w:u w:val="none"/>
              </w:rPr>
            </w:pPr>
          </w:p>
        </w:tc>
      </w:tr>
      <w:tr w14:paraId="5FB31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452A9">
            <w:pPr>
              <w:jc w:val="center"/>
              <w:rPr>
                <w:rFonts w:hint="eastAsia" w:ascii="宋体" w:hAnsi="宋体" w:eastAsia="宋体" w:cs="宋体"/>
                <w:b/>
                <w:bCs/>
                <w:i w:val="0"/>
                <w:iCs w:val="0"/>
                <w:color w:val="000000"/>
                <w:sz w:val="18"/>
                <w:szCs w:val="18"/>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CAD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9F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35234">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33BD8">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498B5">
            <w:pPr>
              <w:jc w:val="center"/>
              <w:rPr>
                <w:rFonts w:hint="eastAsia" w:ascii="宋体" w:hAnsi="宋体" w:eastAsia="宋体" w:cs="宋体"/>
                <w:i w:val="0"/>
                <w:iCs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DC4E2">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A4A57">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E336F">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48D4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68276">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06777">
            <w:pPr>
              <w:jc w:val="center"/>
              <w:rPr>
                <w:rFonts w:hint="eastAsia" w:ascii="宋体" w:hAnsi="宋体" w:eastAsia="宋体" w:cs="宋体"/>
                <w:i w:val="0"/>
                <w:iCs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9D575">
            <w:pPr>
              <w:jc w:val="center"/>
              <w:rPr>
                <w:rFonts w:hint="eastAsia" w:ascii="宋体" w:hAnsi="宋体" w:eastAsia="宋体" w:cs="宋体"/>
                <w:i w:val="0"/>
                <w:iCs w:val="0"/>
                <w:color w:val="000000"/>
                <w:sz w:val="18"/>
                <w:szCs w:val="18"/>
                <w:u w:val="none"/>
              </w:rPr>
            </w:pP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5AE76">
            <w:pPr>
              <w:jc w:val="center"/>
              <w:rPr>
                <w:rFonts w:hint="eastAsia" w:ascii="宋体" w:hAnsi="宋体" w:eastAsia="宋体" w:cs="宋体"/>
                <w:i w:val="0"/>
                <w:iCs w:val="0"/>
                <w:color w:val="000000"/>
                <w:sz w:val="18"/>
                <w:szCs w:val="18"/>
                <w:u w:val="none"/>
              </w:rPr>
            </w:pPr>
          </w:p>
        </w:tc>
      </w:tr>
      <w:tr w14:paraId="5232B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10" w:type="pct"/>
            <w:gridSpan w:val="4"/>
            <w:tcBorders>
              <w:top w:val="single" w:color="000000" w:sz="4" w:space="0"/>
              <w:left w:val="single" w:color="000000" w:sz="4" w:space="0"/>
              <w:bottom w:val="single" w:color="000000" w:sz="4" w:space="0"/>
              <w:right w:val="nil"/>
            </w:tcBorders>
            <w:shd w:val="clear" w:color="auto" w:fill="auto"/>
            <w:vAlign w:val="center"/>
          </w:tcPr>
          <w:p w14:paraId="7A0BA7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C60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nil"/>
              <w:bottom w:val="single" w:color="000000" w:sz="4" w:space="0"/>
              <w:right w:val="single" w:color="000000" w:sz="4" w:space="0"/>
            </w:tcBorders>
            <w:shd w:val="clear" w:color="auto" w:fill="auto"/>
            <w:vAlign w:val="center"/>
          </w:tcPr>
          <w:p w14:paraId="3924B355">
            <w:pPr>
              <w:rPr>
                <w:rFonts w:hint="eastAsia" w:ascii="宋体" w:hAnsi="宋体" w:eastAsia="宋体" w:cs="宋体"/>
                <w:b/>
                <w:bCs/>
                <w:i w:val="0"/>
                <w:iCs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183D3">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10D4D">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18D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98.86分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E868F">
            <w:pP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18A2E">
            <w:pP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3A6BF">
            <w:pPr>
              <w:rPr>
                <w:rFonts w:hint="eastAsia" w:ascii="宋体" w:hAnsi="宋体" w:eastAsia="宋体" w:cs="宋体"/>
                <w:i w:val="0"/>
                <w:iCs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452EA">
            <w:pPr>
              <w:rPr>
                <w:rFonts w:hint="eastAsia" w:ascii="宋体" w:hAnsi="宋体" w:eastAsia="宋体" w:cs="宋体"/>
                <w:i w:val="0"/>
                <w:iCs w:val="0"/>
                <w:color w:val="000000"/>
                <w:sz w:val="18"/>
                <w:szCs w:val="18"/>
                <w:u w:val="none"/>
              </w:rPr>
            </w:pPr>
          </w:p>
        </w:tc>
        <w:tc>
          <w:tcPr>
            <w:tcW w:w="8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1961F">
            <w:pPr>
              <w:rPr>
                <w:rFonts w:hint="eastAsia" w:ascii="宋体" w:hAnsi="宋体" w:eastAsia="宋体" w:cs="宋体"/>
                <w:i w:val="0"/>
                <w:iCs w:val="0"/>
                <w:color w:val="000000"/>
                <w:sz w:val="18"/>
                <w:szCs w:val="18"/>
                <w:u w:val="none"/>
              </w:rPr>
            </w:pPr>
          </w:p>
        </w:tc>
      </w:tr>
    </w:tbl>
    <w:p w14:paraId="0D2C1648">
      <w:pPr>
        <w:ind w:left="0" w:leftChars="0" w:firstLine="0" w:firstLineChars="0"/>
        <w:rPr>
          <w:color w:val="auto"/>
          <w:highlight w:val="none"/>
        </w:rPr>
      </w:pPr>
      <w:r>
        <w:rPr>
          <w:color w:val="auto"/>
          <w:highlight w:val="none"/>
        </w:rPr>
        <w:br w:type="page"/>
      </w:r>
    </w:p>
    <w:p w14:paraId="1772762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r>
        <w:rPr>
          <w:rFonts w:hint="eastAsia" w:ascii="宋体" w:hAnsi="宋体" w:eastAsia="宋体" w:cs="宋体"/>
          <w:b/>
          <w:bCs/>
          <w:color w:val="auto"/>
          <w:highlight w:val="none"/>
          <w:shd w:val="clear" w:color="auto" w:fill="auto"/>
          <w:lang w:val="en-US" w:eastAsia="zh-CN"/>
        </w:rPr>
        <w:t>附件二、项目支出绩效评价指标体系打分表</w:t>
      </w:r>
    </w:p>
    <w:tbl>
      <w:tblPr>
        <w:tblStyle w:val="17"/>
        <w:tblpPr w:leftFromText="180" w:rightFromText="180" w:vertAnchor="text" w:horzAnchor="page" w:tblpX="1551" w:tblpY="557"/>
        <w:tblOverlap w:val="never"/>
        <w:tblW w:w="1392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92"/>
        <w:gridCol w:w="796"/>
        <w:gridCol w:w="1604"/>
        <w:gridCol w:w="2505"/>
        <w:gridCol w:w="6780"/>
        <w:gridCol w:w="780"/>
        <w:gridCol w:w="667"/>
      </w:tblGrid>
      <w:tr w14:paraId="5A9FC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trPr>
        <w:tc>
          <w:tcPr>
            <w:tcW w:w="792" w:type="dxa"/>
            <w:shd w:val="clear" w:color="auto" w:fill="auto"/>
            <w:noWrap w:val="0"/>
            <w:vAlign w:val="center"/>
          </w:tcPr>
          <w:p w14:paraId="4BB426B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bookmarkStart w:id="153" w:name="_Toc11223"/>
            <w:bookmarkStart w:id="154" w:name="_Toc15067"/>
            <w:r>
              <w:rPr>
                <w:rFonts w:hint="eastAsia" w:ascii="宋体" w:hAnsi="宋体" w:eastAsia="宋体" w:cs="宋体"/>
                <w:b/>
                <w:bCs/>
                <w:color w:val="auto"/>
                <w:kern w:val="0"/>
                <w:sz w:val="22"/>
                <w:szCs w:val="22"/>
                <w:highlight w:val="none"/>
              </w:rPr>
              <w:t>一级指标</w:t>
            </w:r>
          </w:p>
        </w:tc>
        <w:tc>
          <w:tcPr>
            <w:tcW w:w="796" w:type="dxa"/>
            <w:shd w:val="clear" w:color="auto" w:fill="auto"/>
            <w:noWrap w:val="0"/>
            <w:vAlign w:val="center"/>
          </w:tcPr>
          <w:p w14:paraId="3488FAC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1604" w:type="dxa"/>
            <w:shd w:val="clear" w:color="auto" w:fill="auto"/>
            <w:noWrap w:val="0"/>
            <w:vAlign w:val="center"/>
          </w:tcPr>
          <w:p w14:paraId="698A1C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505" w:type="dxa"/>
            <w:shd w:val="clear" w:color="auto" w:fill="auto"/>
            <w:noWrap w:val="0"/>
            <w:vAlign w:val="center"/>
          </w:tcPr>
          <w:p w14:paraId="1AE324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6780" w:type="dxa"/>
            <w:shd w:val="clear" w:color="auto" w:fill="auto"/>
            <w:noWrap w:val="0"/>
            <w:vAlign w:val="center"/>
          </w:tcPr>
          <w:p w14:paraId="2340D14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0" w:type="dxa"/>
            <w:shd w:val="clear" w:color="auto" w:fill="auto"/>
            <w:noWrap w:val="0"/>
            <w:vAlign w:val="center"/>
          </w:tcPr>
          <w:p w14:paraId="3452EB6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667" w:type="dxa"/>
            <w:shd w:val="clear" w:color="auto" w:fill="auto"/>
            <w:noWrap w:val="0"/>
            <w:vAlign w:val="center"/>
          </w:tcPr>
          <w:p w14:paraId="639D5D8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37203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701" w:hRule="atLeast"/>
        </w:trPr>
        <w:tc>
          <w:tcPr>
            <w:tcW w:w="792" w:type="dxa"/>
            <w:vMerge w:val="restart"/>
            <w:shd w:val="clear" w:color="auto" w:fill="auto"/>
            <w:noWrap w:val="0"/>
            <w:vAlign w:val="center"/>
          </w:tcPr>
          <w:p w14:paraId="18CC406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006C66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D38730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96" w:type="dxa"/>
            <w:vMerge w:val="restart"/>
            <w:shd w:val="clear" w:color="auto" w:fill="auto"/>
            <w:noWrap w:val="0"/>
            <w:vAlign w:val="center"/>
          </w:tcPr>
          <w:p w14:paraId="1156F3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1604" w:type="dxa"/>
            <w:shd w:val="clear" w:color="auto" w:fill="auto"/>
            <w:noWrap w:val="0"/>
            <w:vAlign w:val="center"/>
          </w:tcPr>
          <w:p w14:paraId="6B81880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10FF03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505" w:type="dxa"/>
            <w:shd w:val="clear" w:color="auto" w:fill="auto"/>
            <w:noWrap w:val="0"/>
            <w:vAlign w:val="center"/>
          </w:tcPr>
          <w:p w14:paraId="4B0DC74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6780" w:type="dxa"/>
            <w:shd w:val="clear" w:color="auto" w:fill="auto"/>
            <w:noWrap w:val="0"/>
            <w:vAlign w:val="center"/>
          </w:tcPr>
          <w:p w14:paraId="45A889B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4590B1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06BB48E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4C642FD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6D99CA0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16628B4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0" w:type="dxa"/>
            <w:shd w:val="clear" w:color="auto" w:fill="auto"/>
            <w:noWrap w:val="0"/>
            <w:vAlign w:val="center"/>
          </w:tcPr>
          <w:p w14:paraId="3704E3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667" w:type="dxa"/>
            <w:shd w:val="clear" w:color="auto" w:fill="auto"/>
            <w:noWrap w:val="0"/>
            <w:vAlign w:val="center"/>
          </w:tcPr>
          <w:p w14:paraId="4FCCBEE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C1BD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60" w:hRule="atLeast"/>
        </w:trPr>
        <w:tc>
          <w:tcPr>
            <w:tcW w:w="792" w:type="dxa"/>
            <w:vMerge w:val="continue"/>
            <w:shd w:val="clear" w:color="auto" w:fill="auto"/>
            <w:noWrap w:val="0"/>
            <w:vAlign w:val="center"/>
          </w:tcPr>
          <w:p w14:paraId="6E2F2B3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continue"/>
            <w:shd w:val="clear" w:color="auto" w:fill="auto"/>
            <w:noWrap w:val="0"/>
            <w:vAlign w:val="center"/>
          </w:tcPr>
          <w:p w14:paraId="6BA118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604" w:type="dxa"/>
            <w:shd w:val="clear" w:color="auto" w:fill="auto"/>
            <w:noWrap w:val="0"/>
            <w:vAlign w:val="center"/>
          </w:tcPr>
          <w:p w14:paraId="70F16AE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6A8C49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505" w:type="dxa"/>
            <w:shd w:val="clear" w:color="auto" w:fill="auto"/>
            <w:noWrap w:val="0"/>
            <w:vAlign w:val="center"/>
          </w:tcPr>
          <w:p w14:paraId="7FD8574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6780" w:type="dxa"/>
            <w:shd w:val="clear" w:color="auto" w:fill="auto"/>
            <w:noWrap w:val="0"/>
            <w:vAlign w:val="center"/>
          </w:tcPr>
          <w:p w14:paraId="2D188A8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03875C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5764532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0F5E2A4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0" w:type="dxa"/>
            <w:shd w:val="clear" w:color="auto" w:fill="auto"/>
            <w:noWrap w:val="0"/>
            <w:vAlign w:val="center"/>
          </w:tcPr>
          <w:p w14:paraId="4B0F77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667" w:type="dxa"/>
            <w:shd w:val="clear" w:color="auto" w:fill="auto"/>
            <w:noWrap w:val="0"/>
            <w:vAlign w:val="center"/>
          </w:tcPr>
          <w:p w14:paraId="1D95919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437BDD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2" w:hRule="atLeast"/>
        </w:trPr>
        <w:tc>
          <w:tcPr>
            <w:tcW w:w="792" w:type="dxa"/>
            <w:vMerge w:val="continue"/>
            <w:shd w:val="clear" w:color="auto" w:fill="auto"/>
            <w:noWrap w:val="0"/>
            <w:vAlign w:val="center"/>
          </w:tcPr>
          <w:p w14:paraId="1840230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shd w:val="clear" w:color="auto" w:fill="auto"/>
            <w:noWrap w:val="0"/>
            <w:vAlign w:val="center"/>
          </w:tcPr>
          <w:p w14:paraId="334056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1604" w:type="dxa"/>
            <w:shd w:val="clear" w:color="auto" w:fill="auto"/>
            <w:noWrap w:val="0"/>
            <w:vAlign w:val="center"/>
          </w:tcPr>
          <w:p w14:paraId="592EF2B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0A3C07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505" w:type="dxa"/>
            <w:shd w:val="clear" w:color="auto" w:fill="auto"/>
            <w:noWrap w:val="0"/>
            <w:vAlign w:val="center"/>
          </w:tcPr>
          <w:p w14:paraId="3D076B3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6780" w:type="dxa"/>
            <w:shd w:val="clear" w:color="auto" w:fill="auto"/>
            <w:noWrap w:val="0"/>
            <w:vAlign w:val="center"/>
          </w:tcPr>
          <w:p w14:paraId="4B19A62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3B6E1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4EED72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32886AF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22576CD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739842C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0" w:type="dxa"/>
            <w:shd w:val="clear" w:color="auto" w:fill="auto"/>
            <w:noWrap w:val="0"/>
            <w:vAlign w:val="center"/>
          </w:tcPr>
          <w:p w14:paraId="223C6F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667" w:type="dxa"/>
            <w:shd w:val="clear" w:color="auto" w:fill="auto"/>
            <w:noWrap w:val="0"/>
            <w:vAlign w:val="center"/>
          </w:tcPr>
          <w:p w14:paraId="7919E90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7BC4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trPr>
        <w:tc>
          <w:tcPr>
            <w:tcW w:w="792" w:type="dxa"/>
            <w:vMerge w:val="restart"/>
            <w:shd w:val="clear" w:color="auto" w:fill="auto"/>
            <w:noWrap w:val="0"/>
            <w:vAlign w:val="center"/>
          </w:tcPr>
          <w:p w14:paraId="4ED3E6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96" w:type="dxa"/>
            <w:shd w:val="clear" w:color="auto" w:fill="auto"/>
            <w:noWrap w:val="0"/>
            <w:vAlign w:val="center"/>
          </w:tcPr>
          <w:p w14:paraId="5B99551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1604" w:type="dxa"/>
            <w:shd w:val="clear" w:color="auto" w:fill="auto"/>
            <w:noWrap w:val="0"/>
            <w:vAlign w:val="center"/>
          </w:tcPr>
          <w:p w14:paraId="114E51B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FEF73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505" w:type="dxa"/>
            <w:shd w:val="clear" w:color="auto" w:fill="auto"/>
            <w:noWrap w:val="0"/>
            <w:vAlign w:val="center"/>
          </w:tcPr>
          <w:p w14:paraId="5A013C0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6780" w:type="dxa"/>
            <w:shd w:val="clear" w:color="auto" w:fill="auto"/>
            <w:noWrap w:val="0"/>
            <w:vAlign w:val="center"/>
          </w:tcPr>
          <w:p w14:paraId="2309253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88B93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2CAC05F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5D65196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396DF6B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0" w:type="dxa"/>
            <w:shd w:val="clear" w:color="auto" w:fill="auto"/>
            <w:noWrap w:val="0"/>
            <w:vAlign w:val="center"/>
          </w:tcPr>
          <w:p w14:paraId="68E52D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667" w:type="dxa"/>
            <w:shd w:val="clear" w:color="auto" w:fill="auto"/>
            <w:noWrap w:val="0"/>
            <w:vAlign w:val="center"/>
          </w:tcPr>
          <w:p w14:paraId="071C02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F7E7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2" w:hRule="atLeast"/>
        </w:trPr>
        <w:tc>
          <w:tcPr>
            <w:tcW w:w="792" w:type="dxa"/>
            <w:vMerge w:val="continue"/>
            <w:shd w:val="clear" w:color="auto" w:fill="auto"/>
            <w:noWrap w:val="0"/>
            <w:vAlign w:val="center"/>
          </w:tcPr>
          <w:p w14:paraId="030937B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restart"/>
            <w:shd w:val="clear" w:color="auto" w:fill="auto"/>
            <w:noWrap w:val="0"/>
            <w:vAlign w:val="center"/>
          </w:tcPr>
          <w:p w14:paraId="4C30042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57DE35C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604" w:type="dxa"/>
            <w:shd w:val="clear" w:color="auto" w:fill="auto"/>
            <w:noWrap w:val="0"/>
            <w:vAlign w:val="center"/>
          </w:tcPr>
          <w:p w14:paraId="390D1C4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015265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505" w:type="dxa"/>
            <w:shd w:val="clear" w:color="auto" w:fill="auto"/>
            <w:noWrap w:val="0"/>
            <w:vAlign w:val="center"/>
          </w:tcPr>
          <w:p w14:paraId="0044725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6780" w:type="dxa"/>
            <w:shd w:val="clear" w:color="auto" w:fill="auto"/>
            <w:noWrap w:val="0"/>
            <w:vAlign w:val="center"/>
          </w:tcPr>
          <w:p w14:paraId="19813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E557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7C18243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276EB61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353C612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0" w:type="dxa"/>
            <w:shd w:val="clear" w:color="auto" w:fill="auto"/>
            <w:noWrap w:val="0"/>
            <w:vAlign w:val="center"/>
          </w:tcPr>
          <w:p w14:paraId="7DB050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667" w:type="dxa"/>
            <w:shd w:val="clear" w:color="auto" w:fill="auto"/>
            <w:noWrap w:val="0"/>
            <w:vAlign w:val="center"/>
          </w:tcPr>
          <w:p w14:paraId="3A7BA1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626C8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879" w:hRule="atLeast"/>
        </w:trPr>
        <w:tc>
          <w:tcPr>
            <w:tcW w:w="792" w:type="dxa"/>
            <w:vMerge w:val="continue"/>
            <w:shd w:val="clear" w:color="auto" w:fill="auto"/>
            <w:noWrap w:val="0"/>
            <w:vAlign w:val="center"/>
          </w:tcPr>
          <w:p w14:paraId="5A5FA00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continue"/>
            <w:shd w:val="clear" w:color="auto" w:fill="auto"/>
            <w:noWrap w:val="0"/>
            <w:vAlign w:val="center"/>
          </w:tcPr>
          <w:p w14:paraId="160F52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604" w:type="dxa"/>
            <w:shd w:val="clear" w:color="auto" w:fill="auto"/>
            <w:noWrap w:val="0"/>
            <w:vAlign w:val="center"/>
          </w:tcPr>
          <w:p w14:paraId="3B10A47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5A98D4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505" w:type="dxa"/>
            <w:shd w:val="clear" w:color="auto" w:fill="auto"/>
            <w:noWrap w:val="0"/>
            <w:vAlign w:val="center"/>
          </w:tcPr>
          <w:p w14:paraId="6A1B157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6780" w:type="dxa"/>
            <w:shd w:val="clear" w:color="auto" w:fill="auto"/>
            <w:noWrap w:val="0"/>
            <w:vAlign w:val="center"/>
          </w:tcPr>
          <w:p w14:paraId="021B54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67A04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6679B9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0" w:type="dxa"/>
            <w:shd w:val="clear" w:color="auto" w:fill="auto"/>
            <w:noWrap w:val="0"/>
            <w:vAlign w:val="center"/>
          </w:tcPr>
          <w:p w14:paraId="045A19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667" w:type="dxa"/>
            <w:shd w:val="clear" w:color="auto" w:fill="auto"/>
            <w:noWrap w:val="0"/>
            <w:vAlign w:val="center"/>
          </w:tcPr>
          <w:p w14:paraId="4F0A9F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4B12B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365" w:hRule="atLeast"/>
        </w:trPr>
        <w:tc>
          <w:tcPr>
            <w:tcW w:w="792" w:type="dxa"/>
            <w:vMerge w:val="restart"/>
            <w:shd w:val="clear" w:color="auto" w:fill="auto"/>
            <w:noWrap w:val="0"/>
            <w:vAlign w:val="center"/>
          </w:tcPr>
          <w:p w14:paraId="0826F0C0">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96" w:type="dxa"/>
            <w:vMerge w:val="restart"/>
            <w:shd w:val="clear" w:color="auto" w:fill="auto"/>
            <w:noWrap w:val="0"/>
            <w:vAlign w:val="center"/>
          </w:tcPr>
          <w:p w14:paraId="0DA0BCA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604" w:type="dxa"/>
            <w:shd w:val="clear" w:color="auto" w:fill="auto"/>
            <w:noWrap w:val="0"/>
            <w:vAlign w:val="center"/>
          </w:tcPr>
          <w:p w14:paraId="3CD524E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505" w:type="dxa"/>
            <w:shd w:val="clear" w:color="auto" w:fill="auto"/>
            <w:noWrap w:val="0"/>
            <w:vAlign w:val="center"/>
          </w:tcPr>
          <w:p w14:paraId="41813E9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6780" w:type="dxa"/>
            <w:shd w:val="clear" w:color="auto" w:fill="auto"/>
            <w:noWrap w:val="0"/>
            <w:vAlign w:val="center"/>
          </w:tcPr>
          <w:p w14:paraId="1388CCE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14:paraId="3AB4002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0B88810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0" w:type="dxa"/>
            <w:shd w:val="clear" w:color="auto" w:fill="auto"/>
            <w:noWrap w:val="0"/>
            <w:vAlign w:val="center"/>
          </w:tcPr>
          <w:p w14:paraId="5BA2B3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c>
          <w:tcPr>
            <w:tcW w:w="667" w:type="dxa"/>
            <w:shd w:val="clear" w:color="auto" w:fill="auto"/>
            <w:noWrap w:val="0"/>
            <w:vAlign w:val="center"/>
          </w:tcPr>
          <w:p w14:paraId="527ADB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7924D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3" w:hRule="atLeast"/>
        </w:trPr>
        <w:tc>
          <w:tcPr>
            <w:tcW w:w="792" w:type="dxa"/>
            <w:vMerge w:val="continue"/>
            <w:shd w:val="clear" w:color="auto" w:fill="auto"/>
            <w:noWrap w:val="0"/>
            <w:vAlign w:val="center"/>
          </w:tcPr>
          <w:p w14:paraId="7EF9B3F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96" w:type="dxa"/>
            <w:vMerge w:val="continue"/>
            <w:shd w:val="clear" w:color="auto" w:fill="auto"/>
            <w:noWrap w:val="0"/>
            <w:vAlign w:val="center"/>
          </w:tcPr>
          <w:p w14:paraId="63A63A5C">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604" w:type="dxa"/>
            <w:shd w:val="clear" w:color="auto" w:fill="auto"/>
            <w:noWrap w:val="0"/>
            <w:vAlign w:val="center"/>
          </w:tcPr>
          <w:p w14:paraId="7C780E9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505" w:type="dxa"/>
            <w:shd w:val="clear" w:color="auto" w:fill="auto"/>
            <w:noWrap w:val="0"/>
            <w:vAlign w:val="center"/>
          </w:tcPr>
          <w:p w14:paraId="52885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6780" w:type="dxa"/>
            <w:shd w:val="clear" w:color="auto" w:fill="auto"/>
            <w:noWrap w:val="0"/>
            <w:vAlign w:val="center"/>
          </w:tcPr>
          <w:p w14:paraId="316A95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41D6347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0" w:type="dxa"/>
            <w:shd w:val="clear" w:color="auto" w:fill="auto"/>
            <w:noWrap w:val="0"/>
            <w:vAlign w:val="center"/>
          </w:tcPr>
          <w:p w14:paraId="59E206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c>
          <w:tcPr>
            <w:tcW w:w="667" w:type="dxa"/>
            <w:shd w:val="clear" w:color="auto" w:fill="auto"/>
            <w:noWrap w:val="0"/>
            <w:vAlign w:val="center"/>
          </w:tcPr>
          <w:p w14:paraId="18AA3D7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3.94</w:t>
            </w:r>
          </w:p>
        </w:tc>
      </w:tr>
      <w:tr w14:paraId="181D7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05" w:hRule="atLeast"/>
        </w:trPr>
        <w:tc>
          <w:tcPr>
            <w:tcW w:w="792" w:type="dxa"/>
            <w:vMerge w:val="restart"/>
            <w:shd w:val="clear" w:color="auto" w:fill="auto"/>
            <w:noWrap w:val="0"/>
            <w:vAlign w:val="center"/>
          </w:tcPr>
          <w:p w14:paraId="47D29F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3918E50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96" w:type="dxa"/>
            <w:shd w:val="clear" w:color="auto" w:fill="auto"/>
            <w:noWrap w:val="0"/>
            <w:vAlign w:val="center"/>
          </w:tcPr>
          <w:p w14:paraId="34A19FD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604" w:type="dxa"/>
            <w:shd w:val="clear" w:color="auto" w:fill="auto"/>
            <w:noWrap w:val="0"/>
            <w:vAlign w:val="center"/>
          </w:tcPr>
          <w:p w14:paraId="6692B5A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55432B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505" w:type="dxa"/>
            <w:shd w:val="clear" w:color="auto" w:fill="auto"/>
            <w:noWrap w:val="0"/>
            <w:vAlign w:val="center"/>
          </w:tcPr>
          <w:p w14:paraId="1B9A266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6780" w:type="dxa"/>
            <w:shd w:val="clear" w:color="auto" w:fill="auto"/>
            <w:noWrap w:val="0"/>
            <w:vAlign w:val="center"/>
          </w:tcPr>
          <w:p w14:paraId="477C81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4EA25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131250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041ACF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224566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0" w:type="dxa"/>
            <w:shd w:val="clear" w:color="auto" w:fill="auto"/>
            <w:noWrap w:val="0"/>
            <w:vAlign w:val="center"/>
          </w:tcPr>
          <w:p w14:paraId="46C917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667" w:type="dxa"/>
            <w:shd w:val="clear" w:color="auto" w:fill="auto"/>
            <w:noWrap w:val="0"/>
            <w:vAlign w:val="center"/>
          </w:tcPr>
          <w:p w14:paraId="3250EC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8C23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2" w:hRule="atLeast"/>
        </w:trPr>
        <w:tc>
          <w:tcPr>
            <w:tcW w:w="792" w:type="dxa"/>
            <w:vMerge w:val="continue"/>
            <w:shd w:val="clear" w:color="auto" w:fill="auto"/>
            <w:noWrap w:val="0"/>
            <w:vAlign w:val="center"/>
          </w:tcPr>
          <w:p w14:paraId="7396480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restart"/>
            <w:shd w:val="clear" w:color="auto" w:fill="auto"/>
            <w:noWrap w:val="0"/>
            <w:vAlign w:val="center"/>
          </w:tcPr>
          <w:p w14:paraId="29404D1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2C74DBA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604" w:type="dxa"/>
            <w:shd w:val="clear" w:color="auto" w:fill="auto"/>
            <w:noWrap w:val="0"/>
            <w:vAlign w:val="center"/>
          </w:tcPr>
          <w:p w14:paraId="1B32B62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3576B15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505" w:type="dxa"/>
            <w:shd w:val="clear" w:color="auto" w:fill="auto"/>
            <w:noWrap w:val="0"/>
            <w:vAlign w:val="center"/>
          </w:tcPr>
          <w:p w14:paraId="3D8A49B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6780" w:type="dxa"/>
            <w:shd w:val="clear" w:color="auto" w:fill="auto"/>
            <w:noWrap w:val="0"/>
            <w:vAlign w:val="center"/>
          </w:tcPr>
          <w:p w14:paraId="545F44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5A160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62BDC1F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0" w:type="dxa"/>
            <w:shd w:val="clear" w:color="auto" w:fill="auto"/>
            <w:noWrap w:val="0"/>
            <w:vAlign w:val="center"/>
          </w:tcPr>
          <w:p w14:paraId="301EB9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c>
          <w:tcPr>
            <w:tcW w:w="667" w:type="dxa"/>
            <w:shd w:val="clear" w:color="auto" w:fill="auto"/>
            <w:noWrap w:val="0"/>
            <w:vAlign w:val="center"/>
          </w:tcPr>
          <w:p w14:paraId="2D7F27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F6B6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27" w:hRule="atLeast"/>
        </w:trPr>
        <w:tc>
          <w:tcPr>
            <w:tcW w:w="792" w:type="dxa"/>
            <w:vMerge w:val="continue"/>
            <w:shd w:val="clear" w:color="auto" w:fill="auto"/>
            <w:noWrap w:val="0"/>
            <w:vAlign w:val="center"/>
          </w:tcPr>
          <w:p w14:paraId="581B5D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continue"/>
            <w:shd w:val="clear" w:color="auto" w:fill="auto"/>
            <w:noWrap w:val="0"/>
            <w:vAlign w:val="center"/>
          </w:tcPr>
          <w:p w14:paraId="5B6DF9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604" w:type="dxa"/>
            <w:shd w:val="clear" w:color="auto" w:fill="auto"/>
            <w:noWrap w:val="0"/>
            <w:vAlign w:val="center"/>
          </w:tcPr>
          <w:p w14:paraId="4F4767C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7233172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505" w:type="dxa"/>
            <w:shd w:val="clear" w:color="auto" w:fill="auto"/>
            <w:noWrap w:val="0"/>
            <w:vAlign w:val="center"/>
          </w:tcPr>
          <w:p w14:paraId="21C2B37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6780" w:type="dxa"/>
            <w:shd w:val="clear" w:color="auto" w:fill="auto"/>
            <w:noWrap w:val="0"/>
            <w:vAlign w:val="center"/>
          </w:tcPr>
          <w:p w14:paraId="09F8C3B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E723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34669B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27D3D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3542635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0" w:type="dxa"/>
            <w:shd w:val="clear" w:color="auto" w:fill="auto"/>
            <w:noWrap w:val="0"/>
            <w:vAlign w:val="center"/>
          </w:tcPr>
          <w:p w14:paraId="1304EB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667" w:type="dxa"/>
            <w:shd w:val="clear" w:color="auto" w:fill="auto"/>
            <w:noWrap w:val="0"/>
            <w:vAlign w:val="center"/>
          </w:tcPr>
          <w:p w14:paraId="7CD363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8951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5" w:hRule="atLeast"/>
        </w:trPr>
        <w:tc>
          <w:tcPr>
            <w:tcW w:w="792" w:type="dxa"/>
            <w:shd w:val="clear" w:color="auto" w:fill="auto"/>
            <w:noWrap w:val="0"/>
            <w:vAlign w:val="center"/>
          </w:tcPr>
          <w:p w14:paraId="23FA22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96" w:type="dxa"/>
            <w:shd w:val="clear" w:color="auto" w:fill="auto"/>
            <w:noWrap w:val="0"/>
            <w:vAlign w:val="center"/>
          </w:tcPr>
          <w:p w14:paraId="2C7E73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1604" w:type="dxa"/>
            <w:shd w:val="clear" w:color="auto" w:fill="auto"/>
            <w:noWrap w:val="0"/>
            <w:vAlign w:val="center"/>
          </w:tcPr>
          <w:p w14:paraId="0E6942B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保障残疾人工作运行人员工资及社保人数</w:t>
            </w:r>
          </w:p>
        </w:tc>
        <w:tc>
          <w:tcPr>
            <w:tcW w:w="2505" w:type="dxa"/>
            <w:shd w:val="clear" w:color="auto" w:fill="auto"/>
            <w:noWrap w:val="0"/>
            <w:vAlign w:val="center"/>
          </w:tcPr>
          <w:p w14:paraId="4C78F45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6780" w:type="dxa"/>
            <w:shd w:val="clear" w:color="auto" w:fill="auto"/>
            <w:noWrap w:val="0"/>
            <w:vAlign w:val="center"/>
          </w:tcPr>
          <w:p w14:paraId="294762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640362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6E4B4D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0" w:type="dxa"/>
            <w:shd w:val="clear" w:color="auto" w:fill="auto"/>
            <w:noWrap w:val="0"/>
            <w:vAlign w:val="center"/>
          </w:tcPr>
          <w:p w14:paraId="4FFB8B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667" w:type="dxa"/>
            <w:shd w:val="clear" w:color="auto" w:fill="auto"/>
            <w:noWrap w:val="0"/>
            <w:vAlign w:val="center"/>
          </w:tcPr>
          <w:p w14:paraId="4A69D9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71D6C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857" w:hRule="atLeast"/>
        </w:trPr>
        <w:tc>
          <w:tcPr>
            <w:tcW w:w="792" w:type="dxa"/>
            <w:vMerge w:val="restart"/>
            <w:shd w:val="clear" w:color="auto" w:fill="auto"/>
            <w:noWrap w:val="0"/>
            <w:vAlign w:val="center"/>
          </w:tcPr>
          <w:p w14:paraId="4DB0EC9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96" w:type="dxa"/>
            <w:shd w:val="clear" w:color="auto" w:fill="auto"/>
            <w:noWrap w:val="0"/>
            <w:vAlign w:val="center"/>
          </w:tcPr>
          <w:p w14:paraId="7C5E45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1604" w:type="dxa"/>
            <w:shd w:val="clear" w:color="auto" w:fill="auto"/>
            <w:noWrap w:val="0"/>
            <w:vAlign w:val="center"/>
          </w:tcPr>
          <w:p w14:paraId="1BB68F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保障残疾人工作运行人员工资及社保发放完成率</w:t>
            </w:r>
          </w:p>
        </w:tc>
        <w:tc>
          <w:tcPr>
            <w:tcW w:w="2505" w:type="dxa"/>
            <w:shd w:val="clear" w:color="auto" w:fill="auto"/>
            <w:noWrap w:val="0"/>
            <w:vAlign w:val="center"/>
          </w:tcPr>
          <w:p w14:paraId="0F956FD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6780" w:type="dxa"/>
            <w:shd w:val="clear" w:color="auto" w:fill="auto"/>
            <w:noWrap w:val="0"/>
            <w:vAlign w:val="center"/>
          </w:tcPr>
          <w:p w14:paraId="3C258F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028F9F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0" w:type="dxa"/>
            <w:shd w:val="clear" w:color="auto" w:fill="auto"/>
            <w:noWrap w:val="0"/>
            <w:vAlign w:val="center"/>
          </w:tcPr>
          <w:p w14:paraId="5B774CA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667" w:type="dxa"/>
            <w:shd w:val="clear" w:color="auto" w:fill="auto"/>
            <w:noWrap w:val="0"/>
            <w:vAlign w:val="center"/>
          </w:tcPr>
          <w:p w14:paraId="5DA5E9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4AC15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80" w:hRule="atLeast"/>
        </w:trPr>
        <w:tc>
          <w:tcPr>
            <w:tcW w:w="792" w:type="dxa"/>
            <w:vMerge w:val="continue"/>
            <w:shd w:val="clear" w:color="auto" w:fill="auto"/>
            <w:noWrap w:val="0"/>
            <w:vAlign w:val="center"/>
          </w:tcPr>
          <w:p w14:paraId="1AE296F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restart"/>
            <w:shd w:val="clear" w:color="auto" w:fill="auto"/>
            <w:noWrap w:val="0"/>
            <w:vAlign w:val="center"/>
          </w:tcPr>
          <w:p w14:paraId="01E20D4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1604" w:type="dxa"/>
            <w:shd w:val="clear" w:color="auto" w:fill="auto"/>
            <w:noWrap w:val="0"/>
            <w:vAlign w:val="center"/>
          </w:tcPr>
          <w:p w14:paraId="45CC2F0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2505" w:type="dxa"/>
            <w:shd w:val="clear" w:color="auto" w:fill="auto"/>
            <w:noWrap w:val="0"/>
            <w:vAlign w:val="center"/>
          </w:tcPr>
          <w:p w14:paraId="6C4211B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6780" w:type="dxa"/>
            <w:shd w:val="clear" w:color="auto" w:fill="auto"/>
            <w:noWrap w:val="0"/>
            <w:vAlign w:val="center"/>
          </w:tcPr>
          <w:p w14:paraId="5D3E89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706819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0" w:type="dxa"/>
            <w:shd w:val="clear" w:color="auto" w:fill="auto"/>
            <w:noWrap w:val="0"/>
            <w:vAlign w:val="center"/>
          </w:tcPr>
          <w:p w14:paraId="7E5D8A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667" w:type="dxa"/>
            <w:shd w:val="clear" w:color="auto" w:fill="auto"/>
            <w:noWrap w:val="0"/>
            <w:vAlign w:val="center"/>
          </w:tcPr>
          <w:p w14:paraId="60CF36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10AED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792" w:type="dxa"/>
            <w:vMerge w:val="continue"/>
            <w:shd w:val="clear" w:color="auto" w:fill="auto"/>
            <w:noWrap w:val="0"/>
            <w:vAlign w:val="center"/>
          </w:tcPr>
          <w:p w14:paraId="5E1C94C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continue"/>
            <w:shd w:val="clear" w:color="auto" w:fill="auto"/>
            <w:noWrap w:val="0"/>
            <w:vAlign w:val="center"/>
          </w:tcPr>
          <w:p w14:paraId="08851F0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604" w:type="dxa"/>
            <w:shd w:val="clear" w:color="auto" w:fill="auto"/>
            <w:noWrap w:val="0"/>
            <w:vAlign w:val="center"/>
          </w:tcPr>
          <w:p w14:paraId="6F464BC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保障残疾人工作运行人员工资及社保发放时间</w:t>
            </w:r>
          </w:p>
        </w:tc>
        <w:tc>
          <w:tcPr>
            <w:tcW w:w="2505" w:type="dxa"/>
            <w:shd w:val="clear" w:color="auto" w:fill="auto"/>
            <w:noWrap w:val="0"/>
            <w:vAlign w:val="center"/>
          </w:tcPr>
          <w:p w14:paraId="09470D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6780" w:type="dxa"/>
            <w:shd w:val="clear" w:color="auto" w:fill="auto"/>
            <w:noWrap w:val="0"/>
            <w:vAlign w:val="center"/>
          </w:tcPr>
          <w:p w14:paraId="0C05164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1B4D87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0" w:type="dxa"/>
            <w:shd w:val="clear" w:color="auto" w:fill="auto"/>
            <w:noWrap w:val="0"/>
            <w:vAlign w:val="center"/>
          </w:tcPr>
          <w:p w14:paraId="2195D9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667" w:type="dxa"/>
            <w:shd w:val="clear" w:color="auto" w:fill="auto"/>
            <w:noWrap w:val="0"/>
            <w:vAlign w:val="center"/>
          </w:tcPr>
          <w:p w14:paraId="3DCFD9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548CF7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47" w:hRule="atLeast"/>
        </w:trPr>
        <w:tc>
          <w:tcPr>
            <w:tcW w:w="792" w:type="dxa"/>
            <w:vMerge w:val="continue"/>
            <w:shd w:val="clear" w:color="auto" w:fill="auto"/>
            <w:noWrap w:val="0"/>
            <w:vAlign w:val="center"/>
          </w:tcPr>
          <w:p w14:paraId="04D91C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restart"/>
            <w:shd w:val="clear" w:color="auto" w:fill="auto"/>
            <w:noWrap w:val="0"/>
            <w:vAlign w:val="center"/>
          </w:tcPr>
          <w:p w14:paraId="58AB4C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1604" w:type="dxa"/>
            <w:shd w:val="clear" w:color="auto" w:fill="auto"/>
            <w:noWrap w:val="0"/>
            <w:vAlign w:val="center"/>
          </w:tcPr>
          <w:p w14:paraId="32B7F55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残疾人工作运行经费</w:t>
            </w:r>
          </w:p>
        </w:tc>
        <w:tc>
          <w:tcPr>
            <w:tcW w:w="2505" w:type="dxa"/>
            <w:shd w:val="clear" w:color="auto" w:fill="auto"/>
            <w:noWrap w:val="0"/>
            <w:vAlign w:val="center"/>
          </w:tcPr>
          <w:p w14:paraId="782B02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6780" w:type="dxa"/>
            <w:shd w:val="clear" w:color="auto" w:fill="auto"/>
            <w:noWrap w:val="0"/>
            <w:vAlign w:val="center"/>
          </w:tcPr>
          <w:p w14:paraId="0836C3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6B0A848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08FC0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0" w:type="dxa"/>
            <w:shd w:val="clear" w:color="auto" w:fill="auto"/>
            <w:noWrap w:val="0"/>
            <w:vAlign w:val="center"/>
          </w:tcPr>
          <w:p w14:paraId="77ADEB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667" w:type="dxa"/>
            <w:shd w:val="clear" w:color="auto" w:fill="auto"/>
            <w:noWrap w:val="0"/>
            <w:vAlign w:val="center"/>
          </w:tcPr>
          <w:p w14:paraId="4696754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6.3</w:t>
            </w:r>
          </w:p>
        </w:tc>
      </w:tr>
      <w:tr w14:paraId="00671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6" w:hRule="atLeast"/>
        </w:trPr>
        <w:tc>
          <w:tcPr>
            <w:tcW w:w="792" w:type="dxa"/>
            <w:vMerge w:val="continue"/>
            <w:shd w:val="clear" w:color="auto" w:fill="auto"/>
            <w:noWrap w:val="0"/>
            <w:vAlign w:val="center"/>
          </w:tcPr>
          <w:p w14:paraId="5DDACB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continue"/>
            <w:shd w:val="clear" w:color="auto" w:fill="auto"/>
            <w:noWrap w:val="0"/>
            <w:vAlign w:val="center"/>
          </w:tcPr>
          <w:p w14:paraId="6818B1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604" w:type="dxa"/>
            <w:shd w:val="clear" w:color="auto" w:fill="auto"/>
            <w:noWrap w:val="0"/>
            <w:vAlign w:val="center"/>
          </w:tcPr>
          <w:p w14:paraId="45BBA9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保障残疾人工作运行人员工资及社保发放额</w:t>
            </w:r>
          </w:p>
        </w:tc>
        <w:tc>
          <w:tcPr>
            <w:tcW w:w="2505" w:type="dxa"/>
            <w:shd w:val="clear" w:color="auto" w:fill="auto"/>
            <w:noWrap w:val="0"/>
            <w:vAlign w:val="center"/>
          </w:tcPr>
          <w:p w14:paraId="354F264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6780" w:type="dxa"/>
            <w:shd w:val="clear" w:color="auto" w:fill="auto"/>
            <w:noWrap w:val="0"/>
            <w:vAlign w:val="center"/>
          </w:tcPr>
          <w:p w14:paraId="19BA9A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655BA9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134268F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0" w:type="dxa"/>
            <w:shd w:val="clear" w:color="auto" w:fill="auto"/>
            <w:noWrap w:val="0"/>
            <w:vAlign w:val="center"/>
          </w:tcPr>
          <w:p w14:paraId="302E40E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667" w:type="dxa"/>
            <w:shd w:val="clear" w:color="auto" w:fill="auto"/>
            <w:noWrap w:val="0"/>
            <w:vAlign w:val="center"/>
          </w:tcPr>
          <w:p w14:paraId="2555184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49298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8" w:hRule="atLeast"/>
        </w:trPr>
        <w:tc>
          <w:tcPr>
            <w:tcW w:w="792" w:type="dxa"/>
            <w:vMerge w:val="restart"/>
            <w:shd w:val="clear" w:color="auto" w:fill="auto"/>
            <w:noWrap w:val="0"/>
            <w:vAlign w:val="center"/>
          </w:tcPr>
          <w:p w14:paraId="09E3BAB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96" w:type="dxa"/>
            <w:vMerge w:val="restart"/>
            <w:shd w:val="clear" w:color="auto" w:fill="auto"/>
            <w:noWrap w:val="0"/>
            <w:vAlign w:val="center"/>
          </w:tcPr>
          <w:p w14:paraId="611529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1604" w:type="dxa"/>
            <w:shd w:val="clear" w:color="auto" w:fill="auto"/>
            <w:noWrap w:val="0"/>
            <w:vAlign w:val="center"/>
          </w:tcPr>
          <w:p w14:paraId="12D08D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提升贫困残疾人生活水平</w:t>
            </w:r>
          </w:p>
        </w:tc>
        <w:tc>
          <w:tcPr>
            <w:tcW w:w="2505" w:type="dxa"/>
            <w:shd w:val="clear" w:color="auto" w:fill="auto"/>
            <w:noWrap w:val="0"/>
            <w:vAlign w:val="center"/>
          </w:tcPr>
          <w:p w14:paraId="13DD43B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6780" w:type="dxa"/>
            <w:shd w:val="clear" w:color="auto" w:fill="auto"/>
            <w:noWrap w:val="0"/>
            <w:vAlign w:val="center"/>
          </w:tcPr>
          <w:p w14:paraId="47372C8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0" w:type="dxa"/>
            <w:shd w:val="clear" w:color="auto" w:fill="auto"/>
            <w:noWrap w:val="0"/>
            <w:vAlign w:val="center"/>
          </w:tcPr>
          <w:p w14:paraId="0E42B7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667" w:type="dxa"/>
            <w:shd w:val="clear" w:color="auto" w:fill="auto"/>
            <w:noWrap w:val="0"/>
            <w:vAlign w:val="center"/>
          </w:tcPr>
          <w:p w14:paraId="1E857B9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19F32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8" w:hRule="atLeast"/>
        </w:trPr>
        <w:tc>
          <w:tcPr>
            <w:tcW w:w="792" w:type="dxa"/>
            <w:vMerge w:val="continue"/>
            <w:shd w:val="clear" w:color="auto" w:fill="auto"/>
            <w:noWrap w:val="0"/>
            <w:vAlign w:val="center"/>
          </w:tcPr>
          <w:p w14:paraId="6A004E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continue"/>
            <w:shd w:val="clear" w:color="auto" w:fill="auto"/>
            <w:noWrap w:val="0"/>
            <w:vAlign w:val="center"/>
          </w:tcPr>
          <w:p w14:paraId="3C7EA59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604" w:type="dxa"/>
            <w:shd w:val="clear" w:color="auto" w:fill="auto"/>
            <w:noWrap w:val="0"/>
            <w:vAlign w:val="center"/>
          </w:tcPr>
          <w:p w14:paraId="02E0BE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保障残疾人工作运行人员工资及社保，增强服务水平</w:t>
            </w:r>
          </w:p>
        </w:tc>
        <w:tc>
          <w:tcPr>
            <w:tcW w:w="2505" w:type="dxa"/>
            <w:shd w:val="clear" w:color="auto" w:fill="auto"/>
            <w:noWrap w:val="0"/>
            <w:vAlign w:val="center"/>
          </w:tcPr>
          <w:p w14:paraId="4311806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6780" w:type="dxa"/>
            <w:shd w:val="clear" w:color="auto" w:fill="auto"/>
            <w:noWrap w:val="0"/>
            <w:vAlign w:val="center"/>
          </w:tcPr>
          <w:p w14:paraId="2263D2E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0" w:type="dxa"/>
            <w:shd w:val="clear" w:color="auto" w:fill="auto"/>
            <w:noWrap w:val="0"/>
            <w:vAlign w:val="center"/>
          </w:tcPr>
          <w:p w14:paraId="381304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667" w:type="dxa"/>
            <w:shd w:val="clear" w:color="auto" w:fill="auto"/>
            <w:noWrap w:val="0"/>
            <w:vAlign w:val="center"/>
          </w:tcPr>
          <w:p w14:paraId="3242F6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657EB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53" w:hRule="atLeast"/>
        </w:trPr>
        <w:tc>
          <w:tcPr>
            <w:tcW w:w="792" w:type="dxa"/>
            <w:vMerge w:val="continue"/>
            <w:shd w:val="clear" w:color="auto" w:fill="auto"/>
            <w:noWrap w:val="0"/>
            <w:vAlign w:val="center"/>
          </w:tcPr>
          <w:p w14:paraId="55B1BCA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96" w:type="dxa"/>
            <w:vMerge w:val="continue"/>
            <w:shd w:val="clear" w:color="auto" w:fill="auto"/>
            <w:noWrap w:val="0"/>
            <w:vAlign w:val="center"/>
          </w:tcPr>
          <w:p w14:paraId="614B8BE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1604" w:type="dxa"/>
            <w:shd w:val="clear" w:color="auto" w:fill="auto"/>
            <w:noWrap w:val="0"/>
            <w:vAlign w:val="center"/>
          </w:tcPr>
          <w:p w14:paraId="2E7726AD">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0"/>
                <w:szCs w:val="20"/>
                <w:highlight w:val="none"/>
                <w:shd w:val="clear" w:color="auto" w:fill="auto"/>
                <w:lang w:val="en-US" w:eastAsia="zh-CN"/>
              </w:rPr>
              <w:t>困难重度残疾人家庭无障碍改造满意度</w:t>
            </w:r>
          </w:p>
        </w:tc>
        <w:tc>
          <w:tcPr>
            <w:tcW w:w="2505" w:type="dxa"/>
            <w:shd w:val="clear" w:color="auto" w:fill="auto"/>
            <w:noWrap w:val="0"/>
            <w:vAlign w:val="center"/>
          </w:tcPr>
          <w:p w14:paraId="10F658F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6780" w:type="dxa"/>
            <w:shd w:val="clear" w:color="auto" w:fill="auto"/>
            <w:noWrap w:val="0"/>
            <w:vAlign w:val="center"/>
          </w:tcPr>
          <w:p w14:paraId="2E028AB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0" w:type="dxa"/>
            <w:shd w:val="clear" w:color="auto" w:fill="auto"/>
            <w:noWrap w:val="0"/>
            <w:vAlign w:val="center"/>
          </w:tcPr>
          <w:p w14:paraId="56459A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667" w:type="dxa"/>
            <w:shd w:val="clear" w:color="auto" w:fill="auto"/>
            <w:noWrap w:val="0"/>
            <w:vAlign w:val="center"/>
          </w:tcPr>
          <w:p w14:paraId="360E26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2503D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trPr>
        <w:tc>
          <w:tcPr>
            <w:tcW w:w="5697" w:type="dxa"/>
            <w:gridSpan w:val="4"/>
            <w:shd w:val="clear" w:color="auto" w:fill="auto"/>
            <w:noWrap w:val="0"/>
            <w:vAlign w:val="center"/>
          </w:tcPr>
          <w:p w14:paraId="5522214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6780" w:type="dxa"/>
            <w:shd w:val="clear" w:color="auto" w:fill="auto"/>
            <w:noWrap w:val="0"/>
            <w:vAlign w:val="center"/>
          </w:tcPr>
          <w:p w14:paraId="40581D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0" w:type="dxa"/>
            <w:shd w:val="clear" w:color="auto" w:fill="auto"/>
            <w:noWrap w:val="0"/>
            <w:vAlign w:val="center"/>
          </w:tcPr>
          <w:p w14:paraId="3A88C64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667" w:type="dxa"/>
            <w:shd w:val="clear" w:color="auto" w:fill="auto"/>
            <w:noWrap w:val="0"/>
            <w:vAlign w:val="center"/>
          </w:tcPr>
          <w:p w14:paraId="7198F5A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98.24</w:t>
            </w:r>
          </w:p>
        </w:tc>
      </w:tr>
      <w:bookmarkEnd w:id="153"/>
      <w:bookmarkEnd w:id="154"/>
    </w:tbl>
    <w:p w14:paraId="336B3C9F">
      <w:pPr>
        <w:pageBreakBefore w:val="0"/>
        <w:kinsoku/>
        <w:wordWrap/>
        <w:overflowPunct/>
        <w:topLinePunct w:val="0"/>
        <w:autoSpaceDE/>
        <w:autoSpaceDN/>
        <w:bidi w:val="0"/>
        <w:spacing w:line="560" w:lineRule="exact"/>
        <w:ind w:left="0" w:leftChars="0" w:firstLine="0" w:firstLineChars="0"/>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582697EA"/>
    <w:multiLevelType w:val="singleLevel"/>
    <w:tmpl w:val="582697EA"/>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1511C4"/>
    <w:rsid w:val="03305FFE"/>
    <w:rsid w:val="033B569D"/>
    <w:rsid w:val="039C3BA0"/>
    <w:rsid w:val="03A845BB"/>
    <w:rsid w:val="03B45AD1"/>
    <w:rsid w:val="03BF7238"/>
    <w:rsid w:val="04D12EE4"/>
    <w:rsid w:val="04D63993"/>
    <w:rsid w:val="04F55751"/>
    <w:rsid w:val="07890F4F"/>
    <w:rsid w:val="079B438E"/>
    <w:rsid w:val="082E1701"/>
    <w:rsid w:val="08892439"/>
    <w:rsid w:val="08EB30F3"/>
    <w:rsid w:val="09237408"/>
    <w:rsid w:val="093B53EE"/>
    <w:rsid w:val="09781BD6"/>
    <w:rsid w:val="09922FCA"/>
    <w:rsid w:val="09F359DF"/>
    <w:rsid w:val="0A3665F0"/>
    <w:rsid w:val="0A575E65"/>
    <w:rsid w:val="0ACA0AB6"/>
    <w:rsid w:val="0AFB5144"/>
    <w:rsid w:val="0B5F3925"/>
    <w:rsid w:val="0C032502"/>
    <w:rsid w:val="0C27698C"/>
    <w:rsid w:val="0D4452F3"/>
    <w:rsid w:val="0E1A639C"/>
    <w:rsid w:val="0F5E5042"/>
    <w:rsid w:val="0FE95707"/>
    <w:rsid w:val="10234F21"/>
    <w:rsid w:val="10510571"/>
    <w:rsid w:val="10787A20"/>
    <w:rsid w:val="108672DE"/>
    <w:rsid w:val="10EC685A"/>
    <w:rsid w:val="11FA6155"/>
    <w:rsid w:val="12CF0947"/>
    <w:rsid w:val="12F1313F"/>
    <w:rsid w:val="136C678E"/>
    <w:rsid w:val="13EB2FF5"/>
    <w:rsid w:val="14ED4CAC"/>
    <w:rsid w:val="15080B89"/>
    <w:rsid w:val="15A46B04"/>
    <w:rsid w:val="15F5110D"/>
    <w:rsid w:val="165825BC"/>
    <w:rsid w:val="16BC5D73"/>
    <w:rsid w:val="176F36D7"/>
    <w:rsid w:val="1795226D"/>
    <w:rsid w:val="17E01949"/>
    <w:rsid w:val="18456B1E"/>
    <w:rsid w:val="18FC6C57"/>
    <w:rsid w:val="19061883"/>
    <w:rsid w:val="1967693C"/>
    <w:rsid w:val="1A5A7701"/>
    <w:rsid w:val="1C0C5403"/>
    <w:rsid w:val="1C1171C5"/>
    <w:rsid w:val="1D265138"/>
    <w:rsid w:val="1D7B6BCA"/>
    <w:rsid w:val="1DA41A79"/>
    <w:rsid w:val="1DF53469"/>
    <w:rsid w:val="1DFD5937"/>
    <w:rsid w:val="1E2F24F2"/>
    <w:rsid w:val="1E311151"/>
    <w:rsid w:val="1E58492F"/>
    <w:rsid w:val="1E5B6757"/>
    <w:rsid w:val="1E890F8D"/>
    <w:rsid w:val="1ED10AC6"/>
    <w:rsid w:val="1F4C5B16"/>
    <w:rsid w:val="1F5F584A"/>
    <w:rsid w:val="1F89225F"/>
    <w:rsid w:val="1F900A1F"/>
    <w:rsid w:val="1FC0575D"/>
    <w:rsid w:val="20401EEB"/>
    <w:rsid w:val="20450EE3"/>
    <w:rsid w:val="206132C7"/>
    <w:rsid w:val="20C733F7"/>
    <w:rsid w:val="21B00C1D"/>
    <w:rsid w:val="22C813AD"/>
    <w:rsid w:val="23031BEB"/>
    <w:rsid w:val="23917691"/>
    <w:rsid w:val="244D65B8"/>
    <w:rsid w:val="245E1E24"/>
    <w:rsid w:val="25AD5E5D"/>
    <w:rsid w:val="272D447F"/>
    <w:rsid w:val="2732478D"/>
    <w:rsid w:val="27661469"/>
    <w:rsid w:val="27900EAD"/>
    <w:rsid w:val="279B538A"/>
    <w:rsid w:val="286F545C"/>
    <w:rsid w:val="288D3427"/>
    <w:rsid w:val="289C5BCE"/>
    <w:rsid w:val="28B210E0"/>
    <w:rsid w:val="29314FBC"/>
    <w:rsid w:val="29C015DB"/>
    <w:rsid w:val="29D24D75"/>
    <w:rsid w:val="29EB2AFB"/>
    <w:rsid w:val="2A9C5BA4"/>
    <w:rsid w:val="2AA2081A"/>
    <w:rsid w:val="2BAF20ED"/>
    <w:rsid w:val="2BD01F4A"/>
    <w:rsid w:val="2C024B86"/>
    <w:rsid w:val="2C6E531E"/>
    <w:rsid w:val="2C793711"/>
    <w:rsid w:val="2C927671"/>
    <w:rsid w:val="2CC6306F"/>
    <w:rsid w:val="2D7C5CD6"/>
    <w:rsid w:val="2DD41AF8"/>
    <w:rsid w:val="2E483E7E"/>
    <w:rsid w:val="2E690493"/>
    <w:rsid w:val="2E9854BD"/>
    <w:rsid w:val="2F0D407F"/>
    <w:rsid w:val="2F454B19"/>
    <w:rsid w:val="310224D9"/>
    <w:rsid w:val="310B5831"/>
    <w:rsid w:val="31B4621C"/>
    <w:rsid w:val="31E3230A"/>
    <w:rsid w:val="330957E0"/>
    <w:rsid w:val="33356F64"/>
    <w:rsid w:val="335E433E"/>
    <w:rsid w:val="33944516"/>
    <w:rsid w:val="33A42158"/>
    <w:rsid w:val="341C1B03"/>
    <w:rsid w:val="34B62907"/>
    <w:rsid w:val="3632560E"/>
    <w:rsid w:val="36BD137C"/>
    <w:rsid w:val="36F154C9"/>
    <w:rsid w:val="38053EDF"/>
    <w:rsid w:val="380812A4"/>
    <w:rsid w:val="382316B2"/>
    <w:rsid w:val="385D37E7"/>
    <w:rsid w:val="38782EDD"/>
    <w:rsid w:val="388C7258"/>
    <w:rsid w:val="396E4BAF"/>
    <w:rsid w:val="3B42664A"/>
    <w:rsid w:val="3B501C66"/>
    <w:rsid w:val="3CAD1E92"/>
    <w:rsid w:val="3CCD6091"/>
    <w:rsid w:val="3CEB76C9"/>
    <w:rsid w:val="3CFA0BAC"/>
    <w:rsid w:val="3D836A4E"/>
    <w:rsid w:val="3E4272FB"/>
    <w:rsid w:val="3EA37E97"/>
    <w:rsid w:val="3FBE0BC5"/>
    <w:rsid w:val="3FCA68B7"/>
    <w:rsid w:val="4048103A"/>
    <w:rsid w:val="40736643"/>
    <w:rsid w:val="40D24A7A"/>
    <w:rsid w:val="41126768"/>
    <w:rsid w:val="41F37BCF"/>
    <w:rsid w:val="425608D6"/>
    <w:rsid w:val="42621029"/>
    <w:rsid w:val="435241E2"/>
    <w:rsid w:val="4391492B"/>
    <w:rsid w:val="43975C51"/>
    <w:rsid w:val="439E3FA7"/>
    <w:rsid w:val="43CA332A"/>
    <w:rsid w:val="44B32266"/>
    <w:rsid w:val="44F248E6"/>
    <w:rsid w:val="44FC64F4"/>
    <w:rsid w:val="467F4585"/>
    <w:rsid w:val="46B53E1D"/>
    <w:rsid w:val="46D63D94"/>
    <w:rsid w:val="470628CB"/>
    <w:rsid w:val="4729480B"/>
    <w:rsid w:val="47555BD4"/>
    <w:rsid w:val="47BC2DB1"/>
    <w:rsid w:val="47D23D53"/>
    <w:rsid w:val="47E96399"/>
    <w:rsid w:val="47F76025"/>
    <w:rsid w:val="48374A48"/>
    <w:rsid w:val="485853A8"/>
    <w:rsid w:val="486E33F5"/>
    <w:rsid w:val="48E12B50"/>
    <w:rsid w:val="49861AA1"/>
    <w:rsid w:val="499441BE"/>
    <w:rsid w:val="499A6C1C"/>
    <w:rsid w:val="4A195607"/>
    <w:rsid w:val="4A2138F0"/>
    <w:rsid w:val="4A583887"/>
    <w:rsid w:val="4B9F6E02"/>
    <w:rsid w:val="4C4B0D80"/>
    <w:rsid w:val="4C804ECE"/>
    <w:rsid w:val="4C89637B"/>
    <w:rsid w:val="4E423311"/>
    <w:rsid w:val="4E5959D6"/>
    <w:rsid w:val="4E6E48A8"/>
    <w:rsid w:val="4EEC036B"/>
    <w:rsid w:val="4EF120B3"/>
    <w:rsid w:val="4F714FA1"/>
    <w:rsid w:val="500B0F52"/>
    <w:rsid w:val="501D2673"/>
    <w:rsid w:val="50C80BF1"/>
    <w:rsid w:val="512E5A0C"/>
    <w:rsid w:val="51852833"/>
    <w:rsid w:val="51CE17E7"/>
    <w:rsid w:val="52F11AC8"/>
    <w:rsid w:val="534F49D9"/>
    <w:rsid w:val="53555F0F"/>
    <w:rsid w:val="535D23D5"/>
    <w:rsid w:val="56F4341A"/>
    <w:rsid w:val="575A7321"/>
    <w:rsid w:val="57B7551B"/>
    <w:rsid w:val="580C3AB9"/>
    <w:rsid w:val="583C7AE0"/>
    <w:rsid w:val="586C1E9A"/>
    <w:rsid w:val="586E0800"/>
    <w:rsid w:val="59216F96"/>
    <w:rsid w:val="59723DF0"/>
    <w:rsid w:val="598C4145"/>
    <w:rsid w:val="59957D1B"/>
    <w:rsid w:val="59D4294E"/>
    <w:rsid w:val="5AFE3B8D"/>
    <w:rsid w:val="5B634312"/>
    <w:rsid w:val="5B81656C"/>
    <w:rsid w:val="5B9D2CCD"/>
    <w:rsid w:val="5B9E71EA"/>
    <w:rsid w:val="5BFF34AE"/>
    <w:rsid w:val="5CCB5CF1"/>
    <w:rsid w:val="5E226FBC"/>
    <w:rsid w:val="5EF233D5"/>
    <w:rsid w:val="5FE72BD2"/>
    <w:rsid w:val="6005151A"/>
    <w:rsid w:val="60120613"/>
    <w:rsid w:val="60193217"/>
    <w:rsid w:val="618D5292"/>
    <w:rsid w:val="61F5572D"/>
    <w:rsid w:val="622E78FA"/>
    <w:rsid w:val="630B47C3"/>
    <w:rsid w:val="63343F70"/>
    <w:rsid w:val="63AD43A2"/>
    <w:rsid w:val="64296E1C"/>
    <w:rsid w:val="64386FCC"/>
    <w:rsid w:val="647C1FC7"/>
    <w:rsid w:val="649E64A2"/>
    <w:rsid w:val="65085608"/>
    <w:rsid w:val="65776907"/>
    <w:rsid w:val="65E5270A"/>
    <w:rsid w:val="663D3C54"/>
    <w:rsid w:val="667A6962"/>
    <w:rsid w:val="66862C89"/>
    <w:rsid w:val="66BB486D"/>
    <w:rsid w:val="67394C7D"/>
    <w:rsid w:val="6740552D"/>
    <w:rsid w:val="68126B38"/>
    <w:rsid w:val="68291A1A"/>
    <w:rsid w:val="68352BB8"/>
    <w:rsid w:val="691327EB"/>
    <w:rsid w:val="691B1594"/>
    <w:rsid w:val="693A016B"/>
    <w:rsid w:val="6A17429C"/>
    <w:rsid w:val="6A567EA3"/>
    <w:rsid w:val="6B0F0748"/>
    <w:rsid w:val="6B23319C"/>
    <w:rsid w:val="6B4B4368"/>
    <w:rsid w:val="6B79100E"/>
    <w:rsid w:val="6BA442DD"/>
    <w:rsid w:val="6C844C00"/>
    <w:rsid w:val="6CA1081C"/>
    <w:rsid w:val="6CC60283"/>
    <w:rsid w:val="6E10212C"/>
    <w:rsid w:val="6E43561A"/>
    <w:rsid w:val="6E557973"/>
    <w:rsid w:val="6E69536A"/>
    <w:rsid w:val="6E9568DB"/>
    <w:rsid w:val="6EF2535F"/>
    <w:rsid w:val="6F0D6C22"/>
    <w:rsid w:val="6F47657F"/>
    <w:rsid w:val="6F617769"/>
    <w:rsid w:val="6F6B5112"/>
    <w:rsid w:val="6FAF23D9"/>
    <w:rsid w:val="70635CF6"/>
    <w:rsid w:val="70670707"/>
    <w:rsid w:val="720E3691"/>
    <w:rsid w:val="7249173A"/>
    <w:rsid w:val="724E244C"/>
    <w:rsid w:val="72DA6946"/>
    <w:rsid w:val="732764B3"/>
    <w:rsid w:val="737F3C1E"/>
    <w:rsid w:val="73AF381F"/>
    <w:rsid w:val="74026044"/>
    <w:rsid w:val="74206813"/>
    <w:rsid w:val="74325A77"/>
    <w:rsid w:val="74746410"/>
    <w:rsid w:val="756B5E6B"/>
    <w:rsid w:val="75C8506C"/>
    <w:rsid w:val="75E5007C"/>
    <w:rsid w:val="77636B63"/>
    <w:rsid w:val="77813724"/>
    <w:rsid w:val="77861774"/>
    <w:rsid w:val="77876861"/>
    <w:rsid w:val="78F31435"/>
    <w:rsid w:val="79080CD5"/>
    <w:rsid w:val="79300B45"/>
    <w:rsid w:val="794D3E18"/>
    <w:rsid w:val="795F5CE7"/>
    <w:rsid w:val="79D57D57"/>
    <w:rsid w:val="79F3729A"/>
    <w:rsid w:val="7A401675"/>
    <w:rsid w:val="7A880722"/>
    <w:rsid w:val="7ABE6120"/>
    <w:rsid w:val="7ACB0498"/>
    <w:rsid w:val="7AED0B4D"/>
    <w:rsid w:val="7BA64FFD"/>
    <w:rsid w:val="7C1E4487"/>
    <w:rsid w:val="7C215E02"/>
    <w:rsid w:val="7CF23764"/>
    <w:rsid w:val="7D851A94"/>
    <w:rsid w:val="7E797F74"/>
    <w:rsid w:val="7ED3341E"/>
    <w:rsid w:val="7F8F7492"/>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8">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footnote text"/>
    <w:basedOn w:val="1"/>
    <w:qFormat/>
    <w:uiPriority w:val="0"/>
    <w:pPr>
      <w:snapToGrid w:val="0"/>
      <w:jc w:val="left"/>
    </w:pPr>
    <w:rPr>
      <w:sz w:val="18"/>
      <w:szCs w:val="18"/>
    </w:rPr>
  </w:style>
  <w:style w:type="paragraph" w:styleId="12">
    <w:name w:val="toc 2"/>
    <w:basedOn w:val="1"/>
    <w:next w:val="1"/>
    <w:qFormat/>
    <w:uiPriority w:val="0"/>
    <w:pPr>
      <w:ind w:left="420" w:leftChars="200"/>
    </w:pPr>
  </w:style>
  <w:style w:type="paragraph" w:styleId="13">
    <w:name w:val="Body Text 2"/>
    <w:basedOn w:val="1"/>
    <w:autoRedefine/>
    <w:qFormat/>
    <w:uiPriority w:val="0"/>
    <w:pPr>
      <w:spacing w:after="120" w:line="480" w:lineRule="auto"/>
    </w:pPr>
    <w:rPr>
      <w:rFonts w:ascii="Times New Roman" w:hAnsi="Times New Roman" w:eastAsia="宋体" w:cs="Times New Roman"/>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6">
    <w:name w:val="Body Text First Indent"/>
    <w:basedOn w:val="6"/>
    <w:qFormat/>
    <w:uiPriority w:val="0"/>
    <w:pPr>
      <w:spacing w:after="0"/>
      <w:ind w:firstLine="200" w:firstLineChars="200"/>
    </w:p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 w:type="paragraph" w:customStyle="1" w:styleId="24">
    <w:name w:val="Body Text First Indent 2"/>
    <w:basedOn w:val="25"/>
    <w:qFormat/>
    <w:uiPriority w:val="0"/>
    <w:pPr>
      <w:ind w:firstLine="420"/>
    </w:pPr>
    <w:rPr>
      <w:rFonts w:ascii="Calibri" w:hAnsi="Calibri"/>
      <w:sz w:val="28"/>
      <w:szCs w:val="22"/>
    </w:rPr>
  </w:style>
  <w:style w:type="paragraph" w:customStyle="1" w:styleId="25">
    <w:name w:val="Body Text Indent"/>
    <w:basedOn w:val="1"/>
    <w:qFormat/>
    <w:uiPriority w:val="0"/>
    <w:pPr>
      <w:spacing w:after="120"/>
      <w:ind w:left="420" w:leftChars="200"/>
    </w:pPr>
    <w:rPr>
      <w:sz w:val="21"/>
      <w:szCs w:val="20"/>
    </w:r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3774</Words>
  <Characters>3930</Characters>
  <Lines>0</Lines>
  <Paragraphs>0</Paragraphs>
  <TotalTime>2</TotalTime>
  <ScaleCrop>false</ScaleCrop>
  <LinksUpToDate>false</LinksUpToDate>
  <CharactersWithSpaces>3999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