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15679"/>
      <w:bookmarkStart w:id="1" w:name="_Toc29123"/>
      <w:bookmarkStart w:id="2" w:name="_Toc25575"/>
      <w:bookmarkStart w:id="3" w:name="_Toc1949"/>
      <w:r>
        <w:rPr>
          <w:rFonts w:hint="eastAsia" w:cs="宋体"/>
          <w:b/>
          <w:bCs/>
          <w:color w:val="auto"/>
          <w:sz w:val="40"/>
          <w:szCs w:val="40"/>
          <w:highlight w:val="none"/>
          <w:shd w:val="clear" w:color="auto" w:fill="auto"/>
          <w:lang w:val="en-US" w:eastAsia="zh-CN"/>
        </w:rPr>
        <w:t>博物馆纪念馆免费开放运行经费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left="1400" w:leftChars="500" w:firstLine="0" w:firstLineChars="0"/>
        <w:jc w:val="left"/>
        <w:rPr>
          <w:rFonts w:ascii="黑体" w:hAnsi="Times New Roman" w:eastAsia="黑体"/>
          <w:b w:val="0"/>
          <w:bCs/>
          <w:color w:val="000000"/>
          <w:sz w:val="30"/>
          <w:szCs w:val="30"/>
        </w:rPr>
      </w:pPr>
      <w:r>
        <w:rPr>
          <w:rFonts w:hint="eastAsia" w:ascii="黑体" w:hAnsi="Times New Roman" w:eastAsia="黑体"/>
          <w:b w:val="0"/>
          <w:bCs/>
          <w:color w:val="000000"/>
          <w:sz w:val="30"/>
          <w:szCs w:val="30"/>
        </w:rPr>
        <w:t>项目名称：博物馆纪念馆免费开放运行经费</w:t>
      </w:r>
    </w:p>
    <w:p w14:paraId="7CB8A243">
      <w:pPr>
        <w:spacing w:line="360" w:lineRule="auto"/>
        <w:ind w:left="1400" w:leftChars="500" w:firstLine="0" w:firstLineChars="0"/>
        <w:jc w:val="left"/>
        <w:rPr>
          <w:rFonts w:hint="eastAsia" w:ascii="黑体" w:hAnsi="Times New Roman" w:eastAsia="黑体"/>
          <w:b w:val="0"/>
          <w:bCs/>
          <w:color w:val="000000"/>
          <w:sz w:val="30"/>
          <w:szCs w:val="30"/>
          <w:lang w:val="en-US" w:eastAsia="zh-CN"/>
        </w:rPr>
      </w:pPr>
      <w:r>
        <w:rPr>
          <w:rFonts w:hint="eastAsia" w:ascii="黑体" w:hAnsi="Times New Roman" w:eastAsia="黑体"/>
          <w:b w:val="0"/>
          <w:bCs/>
          <w:color w:val="000000"/>
          <w:sz w:val="30"/>
          <w:szCs w:val="30"/>
        </w:rPr>
        <w:t>实施单位：</w:t>
      </w:r>
      <w:r>
        <w:rPr>
          <w:rFonts w:hint="eastAsia" w:ascii="黑体" w:hAnsi="Times New Roman" w:eastAsia="黑体"/>
          <w:b w:val="0"/>
          <w:bCs/>
          <w:color w:val="000000"/>
          <w:sz w:val="30"/>
          <w:szCs w:val="30"/>
          <w:lang w:eastAsia="zh-CN"/>
        </w:rPr>
        <w:t>阜康市博物馆</w:t>
      </w:r>
    </w:p>
    <w:p w14:paraId="1CD13478">
      <w:pPr>
        <w:spacing w:line="360" w:lineRule="auto"/>
        <w:ind w:left="1400" w:leftChars="500"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主管部门：阜康市文化体育广播电视和旅游局</w:t>
      </w:r>
    </w:p>
    <w:p w14:paraId="065BEE39">
      <w:pPr>
        <w:spacing w:line="360" w:lineRule="auto"/>
        <w:ind w:left="1400" w:leftChars="500"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lang w:eastAsia="zh-CN"/>
        </w:rPr>
        <w:t>项目负责人：高晓玲</w:t>
      </w:r>
    </w:p>
    <w:p w14:paraId="50706B4B">
      <w:pPr>
        <w:spacing w:line="360" w:lineRule="auto"/>
        <w:ind w:left="1400" w:leftChars="500"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2025年3月31日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A85C49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3912E3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7B41E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7F756E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147760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556FEB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14</w:t>
          </w:r>
          <w:r>
            <w:fldChar w:fldCharType="end"/>
          </w:r>
          <w:r>
            <w:rPr>
              <w:rFonts w:hint="eastAsia"/>
              <w:szCs w:val="28"/>
              <w:lang w:val="en-US" w:eastAsia="zh-CN"/>
            </w:rPr>
            <w:fldChar w:fldCharType="end"/>
          </w:r>
        </w:p>
        <w:p w14:paraId="3B8156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14:paraId="0A9E6E0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14:paraId="59A17E5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17</w:t>
          </w:r>
          <w:r>
            <w:fldChar w:fldCharType="end"/>
          </w:r>
          <w:r>
            <w:rPr>
              <w:rFonts w:hint="eastAsia"/>
              <w:szCs w:val="28"/>
              <w:lang w:val="en-US" w:eastAsia="zh-CN"/>
            </w:rPr>
            <w:fldChar w:fldCharType="end"/>
          </w:r>
        </w:p>
        <w:p w14:paraId="41287B2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18</w:t>
          </w:r>
          <w:r>
            <w:fldChar w:fldCharType="end"/>
          </w:r>
          <w:r>
            <w:rPr>
              <w:rFonts w:hint="eastAsia"/>
              <w:szCs w:val="28"/>
              <w:lang w:val="en-US" w:eastAsia="zh-CN"/>
            </w:rPr>
            <w:fldChar w:fldCharType="end"/>
          </w:r>
        </w:p>
        <w:p w14:paraId="4403B4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18</w:t>
          </w:r>
          <w:r>
            <w:fldChar w:fldCharType="end"/>
          </w:r>
          <w:r>
            <w:rPr>
              <w:rFonts w:hint="eastAsia"/>
              <w:szCs w:val="28"/>
              <w:lang w:val="en-US" w:eastAsia="zh-CN"/>
            </w:rPr>
            <w:fldChar w:fldCharType="end"/>
          </w:r>
        </w:p>
        <w:p w14:paraId="5BC5DC5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21</w:t>
          </w:r>
          <w:r>
            <w:fldChar w:fldCharType="end"/>
          </w:r>
          <w:r>
            <w:rPr>
              <w:rFonts w:hint="eastAsia"/>
              <w:szCs w:val="28"/>
              <w:lang w:val="en-US" w:eastAsia="zh-CN"/>
            </w:rPr>
            <w:fldChar w:fldCharType="end"/>
          </w:r>
        </w:p>
        <w:p w14:paraId="639A1B4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24</w:t>
          </w:r>
          <w:r>
            <w:fldChar w:fldCharType="end"/>
          </w:r>
          <w:r>
            <w:rPr>
              <w:rFonts w:hint="eastAsia"/>
              <w:szCs w:val="28"/>
              <w:lang w:val="en-US" w:eastAsia="zh-CN"/>
            </w:rPr>
            <w:fldChar w:fldCharType="end"/>
          </w:r>
        </w:p>
        <w:p w14:paraId="285AC91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26</w:t>
          </w:r>
          <w:r>
            <w:fldChar w:fldCharType="end"/>
          </w:r>
          <w:r>
            <w:rPr>
              <w:rFonts w:hint="eastAsia"/>
              <w:szCs w:val="28"/>
              <w:lang w:val="en-US" w:eastAsia="zh-CN"/>
            </w:rPr>
            <w:fldChar w:fldCharType="end"/>
          </w:r>
        </w:p>
        <w:p w14:paraId="28EABBB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27</w:t>
          </w:r>
          <w:r>
            <w:fldChar w:fldCharType="end"/>
          </w:r>
          <w:r>
            <w:rPr>
              <w:rFonts w:hint="eastAsia"/>
              <w:szCs w:val="28"/>
              <w:lang w:val="en-US" w:eastAsia="zh-CN"/>
            </w:rPr>
            <w:fldChar w:fldCharType="end"/>
          </w:r>
        </w:p>
        <w:p w14:paraId="1E847F2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F56B3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27</w:t>
          </w:r>
          <w:r>
            <w:fldChar w:fldCharType="end"/>
          </w:r>
          <w:r>
            <w:rPr>
              <w:rFonts w:hint="eastAsia"/>
              <w:szCs w:val="28"/>
              <w:lang w:val="en-US" w:eastAsia="zh-CN"/>
            </w:rPr>
            <w:fldChar w:fldCharType="end"/>
          </w:r>
        </w:p>
        <w:p w14:paraId="1991B23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28</w:t>
          </w:r>
          <w:r>
            <w:fldChar w:fldCharType="end"/>
          </w:r>
          <w:r>
            <w:rPr>
              <w:rFonts w:hint="eastAsia"/>
              <w:szCs w:val="28"/>
              <w:lang w:val="en-US" w:eastAsia="zh-CN"/>
            </w:rPr>
            <w:fldChar w:fldCharType="end"/>
          </w:r>
        </w:p>
        <w:p w14:paraId="740F149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DBAE4F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34</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r>
            <w:rPr>
              <w:rFonts w:hint="eastAsia"/>
              <w:szCs w:val="28"/>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bookmarkStart w:id="4" w:name="_Toc1194"/>
      <w:bookmarkStart w:id="5" w:name="_Toc20432"/>
      <w:bookmarkStart w:id="6" w:name="_Toc3663"/>
      <w:bookmarkStart w:id="7" w:name="_Toc22946"/>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博物馆纪念馆免费开放运行经费</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9812"/>
      <w:bookmarkStart w:id="11" w:name="_Toc22346"/>
      <w:bookmarkStart w:id="12" w:name="_Toc10645"/>
      <w:bookmarkStart w:id="13" w:name="_Toc504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33D1C29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随着博物馆的教育功能不断提升，发挥好阜康市博物馆的教育功能显得更加重要，做好阜康市博物馆历史展览具有重要的意义。它不仅是贯彻党中央治疆方略，落实纪要精神和《新疆若干历史问题》白皮书的重要体现措施，还是当前落实新疆社会稳定和长治久安总目标的重要任务。更为值得强调的是，博物馆是文化建设的重要阵地和重要领域，也是彰显文化自信和引导新疆各族人民牢固树立中华民族共同体意识的重要宣传窗口。</w:t>
      </w:r>
    </w:p>
    <w:p w14:paraId="4F5AE66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630"/>
      <w:bookmarkStart w:id="15" w:name="_Toc27343"/>
      <w:bookmarkStart w:id="16" w:name="_Toc10730"/>
      <w:bookmarkStart w:id="17" w:name="_Toc1788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0749DEC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bookmarkStart w:id="18" w:name="_Toc27245"/>
      <w:bookmarkStart w:id="19" w:name="_Toc21898"/>
      <w:bookmarkStart w:id="20" w:name="_Toc16592"/>
      <w:bookmarkStart w:id="21" w:name="_Toc27409"/>
      <w:r>
        <w:rPr>
          <w:rFonts w:hint="eastAsia" w:ascii="仿宋_GB2312" w:hAnsi="仿宋_GB2312" w:eastAsia="仿宋_GB2312" w:cs="仿宋_GB2312"/>
          <w:b/>
          <w:bCs/>
          <w:sz w:val="32"/>
          <w:szCs w:val="32"/>
          <w:lang w:val="en-US" w:eastAsia="zh-CN"/>
        </w:rPr>
        <w:t>项目主要内容</w:t>
      </w:r>
      <w:r>
        <w:rPr>
          <w:rFonts w:hint="eastAsia" w:ascii="仿宋_GB2312" w:hAnsi="仿宋_GB2312" w:eastAsia="仿宋_GB2312" w:cs="仿宋_GB2312"/>
          <w:sz w:val="32"/>
          <w:szCs w:val="32"/>
          <w:lang w:val="en-US" w:eastAsia="zh-CN"/>
        </w:rPr>
        <w:t>：</w:t>
      </w:r>
      <w:bookmarkEnd w:id="18"/>
      <w:bookmarkEnd w:id="19"/>
      <w:bookmarkEnd w:id="20"/>
      <w:bookmarkEnd w:id="21"/>
      <w:r>
        <w:rPr>
          <w:rFonts w:hint="eastAsia" w:ascii="仿宋_GB2312" w:hAnsi="仿宋_GB2312" w:eastAsia="仿宋_GB2312" w:cs="仿宋_GB2312"/>
          <w:sz w:val="32"/>
          <w:szCs w:val="32"/>
          <w:lang w:val="en-US" w:eastAsia="zh-CN"/>
        </w:rPr>
        <w:t>通过博物馆免费开放活动及流动博物馆宣传活动，切实发挥博物馆教育引导各族人民牢固树立“五个认同”，铸牢中华民族共同体意识等方面的积极作用，充分发挥博物馆纪念馆在提高群众鉴赏能力、提高各族群众思想道德和科学文化素质的作用，不断强化文物工作的实证史证作用和宣传教育功能，不断弘扬传承优秀传统文化，大力培育社会主义核心价值观，有效保障各族群众精神文化需求，促进社会和谐稳定。</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2023年12月21日经昌州财教[2023]84号“关于提前下达2024年博物馆纪念馆免费开放补助资金预算的通知”，经单位三重一大会议，确定了项目领导小组，明确了责任分工：组长为高晓玲，副组长为冯超，项目负责人为高晓玲,组员为马国智、许诺、许修文、加尔恒娜依、陈莉蓉，其中：马国智负责监管工作，陈莉蓉负责项目档案资料，许修文负责资金拨付工作。</w:t>
      </w:r>
    </w:p>
    <w:p w14:paraId="23B7DE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本项目完成免费开放活动36场，流动博物馆巡展宣传30场，参加人数28428人；项目实施有效提升博物馆宣传教育和社会服务阵地作用、有效提升强化文物的实证史证作用和宣传教育功能，不断弘扬传承优秀传统文化，大力培育社会主义核心价值观的社会效益，社会公众对博物馆服务满意度达到95%。</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569"/>
      <w:bookmarkStart w:id="23" w:name="_Toc12348"/>
      <w:bookmarkStart w:id="24" w:name="_Toc10240"/>
      <w:bookmarkStart w:id="25" w:name="_Toc18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3509"/>
      <w:bookmarkStart w:id="27" w:name="_Toc26369"/>
      <w:bookmarkStart w:id="28" w:name="_Toc694"/>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4D9D7928">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5573"/>
      <w:bookmarkStart w:id="30" w:name="_Toc9464"/>
      <w:bookmarkStart w:id="31" w:name="_Toc29190"/>
      <w:r>
        <w:rPr>
          <w:rFonts w:hint="eastAsia" w:ascii="仿宋_GB2312" w:hAnsi="仿宋_GB2312" w:eastAsia="仿宋_GB2312" w:cs="仿宋_GB2312"/>
          <w:color w:val="auto"/>
          <w:sz w:val="32"/>
          <w:szCs w:val="32"/>
          <w:highlight w:val="none"/>
          <w:lang w:val="en-US" w:eastAsia="zh-CN"/>
        </w:rPr>
        <w:t>该项目年初预算数30.00万元，全年预算数30.00万元，该项目资金已全部落实到位，资金来源为财政拨款</w:t>
      </w:r>
      <w:bookmarkEnd w:id="29"/>
      <w:bookmarkEnd w:id="30"/>
      <w:bookmarkEnd w:id="31"/>
      <w:r>
        <w:rPr>
          <w:rFonts w:hint="eastAsia" w:ascii="仿宋_GB2312" w:hAnsi="仿宋_GB2312" w:eastAsia="仿宋_GB2312" w:cs="仿宋_GB2312"/>
          <w:color w:val="auto"/>
          <w:sz w:val="32"/>
          <w:szCs w:val="32"/>
          <w:highlight w:val="none"/>
          <w:lang w:val="en-US" w:eastAsia="zh-CN"/>
        </w:rPr>
        <w:t>。</w:t>
      </w:r>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2" w:name="_Toc28187"/>
      <w:bookmarkStart w:id="33" w:name="_Toc3409"/>
      <w:bookmarkStart w:id="34" w:name="_Toc1166"/>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1647"/>
      <w:bookmarkStart w:id="36" w:name="_Toc29121"/>
      <w:bookmarkStart w:id="37" w:name="_Toc1430"/>
      <w:r>
        <w:rPr>
          <w:rFonts w:hint="eastAsia" w:ascii="仿宋_GB2312" w:hAnsi="仿宋_GB2312" w:eastAsia="仿宋_GB2312" w:cs="仿宋_GB2312"/>
          <w:color w:val="auto"/>
          <w:sz w:val="32"/>
          <w:szCs w:val="32"/>
          <w:highlight w:val="none"/>
          <w:lang w:val="en-US" w:eastAsia="zh-CN"/>
        </w:rPr>
        <w:t>该项目年初预算数30.00万元，全年预算数30.00万元，截至2024年12月31日，全年执行数30.00万元，预算执行率为100%，主要用于：免费开放活动用品购置、流动博物馆展板装卸搬运、宣传用品印制等方面。</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2547"/>
      <w:bookmarkStart w:id="40" w:name="_Toc8528"/>
      <w:bookmarkStart w:id="41" w:name="_Toc10047"/>
      <w:bookmarkStart w:id="42"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博物馆纪念馆免费开放运行经费项目绩效总体目标为：为宣传弘扬传承传统文化，提高公众的历史和科学文化知识，2024年预计完成免费开放活动36场，举办流动博物馆宣传30场，参加人数27800人；通过举办免费开放活动和流动博物馆宣传活动，来传播历史和科学文化知识，对人民群众进行爱国主义教育。博物馆宣传教育和社会服务阵地作用得到有效提升，并且有效提升文物的实证史证作用和宣传教育功能，弘扬传承优秀传统文化，大力培育社会主义核心价值观。</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4007"/>
      <w:bookmarkStart w:id="45" w:name="_Toc8990"/>
      <w:bookmarkStart w:id="46" w:name="_Toc448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）项目产出</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目标</w:t>
      </w:r>
    </w:p>
    <w:p w14:paraId="09399C9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①数量指标</w:t>
      </w:r>
    </w:p>
    <w:p w14:paraId="79152F8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“举办免费开放活动场次”指标，预期目标值为=36场；</w:t>
      </w:r>
    </w:p>
    <w:p w14:paraId="7967D6D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“举办流动博物馆巡展宣传场次”指标，预期目标值为=30场；</w:t>
      </w:r>
    </w:p>
    <w:p w14:paraId="112CCD8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“参加人数”指标，预期目标值为≥27800人；</w:t>
      </w:r>
    </w:p>
    <w:p w14:paraId="72A85A5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②质量指标</w:t>
      </w:r>
    </w:p>
    <w:p w14:paraId="298E9A4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“免费开放绩效考评率”指标，预期目标值为≥95%；</w:t>
      </w:r>
    </w:p>
    <w:p w14:paraId="21A879D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“社会教育服务水平”指标，预期目标值为≥95%；</w:t>
      </w:r>
    </w:p>
    <w:p w14:paraId="02A4937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③时效指标</w:t>
      </w:r>
    </w:p>
    <w:p w14:paraId="15DF7AB6">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“举办免费开放活动完成时间”指标，预期目标值为≤2024-12-31；</w:t>
      </w:r>
    </w:p>
    <w:p w14:paraId="1C8CA31C">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“举办流动博物馆宣传完成时间”指标，预期目标值为≤2024-12-31；</w:t>
      </w:r>
    </w:p>
    <w:p w14:paraId="1A312449">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“博物馆免费开放专项资金完成及时率”指标，预期目标值为≥95%；</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2C63B8A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“免费开放活动支出”指标，预期目标值为≤18万元；</w:t>
      </w:r>
    </w:p>
    <w:p w14:paraId="0C0C0AD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“流动博物馆巡展宣传支出”指标，预期目标值为≤12万元；</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650829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①经济效益指标</w:t>
      </w:r>
    </w:p>
    <w:p w14:paraId="2460CB5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本项目不涉及经济效益</w:t>
      </w:r>
      <w:r>
        <w:rPr>
          <w:rFonts w:hint="eastAsia" w:ascii="仿宋_GB2312" w:hAnsi="仿宋_GB2312" w:eastAsia="仿宋_GB2312" w:cs="仿宋_GB2312"/>
          <w:color w:val="auto"/>
          <w:sz w:val="32"/>
          <w:szCs w:val="32"/>
          <w:highlight w:val="none"/>
          <w:shd w:val="clear" w:color="auto" w:fill="auto"/>
          <w:lang w:val="en-US" w:eastAsia="zh-CN"/>
        </w:rPr>
        <w:t>；</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②社会效益指标</w:t>
      </w:r>
    </w:p>
    <w:p w14:paraId="3361AB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“充分发挥博物馆宣传教育和社会服务阵地作用”指标，预期目标值为有效提升；</w:t>
      </w:r>
    </w:p>
    <w:p w14:paraId="77FCA14B">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“不断强化文物的实证史证作用和宣传教育功能，不断弘扬传承优秀传统文化，大力培育社会主义核心价值观”指标，预期目标值为有效提升；</w:t>
      </w:r>
    </w:p>
    <w:p w14:paraId="0664C78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③满意度指标</w:t>
      </w:r>
    </w:p>
    <w:p w14:paraId="3754CAA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pPr>
      <w:bookmarkStart w:id="47" w:name="_Toc26567"/>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“社会公众对博物馆服务满意度”指标，预期目标值为≥95%。</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2169_WPSOffice_Level2"/>
      <w:bookmarkStart w:id="49" w:name="_Toc480473081"/>
      <w:bookmarkStart w:id="50" w:name="_Toc5462343"/>
      <w:bookmarkStart w:id="51" w:name="_Toc22922"/>
      <w:bookmarkStart w:id="52" w:name="_Toc26632"/>
      <w:bookmarkStart w:id="53" w:name="_Toc5258"/>
      <w:bookmarkStart w:id="54" w:name="_Toc21664"/>
      <w:bookmarkStart w:id="55" w:name="_Toc12868"/>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21770"/>
      <w:bookmarkStart w:id="59" w:name="_Toc417"/>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文件要求对2024年度我单位实施的博物馆纪念馆免费开放运行经费项目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该项</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阜康市博物馆</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施，旨在</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简述项目目标或预期成果</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2024年3月1日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30</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1286"/>
      <w:bookmarkStart w:id="66" w:name="_Toc29785"/>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5354"/>
      <w:bookmarkStart w:id="68" w:name="_Toc13694"/>
      <w:bookmarkStart w:id="69" w:name="_Toc24506"/>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w:t>
      </w:r>
      <w:r>
        <w:rPr>
          <w:rFonts w:hint="eastAsia" w:ascii="Times New Roman" w:hAnsi="Times New Roman" w:eastAsia="仿宋_GB2312" w:cs="Times New Roman"/>
          <w:color w:val="auto"/>
          <w:sz w:val="32"/>
          <w:szCs w:val="32"/>
          <w:lang w:eastAsia="zh-CN"/>
        </w:rPr>
        <w:t>结合</w:t>
      </w:r>
      <w:r>
        <w:rPr>
          <w:rFonts w:hint="eastAsia" w:ascii="Times New Roman" w:hAnsi="Times New Roman" w:eastAsia="仿宋_GB2312" w:cs="Times New Roman"/>
          <w:color w:val="auto"/>
          <w:sz w:val="32"/>
          <w:szCs w:val="32"/>
          <w:lang w:val="en-US" w:eastAsia="zh-CN"/>
        </w:rPr>
        <w:t>博物馆纪念馆免费开放运行经费</w:t>
      </w:r>
      <w:r>
        <w:rPr>
          <w:rFonts w:hint="eastAsia" w:ascii="Times New Roman" w:hAnsi="Times New Roman" w:eastAsia="仿宋_GB2312" w:cs="Times New Roman"/>
          <w:color w:val="auto"/>
          <w:sz w:val="32"/>
          <w:szCs w:val="32"/>
          <w:lang w:eastAsia="zh-CN"/>
        </w:rPr>
        <w:t>项目实际开展情况，运用定量和定性分析相结合的方法，总结经验做法，反思项目实施和管理中的问题，以切实提升财政资金管理的科学化、规范化和精细化水平</w:t>
      </w:r>
      <w:r>
        <w:rPr>
          <w:rFonts w:hint="eastAsia" w:ascii="Times New Roman" w:hAnsi="Times New Roman" w:eastAsia="仿宋_GB2312" w:cs="Times New Roman"/>
          <w:color w:val="000000"/>
          <w:sz w:val="32"/>
          <w:szCs w:val="32"/>
          <w:lang w:eastAsia="zh-CN"/>
        </w:rPr>
        <w:t>。</w:t>
      </w:r>
    </w:p>
    <w:p w14:paraId="7860D5D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1913"/>
      <w:bookmarkStart w:id="71" w:name="_Toc24396"/>
      <w:bookmarkStart w:id="72" w:name="_Toc419984722"/>
      <w:bookmarkStart w:id="73" w:name="_Toc428278230"/>
      <w:bookmarkStart w:id="74" w:name="_Toc26131"/>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044ECC2B">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314F024">
      <w:pPr>
        <w:numPr>
          <w:ilvl w:val="0"/>
          <w:numId w:val="0"/>
        </w:num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）比较法。</w:t>
      </w:r>
      <w:r>
        <w:rPr>
          <w:rFonts w:hint="eastAsia" w:ascii="Times New Roman" w:hAnsi="Times New Roman" w:eastAsia="仿宋_GB2312" w:cs="Times New Roman"/>
          <w:color w:val="000000"/>
          <w:spacing w:val="17"/>
          <w:sz w:val="32"/>
          <w:szCs w:val="32"/>
          <w:highlight w:val="none"/>
          <w:lang w:eastAsia="zh-CN"/>
        </w:rPr>
        <w:t>在博物馆纪念馆免费开放运行经费项目绩效评价中使用比较法，能够直观地将项目实施效果与既定目标、历史数据进行对比，可清晰地分析资金使用效益，为优化资金分配和提升公共服务质量提供数据支持。</w:t>
      </w:r>
    </w:p>
    <w:p w14:paraId="7D127F03">
      <w:pPr>
        <w:numPr>
          <w:ilvl w:val="0"/>
          <w:numId w:val="0"/>
        </w:numPr>
        <w:spacing w:line="560" w:lineRule="exact"/>
        <w:ind w:firstLine="708" w:firstLineChars="200"/>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）因素分析法。</w:t>
      </w:r>
      <w:r>
        <w:rPr>
          <w:rFonts w:hint="eastAsia" w:ascii="Times New Roman" w:hAnsi="Times New Roman" w:eastAsia="仿宋_GB2312" w:cs="Times New Roman"/>
          <w:color w:val="000000"/>
          <w:spacing w:val="17"/>
          <w:sz w:val="32"/>
          <w:szCs w:val="32"/>
          <w:highlight w:val="none"/>
          <w:lang w:eastAsia="zh-CN"/>
        </w:rPr>
        <w:t>使用因素分析法能够将复杂的项目绩效影响因素分解为多个具体要素，逐一分析各因素对项目结果的影响程度和方向。</w:t>
      </w:r>
    </w:p>
    <w:p w14:paraId="70DCCE3A">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）公众评判法。</w:t>
      </w:r>
      <w:r>
        <w:rPr>
          <w:rFonts w:hint="eastAsia" w:ascii="Times New Roman" w:hAnsi="Times New Roman" w:eastAsia="仿宋_GB2312" w:cs="Times New Roman"/>
          <w:color w:val="000000"/>
          <w:spacing w:val="17"/>
          <w:sz w:val="32"/>
          <w:szCs w:val="32"/>
          <w:highlight w:val="none"/>
          <w:lang w:eastAsia="zh-CN"/>
        </w:rPr>
        <w:t>使用公众评判法能够直接反映公众对博物馆免费开放项目的实际感受和满意度，真实体现项目对社会公众的价值和效益，从而为项目绩效评价提供客观、全面的依据。</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6081"/>
      <w:bookmarkStart w:id="80" w:name="_Toc2565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w:t>
      </w:r>
      <w:r>
        <w:rPr>
          <w:rFonts w:hint="default" w:ascii="Times New Roman" w:hAnsi="Times New Roman" w:eastAsia="仿宋_GB2312" w:cs="Times New Roman"/>
          <w:color w:val="auto"/>
          <w:spacing w:val="17"/>
          <w:sz w:val="32"/>
          <w:szCs w:val="32"/>
          <w:highlight w:val="none"/>
        </w:rPr>
        <w:t>价主要采用了</w:t>
      </w:r>
      <w:r>
        <w:rPr>
          <w:rFonts w:hint="eastAsia" w:ascii="Times New Roman" w:hAnsi="Times New Roman" w:eastAsia="仿宋_GB2312" w:cs="Times New Roman"/>
          <w:color w:val="auto"/>
          <w:spacing w:val="17"/>
          <w:sz w:val="32"/>
          <w:szCs w:val="32"/>
          <w:highlight w:val="none"/>
          <w:lang w:val="en-US" w:eastAsia="zh-CN"/>
        </w:rPr>
        <w:t>计划标准和行业</w:t>
      </w:r>
      <w:r>
        <w:rPr>
          <w:rFonts w:hint="eastAsia" w:ascii="Times New Roman" w:hAnsi="Times New Roman" w:eastAsia="仿宋_GB2312" w:cs="Times New Roman"/>
          <w:color w:val="000000"/>
          <w:spacing w:val="17"/>
          <w:sz w:val="32"/>
          <w:szCs w:val="32"/>
          <w:highlight w:val="none"/>
          <w:lang w:val="en-US" w:eastAsia="zh-CN"/>
        </w:rPr>
        <w:t>标准</w:t>
      </w:r>
      <w:r>
        <w:rPr>
          <w:rFonts w:hint="eastAsia" w:ascii="Times New Roman" w:hAnsi="Times New Roman" w:eastAsia="仿宋_GB2312" w:cs="Times New Roman"/>
          <w:color w:val="FF0000"/>
          <w:spacing w:val="17"/>
          <w:sz w:val="32"/>
          <w:szCs w:val="32"/>
          <w:highlight w:val="none"/>
          <w:lang w:val="en-US" w:eastAsia="zh-CN"/>
        </w:rPr>
        <w:t>：</w:t>
      </w:r>
    </w:p>
    <w:p w14:paraId="6732266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0CFD7007">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w:t>
      </w:r>
      <w:r>
        <w:rPr>
          <w:rFonts w:hint="eastAsia" w:ascii="Times New Roman" w:hAnsi="Times New Roman" w:eastAsia="仿宋_GB2312" w:cs="Times New Roman"/>
          <w:color w:val="auto"/>
          <w:spacing w:val="17"/>
          <w:sz w:val="32"/>
          <w:szCs w:val="32"/>
          <w:highlight w:val="none"/>
          <w:lang w:val="en-US" w:eastAsia="zh-CN"/>
        </w:rPr>
        <w:t>通过调研对博物馆纪念馆免费开放运行经费项目实施内容、目标信息、预算信息以及其他的一些项目基本信息，</w:t>
      </w:r>
      <w:r>
        <w:rPr>
          <w:rFonts w:hint="eastAsia" w:ascii="Times New Roman" w:hAnsi="Times New Roman" w:eastAsia="仿宋_GB2312" w:cs="Times New Roman"/>
          <w:color w:val="000000"/>
          <w:spacing w:val="17"/>
          <w:sz w:val="32"/>
          <w:szCs w:val="32"/>
          <w:highlight w:val="none"/>
          <w:lang w:val="en-US" w:eastAsia="zh-CN"/>
        </w:rPr>
        <w:t>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color w:val="auto"/>
          <w:sz w:val="32"/>
          <w:szCs w:val="32"/>
          <w:highlight w:val="none"/>
          <w:lang w:val="en-US" w:eastAsia="zh-CN"/>
        </w:rPr>
        <w:t>博物馆纪念馆免费开放运行经费项目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w:t>
      </w:r>
      <w:r>
        <w:rPr>
          <w:rFonts w:hint="eastAsia" w:ascii="Times New Roman" w:hAnsi="Times New Roman" w:eastAsia="仿宋_GB2312" w:cs="Times New Roman"/>
          <w:sz w:val="32"/>
          <w:szCs w:val="32"/>
          <w:highlight w:val="none"/>
          <w:lang w:val="en-US" w:eastAsia="zh-CN"/>
        </w:rPr>
        <w:t>好</w:t>
      </w:r>
      <w:r>
        <w:rPr>
          <w:rFonts w:hint="default" w:ascii="Times New Roman" w:hAnsi="Times New Roman" w:eastAsia="仿宋_GB2312" w:cs="Times New Roman"/>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阜康市博物馆</w:t>
      </w:r>
      <w:r>
        <w:rPr>
          <w:rFonts w:hint="default" w:ascii="Times New Roman" w:hAnsi="Times New Roman" w:eastAsia="仿宋_GB2312" w:cs="Times New Roman"/>
          <w:color w:val="auto"/>
          <w:sz w:val="32"/>
          <w:szCs w:val="32"/>
          <w:highlight w:val="none"/>
        </w:rPr>
        <w:t>通过</w:t>
      </w:r>
      <w:r>
        <w:rPr>
          <w:rFonts w:hint="default" w:ascii="Times New Roman" w:hAnsi="Times New Roman" w:eastAsia="仿宋_GB2312" w:cs="Times New Roman"/>
          <w:sz w:val="32"/>
          <w:szCs w:val="32"/>
          <w:highlight w:val="none"/>
        </w:rPr>
        <w:t>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从项目效益的角度来看，本项目不仅实现了预期的社会效益方面产生了积极的影响。具体而言充分发挥博物馆宣传教育和社会服务阵地作用</w:t>
      </w:r>
      <w:r>
        <w:rPr>
          <w:rFonts w:hint="eastAsia" w:ascii="Times New Roman" w:hAnsi="Times New Roman" w:eastAsia="仿宋_GB2312" w:cs="Times New Roman"/>
          <w:sz w:val="32"/>
          <w:szCs w:val="32"/>
          <w:highlight w:val="none"/>
          <w:lang w:eastAsia="zh-CN"/>
        </w:rPr>
        <w:t>、不断强化文物的实证史证作用和宣传教育功能，不断弘扬传承优秀传统文化，大力培育社会主义核心价值观</w:t>
      </w:r>
      <w:r>
        <w:rPr>
          <w:rFonts w:hint="default" w:ascii="Times New Roman" w:hAnsi="Times New Roman" w:eastAsia="仿宋_GB2312" w:cs="Times New Roman"/>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color w:val="auto"/>
          <w:spacing w:val="17"/>
          <w:sz w:val="32"/>
          <w:szCs w:val="32"/>
          <w:highlight w:val="none"/>
          <w:lang w:val="en-US" w:eastAsia="zh-CN"/>
        </w:rPr>
        <w:t>博物馆纪念馆免费开放运行经费项目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评价等级为优。</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000000"/>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博物馆纪念馆免费开放运行经费项目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99.91</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39.95</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99.88</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w:t>
      </w:r>
      <w:r>
        <w:rPr>
          <w:rFonts w:hint="eastAsia" w:ascii="Times New Roman" w:hAnsi="Times New Roman" w:eastAsia="仿宋_GB2312" w:cs="Times New Roman"/>
          <w:color w:val="000000"/>
          <w:spacing w:val="17"/>
          <w:sz w:val="32"/>
          <w:szCs w:val="32"/>
          <w:highlight w:val="none"/>
          <w:lang w:val="en-US" w:eastAsia="zh-CN"/>
        </w:rPr>
        <w:t>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4"/>
                <w:szCs w:val="24"/>
                <w:highlight w:val="none"/>
                <w:shd w:val="clear" w:color="auto" w:fill="auto"/>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表3-1：博物馆纪念馆免费开放运行经费项目得分表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1"/>
                <w:szCs w:val="21"/>
                <w:highlight w:val="none"/>
                <w:shd w:val="clear" w:color="auto" w:fill="auto"/>
                <w:lang w:val="en-US" w:eastAsia="zh-CN"/>
                <w14:textFill>
                  <w14:solidFill>
                    <w14:schemeClr w14:val="tx1"/>
                  </w14:solidFill>
                </w14:textFill>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39.95</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98.95</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99.88</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98.95</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07" w:name="_Toc1494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kern w:val="28"/>
          <w:sz w:val="32"/>
        </w:rPr>
      </w:pPr>
      <w:bookmarkStart w:id="108" w:name="_Toc6759"/>
      <w:r>
        <w:rPr>
          <w:rFonts w:hint="eastAsia" w:ascii="Times New Roman" w:hAnsi="Times New Roman" w:eastAsia="楷体_GB2312" w:cs="Times New Roman"/>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sz w:val="32"/>
          <w:szCs w:val="32"/>
          <w:lang w:eastAsia="zh-CN"/>
        </w:rPr>
        <w:t>①项目立项符合</w:t>
      </w:r>
      <w:r>
        <w:rPr>
          <w:rFonts w:hint="eastAsia" w:ascii="仿宋_GB2312" w:hAnsi="仿宋_GB2312" w:eastAsia="仿宋_GB2312" w:cs="仿宋_GB2312"/>
          <w:color w:val="auto"/>
          <w:sz w:val="32"/>
          <w:szCs w:val="32"/>
          <w:highlight w:val="none"/>
          <w:shd w:val="clear" w:color="auto" w:fill="auto"/>
          <w:lang w:val="en-US" w:eastAsia="zh-CN"/>
        </w:rPr>
        <w:t>昌州财教[2023]84号“关于提前下达2024年博物馆纪念馆免费开放补助资金预算的通知”文件设立本项目相关政策，符合</w:t>
      </w:r>
      <w:r>
        <w:rPr>
          <w:rFonts w:hint="eastAsia" w:ascii="仿宋_GB2312" w:hAnsi="仿宋_GB2312" w:eastAsia="仿宋_GB2312" w:cs="仿宋_GB2312"/>
          <w:color w:val="auto"/>
          <w:sz w:val="32"/>
          <w:szCs w:val="32"/>
          <w:highlight w:val="none"/>
        </w:rPr>
        <w:t>《中华人民共和国预算法》</w:t>
      </w:r>
      <w:r>
        <w:rPr>
          <w:rFonts w:hint="eastAsia" w:ascii="仿宋_GB2312" w:hAnsi="仿宋_GB2312" w:eastAsia="仿宋_GB2312" w:cs="仿宋_GB2312"/>
          <w:color w:val="auto"/>
          <w:sz w:val="32"/>
          <w:szCs w:val="32"/>
          <w:highlight w:val="none"/>
          <w:shd w:val="clear" w:color="auto" w:fill="auto"/>
          <w:lang w:val="en-US" w:eastAsia="zh-CN"/>
        </w:rPr>
        <w:t>《中华人民共和国合同法》《中华人民共和国劳动法》等国家法律法规、国民经济发展规划和相关政策；</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②项目立项符</w:t>
      </w:r>
      <w:r>
        <w:rPr>
          <w:rFonts w:hint="eastAsia" w:ascii="仿宋_GB2312" w:hAnsi="仿宋_GB2312" w:eastAsia="仿宋_GB2312" w:cs="仿宋_GB2312"/>
          <w:color w:val="auto"/>
          <w:sz w:val="32"/>
          <w:szCs w:val="32"/>
          <w:lang w:eastAsia="zh-CN"/>
        </w:rPr>
        <w:t>合国家文化发展规划《“十四五文化发展规划》和《中央对地方博物馆、纪念馆免费开放补助资金管理办法》政策要求</w:t>
      </w:r>
      <w:r>
        <w:rPr>
          <w:rFonts w:hint="eastAsia" w:ascii="仿宋_GB2312" w:hAnsi="仿宋_GB2312" w:eastAsia="仿宋_GB2312" w:cs="仿宋_GB2312"/>
          <w:sz w:val="32"/>
          <w:szCs w:val="32"/>
          <w:lang w:eastAsia="zh-CN"/>
        </w:rPr>
        <w:t>；</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③项目立项</w:t>
      </w:r>
      <w:r>
        <w:rPr>
          <w:rFonts w:hint="eastAsia" w:ascii="仿宋_GB2312" w:hAnsi="仿宋_GB2312" w:eastAsia="仿宋_GB2312" w:cs="仿宋_GB2312"/>
          <w:color w:val="auto"/>
          <w:sz w:val="32"/>
          <w:szCs w:val="32"/>
          <w:highlight w:val="none"/>
          <w:shd w:val="clear" w:color="auto" w:fill="auto"/>
          <w:lang w:val="en-US" w:eastAsia="zh-CN"/>
        </w:rPr>
        <w:t>与部门职责范围相符，即博物馆主要职能：负责通过文物展览开展公众教育等工作职责范围</w:t>
      </w:r>
      <w:r>
        <w:rPr>
          <w:rFonts w:hint="eastAsia" w:ascii="仿宋_GB2312" w:hAnsi="仿宋_GB2312" w:eastAsia="仿宋_GB2312" w:cs="仿宋_GB2312"/>
          <w:sz w:val="32"/>
          <w:szCs w:val="32"/>
          <w:lang w:eastAsia="zh-CN"/>
        </w:rPr>
        <w:t>相符，属于部门履职所需；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3240"/>
      <w:bookmarkStart w:id="112" w:name="_Toc21976"/>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②审批文件、材料符合相关要求；</w:t>
      </w:r>
    </w:p>
    <w:p w14:paraId="5B954D2F">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③事前经过集体决策、未进行可行性研究、专家论证、风险评估、绩效评估，扣</w:t>
      </w:r>
      <w:r>
        <w:rPr>
          <w:rFonts w:hint="eastAsia" w:ascii="仿宋_GB2312" w:hAnsi="仿宋_GB2312" w:eastAsia="仿宋_GB2312" w:cs="仿宋_GB2312"/>
          <w:sz w:val="32"/>
          <w:szCs w:val="32"/>
          <w:highlight w:val="none"/>
          <w:lang w:val="en-US" w:eastAsia="zh-CN"/>
        </w:rPr>
        <w:t>1分。</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15382"/>
      <w:bookmarkStart w:id="114" w:name="_Toc23542"/>
      <w:r>
        <w:rPr>
          <w:rFonts w:hint="eastAsia" w:ascii="仿宋_GB2312" w:hAnsi="仿宋_GB2312" w:eastAsia="仿宋_GB2312" w:cs="仿宋_GB2312"/>
          <w:b/>
          <w:bCs/>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②该项目实际工作内容为：开展免费开放活动和举办流动博物馆巡展宣传</w:t>
      </w:r>
      <w:r>
        <w:rPr>
          <w:rFonts w:hint="eastAsia" w:ascii="仿宋_GB2312" w:hAnsi="仿宋_GB2312" w:eastAsia="仿宋_GB2312" w:cs="仿宋_GB2312"/>
          <w:color w:val="auto"/>
          <w:sz w:val="32"/>
          <w:szCs w:val="32"/>
          <w:highlight w:val="none"/>
          <w:lang w:eastAsia="zh-CN"/>
        </w:rPr>
        <w:t>工作。绩效目标与实际工作内容一致，两者具有相关性。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w:t>
      </w:r>
      <w:r>
        <w:rPr>
          <w:rFonts w:hint="eastAsia" w:ascii="仿宋_GB2312" w:hAnsi="仿宋_GB2312" w:eastAsia="仿宋_GB2312" w:cs="仿宋_GB2312"/>
          <w:color w:val="auto"/>
          <w:sz w:val="32"/>
          <w:szCs w:val="32"/>
          <w:highlight w:val="none"/>
          <w:lang w:eastAsia="zh-CN"/>
        </w:rPr>
        <w:t>按照绩效目标完成数量指标、质量指标、时效指标、成本指标，完成了免费开放活动36场，流动博物馆宣传30场，参加人数28</w:t>
      </w:r>
      <w:r>
        <w:rPr>
          <w:rFonts w:hint="eastAsia" w:ascii="仿宋_GB2312" w:hAnsi="仿宋_GB2312" w:eastAsia="仿宋_GB2312" w:cs="仿宋_GB2312"/>
          <w:color w:val="auto"/>
          <w:sz w:val="32"/>
          <w:szCs w:val="32"/>
          <w:highlight w:val="none"/>
          <w:lang w:val="en-US" w:eastAsia="zh-CN"/>
        </w:rPr>
        <w:t>428</w:t>
      </w:r>
      <w:r>
        <w:rPr>
          <w:rFonts w:hint="eastAsia" w:ascii="仿宋_GB2312" w:hAnsi="仿宋_GB2312" w:eastAsia="仿宋_GB2312" w:cs="仿宋_GB2312"/>
          <w:color w:val="auto"/>
          <w:sz w:val="32"/>
          <w:szCs w:val="32"/>
          <w:highlight w:val="none"/>
          <w:lang w:eastAsia="zh-CN"/>
        </w:rPr>
        <w:t>人，免费开放绩效考评率达到95%，社会教育服务水平达到95%，达到有效提升博物馆宣传教育和社会服务阵地作用、有效提升强化文物的实证史证作用和宣传教育功能，不断弘扬传承优秀传统文化，大力培育社会主义核心价值观的社会效益，预期产出</w:t>
      </w:r>
      <w:r>
        <w:rPr>
          <w:rFonts w:hint="eastAsia" w:ascii="仿宋_GB2312" w:hAnsi="仿宋_GB2312" w:eastAsia="仿宋_GB2312" w:cs="仿宋_GB2312"/>
          <w:sz w:val="32"/>
          <w:szCs w:val="32"/>
          <w:highlight w:val="none"/>
          <w:lang w:eastAsia="zh-CN"/>
        </w:rPr>
        <w:t>效益和效果符合正常的业绩水平。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w:t>
      </w:r>
      <w:r>
        <w:rPr>
          <w:rFonts w:hint="eastAsia" w:ascii="仿宋_GB2312" w:hAnsi="仿宋_GB2312" w:eastAsia="仿宋_GB2312" w:cs="仿宋_GB2312"/>
          <w:color w:val="auto"/>
          <w:sz w:val="32"/>
          <w:szCs w:val="32"/>
          <w:highlight w:val="none"/>
          <w:lang w:eastAsia="zh-CN"/>
        </w:rPr>
        <w:t>表》中预算金额为</w:t>
      </w:r>
      <w:r>
        <w:rPr>
          <w:rFonts w:hint="eastAsia" w:ascii="仿宋_GB2312" w:hAnsi="仿宋_GB2312" w:eastAsia="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8198"/>
      <w:bookmarkStart w:id="116" w:name="_Toc10650"/>
      <w:r>
        <w:rPr>
          <w:rFonts w:hint="eastAsia" w:ascii="仿宋_GB2312" w:hAnsi="仿宋_GB2312" w:eastAsia="仿宋_GB2312" w:cs="仿宋_GB2312"/>
          <w:b/>
          <w:bCs/>
          <w:sz w:val="32"/>
          <w:szCs w:val="32"/>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①将项目绩效目标细化分解为具体的绩效指标，</w:t>
      </w:r>
      <w:r>
        <w:rPr>
          <w:rFonts w:hint="eastAsia" w:ascii="仿宋_GB2312" w:hAnsi="仿宋_GB2312" w:eastAsia="仿宋_GB2312" w:cs="仿宋_GB2312"/>
          <w:sz w:val="32"/>
          <w:szCs w:val="32"/>
          <w:lang w:val="en-US" w:eastAsia="zh-CN"/>
        </w:rPr>
        <w:t>其中三</w:t>
      </w:r>
      <w:r>
        <w:rPr>
          <w:rFonts w:hint="eastAsia" w:ascii="仿宋_GB2312" w:hAnsi="仿宋_GB2312" w:eastAsia="仿宋_GB2312" w:cs="仿宋_GB2312"/>
          <w:color w:val="auto"/>
          <w:sz w:val="32"/>
          <w:szCs w:val="32"/>
          <w:lang w:val="en-US" w:eastAsia="zh-CN"/>
        </w:rPr>
        <w:t>级指标共计13个</w:t>
      </w:r>
      <w:r>
        <w:rPr>
          <w:rFonts w:hint="eastAsia" w:ascii="仿宋_GB2312" w:hAnsi="仿宋_GB2312" w:eastAsia="仿宋_GB2312" w:cs="仿宋_GB2312"/>
          <w:color w:val="auto"/>
          <w:sz w:val="32"/>
          <w:szCs w:val="32"/>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量化率达到84.62%</w:t>
      </w:r>
      <w:r>
        <w:rPr>
          <w:rFonts w:hint="eastAsia" w:ascii="仿宋_GB2312" w:hAnsi="仿宋_GB2312" w:eastAsia="仿宋_GB2312" w:cs="仿宋_GB2312"/>
          <w:color w:val="auto"/>
          <w:sz w:val="32"/>
          <w:szCs w:val="32"/>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w:t>
      </w:r>
      <w:r>
        <w:rPr>
          <w:rFonts w:hint="eastAsia" w:ascii="仿宋_GB2312" w:hAnsi="仿宋_GB2312" w:eastAsia="仿宋_GB2312" w:cs="仿宋_GB2312"/>
          <w:sz w:val="32"/>
          <w:szCs w:val="32"/>
          <w:lang w:eastAsia="zh-CN"/>
        </w:rPr>
        <w:t>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8296"/>
      <w:bookmarkStart w:id="118" w:name="_Toc19401"/>
      <w:r>
        <w:rPr>
          <w:rFonts w:hint="eastAsia" w:ascii="仿宋_GB2312" w:hAnsi="仿宋_GB2312" w:eastAsia="仿宋_GB2312" w:cs="仿宋_GB2312"/>
          <w:b/>
          <w:bCs/>
          <w:sz w:val="32"/>
          <w:szCs w:val="32"/>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color w:val="auto"/>
          <w:sz w:val="32"/>
          <w:szCs w:val="32"/>
          <w:lang w:eastAsia="zh-CN"/>
        </w:rPr>
        <w:t>预算申请内容为博物馆免费开放资金，项目实际内容为开展免费开放活动，预算申请与项目内容匹配；</w:t>
      </w:r>
    </w:p>
    <w:p w14:paraId="47FD353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③</w:t>
      </w:r>
      <w:r>
        <w:rPr>
          <w:rFonts w:hint="eastAsia" w:ascii="仿宋_GB2312" w:hAnsi="仿宋_GB2312" w:eastAsia="仿宋_GB2312" w:cs="仿宋_GB2312"/>
          <w:sz w:val="32"/>
          <w:szCs w:val="32"/>
          <w:lang w:eastAsia="zh-CN"/>
        </w:rPr>
        <w:t>项</w:t>
      </w:r>
      <w:r>
        <w:rPr>
          <w:rFonts w:hint="eastAsia" w:ascii="仿宋_GB2312" w:hAnsi="仿宋_GB2312" w:eastAsia="仿宋_GB2312" w:cs="仿宋_GB2312"/>
          <w:color w:val="auto"/>
          <w:sz w:val="32"/>
          <w:szCs w:val="32"/>
          <w:lang w:eastAsia="zh-CN"/>
        </w:rPr>
        <w:t>目预算申请资金</w:t>
      </w:r>
      <w:r>
        <w:rPr>
          <w:rFonts w:hint="eastAsia" w:ascii="仿宋_GB2312" w:hAnsi="仿宋_GB2312" w:eastAsia="仿宋_GB2312" w:cs="仿宋_GB2312"/>
          <w:color w:val="auto"/>
          <w:sz w:val="32"/>
          <w:szCs w:val="32"/>
          <w:lang w:val="en-US" w:eastAsia="zh-CN"/>
        </w:rPr>
        <w:t>30万</w:t>
      </w:r>
      <w:r>
        <w:rPr>
          <w:rFonts w:hint="eastAsia" w:ascii="仿宋_GB2312" w:hAnsi="仿宋_GB2312" w:eastAsia="仿宋_GB2312" w:cs="仿宋_GB2312"/>
          <w:color w:val="auto"/>
          <w:sz w:val="32"/>
          <w:szCs w:val="32"/>
          <w:lang w:eastAsia="zh-CN"/>
        </w:rPr>
        <w:t>元，我单位在预算申请中严格按照项目实施内容及测算标准进行核算，其中：正常运转费用</w:t>
      </w:r>
      <w:r>
        <w:rPr>
          <w:rFonts w:hint="eastAsia" w:ascii="仿宋_GB2312" w:hAnsi="仿宋_GB2312" w:eastAsia="仿宋_GB2312" w:cs="仿宋_GB2312"/>
          <w:color w:val="auto"/>
          <w:sz w:val="32"/>
          <w:szCs w:val="32"/>
          <w:lang w:val="en-US" w:eastAsia="zh-CN"/>
        </w:rPr>
        <w:t>10.8万元，</w:t>
      </w:r>
      <w:r>
        <w:rPr>
          <w:rFonts w:hint="eastAsia" w:ascii="仿宋_GB2312" w:hAnsi="仿宋_GB2312" w:eastAsia="仿宋_GB2312" w:cs="仿宋_GB2312"/>
          <w:color w:val="auto"/>
          <w:sz w:val="32"/>
          <w:szCs w:val="32"/>
          <w:lang w:eastAsia="zh-CN"/>
        </w:rPr>
        <w:t>提升公共服务能力费用</w:t>
      </w:r>
      <w:r>
        <w:rPr>
          <w:rFonts w:hint="eastAsia" w:ascii="仿宋_GB2312" w:hAnsi="仿宋_GB2312" w:eastAsia="仿宋_GB2312" w:cs="仿宋_GB2312"/>
          <w:color w:val="auto"/>
          <w:sz w:val="32"/>
          <w:szCs w:val="32"/>
          <w:lang w:val="en-US" w:eastAsia="zh-CN"/>
        </w:rPr>
        <w:t>19.2</w:t>
      </w:r>
      <w:r>
        <w:rPr>
          <w:rFonts w:hint="eastAsia" w:ascii="仿宋_GB2312" w:hAnsi="仿宋_GB2312" w:eastAsia="仿宋_GB2312" w:cs="仿宋_GB2312"/>
          <w:color w:val="auto"/>
          <w:sz w:val="32"/>
          <w:szCs w:val="32"/>
          <w:lang w:eastAsia="zh-CN"/>
        </w:rPr>
        <w:t>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9" w:name="_Toc697"/>
      <w:bookmarkStart w:id="120" w:name="_Toc20556"/>
      <w:r>
        <w:rPr>
          <w:rFonts w:hint="eastAsia" w:ascii="仿宋_GB2312" w:hAnsi="仿宋_GB2312" w:eastAsia="仿宋_GB2312" w:cs="仿宋_GB2312"/>
          <w:b/>
          <w:bCs/>
          <w:sz w:val="32"/>
          <w:szCs w:val="32"/>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①项目实际分配资金以</w:t>
      </w:r>
      <w:r>
        <w:rPr>
          <w:rFonts w:hint="eastAsia" w:ascii="仿宋_GB2312" w:hAnsi="仿宋_GB2312" w:eastAsia="仿宋_GB2312" w:cs="仿宋_GB2312"/>
          <w:sz w:val="32"/>
          <w:szCs w:val="32"/>
          <w:lang w:eastAsia="zh-Hans"/>
        </w:rPr>
        <w:t>《关于</w:t>
      </w:r>
      <w:r>
        <w:rPr>
          <w:rFonts w:hint="eastAsia" w:ascii="仿宋_GB2312" w:hAnsi="仿宋_GB2312" w:eastAsia="仿宋_GB2312" w:cs="仿宋_GB2312"/>
          <w:sz w:val="32"/>
          <w:szCs w:val="32"/>
          <w:lang w:eastAsia="zh-CN"/>
        </w:rPr>
        <w:t>申请</w:t>
      </w:r>
      <w:r>
        <w:rPr>
          <w:rFonts w:hint="eastAsia" w:ascii="仿宋_GB2312" w:hAnsi="仿宋_GB2312" w:eastAsia="仿宋_GB2312" w:cs="仿宋_GB2312"/>
          <w:color w:val="auto"/>
          <w:sz w:val="32"/>
          <w:szCs w:val="32"/>
          <w:lang w:eastAsia="zh-CN"/>
        </w:rPr>
        <w:t>博物馆纪念馆免费开放运行经费项目</w:t>
      </w:r>
      <w:r>
        <w:rPr>
          <w:rFonts w:hint="eastAsia" w:ascii="仿宋_GB2312" w:hAnsi="仿宋_GB2312" w:eastAsia="仿宋_GB2312" w:cs="仿宋_GB2312"/>
          <w:sz w:val="32"/>
          <w:szCs w:val="32"/>
          <w:lang w:eastAsia="zh-CN"/>
        </w:rPr>
        <w:t>资金的请示</w:t>
      </w:r>
      <w:r>
        <w:rPr>
          <w:rFonts w:hint="eastAsia" w:ascii="仿宋_GB2312" w:hAnsi="仿宋_GB2312" w:eastAsia="仿宋_GB2312" w:cs="仿宋_GB2312"/>
          <w:sz w:val="32"/>
          <w:szCs w:val="32"/>
          <w:lang w:eastAsia="zh-Hans"/>
        </w:rPr>
        <w:t>》为依据进行资金分配，预算资金分配依据充分</w:t>
      </w:r>
      <w:r>
        <w:rPr>
          <w:rFonts w:hint="eastAsia" w:ascii="仿宋_GB2312" w:hAnsi="仿宋_GB2312" w:eastAsia="仿宋_GB2312" w:cs="仿宋_GB2312"/>
          <w:sz w:val="32"/>
          <w:szCs w:val="32"/>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②项目实际到</w:t>
      </w:r>
      <w:r>
        <w:rPr>
          <w:rFonts w:hint="eastAsia" w:ascii="仿宋_GB2312" w:hAnsi="仿宋_GB2312" w:eastAsia="仿宋_GB2312" w:cs="仿宋_GB2312"/>
          <w:color w:val="auto"/>
          <w:sz w:val="32"/>
          <w:szCs w:val="32"/>
          <w:lang w:eastAsia="zh-CN"/>
        </w:rPr>
        <w:t>位资金</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sz w:val="32"/>
          <w:szCs w:val="32"/>
          <w:lang w:eastAsia="zh-CN"/>
        </w:rPr>
        <w:t>资金分配额度合理，与项目单位</w:t>
      </w:r>
      <w:r>
        <w:rPr>
          <w:rFonts w:hint="eastAsia" w:ascii="仿宋_GB2312" w:hAnsi="仿宋_GB2312" w:eastAsia="仿宋_GB2312" w:cs="仿宋_GB2312"/>
          <w:sz w:val="32"/>
          <w:szCs w:val="32"/>
          <w:lang w:val="en-US" w:eastAsia="zh-CN"/>
        </w:rPr>
        <w:t>及项目实际实施情况相</w:t>
      </w:r>
      <w:r>
        <w:rPr>
          <w:rFonts w:hint="eastAsia" w:ascii="仿宋_GB2312" w:hAnsi="仿宋_GB2312" w:eastAsia="仿宋_GB2312" w:cs="仿宋_GB2312"/>
          <w:sz w:val="32"/>
          <w:szCs w:val="32"/>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kern w:val="28"/>
          <w:sz w:val="32"/>
        </w:rPr>
      </w:pPr>
      <w:bookmarkStart w:id="121" w:name="_Toc10564"/>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lang w:val="en-US" w:eastAsia="zh-CN"/>
        </w:rPr>
        <w:t>二</w:t>
      </w:r>
      <w:r>
        <w:rPr>
          <w:rFonts w:hint="eastAsia" w:ascii="Times New Roman" w:hAnsi="Times New Roman" w:eastAsia="楷体" w:cs="Times New Roman"/>
          <w:kern w:val="28"/>
          <w:sz w:val="32"/>
          <w:lang w:eastAsia="zh-CN"/>
        </w:rPr>
        <w:t>）</w:t>
      </w:r>
      <w:r>
        <w:rPr>
          <w:rFonts w:hint="eastAsia" w:ascii="Times New Roman" w:hAnsi="Times New Roman" w:eastAsia="楷体" w:cs="Times New Roman"/>
          <w:kern w:val="28"/>
          <w:sz w:val="32"/>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20449"/>
      <w:bookmarkStart w:id="123" w:name="_Toc3886"/>
      <w:r>
        <w:rPr>
          <w:rFonts w:hint="eastAsia" w:ascii="仿宋_GB2312" w:hAnsi="仿宋_GB2312" w:eastAsia="仿宋_GB2312" w:cs="仿宋_GB2312"/>
          <w:b/>
          <w:bCs/>
          <w:sz w:val="32"/>
          <w:szCs w:val="32"/>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30</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30</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6FCBA2A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color w:val="auto"/>
          <w:sz w:val="32"/>
          <w:szCs w:val="32"/>
          <w:lang w:val="en-US" w:eastAsia="zh-CN"/>
        </w:rPr>
        <w:t>30万元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30万元</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9705"/>
      <w:bookmarkStart w:id="125" w:name="_Toc17709"/>
      <w:r>
        <w:rPr>
          <w:rFonts w:hint="eastAsia" w:ascii="仿宋_GB2312" w:hAnsi="仿宋_GB2312" w:eastAsia="仿宋_GB2312" w:cs="仿宋_GB2312"/>
          <w:b/>
          <w:bCs/>
          <w:color w:val="auto"/>
          <w:sz w:val="32"/>
          <w:szCs w:val="32"/>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w:t>
      </w:r>
      <w:r>
        <w:rPr>
          <w:rFonts w:hint="eastAsia" w:ascii="仿宋_GB2312" w:hAnsi="仿宋_GB2312" w:eastAsia="仿宋_GB2312" w:cs="仿宋_GB2312"/>
          <w:b w:val="0"/>
          <w:bCs w:val="0"/>
          <w:color w:val="auto"/>
          <w:sz w:val="32"/>
          <w:szCs w:val="32"/>
          <w:lang w:val="en-US" w:eastAsia="zh-CN"/>
        </w:rPr>
        <w:t>30</w:t>
      </w:r>
      <w:r>
        <w:rPr>
          <w:rFonts w:hint="eastAsia" w:ascii="仿宋_GB2312" w:hAnsi="仿宋_GB2312" w:eastAsia="仿宋_GB2312" w:cs="仿宋_GB2312"/>
          <w:color w:val="auto"/>
          <w:sz w:val="32"/>
          <w:szCs w:val="32"/>
          <w:lang w:val="en-US" w:eastAsia="zh-CN"/>
        </w:rPr>
        <w:t>万元。</w:t>
      </w:r>
    </w:p>
    <w:p w14:paraId="7E8B6A0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color w:val="auto"/>
          <w:sz w:val="32"/>
          <w:szCs w:val="32"/>
          <w:lang w:val="en-US" w:eastAsia="zh-CN"/>
        </w:rPr>
        <w:t>30万元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30万元</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6" w:name="_Toc18691"/>
      <w:bookmarkStart w:id="127" w:name="_Toc28875"/>
      <w:r>
        <w:rPr>
          <w:rFonts w:hint="eastAsia" w:ascii="仿宋_GB2312" w:hAnsi="仿宋_GB2312" w:eastAsia="仿宋_GB2312" w:cs="仿宋_GB2312"/>
          <w:b/>
          <w:bCs/>
          <w:color w:val="auto"/>
          <w:sz w:val="32"/>
          <w:szCs w:val="32"/>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color w:val="auto"/>
          <w:sz w:val="32"/>
          <w:szCs w:val="32"/>
          <w:lang w:eastAsia="zh-CN"/>
        </w:rPr>
        <w:t>①本项目资金支出符合国家财经法规、《政府会计制度》《阜康市博物馆单位资金管理办法》《中央对地方博物馆、纪念馆免费开放补助资金专项资金管理办法》；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kern w:val="2"/>
          <w:sz w:val="32"/>
          <w:szCs w:val="32"/>
          <w:lang w:val="en-US" w:eastAsia="zh-CN" w:bidi="ar-SA"/>
        </w:rPr>
        <w:t>4.</w:t>
      </w:r>
      <w:r>
        <w:rPr>
          <w:rFonts w:hint="eastAsia" w:ascii="仿宋_GB2312" w:hAnsi="仿宋_GB2312" w:eastAsia="仿宋_GB2312" w:cs="仿宋_GB2312"/>
          <w:b/>
          <w:bCs/>
          <w:sz w:val="32"/>
          <w:szCs w:val="32"/>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①</w:t>
      </w:r>
      <w:r>
        <w:rPr>
          <w:rFonts w:hint="eastAsia" w:ascii="仿宋_GB2312" w:hAnsi="仿宋_GB2312" w:eastAsia="仿宋_GB2312" w:cs="仿宋_GB2312"/>
          <w:sz w:val="32"/>
          <w:szCs w:val="32"/>
          <w:lang w:eastAsia="zh-CN"/>
        </w:rPr>
        <w:t>我单位已制定《</w:t>
      </w:r>
      <w:r>
        <w:rPr>
          <w:rFonts w:hint="eastAsia" w:ascii="仿宋_GB2312" w:hAnsi="仿宋_GB2312" w:eastAsia="仿宋_GB2312" w:cs="仿宋_GB2312"/>
          <w:color w:val="auto"/>
          <w:sz w:val="32"/>
          <w:szCs w:val="32"/>
          <w:lang w:eastAsia="zh-CN"/>
        </w:rPr>
        <w:t>阜康市博物馆</w:t>
      </w:r>
      <w:r>
        <w:rPr>
          <w:rFonts w:hint="eastAsia" w:ascii="仿宋_GB2312" w:hAnsi="仿宋_GB2312" w:eastAsia="仿宋_GB2312" w:cs="仿宋_GB2312"/>
          <w:sz w:val="32"/>
          <w:szCs w:val="32"/>
          <w:lang w:eastAsia="zh-CN"/>
        </w:rPr>
        <w:t>资金管理办法》《</w:t>
      </w:r>
      <w:r>
        <w:rPr>
          <w:rFonts w:hint="eastAsia" w:ascii="仿宋_GB2312" w:hAnsi="仿宋_GB2312" w:eastAsia="仿宋_GB2312" w:cs="仿宋_GB2312"/>
          <w:color w:val="auto"/>
          <w:sz w:val="32"/>
          <w:szCs w:val="32"/>
          <w:lang w:eastAsia="zh-CN"/>
        </w:rPr>
        <w:t>阜康市博物馆</w:t>
      </w:r>
      <w:r>
        <w:rPr>
          <w:rFonts w:hint="eastAsia" w:ascii="仿宋_GB2312" w:hAnsi="仿宋_GB2312" w:eastAsia="仿宋_GB2312" w:cs="仿宋_GB2312"/>
          <w:sz w:val="32"/>
          <w:szCs w:val="32"/>
          <w:lang w:eastAsia="zh-CN"/>
        </w:rPr>
        <w:t>收支业务管理制度》《</w:t>
      </w:r>
      <w:r>
        <w:rPr>
          <w:rFonts w:hint="eastAsia" w:ascii="仿宋_GB2312" w:hAnsi="仿宋_GB2312" w:eastAsia="仿宋_GB2312" w:cs="仿宋_GB2312"/>
          <w:color w:val="auto"/>
          <w:sz w:val="32"/>
          <w:szCs w:val="32"/>
          <w:lang w:eastAsia="zh-CN"/>
        </w:rPr>
        <w:t>阜康市博物馆</w:t>
      </w:r>
      <w:r>
        <w:rPr>
          <w:rFonts w:hint="eastAsia" w:ascii="仿宋_GB2312" w:hAnsi="仿宋_GB2312" w:eastAsia="仿宋_GB2312" w:cs="仿宋_GB2312"/>
          <w:sz w:val="32"/>
          <w:szCs w:val="32"/>
          <w:lang w:eastAsia="zh-CN"/>
        </w:rPr>
        <w:t>政府采购业务管理制度》《</w:t>
      </w:r>
      <w:r>
        <w:rPr>
          <w:rFonts w:hint="eastAsia" w:ascii="仿宋_GB2312" w:hAnsi="仿宋_GB2312" w:eastAsia="仿宋_GB2312" w:cs="仿宋_GB2312"/>
          <w:color w:val="auto"/>
          <w:sz w:val="32"/>
          <w:szCs w:val="32"/>
          <w:lang w:eastAsia="zh-CN"/>
        </w:rPr>
        <w:t>阜康市博物馆</w:t>
      </w:r>
      <w:r>
        <w:rPr>
          <w:rFonts w:hint="eastAsia" w:ascii="仿宋_GB2312" w:hAnsi="仿宋_GB2312" w:eastAsia="仿宋_GB2312" w:cs="仿宋_GB2312"/>
          <w:sz w:val="32"/>
          <w:szCs w:val="32"/>
          <w:lang w:eastAsia="zh-CN"/>
        </w:rPr>
        <w:t>合同管理制度》，</w:t>
      </w:r>
      <w:r>
        <w:rPr>
          <w:rFonts w:hint="eastAsia" w:ascii="仿宋_GB2312" w:hAnsi="仿宋_GB2312" w:eastAsia="仿宋_GB2312" w:cs="仿宋_GB2312"/>
          <w:sz w:val="32"/>
          <w:szCs w:val="32"/>
          <w:lang w:val="en-US" w:eastAsia="zh-CN"/>
        </w:rPr>
        <w:t>相关</w:t>
      </w:r>
      <w:r>
        <w:rPr>
          <w:rFonts w:hint="eastAsia" w:ascii="仿宋_GB2312" w:hAnsi="仿宋_GB2312" w:eastAsia="仿宋_GB2312" w:cs="仿宋_GB2312"/>
          <w:sz w:val="32"/>
          <w:szCs w:val="32"/>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②已制定的</w:t>
      </w:r>
      <w:r>
        <w:rPr>
          <w:rFonts w:hint="eastAsia" w:ascii="仿宋_GB2312" w:hAnsi="仿宋_GB2312" w:eastAsia="仿宋_GB2312" w:cs="仿宋_GB2312"/>
          <w:sz w:val="32"/>
          <w:szCs w:val="32"/>
          <w:lang w:eastAsia="zh-CN"/>
        </w:rPr>
        <w:t>财务和业务管理制度合法、合规、完整，本项目执行符合</w:t>
      </w:r>
      <w:r>
        <w:rPr>
          <w:rFonts w:hint="eastAsia" w:ascii="仿宋_GB2312" w:hAnsi="仿宋_GB2312" w:eastAsia="仿宋_GB2312" w:cs="仿宋_GB2312"/>
          <w:color w:val="auto"/>
          <w:sz w:val="32"/>
          <w:szCs w:val="32"/>
          <w:lang w:eastAsia="zh-CN"/>
        </w:rPr>
        <w:t>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8" w:name="_Toc13984"/>
      <w:bookmarkStart w:id="129" w:name="_Toc31684"/>
      <w:r>
        <w:rPr>
          <w:rFonts w:hint="eastAsia" w:ascii="仿宋_GB2312" w:hAnsi="仿宋_GB2312" w:eastAsia="仿宋_GB2312" w:cs="仿宋_GB2312"/>
          <w:b/>
          <w:bCs/>
          <w:sz w:val="32"/>
          <w:szCs w:val="32"/>
          <w:lang w:val="en-US" w:eastAsia="zh-CN"/>
        </w:rPr>
        <w:t>5.制度执行有效性</w:t>
      </w:r>
      <w:bookmarkEnd w:id="128"/>
      <w:bookmarkEnd w:id="129"/>
    </w:p>
    <w:p w14:paraId="7A82465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①博物馆纪念馆免费开放运行经费项目的实施遵守相关法律法规及相关管理规定，符合《中央对地方博物馆、纪念馆免费开放补助资金专项资金管理办法》《中华人民共和国政府采购法》《阜康市博物馆政府采购业务管理制度》《阜康市博物馆收支业务管理制度》《阜康市博物馆合同管理制度》等管理规定；</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该项目实施过程中不存在调整事项</w:t>
      </w:r>
      <w:r>
        <w:rPr>
          <w:rFonts w:hint="eastAsia" w:ascii="仿宋_GB2312" w:hAnsi="仿宋_GB2312" w:eastAsia="仿宋_GB2312" w:cs="仿宋_GB2312"/>
          <w:color w:val="auto"/>
          <w:sz w:val="32"/>
          <w:szCs w:val="32"/>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博物馆纪念馆免费开放运行经费项目工作领导小组，由高晓玲任组长，负责项目的组织工作；冯超任副组长，负责项目的实施工作；组员包括：</w:t>
      </w:r>
      <w:r>
        <w:rPr>
          <w:rFonts w:hint="eastAsia" w:ascii="仿宋_GB2312" w:hAnsi="仿宋_GB2312" w:eastAsia="仿宋_GB2312" w:cs="仿宋_GB2312"/>
          <w:color w:val="auto"/>
          <w:sz w:val="32"/>
          <w:szCs w:val="32"/>
          <w:highlight w:val="none"/>
          <w:shd w:val="clear" w:color="auto" w:fill="auto"/>
          <w:lang w:val="en-US" w:eastAsia="zh-CN"/>
        </w:rPr>
        <w:t>马国智、许诺、许修文、加尔恒娜依和陈莉蓉，</w:t>
      </w:r>
      <w:r>
        <w:rPr>
          <w:rFonts w:hint="eastAsia" w:ascii="仿宋_GB2312" w:hAnsi="仿宋_GB2312" w:eastAsia="仿宋_GB2312" w:cs="仿宋_GB2312"/>
          <w:color w:val="auto"/>
          <w:sz w:val="32"/>
          <w:szCs w:val="32"/>
          <w:lang w:eastAsia="zh-CN"/>
        </w:rPr>
        <w:t>主要负责项目监督管理以及资金核拨等工作。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0" w:name="_Toc2441"/>
      <w:r>
        <w:rPr>
          <w:rFonts w:hint="eastAsia" w:ascii="Times New Roman" w:hAnsi="Times New Roman" w:eastAsia="楷体_GB2312" w:cs="Times New Roman"/>
          <w:color w:val="auto"/>
          <w:kern w:val="28"/>
          <w:sz w:val="32"/>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10</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39.95</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举办免费开放活动场次</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=36场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36场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B478F3E">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7003E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3F3285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727F1">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举办流动博物馆巡展宣传场次</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B0362">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=30场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57104">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68ABC">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30场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9EA9F">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1558432">
        <w:tblPrEx>
          <w:shd w:val="clear" w:color="auto" w:fill="auto"/>
          <w:tblCellMar>
            <w:top w:w="0" w:type="dxa"/>
            <w:left w:w="0" w:type="dxa"/>
            <w:bottom w:w="0" w:type="dxa"/>
            <w:right w:w="0" w:type="dxa"/>
          </w:tblCellMar>
        </w:tblPrEx>
        <w:trPr>
          <w:trHeight w:val="397"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C99942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2F2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B1445">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参加人数</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59015">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≥27800人</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70D07">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897AE">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28428人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FC830">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1.95</w:t>
            </w:r>
          </w:p>
        </w:tc>
      </w:tr>
      <w:tr w14:paraId="684F9CA2">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54D067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免费开放绩效考评率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2CC21047">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A952">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社会教育服务水平</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23EF">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099D8E">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举办免费开放活动完成时间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≤2024-12-31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2024年12月31日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03AF73B">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3086A3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10A544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7877D">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举办流动博物馆宣传完成时间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BDC7E">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≤2024-12-31</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B188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8E0AB">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2024年12月31日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292B8">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2ABE645">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5098E5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0AAF4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E1CBD">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博物馆免费开放专项资金完成及时率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226E6D">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48031">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05E910">
            <w:pPr>
              <w:keepNext w:val="0"/>
              <w:keepLines w:val="0"/>
              <w:pageBreakBefore w:val="0"/>
              <w:widowControl/>
              <w:suppressLineNumbers w:val="0"/>
              <w:kinsoku/>
              <w:wordWrap/>
              <w:overflowPunct/>
              <w:topLinePunct w:val="0"/>
              <w:autoSpaceDE/>
              <w:autoSpaceDN/>
              <w:bidi w:val="0"/>
              <w:adjustRightInd/>
              <w:spacing w:line="24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232A9">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AEEFAD2">
        <w:tblPrEx>
          <w:shd w:val="clear" w:color="auto" w:fill="auto"/>
          <w:tblCellMar>
            <w:top w:w="0" w:type="dxa"/>
            <w:left w:w="0" w:type="dxa"/>
            <w:bottom w:w="0" w:type="dxa"/>
            <w:right w:w="0" w:type="dxa"/>
          </w:tblCellMar>
        </w:tblPrEx>
        <w:trPr>
          <w:trHeight w:val="419"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9C4638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免费开放活动支出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≤18万元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kinsoku/>
              <w:wordWrap/>
              <w:overflowPunct/>
              <w:topLinePunct w:val="0"/>
              <w:autoSpaceDE/>
              <w:autoSpaceDN/>
              <w:bidi w:val="0"/>
              <w:adjustRightInd/>
              <w:spacing w:line="300" w:lineRule="exact"/>
              <w:textAlignment w:val="auto"/>
              <w:rPr>
                <w:color w:val="auto"/>
              </w:rPr>
            </w:pPr>
            <w:r>
              <w:rPr>
                <w:rFonts w:hint="eastAsia" w:ascii="宋体" w:hAnsi="宋体" w:eastAsia="宋体" w:cs="宋体"/>
                <w:i w:val="0"/>
                <w:iCs w:val="0"/>
                <w:color w:val="auto"/>
                <w:kern w:val="0"/>
                <w:sz w:val="20"/>
                <w:szCs w:val="20"/>
                <w:u w:val="none"/>
                <w:lang w:val="en-US" w:eastAsia="zh-CN" w:bidi="ar"/>
              </w:rPr>
              <w:t>18万元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DA3C733">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522F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5A6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yellow"/>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AF0EF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流动博物馆巡展宣传支出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D827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≤12万元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4F70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F187F">
            <w:pPr>
              <w:keepNext w:val="0"/>
              <w:keepLines w:val="0"/>
              <w:pageBreakBefore w:val="0"/>
              <w:kinsoku/>
              <w:wordWrap/>
              <w:overflowPunct/>
              <w:topLinePunct w:val="0"/>
              <w:autoSpaceDE/>
              <w:autoSpaceDN/>
              <w:bidi w:val="0"/>
              <w:adjustRightInd/>
              <w:spacing w:line="300" w:lineRule="exact"/>
              <w:textAlignment w:val="auto"/>
              <w:rPr>
                <w:color w:val="auto"/>
              </w:rPr>
            </w:pPr>
            <w:r>
              <w:rPr>
                <w:rFonts w:hint="eastAsia" w:ascii="宋体" w:hAnsi="宋体" w:eastAsia="宋体" w:cs="宋体"/>
                <w:i w:val="0"/>
                <w:iCs w:val="0"/>
                <w:color w:val="auto"/>
                <w:kern w:val="0"/>
                <w:sz w:val="20"/>
                <w:szCs w:val="20"/>
                <w:u w:val="none"/>
                <w:lang w:val="en-US" w:eastAsia="zh-CN" w:bidi="ar"/>
              </w:rPr>
              <w:t>12万元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3576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39.95</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39.95</w:t>
            </w:r>
          </w:p>
        </w:tc>
      </w:tr>
    </w:tbl>
    <w:p w14:paraId="5AABB41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31" w:name="_Toc11067"/>
      <w:bookmarkStart w:id="132" w:name="_Toc26689"/>
      <w:r>
        <w:rPr>
          <w:rFonts w:hint="eastAsia" w:ascii="仿宋_GB2312" w:hAnsi="仿宋_GB2312" w:eastAsia="仿宋_GB2312" w:cs="仿宋_GB2312"/>
          <w:b/>
          <w:bCs/>
          <w:sz w:val="32"/>
          <w:szCs w:val="32"/>
          <w:lang w:val="en-US" w:eastAsia="zh-CN"/>
        </w:rPr>
        <w:t>1.数量指标完成情况</w:t>
      </w:r>
      <w:bookmarkEnd w:id="131"/>
      <w:bookmarkEnd w:id="132"/>
    </w:p>
    <w:p w14:paraId="1E14769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举办免费开放活动场次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指标，预期目标值为=36场，实际完成为36场。实际完成率=（36场/36场）×100%=100%。</w:t>
      </w:r>
    </w:p>
    <w:p w14:paraId="20C346A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举办流动博物馆巡展宣传场次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指标，预期目标值为=30场，实际完成为30场。实际完成率=（30场/30场）×100%=100%。</w:t>
      </w:r>
    </w:p>
    <w:p w14:paraId="3474202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参加人数</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指标，预期目标值为≥27800人，实际完成为28428人。实际完成率=（28428人/27800人）×100%=102.26%，</w:t>
      </w:r>
      <w:r>
        <w:rPr>
          <w:rFonts w:hint="eastAsia" w:ascii="仿宋_GB2312" w:hAnsi="仿宋_GB2312" w:eastAsia="仿宋_GB2312" w:cs="仿宋_GB2312"/>
          <w:color w:val="auto"/>
          <w:sz w:val="32"/>
          <w:szCs w:val="32"/>
          <w:highlight w:val="none"/>
          <w:lang w:eastAsia="zh-CN"/>
        </w:rPr>
        <w:t>偏差原因：本年流动博物馆巡展场地范围扩大，宣传力度加大，参加人员增加</w:t>
      </w:r>
      <w:r>
        <w:rPr>
          <w:rFonts w:hint="eastAsia" w:ascii="仿宋_GB2312" w:hAnsi="仿宋_GB2312" w:eastAsia="仿宋_GB2312" w:cs="仿宋_GB2312"/>
          <w:color w:val="auto"/>
          <w:sz w:val="32"/>
          <w:szCs w:val="32"/>
          <w:lang w:val="en-US" w:eastAsia="zh-CN"/>
        </w:rPr>
        <w:t>。</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分10分，得分9.95分。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3" w:name="_Toc31739"/>
      <w:bookmarkStart w:id="134" w:name="_Toc14255"/>
      <w:r>
        <w:rPr>
          <w:rFonts w:hint="eastAsia" w:ascii="仿宋_GB2312" w:hAnsi="仿宋_GB2312" w:eastAsia="仿宋_GB2312" w:cs="仿宋_GB2312"/>
          <w:b/>
          <w:bCs/>
          <w:sz w:val="32"/>
          <w:szCs w:val="32"/>
          <w:lang w:val="en-US" w:eastAsia="zh-CN"/>
        </w:rPr>
        <w:t>2.</w:t>
      </w:r>
      <w:bookmarkEnd w:id="133"/>
      <w:r>
        <w:rPr>
          <w:rFonts w:hint="eastAsia" w:ascii="仿宋_GB2312" w:hAnsi="仿宋_GB2312" w:eastAsia="仿宋_GB2312" w:cs="仿宋_GB2312"/>
          <w:b/>
          <w:bCs/>
          <w:sz w:val="32"/>
          <w:szCs w:val="32"/>
          <w:lang w:val="en-US" w:eastAsia="zh-CN"/>
        </w:rPr>
        <w:t>质量指标完成情况</w:t>
      </w:r>
      <w:bookmarkEnd w:id="134"/>
    </w:p>
    <w:p w14:paraId="3298AB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免费开放绩效考评率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指标，预期目标值为≥95%，实际完成为95%。实际完成率100%。</w:t>
      </w:r>
    </w:p>
    <w:p w14:paraId="785922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社会教育服务水平</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指标，预期目标值为≥95%，实际完成为95%。实际完成率100%。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满分10分，得分10分。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5" w:name="_Toc18307"/>
      <w:bookmarkStart w:id="136" w:name="_Toc28885"/>
      <w:r>
        <w:rPr>
          <w:rFonts w:hint="eastAsia" w:ascii="仿宋_GB2312" w:hAnsi="仿宋_GB2312" w:eastAsia="仿宋_GB2312" w:cs="仿宋_GB2312"/>
          <w:b/>
          <w:bCs/>
          <w:sz w:val="32"/>
          <w:szCs w:val="32"/>
          <w:lang w:val="en-US" w:eastAsia="zh-CN"/>
        </w:rPr>
        <w:t>3.</w:t>
      </w:r>
      <w:bookmarkEnd w:id="135"/>
      <w:r>
        <w:rPr>
          <w:rFonts w:hint="eastAsia" w:ascii="仿宋_GB2312" w:hAnsi="仿宋_GB2312" w:eastAsia="仿宋_GB2312" w:cs="仿宋_GB2312"/>
          <w:b/>
          <w:bCs/>
          <w:sz w:val="32"/>
          <w:szCs w:val="32"/>
          <w:lang w:val="en-US" w:eastAsia="zh-CN"/>
        </w:rPr>
        <w:t>时效指标完成情况</w:t>
      </w:r>
      <w:bookmarkEnd w:id="136"/>
    </w:p>
    <w:p w14:paraId="2AE7A8C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举办免费开放活动完成时间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指标，预期目标值为≤2024-12-31，实际完成为2024年12月31日。实际完成率100%。</w:t>
      </w:r>
    </w:p>
    <w:p w14:paraId="20244C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lang w:val="en-US" w:eastAsia="zh-CN"/>
        </w:rPr>
        <w:t>“举办流动博物馆宣传完成时间”指标，预期目标值为≤2023-12-31，实际完成为2023年12月31日。实际完成率100%。</w:t>
      </w:r>
    </w:p>
    <w:p w14:paraId="33EA01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（3）“博物馆免费开放专项资金完成及时率”指标，预期目标值为≥95%，实际完成为100%。实际完成率100%。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10分，得分10分。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795D666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（1）“免费开放活动支出”指标，预期目标值为≤18万元，实际完成为18万元。实际完成率=（18万元/18万元）×100%=100% 。</w:t>
      </w:r>
    </w:p>
    <w:p w14:paraId="51BF344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sz w:val="32"/>
          <w:szCs w:val="32"/>
          <w:lang w:val="en-US" w:eastAsia="zh-CN"/>
        </w:rPr>
        <w:t>（2）“流动博物馆巡展宣传支出”指标，预期目标值为≤12万元，实际完成为12万元。实际完成率=（12万元/12万元）×100%=100%</w:t>
      </w:r>
      <w:r>
        <w:rPr>
          <w:rFonts w:hint="eastAsia" w:ascii="仿宋_GB2312" w:hAnsi="仿宋_GB2312" w:eastAsia="仿宋_GB2312" w:cs="仿宋_GB2312"/>
          <w:sz w:val="32"/>
          <w:szCs w:val="32"/>
          <w:lang w:val="en-US" w:eastAsia="zh-CN"/>
        </w:rPr>
        <w:t>。</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10分，得分10分。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9" w:name="_Toc19424"/>
      <w:r>
        <w:rPr>
          <w:rFonts w:hint="eastAsia" w:ascii="Times New Roman" w:hAnsi="Times New Roman" w:eastAsia="楷体_GB2312" w:cs="Times New Roman"/>
          <w:color w:val="auto"/>
          <w:kern w:val="28"/>
          <w:sz w:val="32"/>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4-4项目效益</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restart"/>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000000" w:sz="4" w:space="0"/>
              <w:left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充分发挥博物馆宣传教育和社会服务阵地作用</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32598A8">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38B03A3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6B25FB5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20F436A">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不断强化文物的实证史证作用和宣传教育功能，不断弘扬传承优秀传统文化，大力培育社会主义核心价值观</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6D4E9">
            <w:pPr>
              <w:keepNext w:val="0"/>
              <w:keepLines w:val="0"/>
              <w:pageBreakBefore w:val="0"/>
              <w:widowControl/>
              <w:suppressLineNumbers w:val="0"/>
              <w:kinsoku/>
              <w:wordWrap/>
              <w:overflowPunct/>
              <w:topLinePunct w:val="0"/>
              <w:autoSpaceDE/>
              <w:autoSpaceDN/>
              <w:bidi w:val="0"/>
              <w:adjustRightInd/>
              <w:snapToGrid/>
              <w:spacing w:line="280" w:lineRule="exact"/>
              <w:ind w:left="0" w:leftChars="0"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u w:val="none"/>
                <w:lang w:val="en-US" w:eastAsia="zh-CN" w:bidi="ar"/>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48A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1E8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9B8D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DD88FC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社会公众对博物馆服务满意度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95%</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6F6E6F3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8010"/>
      <w:bookmarkStart w:id="141" w:name="_Toc5170"/>
      <w:r>
        <w:rPr>
          <w:rFonts w:hint="eastAsia" w:ascii="仿宋_GB2312" w:hAnsi="仿宋_GB2312" w:eastAsia="仿宋_GB2312" w:cs="仿宋_GB2312"/>
          <w:b/>
          <w:bCs/>
          <w:sz w:val="32"/>
          <w:szCs w:val="32"/>
          <w:lang w:val="en-US" w:eastAsia="zh-CN"/>
        </w:rPr>
        <w:t>1.经济效益指标</w:t>
      </w:r>
      <w:bookmarkEnd w:id="140"/>
      <w:r>
        <w:rPr>
          <w:rFonts w:hint="eastAsia" w:ascii="仿宋_GB2312" w:hAnsi="仿宋_GB2312" w:eastAsia="仿宋_GB2312" w:cs="仿宋_GB2312"/>
          <w:b/>
          <w:bCs/>
          <w:sz w:val="32"/>
          <w:szCs w:val="32"/>
          <w:lang w:val="en-US" w:eastAsia="zh-CN"/>
        </w:rPr>
        <w:t>完成情况</w:t>
      </w:r>
      <w:bookmarkEnd w:id="141"/>
    </w:p>
    <w:p w14:paraId="0F9C9CE4">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en-US" w:eastAsia="zh-CN"/>
        </w:rPr>
      </w:pPr>
      <w:r>
        <w:rPr>
          <w:rFonts w:hint="eastAsia" w:ascii="仿宋_GB2312" w:hAnsi="仿宋_GB2312" w:eastAsia="仿宋_GB2312" w:cs="仿宋_GB2312"/>
          <w:color w:val="auto"/>
          <w:kern w:val="2"/>
          <w:sz w:val="32"/>
          <w:szCs w:val="32"/>
          <w:highlight w:val="none"/>
          <w:u w:color="000000"/>
          <w:shd w:val="clear" w:color="auto" w:fill="auto"/>
          <w:lang w:val="zh-TW" w:eastAsia="zh-CN"/>
        </w:rPr>
        <w:t>本项目不涉及经济效益指标</w:t>
      </w:r>
      <w:r>
        <w:rPr>
          <w:rFonts w:hint="eastAsia" w:ascii="仿宋_GB2312" w:hAnsi="仿宋_GB2312" w:eastAsia="仿宋_GB2312" w:cs="仿宋_GB2312"/>
          <w:color w:val="auto"/>
          <w:kern w:val="2"/>
          <w:sz w:val="32"/>
          <w:szCs w:val="32"/>
          <w:highlight w:val="none"/>
          <w:u w:color="000000"/>
          <w:shd w:val="clear" w:color="auto" w:fill="auto"/>
          <w:lang w:val="en-US" w:eastAsia="zh-CN"/>
        </w:rPr>
        <w:t>。</w:t>
      </w:r>
    </w:p>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2" w:name="_Toc27006"/>
      <w:bookmarkStart w:id="143" w:name="_Toc29606"/>
      <w:r>
        <w:rPr>
          <w:rFonts w:hint="eastAsia" w:ascii="仿宋_GB2312" w:hAnsi="仿宋_GB2312" w:eastAsia="仿宋_GB2312" w:cs="仿宋_GB2312"/>
          <w:b/>
          <w:bCs/>
          <w:sz w:val="32"/>
          <w:szCs w:val="32"/>
          <w:lang w:val="en-US" w:eastAsia="zh-CN"/>
        </w:rPr>
        <w:t>2.社会效益指标</w:t>
      </w:r>
      <w:bookmarkEnd w:id="142"/>
      <w:r>
        <w:rPr>
          <w:rFonts w:hint="eastAsia" w:ascii="仿宋_GB2312" w:hAnsi="仿宋_GB2312" w:eastAsia="仿宋_GB2312" w:cs="仿宋_GB2312"/>
          <w:b/>
          <w:bCs/>
          <w:sz w:val="32"/>
          <w:szCs w:val="32"/>
          <w:lang w:val="en-US" w:eastAsia="zh-CN"/>
        </w:rPr>
        <w:t>完成情况</w:t>
      </w:r>
      <w:bookmarkEnd w:id="143"/>
    </w:p>
    <w:p w14:paraId="6DE3926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2"/>
          <w:sz w:val="32"/>
          <w:szCs w:val="32"/>
          <w:highlight w:val="none"/>
          <w:u w:color="000000"/>
          <w:shd w:val="clear" w:color="auto" w:fill="auto"/>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充分发挥博物馆宣传教育和社会服务阵地作用</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sz w:val="32"/>
          <w:szCs w:val="32"/>
          <w:lang w:val="en-US" w:eastAsia="zh-CN"/>
        </w:rPr>
        <w:t>指标，预期目</w:t>
      </w:r>
      <w:r>
        <w:rPr>
          <w:rFonts w:hint="eastAsia" w:ascii="仿宋_GB2312" w:hAnsi="仿宋_GB2312" w:eastAsia="仿宋_GB2312" w:cs="仿宋_GB2312"/>
          <w:color w:val="auto"/>
          <w:kern w:val="2"/>
          <w:sz w:val="32"/>
          <w:szCs w:val="32"/>
          <w:highlight w:val="none"/>
          <w:u w:color="000000"/>
          <w:shd w:val="clear" w:color="auto" w:fill="auto"/>
          <w:lang w:val="en-US" w:eastAsia="zh-CN"/>
        </w:rPr>
        <w:t>标值为有效提升，实际完成为达到预期指标。</w:t>
      </w:r>
      <w:r>
        <w:rPr>
          <w:rFonts w:hint="eastAsia" w:ascii="仿宋_GB2312" w:hAnsi="仿宋_GB2312" w:eastAsia="仿宋_GB2312" w:cs="仿宋_GB2312"/>
          <w:b w:val="0"/>
          <w:bCs w:val="0"/>
          <w:sz w:val="32"/>
          <w:szCs w:val="32"/>
          <w:lang w:val="en-US" w:eastAsia="zh-CN"/>
        </w:rPr>
        <w:t>通过项目的实施，</w:t>
      </w:r>
      <w:r>
        <w:rPr>
          <w:rFonts w:hint="eastAsia" w:ascii="仿宋_GB2312" w:hAnsi="仿宋_GB2312" w:eastAsia="仿宋_GB2312" w:cs="仿宋_GB2312"/>
          <w:color w:val="auto"/>
          <w:kern w:val="2"/>
          <w:sz w:val="32"/>
          <w:szCs w:val="32"/>
          <w:highlight w:val="none"/>
          <w:u w:color="000000"/>
          <w:shd w:val="clear" w:color="auto" w:fill="auto"/>
          <w:lang w:val="en-US" w:eastAsia="zh-CN"/>
        </w:rPr>
        <w:t>博物馆宣传教育和社会服务阵地作用得到了充分发挥。</w:t>
      </w:r>
    </w:p>
    <w:p w14:paraId="4A7A4ED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kern w:val="2"/>
          <w:sz w:val="32"/>
          <w:szCs w:val="32"/>
          <w:highlight w:val="none"/>
          <w:u w:color="000000"/>
          <w:shd w:val="clear" w:color="auto" w:fill="auto"/>
          <w:lang w:val="en-US" w:eastAsia="zh-CN"/>
        </w:rPr>
      </w:pPr>
      <w:r>
        <w:rPr>
          <w:rFonts w:hint="eastAsia" w:ascii="仿宋_GB2312" w:hAnsi="仿宋_GB2312" w:eastAsia="仿宋_GB2312" w:cs="仿宋_GB2312"/>
          <w:sz w:val="32"/>
          <w:szCs w:val="32"/>
          <w:lang w:val="en-US" w:eastAsia="zh-CN"/>
        </w:rPr>
        <w:t>（2）“不断强化文物的实证史证作用和宣传教育功能，不断弘扬传承优秀传统文化，大力培育社会主义核心价值观”指标，预期目标值为有效提升，实际完成为</w:t>
      </w:r>
      <w:r>
        <w:rPr>
          <w:rFonts w:hint="eastAsia" w:ascii="仿宋_GB2312" w:hAnsi="仿宋_GB2312" w:eastAsia="仿宋_GB2312" w:cs="仿宋_GB2312"/>
          <w:color w:val="auto"/>
          <w:kern w:val="2"/>
          <w:sz w:val="32"/>
          <w:szCs w:val="32"/>
          <w:highlight w:val="none"/>
          <w:u w:color="000000"/>
          <w:shd w:val="clear" w:color="auto" w:fill="auto"/>
          <w:lang w:val="en-US" w:eastAsia="zh-CN"/>
        </w:rPr>
        <w:t>达到预期指标。</w:t>
      </w:r>
      <w:r>
        <w:rPr>
          <w:rFonts w:hint="eastAsia" w:ascii="仿宋_GB2312" w:hAnsi="仿宋_GB2312" w:eastAsia="仿宋_GB2312" w:cs="仿宋_GB2312"/>
          <w:b w:val="0"/>
          <w:bCs w:val="0"/>
          <w:sz w:val="32"/>
          <w:szCs w:val="32"/>
          <w:lang w:val="en-US" w:eastAsia="zh-CN"/>
        </w:rPr>
        <w:t>通过项目的实施，博物馆有效提升了</w:t>
      </w:r>
      <w:r>
        <w:rPr>
          <w:rFonts w:hint="eastAsia" w:ascii="仿宋_GB2312" w:hAnsi="仿宋_GB2312" w:eastAsia="仿宋_GB2312" w:cs="仿宋_GB2312"/>
          <w:sz w:val="32"/>
          <w:szCs w:val="32"/>
          <w:lang w:val="en-US" w:eastAsia="zh-CN"/>
        </w:rPr>
        <w:t>强化文物的实证史证作用和宣传教育功能，弘扬传承优秀传统文化，大力培育社会主义核心价值观的社会效益。</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10分，得分10分。</w:t>
      </w:r>
    </w:p>
    <w:p w14:paraId="33C451D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44" w:name="_Toc23106"/>
      <w:bookmarkStart w:id="145" w:name="_Toc14320"/>
      <w:r>
        <w:rPr>
          <w:rFonts w:hint="eastAsia" w:ascii="仿宋_GB2312" w:hAnsi="仿宋_GB2312" w:eastAsia="仿宋_GB2312" w:cs="仿宋_GB2312"/>
          <w:b/>
          <w:bCs/>
          <w:color w:val="auto"/>
          <w:sz w:val="32"/>
          <w:szCs w:val="32"/>
          <w:lang w:val="en-US" w:eastAsia="zh-CN"/>
        </w:rPr>
        <w:t>3.生态效益指标</w:t>
      </w:r>
      <w:bookmarkEnd w:id="144"/>
      <w:r>
        <w:rPr>
          <w:rFonts w:hint="eastAsia" w:ascii="仿宋_GB2312" w:hAnsi="仿宋_GB2312" w:eastAsia="仿宋_GB2312" w:cs="仿宋_GB2312"/>
          <w:b/>
          <w:bCs/>
          <w:color w:val="auto"/>
          <w:sz w:val="32"/>
          <w:szCs w:val="32"/>
          <w:lang w:val="en-US" w:eastAsia="zh-CN"/>
        </w:rPr>
        <w:t>完成情况</w:t>
      </w:r>
      <w:bookmarkEnd w:id="145"/>
    </w:p>
    <w:p w14:paraId="0890D9A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本项目不涉及</w:t>
      </w:r>
      <w:r>
        <w:rPr>
          <w:rFonts w:hint="eastAsia" w:ascii="仿宋_GB2312" w:hAnsi="仿宋_GB2312" w:eastAsia="仿宋_GB2312" w:cs="仿宋_GB2312"/>
          <w:b w:val="0"/>
          <w:bCs w:val="0"/>
          <w:color w:val="auto"/>
          <w:sz w:val="32"/>
          <w:szCs w:val="32"/>
          <w:lang w:val="en-US" w:eastAsia="zh-CN"/>
        </w:rPr>
        <w:t>生态</w:t>
      </w:r>
      <w:r>
        <w:rPr>
          <w:rFonts w:hint="eastAsia" w:ascii="仿宋_GB2312" w:hAnsi="仿宋_GB2312" w:eastAsia="仿宋_GB2312" w:cs="仿宋_GB2312"/>
          <w:color w:val="auto"/>
          <w:sz w:val="32"/>
          <w:szCs w:val="32"/>
          <w:lang w:val="en-US" w:eastAsia="zh-CN"/>
        </w:rPr>
        <w:t>效益指标。</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6"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6"/>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“社会公众对博物馆服务满意度”指标，预期目标值为≥95%，实际完成为95%。</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7"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7"/>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8" w:name="_Toc15449"/>
      <w:bookmarkStart w:id="149" w:name="_Toc1921"/>
      <w:bookmarkStart w:id="150" w:name="_Toc28290"/>
      <w:r>
        <w:rPr>
          <w:rFonts w:hint="eastAsia" w:ascii="Times New Roman" w:hAnsi="Times New Roman" w:eastAsia="楷体_GB2312" w:cs="Times New Roman"/>
          <w:b/>
          <w:bCs/>
          <w:kern w:val="28"/>
          <w:sz w:val="32"/>
          <w:highlight w:val="none"/>
          <w:lang w:val="en-US" w:eastAsia="zh-CN"/>
        </w:rPr>
        <w:t>（一）主要经验及做法</w:t>
      </w:r>
      <w:bookmarkEnd w:id="148"/>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博物馆纪念馆免费开放运行经费项目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30</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阜康市博物馆</w:t>
      </w:r>
      <w:r>
        <w:rPr>
          <w:rFonts w:hint="eastAsia" w:ascii="仿宋_GB2312" w:hAnsi="仿宋_GB2312" w:eastAsia="仿宋_GB2312" w:cs="仿宋_GB2312"/>
          <w:color w:val="auto"/>
          <w:sz w:val="32"/>
          <w:szCs w:val="32"/>
          <w:lang w:eastAsia="zh-CN"/>
        </w:rPr>
        <w:t>建立健</w:t>
      </w:r>
      <w:r>
        <w:rPr>
          <w:rFonts w:hint="eastAsia" w:ascii="仿宋_GB2312" w:hAnsi="仿宋_GB2312" w:eastAsia="仿宋_GB2312" w:cs="仿宋_GB2312"/>
          <w:sz w:val="32"/>
          <w:szCs w:val="32"/>
          <w:lang w:eastAsia="zh-CN"/>
        </w:rPr>
        <w:t>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阜康市博物馆</w:t>
      </w:r>
      <w:r>
        <w:rPr>
          <w:rFonts w:hint="eastAsia" w:ascii="仿宋_GB2312" w:hAnsi="仿宋_GB2312" w:eastAsia="仿宋_GB2312" w:cs="仿宋_GB2312"/>
          <w:sz w:val="32"/>
          <w:szCs w:val="32"/>
          <w:lang w:eastAsia="zh-CN"/>
        </w:rPr>
        <w:t>事业发展中关系民生与稳定的项目，切实优化资源配置，提高了资金使用的效率和效果。</w:t>
      </w:r>
    </w:p>
    <w:bookmarkEnd w:id="149"/>
    <w:bookmarkEnd w:id="150"/>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51" w:name="_Toc29168"/>
      <w:r>
        <w:rPr>
          <w:rFonts w:hint="eastAsia" w:ascii="Times New Roman" w:hAnsi="Times New Roman" w:eastAsia="楷体_GB2312" w:cs="Times New Roman"/>
          <w:b/>
          <w:bCs/>
          <w:kern w:val="28"/>
          <w:sz w:val="32"/>
          <w:highlight w:val="none"/>
          <w:lang w:val="en-US" w:eastAsia="zh-CN"/>
        </w:rPr>
        <w:t>（二）存在的问题及原因分析</w:t>
      </w:r>
      <w:bookmarkEnd w:id="151"/>
    </w:p>
    <w:p w14:paraId="1758751C">
      <w:pPr>
        <w:pStyle w:val="3"/>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kern w:val="2"/>
          <w:sz w:val="32"/>
          <w:szCs w:val="32"/>
          <w:lang w:val="en-US" w:eastAsia="zh-CN" w:bidi="ar-SA"/>
        </w:rPr>
      </w:pPr>
      <w:bookmarkStart w:id="152" w:name="_Toc3333"/>
      <w:r>
        <w:rPr>
          <w:rFonts w:hint="eastAsia" w:ascii="仿宋_GB2312" w:hAnsi="仿宋_GB2312" w:eastAsia="仿宋_GB2312" w:cs="仿宋_GB2312"/>
          <w:kern w:val="2"/>
          <w:sz w:val="32"/>
          <w:szCs w:val="32"/>
          <w:lang w:val="en-US" w:eastAsia="zh-CN" w:bidi="ar-SA"/>
        </w:rPr>
        <w:t>1、资金使用进度不均衡，部分场馆在项目前期资金使用缓慢，而在项目后期突击花钱，影响了整体管理效果。对预算的监督管理不够重视，资金审批程序及执行过程监控力度不够。</w:t>
      </w:r>
    </w:p>
    <w:p w14:paraId="4D11F0B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 内部协作不畅，博物馆内部各部门之间在免费开放资金的使用和管理上缺乏有效沟通和协作，导致难以进行有效的资金监管，影响项目实施进度。</w:t>
      </w:r>
    </w:p>
    <w:p w14:paraId="24B20C4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六、有关建议</w:t>
      </w:r>
      <w:bookmarkEnd w:id="152"/>
      <w:bookmarkStart w:id="153" w:name="_Toc14256"/>
    </w:p>
    <w:p w14:paraId="5D330B7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在资金使用过程中，建立定期的预算执行监控机制，通过月度或季度的资金使用报告，及时掌握资金流向和使用进度。对于预算执行缓慢或出现偏差的情况，及时分析原因并采取措施进行调整，确保资金按计划使用。</w:t>
      </w:r>
    </w:p>
    <w:p w14:paraId="52966BD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博物馆内部明确各部门免费开放资金管理中的职责分工，避免职责不清导致的管理混乱；建立单位内部跨部门协调机制，定期召开资金使用和项目进展情况的协调会议，及时解决资金使用和项目实施过程中出现的问题。加强各部门之间的沟通与协作，确保资金使用和项目实施的高效推进。</w:t>
      </w:r>
    </w:p>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3"/>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Borders>
            <w:top w:val="none" w:sz="0" w:space="0"/>
            <w:left w:val="none" w:sz="0" w:space="0"/>
            <w:bottom w:val="none" w:sz="0" w:space="0"/>
            <w:right w:val="none" w:sz="0" w:space="0"/>
          </w:pgBorders>
          <w:pgNumType w:fmt="decimal"/>
          <w:cols w:space="720" w:num="1"/>
          <w:docGrid w:type="lines" w:linePitch="408" w:charSpace="0"/>
        </w:sectPr>
      </w:pPr>
    </w:p>
    <w:p w14:paraId="28B20EF5">
      <w:pPr>
        <w:pStyle w:val="3"/>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4" w:name="_Toc11349"/>
      <w:bookmarkStart w:id="155"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4"/>
      <w:bookmarkEnd w:id="155"/>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0" w:type="dxa"/>
          <w:left w:w="108" w:type="dxa"/>
          <w:bottom w:w="0" w:type="dxa"/>
          <w:right w:w="108" w:type="dxa"/>
        </w:tblCellMar>
      </w:tblPr>
      <w:tblGrid>
        <w:gridCol w:w="864"/>
        <w:gridCol w:w="865"/>
        <w:gridCol w:w="967"/>
        <w:gridCol w:w="1088"/>
        <w:gridCol w:w="280"/>
        <w:gridCol w:w="449"/>
        <w:gridCol w:w="1099"/>
        <w:gridCol w:w="280"/>
        <w:gridCol w:w="1113"/>
        <w:gridCol w:w="132"/>
        <w:gridCol w:w="826"/>
        <w:gridCol w:w="767"/>
        <w:gridCol w:w="1020"/>
        <w:gridCol w:w="1088"/>
        <w:gridCol w:w="897"/>
        <w:gridCol w:w="875"/>
        <w:gridCol w:w="1564"/>
      </w:tblGrid>
      <w:tr w14:paraId="5B690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36" w:hRule="atLeast"/>
        </w:trPr>
        <w:tc>
          <w:tcPr>
            <w:tcW w:w="5000" w:type="pct"/>
            <w:gridSpan w:val="17"/>
            <w:tcBorders>
              <w:top w:val="nil"/>
              <w:left w:val="nil"/>
              <w:bottom w:val="nil"/>
              <w:right w:val="nil"/>
            </w:tcBorders>
            <w:shd w:val="clear"/>
            <w:vAlign w:val="center"/>
          </w:tcPr>
          <w:p w14:paraId="7209ECE1">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项目支出绩效自评表</w:t>
            </w:r>
          </w:p>
        </w:tc>
      </w:tr>
      <w:tr w14:paraId="22A23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000" w:type="pct"/>
            <w:gridSpan w:val="17"/>
            <w:tcBorders>
              <w:top w:val="nil"/>
              <w:left w:val="nil"/>
              <w:bottom w:val="single" w:color="000000" w:sz="4" w:space="0"/>
              <w:right w:val="nil"/>
            </w:tcBorders>
            <w:shd w:val="clear"/>
            <w:vAlign w:val="center"/>
          </w:tcPr>
          <w:p w14:paraId="49C380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14:paraId="53854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5" w:hRule="atLeast"/>
        </w:trPr>
        <w:tc>
          <w:tcPr>
            <w:tcW w:w="609" w:type="pct"/>
            <w:gridSpan w:val="2"/>
            <w:tcBorders>
              <w:top w:val="single" w:color="000000" w:sz="4" w:space="0"/>
              <w:left w:val="single" w:color="000000" w:sz="4" w:space="0"/>
              <w:bottom w:val="single" w:color="000000" w:sz="4" w:space="0"/>
              <w:right w:val="single" w:color="000000" w:sz="4" w:space="0"/>
            </w:tcBorders>
            <w:shd w:val="clear"/>
            <w:vAlign w:val="center"/>
          </w:tcPr>
          <w:p w14:paraId="06BBE2B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4390" w:type="pct"/>
            <w:gridSpan w:val="15"/>
            <w:tcBorders>
              <w:top w:val="single" w:color="000000" w:sz="4" w:space="0"/>
              <w:left w:val="single" w:color="000000" w:sz="4" w:space="0"/>
              <w:bottom w:val="single" w:color="000000" w:sz="4" w:space="0"/>
              <w:right w:val="single" w:color="000000" w:sz="4" w:space="0"/>
            </w:tcBorders>
            <w:shd w:val="clear"/>
            <w:vAlign w:val="center"/>
          </w:tcPr>
          <w:p w14:paraId="6DCF9C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博物馆纪念馆免费开放运行经费</w:t>
            </w:r>
          </w:p>
        </w:tc>
      </w:tr>
      <w:tr w14:paraId="5CDAF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09" w:type="pct"/>
            <w:gridSpan w:val="2"/>
            <w:tcBorders>
              <w:top w:val="single" w:color="000000" w:sz="4" w:space="0"/>
              <w:left w:val="single" w:color="000000" w:sz="4" w:space="0"/>
              <w:bottom w:val="single" w:color="000000" w:sz="4" w:space="0"/>
              <w:right w:val="single" w:color="000000" w:sz="4" w:space="0"/>
            </w:tcBorders>
            <w:shd w:val="clear"/>
            <w:vAlign w:val="center"/>
          </w:tcPr>
          <w:p w14:paraId="339B9D8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1907" w:type="pct"/>
            <w:gridSpan w:val="8"/>
            <w:tcBorders>
              <w:top w:val="single" w:color="000000" w:sz="4" w:space="0"/>
              <w:left w:val="single" w:color="000000" w:sz="4" w:space="0"/>
              <w:bottom w:val="single" w:color="000000" w:sz="4" w:space="0"/>
              <w:right w:val="single" w:color="000000" w:sz="4" w:space="0"/>
            </w:tcBorders>
            <w:shd w:val="clear"/>
            <w:vAlign w:val="center"/>
          </w:tcPr>
          <w:p w14:paraId="4B1BAF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阜康市文化体育广播电视和</w:t>
            </w:r>
            <w:bookmarkStart w:id="158" w:name="_GoBack"/>
            <w:bookmarkEnd w:id="158"/>
            <w:r>
              <w:rPr>
                <w:rFonts w:hint="eastAsia" w:ascii="宋体" w:hAnsi="宋体" w:eastAsia="宋体" w:cs="宋体"/>
                <w:i w:val="0"/>
                <w:iCs w:val="0"/>
                <w:color w:val="000000"/>
                <w:kern w:val="0"/>
                <w:sz w:val="18"/>
                <w:szCs w:val="18"/>
                <w:u w:val="none"/>
                <w:bdr w:val="none" w:color="auto" w:sz="0" w:space="0"/>
                <w:lang w:val="en-US" w:eastAsia="zh-CN" w:bidi="ar"/>
              </w:rPr>
              <w:t>旅游局</w:t>
            </w:r>
          </w:p>
        </w:tc>
        <w:tc>
          <w:tcPr>
            <w:tcW w:w="561" w:type="pct"/>
            <w:gridSpan w:val="2"/>
            <w:tcBorders>
              <w:top w:val="single" w:color="000000" w:sz="4" w:space="0"/>
              <w:left w:val="single" w:color="000000" w:sz="4" w:space="0"/>
              <w:bottom w:val="single" w:color="000000" w:sz="4" w:space="0"/>
              <w:right w:val="single" w:color="000000" w:sz="4" w:space="0"/>
            </w:tcBorders>
            <w:shd w:val="clear"/>
            <w:vAlign w:val="center"/>
          </w:tcPr>
          <w:p w14:paraId="2C3F7A6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1920" w:type="pct"/>
            <w:gridSpan w:val="5"/>
            <w:tcBorders>
              <w:top w:val="single" w:color="000000" w:sz="4" w:space="0"/>
              <w:left w:val="single" w:color="000000" w:sz="4" w:space="0"/>
              <w:bottom w:val="single" w:color="000000" w:sz="4" w:space="0"/>
              <w:right w:val="single" w:color="000000" w:sz="4" w:space="0"/>
            </w:tcBorders>
            <w:shd w:val="clear"/>
            <w:vAlign w:val="center"/>
          </w:tcPr>
          <w:p w14:paraId="04B420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阜康市博物馆</w:t>
            </w:r>
          </w:p>
        </w:tc>
      </w:tr>
      <w:tr w14:paraId="749C2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609"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2CE3CC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823" w:type="pct"/>
            <w:gridSpan w:val="3"/>
            <w:tcBorders>
              <w:top w:val="single" w:color="000000" w:sz="4" w:space="0"/>
              <w:left w:val="single" w:color="000000" w:sz="4" w:space="0"/>
              <w:bottom w:val="single" w:color="000000" w:sz="4" w:space="0"/>
              <w:right w:val="single" w:color="000000" w:sz="4" w:space="0"/>
            </w:tcBorders>
            <w:shd w:val="clear"/>
            <w:vAlign w:val="center"/>
          </w:tcPr>
          <w:p w14:paraId="1C128E9B">
            <w:pPr>
              <w:jc w:val="center"/>
              <w:rPr>
                <w:rFonts w:hint="eastAsia" w:ascii="宋体" w:hAnsi="宋体" w:eastAsia="宋体" w:cs="宋体"/>
                <w:b/>
                <w:bCs/>
                <w:i w:val="0"/>
                <w:iCs w:val="0"/>
                <w:color w:val="000000"/>
                <w:sz w:val="18"/>
                <w:szCs w:val="18"/>
                <w:u w:val="none"/>
              </w:rPr>
            </w:pPr>
          </w:p>
        </w:tc>
        <w:tc>
          <w:tcPr>
            <w:tcW w:w="546" w:type="pct"/>
            <w:gridSpan w:val="2"/>
            <w:tcBorders>
              <w:top w:val="single" w:color="000000" w:sz="4" w:space="0"/>
              <w:left w:val="single" w:color="000000" w:sz="4" w:space="0"/>
              <w:bottom w:val="single" w:color="000000" w:sz="4" w:space="0"/>
              <w:right w:val="single" w:color="000000" w:sz="4" w:space="0"/>
            </w:tcBorders>
            <w:shd w:val="clear"/>
            <w:vAlign w:val="center"/>
          </w:tcPr>
          <w:p w14:paraId="75FC6B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537" w:type="pct"/>
            <w:gridSpan w:val="3"/>
            <w:tcBorders>
              <w:top w:val="single" w:color="000000" w:sz="4" w:space="0"/>
              <w:left w:val="single" w:color="000000" w:sz="4" w:space="0"/>
              <w:bottom w:val="single" w:color="000000" w:sz="4" w:space="0"/>
              <w:right w:val="single" w:color="000000" w:sz="4" w:space="0"/>
            </w:tcBorders>
            <w:shd w:val="clear"/>
            <w:vAlign w:val="center"/>
          </w:tcPr>
          <w:p w14:paraId="4C71ACC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561" w:type="pct"/>
            <w:gridSpan w:val="2"/>
            <w:tcBorders>
              <w:top w:val="single" w:color="000000" w:sz="4" w:space="0"/>
              <w:left w:val="single" w:color="000000" w:sz="4" w:space="0"/>
              <w:bottom w:val="single" w:color="000000" w:sz="4" w:space="0"/>
              <w:right w:val="single" w:color="000000" w:sz="4" w:space="0"/>
            </w:tcBorders>
            <w:shd w:val="clear"/>
            <w:vAlign w:val="center"/>
          </w:tcPr>
          <w:p w14:paraId="393C33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743" w:type="pct"/>
            <w:gridSpan w:val="2"/>
            <w:tcBorders>
              <w:top w:val="single" w:color="000000" w:sz="4" w:space="0"/>
              <w:left w:val="single" w:color="000000" w:sz="4" w:space="0"/>
              <w:bottom w:val="single" w:color="000000" w:sz="4" w:space="0"/>
              <w:right w:val="single" w:color="000000" w:sz="4" w:space="0"/>
            </w:tcBorders>
            <w:shd w:val="clear"/>
            <w:vAlign w:val="center"/>
          </w:tcPr>
          <w:p w14:paraId="6A2938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625" w:type="pct"/>
            <w:gridSpan w:val="2"/>
            <w:tcBorders>
              <w:top w:val="single" w:color="000000" w:sz="4" w:space="0"/>
              <w:left w:val="single" w:color="000000" w:sz="4" w:space="0"/>
              <w:bottom w:val="single" w:color="000000" w:sz="4" w:space="0"/>
              <w:right w:val="single" w:color="000000" w:sz="4" w:space="0"/>
            </w:tcBorders>
            <w:shd w:val="clear"/>
            <w:vAlign w:val="center"/>
          </w:tcPr>
          <w:p w14:paraId="4B2CFBA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1A0D2FA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14:paraId="45993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609"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C463E7A">
            <w:pPr>
              <w:jc w:val="center"/>
              <w:rPr>
                <w:rFonts w:hint="eastAsia" w:ascii="宋体" w:hAnsi="宋体" w:eastAsia="宋体" w:cs="宋体"/>
                <w:b/>
                <w:bCs/>
                <w:i w:val="0"/>
                <w:iCs w:val="0"/>
                <w:color w:val="000000"/>
                <w:sz w:val="18"/>
                <w:szCs w:val="18"/>
                <w:u w:val="none"/>
              </w:rPr>
            </w:pPr>
          </w:p>
        </w:tc>
        <w:tc>
          <w:tcPr>
            <w:tcW w:w="823" w:type="pct"/>
            <w:gridSpan w:val="3"/>
            <w:tcBorders>
              <w:top w:val="single" w:color="000000" w:sz="4" w:space="0"/>
              <w:left w:val="single" w:color="000000" w:sz="4" w:space="0"/>
              <w:bottom w:val="single" w:color="000000" w:sz="4" w:space="0"/>
              <w:right w:val="single" w:color="000000" w:sz="4" w:space="0"/>
            </w:tcBorders>
            <w:shd w:val="clear"/>
            <w:vAlign w:val="center"/>
          </w:tcPr>
          <w:p w14:paraId="13D854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546" w:type="pct"/>
            <w:gridSpan w:val="2"/>
            <w:tcBorders>
              <w:top w:val="single" w:color="000000" w:sz="4" w:space="0"/>
              <w:left w:val="single" w:color="000000" w:sz="4" w:space="0"/>
              <w:bottom w:val="single" w:color="000000" w:sz="4" w:space="0"/>
              <w:right w:val="single" w:color="000000" w:sz="4" w:space="0"/>
            </w:tcBorders>
            <w:shd w:val="clear"/>
            <w:vAlign w:val="center"/>
          </w:tcPr>
          <w:p w14:paraId="55C8CB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30.00</w:t>
            </w:r>
          </w:p>
        </w:tc>
        <w:tc>
          <w:tcPr>
            <w:tcW w:w="537" w:type="pct"/>
            <w:gridSpan w:val="3"/>
            <w:tcBorders>
              <w:top w:val="single" w:color="000000" w:sz="4" w:space="0"/>
              <w:left w:val="single" w:color="000000" w:sz="4" w:space="0"/>
              <w:bottom w:val="single" w:color="000000" w:sz="4" w:space="0"/>
              <w:right w:val="single" w:color="000000" w:sz="4" w:space="0"/>
            </w:tcBorders>
            <w:shd w:val="clear"/>
            <w:vAlign w:val="center"/>
          </w:tcPr>
          <w:p w14:paraId="1B2A64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30.00</w:t>
            </w:r>
          </w:p>
        </w:tc>
        <w:tc>
          <w:tcPr>
            <w:tcW w:w="561" w:type="pct"/>
            <w:gridSpan w:val="2"/>
            <w:tcBorders>
              <w:top w:val="single" w:color="000000" w:sz="4" w:space="0"/>
              <w:left w:val="single" w:color="000000" w:sz="4" w:space="0"/>
              <w:bottom w:val="single" w:color="000000" w:sz="4" w:space="0"/>
              <w:right w:val="single" w:color="000000" w:sz="4" w:space="0"/>
            </w:tcBorders>
            <w:shd w:val="clear"/>
            <w:vAlign w:val="center"/>
          </w:tcPr>
          <w:p w14:paraId="3EBCD4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30.00</w:t>
            </w:r>
          </w:p>
        </w:tc>
        <w:tc>
          <w:tcPr>
            <w:tcW w:w="743" w:type="pct"/>
            <w:gridSpan w:val="2"/>
            <w:tcBorders>
              <w:top w:val="single" w:color="000000" w:sz="4" w:space="0"/>
              <w:left w:val="single" w:color="000000" w:sz="4" w:space="0"/>
              <w:bottom w:val="single" w:color="000000" w:sz="4" w:space="0"/>
              <w:right w:val="single" w:color="000000" w:sz="4" w:space="0"/>
            </w:tcBorders>
            <w:shd w:val="clear"/>
            <w:vAlign w:val="center"/>
          </w:tcPr>
          <w:p w14:paraId="3C73EB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625" w:type="pct"/>
            <w:gridSpan w:val="2"/>
            <w:tcBorders>
              <w:top w:val="single" w:color="000000" w:sz="4" w:space="0"/>
              <w:left w:val="single" w:color="000000" w:sz="4" w:space="0"/>
              <w:bottom w:val="single" w:color="000000" w:sz="4" w:space="0"/>
              <w:right w:val="single" w:color="000000" w:sz="4" w:space="0"/>
            </w:tcBorders>
            <w:shd w:val="clear"/>
            <w:vAlign w:val="center"/>
          </w:tcPr>
          <w:p w14:paraId="1E182D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4FDE90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r>
      <w:tr w14:paraId="39C0E9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609"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18039B31">
            <w:pPr>
              <w:jc w:val="center"/>
              <w:rPr>
                <w:rFonts w:hint="eastAsia" w:ascii="宋体" w:hAnsi="宋体" w:eastAsia="宋体" w:cs="宋体"/>
                <w:b/>
                <w:bCs/>
                <w:i w:val="0"/>
                <w:iCs w:val="0"/>
                <w:color w:val="000000"/>
                <w:sz w:val="18"/>
                <w:szCs w:val="18"/>
                <w:u w:val="none"/>
              </w:rPr>
            </w:pPr>
          </w:p>
        </w:tc>
        <w:tc>
          <w:tcPr>
            <w:tcW w:w="823" w:type="pct"/>
            <w:gridSpan w:val="3"/>
            <w:tcBorders>
              <w:top w:val="single" w:color="000000" w:sz="4" w:space="0"/>
              <w:left w:val="single" w:color="000000" w:sz="4" w:space="0"/>
              <w:bottom w:val="single" w:color="000000" w:sz="4" w:space="0"/>
              <w:right w:val="single" w:color="000000" w:sz="4" w:space="0"/>
            </w:tcBorders>
            <w:shd w:val="clear"/>
            <w:vAlign w:val="center"/>
          </w:tcPr>
          <w:p w14:paraId="79463C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546" w:type="pct"/>
            <w:gridSpan w:val="2"/>
            <w:tcBorders>
              <w:top w:val="single" w:color="000000" w:sz="4" w:space="0"/>
              <w:left w:val="single" w:color="000000" w:sz="4" w:space="0"/>
              <w:bottom w:val="single" w:color="000000" w:sz="4" w:space="0"/>
              <w:right w:val="single" w:color="000000" w:sz="4" w:space="0"/>
            </w:tcBorders>
            <w:shd w:val="clear"/>
            <w:vAlign w:val="center"/>
          </w:tcPr>
          <w:p w14:paraId="4F5B8A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30.00</w:t>
            </w:r>
          </w:p>
        </w:tc>
        <w:tc>
          <w:tcPr>
            <w:tcW w:w="537" w:type="pct"/>
            <w:gridSpan w:val="3"/>
            <w:tcBorders>
              <w:top w:val="single" w:color="000000" w:sz="4" w:space="0"/>
              <w:left w:val="single" w:color="000000" w:sz="4" w:space="0"/>
              <w:bottom w:val="single" w:color="000000" w:sz="4" w:space="0"/>
              <w:right w:val="single" w:color="000000" w:sz="4" w:space="0"/>
            </w:tcBorders>
            <w:shd w:val="clear"/>
            <w:vAlign w:val="center"/>
          </w:tcPr>
          <w:p w14:paraId="5DA768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30.00</w:t>
            </w:r>
          </w:p>
        </w:tc>
        <w:tc>
          <w:tcPr>
            <w:tcW w:w="561" w:type="pct"/>
            <w:gridSpan w:val="2"/>
            <w:tcBorders>
              <w:top w:val="single" w:color="000000" w:sz="4" w:space="0"/>
              <w:left w:val="single" w:color="000000" w:sz="4" w:space="0"/>
              <w:bottom w:val="single" w:color="000000" w:sz="4" w:space="0"/>
              <w:right w:val="single" w:color="000000" w:sz="4" w:space="0"/>
            </w:tcBorders>
            <w:shd w:val="clear"/>
            <w:vAlign w:val="center"/>
          </w:tcPr>
          <w:p w14:paraId="6ABBC3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30.00</w:t>
            </w:r>
          </w:p>
        </w:tc>
        <w:tc>
          <w:tcPr>
            <w:tcW w:w="743" w:type="pct"/>
            <w:gridSpan w:val="2"/>
            <w:tcBorders>
              <w:top w:val="single" w:color="000000" w:sz="4" w:space="0"/>
              <w:left w:val="single" w:color="000000" w:sz="4" w:space="0"/>
              <w:bottom w:val="single" w:color="000000" w:sz="4" w:space="0"/>
              <w:right w:val="single" w:color="000000" w:sz="4" w:space="0"/>
            </w:tcBorders>
            <w:shd w:val="clear"/>
            <w:vAlign w:val="center"/>
          </w:tcPr>
          <w:p w14:paraId="4745E4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25" w:type="pct"/>
            <w:gridSpan w:val="2"/>
            <w:tcBorders>
              <w:top w:val="single" w:color="000000" w:sz="4" w:space="0"/>
              <w:left w:val="single" w:color="000000" w:sz="4" w:space="0"/>
              <w:bottom w:val="single" w:color="000000" w:sz="4" w:space="0"/>
              <w:right w:val="single" w:color="000000" w:sz="4" w:space="0"/>
            </w:tcBorders>
            <w:shd w:val="clear"/>
            <w:vAlign w:val="center"/>
          </w:tcPr>
          <w:p w14:paraId="1A7333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56FF0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4466D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609"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72D91D37">
            <w:pPr>
              <w:jc w:val="center"/>
              <w:rPr>
                <w:rFonts w:hint="eastAsia" w:ascii="宋体" w:hAnsi="宋体" w:eastAsia="宋体" w:cs="宋体"/>
                <w:b/>
                <w:bCs/>
                <w:i w:val="0"/>
                <w:iCs w:val="0"/>
                <w:color w:val="000000"/>
                <w:sz w:val="18"/>
                <w:szCs w:val="18"/>
                <w:u w:val="none"/>
              </w:rPr>
            </w:pPr>
          </w:p>
        </w:tc>
        <w:tc>
          <w:tcPr>
            <w:tcW w:w="823" w:type="pct"/>
            <w:gridSpan w:val="3"/>
            <w:tcBorders>
              <w:top w:val="single" w:color="000000" w:sz="4" w:space="0"/>
              <w:left w:val="single" w:color="000000" w:sz="4" w:space="0"/>
              <w:bottom w:val="single" w:color="000000" w:sz="4" w:space="0"/>
              <w:right w:val="single" w:color="000000" w:sz="4" w:space="0"/>
            </w:tcBorders>
            <w:shd w:val="clear"/>
            <w:vAlign w:val="center"/>
          </w:tcPr>
          <w:p w14:paraId="0EFA862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546" w:type="pct"/>
            <w:gridSpan w:val="2"/>
            <w:tcBorders>
              <w:top w:val="single" w:color="000000" w:sz="4" w:space="0"/>
              <w:left w:val="single" w:color="000000" w:sz="4" w:space="0"/>
              <w:bottom w:val="single" w:color="000000" w:sz="4" w:space="0"/>
              <w:right w:val="single" w:color="000000" w:sz="4" w:space="0"/>
            </w:tcBorders>
            <w:shd w:val="clear"/>
            <w:vAlign w:val="center"/>
          </w:tcPr>
          <w:p w14:paraId="4BE2A3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537" w:type="pct"/>
            <w:gridSpan w:val="3"/>
            <w:tcBorders>
              <w:top w:val="single" w:color="000000" w:sz="4" w:space="0"/>
              <w:left w:val="single" w:color="000000" w:sz="4" w:space="0"/>
              <w:bottom w:val="single" w:color="000000" w:sz="4" w:space="0"/>
              <w:right w:val="single" w:color="000000" w:sz="4" w:space="0"/>
            </w:tcBorders>
            <w:shd w:val="clear"/>
            <w:vAlign w:val="center"/>
          </w:tcPr>
          <w:p w14:paraId="56D9A7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561" w:type="pct"/>
            <w:gridSpan w:val="2"/>
            <w:tcBorders>
              <w:top w:val="single" w:color="000000" w:sz="4" w:space="0"/>
              <w:left w:val="single" w:color="000000" w:sz="4" w:space="0"/>
              <w:bottom w:val="single" w:color="000000" w:sz="4" w:space="0"/>
              <w:right w:val="single" w:color="000000" w:sz="4" w:space="0"/>
            </w:tcBorders>
            <w:shd w:val="clear"/>
            <w:vAlign w:val="center"/>
          </w:tcPr>
          <w:p w14:paraId="0D4E59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743" w:type="pct"/>
            <w:gridSpan w:val="2"/>
            <w:tcBorders>
              <w:top w:val="single" w:color="000000" w:sz="4" w:space="0"/>
              <w:left w:val="single" w:color="000000" w:sz="4" w:space="0"/>
              <w:bottom w:val="single" w:color="000000" w:sz="4" w:space="0"/>
              <w:right w:val="single" w:color="000000" w:sz="4" w:space="0"/>
            </w:tcBorders>
            <w:shd w:val="clear"/>
            <w:vAlign w:val="center"/>
          </w:tcPr>
          <w:p w14:paraId="105937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25" w:type="pct"/>
            <w:gridSpan w:val="2"/>
            <w:tcBorders>
              <w:top w:val="single" w:color="000000" w:sz="4" w:space="0"/>
              <w:left w:val="single" w:color="000000" w:sz="4" w:space="0"/>
              <w:bottom w:val="single" w:color="000000" w:sz="4" w:space="0"/>
              <w:right w:val="single" w:color="000000" w:sz="4" w:space="0"/>
            </w:tcBorders>
            <w:shd w:val="clear"/>
            <w:vAlign w:val="center"/>
          </w:tcPr>
          <w:p w14:paraId="1E74C8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64991E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3CB81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vAlign w:val="center"/>
          </w:tcPr>
          <w:p w14:paraId="2A9D58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2212" w:type="pct"/>
            <w:gridSpan w:val="9"/>
            <w:tcBorders>
              <w:top w:val="single" w:color="000000" w:sz="4" w:space="0"/>
              <w:left w:val="single" w:color="000000" w:sz="4" w:space="0"/>
              <w:bottom w:val="single" w:color="000000" w:sz="4" w:space="0"/>
              <w:right w:val="single" w:color="000000" w:sz="4" w:space="0"/>
            </w:tcBorders>
            <w:shd w:val="clear"/>
            <w:vAlign w:val="center"/>
          </w:tcPr>
          <w:p w14:paraId="30459A2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2482" w:type="pct"/>
            <w:gridSpan w:val="7"/>
            <w:tcBorders>
              <w:top w:val="single" w:color="000000" w:sz="4" w:space="0"/>
              <w:left w:val="single" w:color="000000" w:sz="4" w:space="0"/>
              <w:bottom w:val="single" w:color="000000" w:sz="4" w:space="0"/>
              <w:right w:val="single" w:color="000000" w:sz="4" w:space="0"/>
            </w:tcBorders>
            <w:shd w:val="clear"/>
            <w:vAlign w:val="center"/>
          </w:tcPr>
          <w:p w14:paraId="73928A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42406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98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669297C">
            <w:pPr>
              <w:jc w:val="center"/>
              <w:rPr>
                <w:rFonts w:hint="eastAsia" w:ascii="宋体" w:hAnsi="宋体" w:eastAsia="宋体" w:cs="宋体"/>
                <w:b/>
                <w:bCs/>
                <w:i w:val="0"/>
                <w:iCs w:val="0"/>
                <w:color w:val="000000"/>
                <w:sz w:val="18"/>
                <w:szCs w:val="18"/>
                <w:u w:val="none"/>
              </w:rPr>
            </w:pPr>
          </w:p>
        </w:tc>
        <w:tc>
          <w:tcPr>
            <w:tcW w:w="2212" w:type="pct"/>
            <w:gridSpan w:val="9"/>
            <w:tcBorders>
              <w:top w:val="single" w:color="000000" w:sz="4" w:space="0"/>
              <w:left w:val="single" w:color="000000" w:sz="4" w:space="0"/>
              <w:bottom w:val="single" w:color="000000" w:sz="4" w:space="0"/>
              <w:right w:val="single" w:color="000000" w:sz="4" w:space="0"/>
            </w:tcBorders>
            <w:shd w:val="clear"/>
            <w:vAlign w:val="center"/>
          </w:tcPr>
          <w:p w14:paraId="7061FD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阜康市博物馆的主要职能为宣传弘扬传承传统文化，提高公众的历史和科学文化知识，2024年预计完成免费开放活动36场，举办流动博物馆宣传30场，参加人数27800人；通过举办免费开放活动和流动博物馆宣传活动，来传播历史和科学文化知识，对人民群众进行爱国主义教育。博物馆宣传教育和社会服务阵地作用得到有效提升，并且有效提升文物的实证史证作用和宣传教育功能，弘扬传承优秀传统文化，大力培育社会主义核心价值观。</w:t>
            </w:r>
          </w:p>
        </w:tc>
        <w:tc>
          <w:tcPr>
            <w:tcW w:w="2482" w:type="pct"/>
            <w:gridSpan w:val="7"/>
            <w:tcBorders>
              <w:top w:val="single" w:color="000000" w:sz="4" w:space="0"/>
              <w:left w:val="single" w:color="000000" w:sz="4" w:space="0"/>
              <w:bottom w:val="single" w:color="000000" w:sz="4" w:space="0"/>
              <w:right w:val="single" w:color="000000" w:sz="4" w:space="0"/>
            </w:tcBorders>
            <w:shd w:val="clear"/>
            <w:vAlign w:val="center"/>
          </w:tcPr>
          <w:p w14:paraId="1B8E6A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截至2024年12月31日，本项目完成免费开放活动36场，流动博物馆宣传30场，活动共计66天，参加人数28388人，免费开放绩效考评率达到95%，社会教育服务水平达到95%，项目实施有效提升博物馆宣传教育和社会服务阵地作用、有效提升强化文物的实证史证作用和宣传教育功能，不断弘扬传承优秀传统文化，大力培育社会主义核心价值观的社会效益，社会公众对博物馆服务满意度达到95%。</w:t>
            </w:r>
          </w:p>
        </w:tc>
      </w:tr>
      <w:tr w14:paraId="1DCACD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vAlign w:val="center"/>
          </w:tcPr>
          <w:p w14:paraId="6B1526D5">
            <w:pPr>
              <w:jc w:val="center"/>
              <w:rPr>
                <w:rFonts w:hint="eastAsia" w:ascii="宋体" w:hAnsi="宋体" w:eastAsia="宋体" w:cs="宋体"/>
                <w:i w:val="0"/>
                <w:iCs w:val="0"/>
                <w:color w:val="000000"/>
                <w:sz w:val="18"/>
                <w:szCs w:val="18"/>
                <w:u w:val="none"/>
              </w:rPr>
            </w:pPr>
          </w:p>
        </w:tc>
        <w:tc>
          <w:tcPr>
            <w:tcW w:w="305" w:type="pct"/>
            <w:vMerge w:val="restart"/>
            <w:tcBorders>
              <w:top w:val="single" w:color="000000" w:sz="4" w:space="0"/>
              <w:left w:val="single" w:color="000000" w:sz="4" w:space="0"/>
              <w:bottom w:val="single" w:color="000000" w:sz="4" w:space="0"/>
              <w:right w:val="single" w:color="000000" w:sz="4" w:space="0"/>
            </w:tcBorders>
            <w:shd w:val="clear"/>
            <w:vAlign w:val="center"/>
          </w:tcPr>
          <w:p w14:paraId="55A712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341" w:type="pct"/>
            <w:vMerge w:val="restart"/>
            <w:tcBorders>
              <w:top w:val="single" w:color="000000" w:sz="4" w:space="0"/>
              <w:left w:val="single" w:color="000000" w:sz="4" w:space="0"/>
              <w:bottom w:val="single" w:color="000000" w:sz="4" w:space="0"/>
              <w:right w:val="single" w:color="000000" w:sz="4" w:space="0"/>
            </w:tcBorders>
            <w:shd w:val="clear"/>
            <w:vAlign w:val="center"/>
          </w:tcPr>
          <w:p w14:paraId="69C9CA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383" w:type="pct"/>
            <w:vMerge w:val="restart"/>
            <w:tcBorders>
              <w:top w:val="single" w:color="000000" w:sz="4" w:space="0"/>
              <w:left w:val="single" w:color="000000" w:sz="4" w:space="0"/>
              <w:bottom w:val="single" w:color="000000" w:sz="4" w:space="0"/>
              <w:right w:val="single" w:color="000000" w:sz="4" w:space="0"/>
            </w:tcBorders>
            <w:shd w:val="clear"/>
            <w:vAlign w:val="center"/>
          </w:tcPr>
          <w:p w14:paraId="2ABF3E0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257"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00A9B86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48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6D2F91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392" w:type="pct"/>
            <w:vMerge w:val="restart"/>
            <w:tcBorders>
              <w:top w:val="single" w:color="000000" w:sz="4" w:space="0"/>
              <w:left w:val="single" w:color="000000" w:sz="4" w:space="0"/>
              <w:bottom w:val="single" w:color="000000" w:sz="4" w:space="0"/>
              <w:right w:val="single" w:color="000000" w:sz="4" w:space="0"/>
            </w:tcBorders>
            <w:shd w:val="clear"/>
            <w:vAlign w:val="center"/>
          </w:tcPr>
          <w:p w14:paraId="44C1390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337"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693166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270" w:type="pct"/>
            <w:vMerge w:val="restart"/>
            <w:tcBorders>
              <w:top w:val="single" w:color="000000" w:sz="4" w:space="0"/>
              <w:left w:val="single" w:color="000000" w:sz="4" w:space="0"/>
              <w:bottom w:val="single" w:color="000000" w:sz="4" w:space="0"/>
              <w:right w:val="single" w:color="000000" w:sz="4" w:space="0"/>
            </w:tcBorders>
            <w:shd w:val="clear"/>
            <w:vAlign w:val="center"/>
          </w:tcPr>
          <w:p w14:paraId="6ADE12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359" w:type="pct"/>
            <w:vMerge w:val="restart"/>
            <w:tcBorders>
              <w:top w:val="single" w:color="000000" w:sz="4" w:space="0"/>
              <w:left w:val="single" w:color="000000" w:sz="4" w:space="0"/>
              <w:bottom w:val="single" w:color="000000" w:sz="4" w:space="0"/>
              <w:right w:val="single" w:color="000000" w:sz="4" w:space="0"/>
            </w:tcBorders>
            <w:shd w:val="clear"/>
            <w:vAlign w:val="center"/>
          </w:tcPr>
          <w:p w14:paraId="76EB4F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383" w:type="pct"/>
            <w:vMerge w:val="restart"/>
            <w:tcBorders>
              <w:top w:val="single" w:color="000000" w:sz="4" w:space="0"/>
              <w:left w:val="single" w:color="000000" w:sz="4" w:space="0"/>
              <w:bottom w:val="single" w:color="000000" w:sz="4" w:space="0"/>
              <w:right w:val="single" w:color="000000" w:sz="4" w:space="0"/>
            </w:tcBorders>
            <w:shd w:val="clear"/>
            <w:vAlign w:val="center"/>
          </w:tcPr>
          <w:p w14:paraId="3E6EC4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316" w:type="pct"/>
            <w:vMerge w:val="restart"/>
            <w:tcBorders>
              <w:top w:val="single" w:color="000000" w:sz="4" w:space="0"/>
              <w:left w:val="single" w:color="000000" w:sz="4" w:space="0"/>
              <w:bottom w:val="single" w:color="000000" w:sz="4" w:space="0"/>
              <w:right w:val="single" w:color="000000" w:sz="4" w:space="0"/>
            </w:tcBorders>
            <w:shd w:val="clear"/>
            <w:vAlign w:val="center"/>
          </w:tcPr>
          <w:p w14:paraId="679B7D7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308" w:type="pct"/>
            <w:vMerge w:val="restart"/>
            <w:tcBorders>
              <w:top w:val="single" w:color="000000" w:sz="4" w:space="0"/>
              <w:left w:val="single" w:color="000000" w:sz="4" w:space="0"/>
              <w:bottom w:val="single" w:color="000000" w:sz="4" w:space="0"/>
              <w:right w:val="single" w:color="000000" w:sz="4" w:space="0"/>
            </w:tcBorders>
            <w:shd w:val="clear"/>
            <w:vAlign w:val="center"/>
          </w:tcPr>
          <w:p w14:paraId="525223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551" w:type="pct"/>
            <w:vMerge w:val="restart"/>
            <w:tcBorders>
              <w:top w:val="single" w:color="000000" w:sz="4" w:space="0"/>
              <w:left w:val="single" w:color="000000" w:sz="4" w:space="0"/>
              <w:bottom w:val="single" w:color="000000" w:sz="4" w:space="0"/>
              <w:right w:val="single" w:color="000000" w:sz="4" w:space="0"/>
            </w:tcBorders>
            <w:shd w:val="clear"/>
            <w:vAlign w:val="center"/>
          </w:tcPr>
          <w:p w14:paraId="07CEB1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6F01CD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8"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BA0AEC8">
            <w:pPr>
              <w:jc w:val="center"/>
              <w:rPr>
                <w:rFonts w:hint="eastAsia" w:ascii="宋体" w:hAnsi="宋体" w:eastAsia="宋体" w:cs="宋体"/>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0E5346D">
            <w:pPr>
              <w:jc w:val="center"/>
              <w:rPr>
                <w:rFonts w:hint="eastAsia" w:ascii="宋体" w:hAnsi="宋体" w:eastAsia="宋体" w:cs="宋体"/>
                <w:b/>
                <w:bCs/>
                <w:i w:val="0"/>
                <w:iCs w:val="0"/>
                <w:color w:val="000000"/>
                <w:sz w:val="18"/>
                <w:szCs w:val="18"/>
                <w:u w:val="none"/>
              </w:rPr>
            </w:pPr>
          </w:p>
        </w:tc>
        <w:tc>
          <w:tcPr>
            <w:tcW w:w="34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638D685">
            <w:pPr>
              <w:jc w:val="center"/>
              <w:rPr>
                <w:rFonts w:hint="eastAsia" w:ascii="宋体" w:hAnsi="宋体" w:eastAsia="宋体" w:cs="宋体"/>
                <w:b/>
                <w:bCs/>
                <w:i w:val="0"/>
                <w:iCs w:val="0"/>
                <w:color w:val="000000"/>
                <w:sz w:val="18"/>
                <w:szCs w:val="18"/>
                <w:u w:val="none"/>
              </w:rPr>
            </w:pPr>
          </w:p>
        </w:tc>
        <w:tc>
          <w:tcPr>
            <w:tcW w:w="38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ADC43E3">
            <w:pPr>
              <w:jc w:val="center"/>
              <w:rPr>
                <w:rFonts w:hint="eastAsia" w:ascii="宋体" w:hAnsi="宋体" w:eastAsia="宋体" w:cs="宋体"/>
                <w:b/>
                <w:bCs/>
                <w:i w:val="0"/>
                <w:iCs w:val="0"/>
                <w:color w:val="000000"/>
                <w:sz w:val="18"/>
                <w:szCs w:val="18"/>
                <w:u w:val="none"/>
              </w:rPr>
            </w:pPr>
          </w:p>
        </w:tc>
        <w:tc>
          <w:tcPr>
            <w:tcW w:w="25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102EBC3E">
            <w:pPr>
              <w:jc w:val="center"/>
              <w:rPr>
                <w:rFonts w:hint="eastAsia" w:ascii="宋体" w:hAnsi="宋体" w:eastAsia="宋体" w:cs="宋体"/>
                <w:b/>
                <w:bCs/>
                <w:i w:val="0"/>
                <w:iCs w:val="0"/>
                <w:color w:val="000000"/>
                <w:sz w:val="18"/>
                <w:szCs w:val="18"/>
                <w:u w:val="none"/>
              </w:rPr>
            </w:pPr>
          </w:p>
        </w:tc>
        <w:tc>
          <w:tcPr>
            <w:tcW w:w="48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F7B4258">
            <w:pPr>
              <w:jc w:val="center"/>
              <w:rPr>
                <w:rFonts w:hint="eastAsia" w:ascii="宋体" w:hAnsi="宋体" w:eastAsia="宋体" w:cs="宋体"/>
                <w:b/>
                <w:bCs/>
                <w:i w:val="0"/>
                <w:iCs w:val="0"/>
                <w:color w:val="000000"/>
                <w:sz w:val="18"/>
                <w:szCs w:val="18"/>
                <w:u w:val="none"/>
              </w:rPr>
            </w:pPr>
          </w:p>
        </w:tc>
        <w:tc>
          <w:tcPr>
            <w:tcW w:w="39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5095B7D">
            <w:pPr>
              <w:jc w:val="center"/>
              <w:rPr>
                <w:rFonts w:hint="eastAsia" w:ascii="宋体" w:hAnsi="宋体" w:eastAsia="宋体" w:cs="宋体"/>
                <w:b/>
                <w:bCs/>
                <w:i w:val="0"/>
                <w:iCs w:val="0"/>
                <w:color w:val="000000"/>
                <w:sz w:val="18"/>
                <w:szCs w:val="18"/>
                <w:u w:val="none"/>
              </w:rPr>
            </w:pPr>
          </w:p>
        </w:tc>
        <w:tc>
          <w:tcPr>
            <w:tcW w:w="337"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246DF2A0">
            <w:pPr>
              <w:jc w:val="center"/>
              <w:rPr>
                <w:rFonts w:hint="eastAsia" w:ascii="宋体" w:hAnsi="宋体" w:eastAsia="宋体" w:cs="宋体"/>
                <w:b/>
                <w:bCs/>
                <w:i w:val="0"/>
                <w:iCs w:val="0"/>
                <w:color w:val="000000"/>
                <w:sz w:val="18"/>
                <w:szCs w:val="18"/>
                <w:u w:val="none"/>
              </w:rPr>
            </w:pPr>
          </w:p>
        </w:tc>
        <w:tc>
          <w:tcPr>
            <w:tcW w:w="270"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D00C752">
            <w:pPr>
              <w:jc w:val="center"/>
              <w:rPr>
                <w:rFonts w:hint="eastAsia" w:ascii="宋体" w:hAnsi="宋体" w:eastAsia="宋体" w:cs="宋体"/>
                <w:b/>
                <w:bCs/>
                <w:i w:val="0"/>
                <w:iCs w:val="0"/>
                <w:color w:val="000000"/>
                <w:sz w:val="18"/>
                <w:szCs w:val="18"/>
                <w:u w:val="none"/>
              </w:rPr>
            </w:pPr>
          </w:p>
        </w:tc>
        <w:tc>
          <w:tcPr>
            <w:tcW w:w="35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029ED8B">
            <w:pPr>
              <w:jc w:val="center"/>
              <w:rPr>
                <w:rFonts w:hint="eastAsia" w:ascii="宋体" w:hAnsi="宋体" w:eastAsia="宋体" w:cs="宋体"/>
                <w:b/>
                <w:bCs/>
                <w:i w:val="0"/>
                <w:iCs w:val="0"/>
                <w:color w:val="000000"/>
                <w:sz w:val="18"/>
                <w:szCs w:val="18"/>
                <w:u w:val="none"/>
              </w:rPr>
            </w:pPr>
          </w:p>
        </w:tc>
        <w:tc>
          <w:tcPr>
            <w:tcW w:w="38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A8F1CE7">
            <w:pPr>
              <w:jc w:val="center"/>
              <w:rPr>
                <w:rFonts w:hint="eastAsia" w:ascii="宋体" w:hAnsi="宋体" w:eastAsia="宋体" w:cs="宋体"/>
                <w:b/>
                <w:bCs/>
                <w:i w:val="0"/>
                <w:iCs w:val="0"/>
                <w:color w:val="000000"/>
                <w:sz w:val="18"/>
                <w:szCs w:val="18"/>
                <w:u w:val="none"/>
              </w:rPr>
            </w:pPr>
          </w:p>
        </w:tc>
        <w:tc>
          <w:tcPr>
            <w:tcW w:w="31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540029B">
            <w:pPr>
              <w:jc w:val="center"/>
              <w:rPr>
                <w:rFonts w:hint="eastAsia" w:ascii="宋体" w:hAnsi="宋体" w:eastAsia="宋体" w:cs="宋体"/>
                <w:b/>
                <w:bCs/>
                <w:i w:val="0"/>
                <w:iCs w:val="0"/>
                <w:color w:val="000000"/>
                <w:sz w:val="18"/>
                <w:szCs w:val="18"/>
                <w:u w:val="none"/>
              </w:rPr>
            </w:pPr>
          </w:p>
        </w:tc>
        <w:tc>
          <w:tcPr>
            <w:tcW w:w="30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BCB4BB">
            <w:pPr>
              <w:jc w:val="center"/>
              <w:rPr>
                <w:rFonts w:hint="eastAsia" w:ascii="宋体" w:hAnsi="宋体" w:eastAsia="宋体" w:cs="宋体"/>
                <w:b/>
                <w:bCs/>
                <w:i w:val="0"/>
                <w:iCs w:val="0"/>
                <w:color w:val="000000"/>
                <w:sz w:val="18"/>
                <w:szCs w:val="18"/>
                <w:u w:val="none"/>
              </w:rPr>
            </w:pPr>
          </w:p>
        </w:tc>
        <w:tc>
          <w:tcPr>
            <w:tcW w:w="5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BB3281B">
            <w:pPr>
              <w:jc w:val="center"/>
              <w:rPr>
                <w:rFonts w:hint="eastAsia" w:ascii="宋体" w:hAnsi="宋体" w:eastAsia="宋体" w:cs="宋体"/>
                <w:b/>
                <w:bCs/>
                <w:i w:val="0"/>
                <w:iCs w:val="0"/>
                <w:color w:val="000000"/>
                <w:sz w:val="18"/>
                <w:szCs w:val="18"/>
                <w:u w:val="none"/>
              </w:rPr>
            </w:pPr>
          </w:p>
        </w:tc>
      </w:tr>
      <w:tr w14:paraId="63DAF5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0" w:hRule="atLeast"/>
        </w:trPr>
        <w:tc>
          <w:tcPr>
            <w:tcW w:w="304" w:type="pct"/>
            <w:vMerge w:val="restart"/>
            <w:tcBorders>
              <w:top w:val="single" w:color="000000" w:sz="4" w:space="0"/>
              <w:left w:val="single" w:color="000000" w:sz="4" w:space="0"/>
              <w:bottom w:val="single" w:color="000000" w:sz="4" w:space="0"/>
              <w:right w:val="single" w:color="000000" w:sz="4" w:space="0"/>
            </w:tcBorders>
            <w:shd w:val="clear"/>
            <w:vAlign w:val="center"/>
          </w:tcPr>
          <w:p w14:paraId="313FC35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305" w:type="pct"/>
            <w:vMerge w:val="restart"/>
            <w:tcBorders>
              <w:top w:val="single" w:color="000000" w:sz="4" w:space="0"/>
              <w:left w:val="single" w:color="000000" w:sz="4" w:space="0"/>
              <w:bottom w:val="single" w:color="000000" w:sz="4" w:space="0"/>
              <w:right w:val="single" w:color="000000" w:sz="4" w:space="0"/>
            </w:tcBorders>
            <w:shd w:val="clear"/>
            <w:vAlign w:val="center"/>
          </w:tcPr>
          <w:p w14:paraId="77592D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395FD0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7745C6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举办免费开放活动场次</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23DF57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5FB32A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=36场</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72F130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=36场</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477D2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665BCD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71284A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7079C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36场</w:t>
            </w: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51D95C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036DA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28814178">
            <w:pPr>
              <w:jc w:val="center"/>
              <w:rPr>
                <w:rFonts w:hint="eastAsia" w:ascii="宋体" w:hAnsi="宋体" w:eastAsia="宋体" w:cs="宋体"/>
                <w:i w:val="0"/>
                <w:iCs w:val="0"/>
                <w:color w:val="000000"/>
                <w:sz w:val="18"/>
                <w:szCs w:val="18"/>
                <w:u w:val="none"/>
              </w:rPr>
            </w:pPr>
          </w:p>
        </w:tc>
      </w:tr>
      <w:tr w14:paraId="0323C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1755F5D">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F71AC71">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0AC236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5B37BB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举办流动博物馆巡展宣传场次</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1FF239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05761B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=30场</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722492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=30场</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2B9C23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1F507B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41B854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66E467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30场</w:t>
            </w: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59248D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166F8B0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09D3D572">
            <w:pPr>
              <w:jc w:val="center"/>
              <w:rPr>
                <w:rFonts w:hint="eastAsia" w:ascii="宋体" w:hAnsi="宋体" w:eastAsia="宋体" w:cs="宋体"/>
                <w:i w:val="0"/>
                <w:iCs w:val="0"/>
                <w:color w:val="000000"/>
                <w:sz w:val="18"/>
                <w:szCs w:val="18"/>
                <w:u w:val="none"/>
              </w:rPr>
            </w:pPr>
          </w:p>
        </w:tc>
      </w:tr>
      <w:tr w14:paraId="300E9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9C99E94">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373402D">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74B8E0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1AA777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参加人数</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1F665B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407D5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&gt;=27800人</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575AAE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=28428人</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0EE461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102.26%</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2E895C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3.91</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111F93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6FF630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28411人</w:t>
            </w: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2388A1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7644D2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3FD82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博物馆纪念馆免费开放运行经费项目已完成，数量指标-参加人数指标完成率为102.26%，主要原因为博物馆流动博物馆巡展场所范围扩大，宣传力度加大，参加人员增加，扩大了影响力和知晓度。</w:t>
            </w:r>
          </w:p>
        </w:tc>
      </w:tr>
      <w:tr w14:paraId="5AAEA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4E8EAE6">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0C0A81A">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2C661B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117CA2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免费开放绩效考评率</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0400D4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7FAF3F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4D4579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7A0A23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40842A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2034AD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5D5C8889">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58E29B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395B8C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5E6F6436">
            <w:pPr>
              <w:jc w:val="center"/>
              <w:rPr>
                <w:rFonts w:hint="eastAsia" w:ascii="宋体" w:hAnsi="宋体" w:eastAsia="宋体" w:cs="宋体"/>
                <w:i w:val="0"/>
                <w:iCs w:val="0"/>
                <w:color w:val="000000"/>
                <w:sz w:val="18"/>
                <w:szCs w:val="18"/>
                <w:u w:val="none"/>
              </w:rPr>
            </w:pPr>
          </w:p>
        </w:tc>
      </w:tr>
      <w:tr w14:paraId="5795E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FFCA507">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EC240D2">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3508DE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405A23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社会教育服务水平</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1959B7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02B811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0A7E6B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0C1087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4F9902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7C8F4D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522AD7DC">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14D736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03B088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2E480BDD">
            <w:pPr>
              <w:jc w:val="center"/>
              <w:rPr>
                <w:rFonts w:hint="eastAsia" w:ascii="宋体" w:hAnsi="宋体" w:eastAsia="宋体" w:cs="宋体"/>
                <w:i w:val="0"/>
                <w:iCs w:val="0"/>
                <w:color w:val="000000"/>
                <w:sz w:val="18"/>
                <w:szCs w:val="18"/>
                <w:u w:val="none"/>
              </w:rPr>
            </w:pPr>
          </w:p>
        </w:tc>
      </w:tr>
      <w:tr w14:paraId="7FA65A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F0425A8">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0CE466">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2784AC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5EC0D3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举办免费开放活动完成时间</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57959E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4513DC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&lt;=2024年12月31日</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5CC4FE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=2024年12月31日</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679BBD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627BE7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7F805A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260E4385">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374DDF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5ABF83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75D24C85">
            <w:pPr>
              <w:jc w:val="center"/>
              <w:rPr>
                <w:rFonts w:hint="eastAsia" w:ascii="宋体" w:hAnsi="宋体" w:eastAsia="宋体" w:cs="宋体"/>
                <w:i w:val="0"/>
                <w:iCs w:val="0"/>
                <w:color w:val="000000"/>
                <w:sz w:val="18"/>
                <w:szCs w:val="18"/>
                <w:u w:val="none"/>
              </w:rPr>
            </w:pPr>
          </w:p>
        </w:tc>
      </w:tr>
      <w:tr w14:paraId="739EC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2895565">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45E5E34">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78AFBF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0FEB1C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举办流动博物馆宣传完成时间</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32A579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1C0131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&lt;=2024年12月31日</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22555C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=2024年12月31日</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3FC97E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28B8D0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394A6E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0D007F3D">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43B1C7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6B60C4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7CA9488E">
            <w:pPr>
              <w:jc w:val="center"/>
              <w:rPr>
                <w:rFonts w:hint="eastAsia" w:ascii="宋体" w:hAnsi="宋体" w:eastAsia="宋体" w:cs="宋体"/>
                <w:i w:val="0"/>
                <w:iCs w:val="0"/>
                <w:color w:val="000000"/>
                <w:sz w:val="18"/>
                <w:szCs w:val="18"/>
                <w:u w:val="none"/>
              </w:rPr>
            </w:pPr>
          </w:p>
        </w:tc>
      </w:tr>
      <w:tr w14:paraId="4DAC3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F50558B">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EFA01A3">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4D0522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0AFBA3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博物馆免费开放专项资金完成及时率</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47D2F2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6C98BE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04FB33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679F21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365498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0E91FB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13EDDBDB">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68A8A7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271980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7B7103C9">
            <w:pPr>
              <w:jc w:val="center"/>
              <w:rPr>
                <w:rFonts w:hint="eastAsia" w:ascii="宋体" w:hAnsi="宋体" w:eastAsia="宋体" w:cs="宋体"/>
                <w:i w:val="0"/>
                <w:iCs w:val="0"/>
                <w:color w:val="000000"/>
                <w:sz w:val="18"/>
                <w:szCs w:val="18"/>
                <w:u w:val="none"/>
              </w:rPr>
            </w:pPr>
          </w:p>
        </w:tc>
      </w:tr>
      <w:tr w14:paraId="4AEA2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60CA1F">
            <w:pPr>
              <w:jc w:val="center"/>
              <w:rPr>
                <w:rFonts w:hint="eastAsia" w:ascii="宋体" w:hAnsi="宋体" w:eastAsia="宋体" w:cs="宋体"/>
                <w:b/>
                <w:bCs/>
                <w:i w:val="0"/>
                <w:iCs w:val="0"/>
                <w:color w:val="000000"/>
                <w:sz w:val="18"/>
                <w:szCs w:val="18"/>
                <w:u w:val="none"/>
              </w:rPr>
            </w:pPr>
          </w:p>
        </w:tc>
        <w:tc>
          <w:tcPr>
            <w:tcW w:w="305" w:type="pct"/>
            <w:vMerge w:val="restart"/>
            <w:tcBorders>
              <w:top w:val="single" w:color="000000" w:sz="4" w:space="0"/>
              <w:left w:val="single" w:color="000000" w:sz="4" w:space="0"/>
              <w:bottom w:val="single" w:color="000000" w:sz="4" w:space="0"/>
              <w:right w:val="single" w:color="000000" w:sz="4" w:space="0"/>
            </w:tcBorders>
            <w:shd w:val="clear"/>
            <w:vAlign w:val="center"/>
          </w:tcPr>
          <w:p w14:paraId="6C0BCF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76A81B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042CE4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免费开放活动支出</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641846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0C75BB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&lt;=18万元</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044F96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=18万元</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23EC8D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282EE0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6FD65C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5D25C0D4">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557EC4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4214A0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609241EA">
            <w:pPr>
              <w:jc w:val="center"/>
              <w:rPr>
                <w:rFonts w:hint="eastAsia" w:ascii="宋体" w:hAnsi="宋体" w:eastAsia="宋体" w:cs="宋体"/>
                <w:i w:val="0"/>
                <w:iCs w:val="0"/>
                <w:color w:val="000000"/>
                <w:sz w:val="18"/>
                <w:szCs w:val="18"/>
                <w:u w:val="none"/>
              </w:rPr>
            </w:pPr>
          </w:p>
        </w:tc>
      </w:tr>
      <w:tr w14:paraId="7AD51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9C98A61">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8B5430D">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50A8C6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109647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流动博物馆巡展宣传支出</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0F7B4C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50D5D5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&lt;=12万元</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29DC75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=12万元</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734F12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4782B9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75158C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30AA8F6C">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2DA14A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5CB88D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7898BAA8">
            <w:pPr>
              <w:jc w:val="center"/>
              <w:rPr>
                <w:rFonts w:hint="eastAsia" w:ascii="宋体" w:hAnsi="宋体" w:eastAsia="宋体" w:cs="宋体"/>
                <w:i w:val="0"/>
                <w:iCs w:val="0"/>
                <w:color w:val="000000"/>
                <w:sz w:val="18"/>
                <w:szCs w:val="18"/>
                <w:u w:val="none"/>
              </w:rPr>
            </w:pPr>
          </w:p>
        </w:tc>
      </w:tr>
      <w:tr w14:paraId="30BDAD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0BBBD38">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F321E7">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61BA10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社会成本指标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27A44CDF">
            <w:pPr>
              <w:jc w:val="center"/>
              <w:rPr>
                <w:rFonts w:hint="eastAsia" w:ascii="宋体" w:hAnsi="宋体" w:eastAsia="宋体" w:cs="宋体"/>
                <w:i w:val="0"/>
                <w:iCs w:val="0"/>
                <w:color w:val="000000"/>
                <w:sz w:val="18"/>
                <w:szCs w:val="18"/>
                <w:u w:val="none"/>
              </w:rPr>
            </w:pP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0F1887E6">
            <w:pPr>
              <w:jc w:val="center"/>
              <w:rPr>
                <w:rFonts w:hint="eastAsia" w:ascii="宋体" w:hAnsi="宋体" w:eastAsia="宋体" w:cs="宋体"/>
                <w:i w:val="0"/>
                <w:iCs w:val="0"/>
                <w:color w:val="000000"/>
                <w:sz w:val="18"/>
                <w:szCs w:val="18"/>
                <w:u w:val="none"/>
              </w:rPr>
            </w:pP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18F3F4FE">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1B19715C">
            <w:pPr>
              <w:jc w:val="center"/>
              <w:rPr>
                <w:rFonts w:hint="eastAsia" w:ascii="宋体" w:hAnsi="宋体" w:eastAsia="宋体" w:cs="宋体"/>
                <w:i w:val="0"/>
                <w:iCs w:val="0"/>
                <w:color w:val="000000"/>
                <w:sz w:val="18"/>
                <w:szCs w:val="18"/>
                <w:u w:val="none"/>
              </w:rPr>
            </w:pP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6076FC94">
            <w:pPr>
              <w:jc w:val="center"/>
              <w:rPr>
                <w:rFonts w:hint="eastAsia" w:ascii="宋体" w:hAnsi="宋体" w:eastAsia="宋体" w:cs="宋体"/>
                <w:i w:val="0"/>
                <w:iCs w:val="0"/>
                <w:color w:val="000000"/>
                <w:sz w:val="18"/>
                <w:szCs w:val="18"/>
                <w:u w:val="none"/>
              </w:rPr>
            </w:pP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177653A3">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57E49E94">
            <w:pPr>
              <w:jc w:val="center"/>
              <w:rPr>
                <w:rFonts w:hint="eastAsia" w:ascii="宋体" w:hAnsi="宋体" w:eastAsia="宋体" w:cs="宋体"/>
                <w:i w:val="0"/>
                <w:iCs w:val="0"/>
                <w:color w:val="000000"/>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5268671B">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7E239E14">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5C6133E5">
            <w:pPr>
              <w:jc w:val="center"/>
              <w:rPr>
                <w:rFonts w:hint="eastAsia" w:ascii="宋体" w:hAnsi="宋体" w:eastAsia="宋体" w:cs="宋体"/>
                <w:i w:val="0"/>
                <w:iCs w:val="0"/>
                <w:color w:val="000000"/>
                <w:sz w:val="18"/>
                <w:szCs w:val="18"/>
                <w:u w:val="none"/>
              </w:rPr>
            </w:pP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7AAF36E9">
            <w:pPr>
              <w:jc w:val="center"/>
              <w:rPr>
                <w:rFonts w:hint="eastAsia" w:ascii="宋体" w:hAnsi="宋体" w:eastAsia="宋体" w:cs="宋体"/>
                <w:i w:val="0"/>
                <w:iCs w:val="0"/>
                <w:color w:val="000000"/>
                <w:sz w:val="18"/>
                <w:szCs w:val="18"/>
                <w:u w:val="none"/>
              </w:rPr>
            </w:pPr>
          </w:p>
        </w:tc>
      </w:tr>
      <w:tr w14:paraId="64FAE0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11FE278">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F2F9836">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34A2C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生态环境成本指标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4337DE7A">
            <w:pPr>
              <w:jc w:val="center"/>
              <w:rPr>
                <w:rFonts w:hint="eastAsia" w:ascii="宋体" w:hAnsi="宋体" w:eastAsia="宋体" w:cs="宋体"/>
                <w:i w:val="0"/>
                <w:iCs w:val="0"/>
                <w:color w:val="000000"/>
                <w:sz w:val="18"/>
                <w:szCs w:val="18"/>
                <w:u w:val="none"/>
              </w:rPr>
            </w:pP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71939414">
            <w:pPr>
              <w:jc w:val="center"/>
              <w:rPr>
                <w:rFonts w:hint="eastAsia" w:ascii="宋体" w:hAnsi="宋体" w:eastAsia="宋体" w:cs="宋体"/>
                <w:i w:val="0"/>
                <w:iCs w:val="0"/>
                <w:color w:val="000000"/>
                <w:sz w:val="18"/>
                <w:szCs w:val="18"/>
                <w:u w:val="none"/>
              </w:rPr>
            </w:pP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428D0698">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679C9CF4">
            <w:pPr>
              <w:jc w:val="center"/>
              <w:rPr>
                <w:rFonts w:hint="eastAsia" w:ascii="宋体" w:hAnsi="宋体" w:eastAsia="宋体" w:cs="宋体"/>
                <w:i w:val="0"/>
                <w:iCs w:val="0"/>
                <w:color w:val="000000"/>
                <w:sz w:val="18"/>
                <w:szCs w:val="18"/>
                <w:u w:val="none"/>
              </w:rPr>
            </w:pP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520F5D64">
            <w:pPr>
              <w:jc w:val="center"/>
              <w:rPr>
                <w:rFonts w:hint="eastAsia" w:ascii="宋体" w:hAnsi="宋体" w:eastAsia="宋体" w:cs="宋体"/>
                <w:i w:val="0"/>
                <w:iCs w:val="0"/>
                <w:color w:val="000000"/>
                <w:sz w:val="18"/>
                <w:szCs w:val="18"/>
                <w:u w:val="none"/>
              </w:rPr>
            </w:pP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0ADF0180">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29395B16">
            <w:pPr>
              <w:jc w:val="center"/>
              <w:rPr>
                <w:rFonts w:hint="eastAsia" w:ascii="宋体" w:hAnsi="宋体" w:eastAsia="宋体" w:cs="宋体"/>
                <w:i w:val="0"/>
                <w:iCs w:val="0"/>
                <w:color w:val="000000"/>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6B84441D">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13D13E08">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64AA8713">
            <w:pPr>
              <w:jc w:val="center"/>
              <w:rPr>
                <w:rFonts w:hint="eastAsia" w:ascii="宋体" w:hAnsi="宋体" w:eastAsia="宋体" w:cs="宋体"/>
                <w:i w:val="0"/>
                <w:iCs w:val="0"/>
                <w:color w:val="000000"/>
                <w:sz w:val="18"/>
                <w:szCs w:val="18"/>
                <w:u w:val="none"/>
              </w:rPr>
            </w:pP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4B65B04B">
            <w:pPr>
              <w:jc w:val="center"/>
              <w:rPr>
                <w:rFonts w:hint="eastAsia" w:ascii="宋体" w:hAnsi="宋体" w:eastAsia="宋体" w:cs="宋体"/>
                <w:i w:val="0"/>
                <w:iCs w:val="0"/>
                <w:color w:val="000000"/>
                <w:sz w:val="18"/>
                <w:szCs w:val="18"/>
                <w:u w:val="none"/>
              </w:rPr>
            </w:pPr>
          </w:p>
        </w:tc>
      </w:tr>
      <w:tr w14:paraId="3AE61A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F7E58C6">
            <w:pPr>
              <w:jc w:val="center"/>
              <w:rPr>
                <w:rFonts w:hint="eastAsia" w:ascii="宋体" w:hAnsi="宋体" w:eastAsia="宋体" w:cs="宋体"/>
                <w:b/>
                <w:bCs/>
                <w:i w:val="0"/>
                <w:iCs w:val="0"/>
                <w:color w:val="000000"/>
                <w:sz w:val="18"/>
                <w:szCs w:val="18"/>
                <w:u w:val="none"/>
              </w:rPr>
            </w:pPr>
          </w:p>
        </w:tc>
        <w:tc>
          <w:tcPr>
            <w:tcW w:w="305" w:type="pct"/>
            <w:vMerge w:val="restart"/>
            <w:tcBorders>
              <w:top w:val="single" w:color="000000" w:sz="4" w:space="0"/>
              <w:left w:val="single" w:color="000000" w:sz="4" w:space="0"/>
              <w:bottom w:val="single" w:color="000000" w:sz="4" w:space="0"/>
              <w:right w:val="single" w:color="000000" w:sz="4" w:space="0"/>
            </w:tcBorders>
            <w:shd w:val="clear"/>
            <w:vAlign w:val="center"/>
          </w:tcPr>
          <w:p w14:paraId="33336C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110DC9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经济效益指标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5AB7207E">
            <w:pPr>
              <w:jc w:val="center"/>
              <w:rPr>
                <w:rFonts w:hint="eastAsia" w:ascii="宋体" w:hAnsi="宋体" w:eastAsia="宋体" w:cs="宋体"/>
                <w:i w:val="0"/>
                <w:iCs w:val="0"/>
                <w:color w:val="000000"/>
                <w:sz w:val="18"/>
                <w:szCs w:val="18"/>
                <w:u w:val="none"/>
              </w:rPr>
            </w:pP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0E8BBF36">
            <w:pPr>
              <w:jc w:val="center"/>
              <w:rPr>
                <w:rFonts w:hint="eastAsia" w:ascii="宋体" w:hAnsi="宋体" w:eastAsia="宋体" w:cs="宋体"/>
                <w:i w:val="0"/>
                <w:iCs w:val="0"/>
                <w:color w:val="000000"/>
                <w:sz w:val="18"/>
                <w:szCs w:val="18"/>
                <w:u w:val="none"/>
              </w:rPr>
            </w:pP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65A9FC6E">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4EEBAC5B">
            <w:pPr>
              <w:jc w:val="center"/>
              <w:rPr>
                <w:rFonts w:hint="eastAsia" w:ascii="宋体" w:hAnsi="宋体" w:eastAsia="宋体" w:cs="宋体"/>
                <w:i w:val="0"/>
                <w:iCs w:val="0"/>
                <w:color w:val="000000"/>
                <w:sz w:val="18"/>
                <w:szCs w:val="18"/>
                <w:u w:val="none"/>
              </w:rPr>
            </w:pP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47294BDE">
            <w:pPr>
              <w:jc w:val="center"/>
              <w:rPr>
                <w:rFonts w:hint="eastAsia" w:ascii="宋体" w:hAnsi="宋体" w:eastAsia="宋体" w:cs="宋体"/>
                <w:i w:val="0"/>
                <w:iCs w:val="0"/>
                <w:color w:val="000000"/>
                <w:sz w:val="18"/>
                <w:szCs w:val="18"/>
                <w:u w:val="none"/>
              </w:rPr>
            </w:pP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51650D7A">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02283B6C">
            <w:pPr>
              <w:jc w:val="center"/>
              <w:rPr>
                <w:rFonts w:hint="eastAsia" w:ascii="宋体" w:hAnsi="宋体" w:eastAsia="宋体" w:cs="宋体"/>
                <w:i w:val="0"/>
                <w:iCs w:val="0"/>
                <w:color w:val="000000"/>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7BA94C7A">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0139B38F">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17B9D748">
            <w:pPr>
              <w:jc w:val="center"/>
              <w:rPr>
                <w:rFonts w:hint="eastAsia" w:ascii="宋体" w:hAnsi="宋体" w:eastAsia="宋体" w:cs="宋体"/>
                <w:i w:val="0"/>
                <w:iCs w:val="0"/>
                <w:color w:val="000000"/>
                <w:sz w:val="18"/>
                <w:szCs w:val="18"/>
                <w:u w:val="none"/>
              </w:rPr>
            </w:pP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4435FB8E">
            <w:pPr>
              <w:jc w:val="center"/>
              <w:rPr>
                <w:rFonts w:hint="eastAsia" w:ascii="宋体" w:hAnsi="宋体" w:eastAsia="宋体" w:cs="宋体"/>
                <w:i w:val="0"/>
                <w:iCs w:val="0"/>
                <w:color w:val="000000"/>
                <w:sz w:val="18"/>
                <w:szCs w:val="18"/>
                <w:u w:val="none"/>
              </w:rPr>
            </w:pPr>
          </w:p>
        </w:tc>
      </w:tr>
      <w:tr w14:paraId="00AE3C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7C0AB4A">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14F494D">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4E214A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5A3418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充分发挥博物馆宣传教育和社会服务阵地作用</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25EEC2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4445EA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有效提升</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669A35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达到预期指标</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34692B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7B29EE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7A3993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4E967D0E">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09AEA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2A761B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01F2B930">
            <w:pPr>
              <w:jc w:val="center"/>
              <w:rPr>
                <w:rFonts w:hint="eastAsia" w:ascii="宋体" w:hAnsi="宋体" w:eastAsia="宋体" w:cs="宋体"/>
                <w:i w:val="0"/>
                <w:iCs w:val="0"/>
                <w:color w:val="000000"/>
                <w:sz w:val="18"/>
                <w:szCs w:val="18"/>
                <w:u w:val="none"/>
              </w:rPr>
            </w:pPr>
          </w:p>
        </w:tc>
      </w:tr>
      <w:tr w14:paraId="5A0B6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8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6335ABA">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F03F056">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456F22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52E6FB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不断强化文物的实证史证作用和宣传教育功能，不断弘扬传承优秀传统文化，大力培育社会主义核心价值观</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3FB9D3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117943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有效提升</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53FEA5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达到预期指标</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685273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5A3098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1B437C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74AC1897">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398609B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2D0DF4A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说明材料</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146E4385">
            <w:pPr>
              <w:jc w:val="center"/>
              <w:rPr>
                <w:rFonts w:hint="eastAsia" w:ascii="宋体" w:hAnsi="宋体" w:eastAsia="宋体" w:cs="宋体"/>
                <w:i w:val="0"/>
                <w:iCs w:val="0"/>
                <w:color w:val="000000"/>
                <w:sz w:val="18"/>
                <w:szCs w:val="18"/>
                <w:u w:val="none"/>
              </w:rPr>
            </w:pPr>
          </w:p>
        </w:tc>
      </w:tr>
      <w:tr w14:paraId="0222EF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B0974AF">
            <w:pPr>
              <w:jc w:val="center"/>
              <w:rPr>
                <w:rFonts w:hint="eastAsia" w:ascii="宋体" w:hAnsi="宋体" w:eastAsia="宋体" w:cs="宋体"/>
                <w:b/>
                <w:bCs/>
                <w:i w:val="0"/>
                <w:iCs w:val="0"/>
                <w:color w:val="000000"/>
                <w:sz w:val="18"/>
                <w:szCs w:val="18"/>
                <w:u w:val="none"/>
              </w:rPr>
            </w:pPr>
          </w:p>
        </w:tc>
        <w:tc>
          <w:tcPr>
            <w:tcW w:w="30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C305522">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1CECD0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生态效益指标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6F3803B2">
            <w:pPr>
              <w:jc w:val="center"/>
              <w:rPr>
                <w:rFonts w:hint="eastAsia" w:ascii="宋体" w:hAnsi="宋体" w:eastAsia="宋体" w:cs="宋体"/>
                <w:i w:val="0"/>
                <w:iCs w:val="0"/>
                <w:color w:val="000000"/>
                <w:sz w:val="18"/>
                <w:szCs w:val="18"/>
                <w:u w:val="none"/>
              </w:rPr>
            </w:pP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79BE9DC7">
            <w:pPr>
              <w:jc w:val="center"/>
              <w:rPr>
                <w:rFonts w:hint="eastAsia" w:ascii="宋体" w:hAnsi="宋体" w:eastAsia="宋体" w:cs="宋体"/>
                <w:i w:val="0"/>
                <w:iCs w:val="0"/>
                <w:color w:val="000000"/>
                <w:sz w:val="18"/>
                <w:szCs w:val="18"/>
                <w:u w:val="none"/>
              </w:rPr>
            </w:pP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0C82CE03">
            <w:pPr>
              <w:jc w:val="center"/>
              <w:rPr>
                <w:rFonts w:hint="eastAsia" w:ascii="宋体" w:hAnsi="宋体" w:eastAsia="宋体" w:cs="宋体"/>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0F27B5A8">
            <w:pPr>
              <w:jc w:val="center"/>
              <w:rPr>
                <w:rFonts w:hint="eastAsia" w:ascii="宋体" w:hAnsi="宋体" w:eastAsia="宋体" w:cs="宋体"/>
                <w:i w:val="0"/>
                <w:iCs w:val="0"/>
                <w:color w:val="000000"/>
                <w:sz w:val="18"/>
                <w:szCs w:val="18"/>
                <w:u w:val="none"/>
              </w:rPr>
            </w:pP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5740BAE8">
            <w:pPr>
              <w:jc w:val="center"/>
              <w:rPr>
                <w:rFonts w:hint="eastAsia" w:ascii="宋体" w:hAnsi="宋体" w:eastAsia="宋体" w:cs="宋体"/>
                <w:i w:val="0"/>
                <w:iCs w:val="0"/>
                <w:color w:val="000000"/>
                <w:sz w:val="18"/>
                <w:szCs w:val="18"/>
                <w:u w:val="none"/>
              </w:rPr>
            </w:pP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4E91ADC9">
            <w:pPr>
              <w:jc w:val="center"/>
              <w:rPr>
                <w:rFonts w:hint="eastAsia" w:ascii="宋体" w:hAnsi="宋体" w:eastAsia="宋体" w:cs="宋体"/>
                <w:i w:val="0"/>
                <w:iCs w:val="0"/>
                <w:color w:val="000000"/>
                <w:sz w:val="18"/>
                <w:szCs w:val="18"/>
                <w:u w:val="none"/>
              </w:rPr>
            </w:pP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2559DF3D">
            <w:pPr>
              <w:jc w:val="center"/>
              <w:rPr>
                <w:rFonts w:hint="eastAsia" w:ascii="宋体" w:hAnsi="宋体" w:eastAsia="宋体" w:cs="宋体"/>
                <w:i w:val="0"/>
                <w:iCs w:val="0"/>
                <w:color w:val="000000"/>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7BA01655">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6BE51CE2">
            <w:pPr>
              <w:jc w:val="cente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79A92EEA">
            <w:pPr>
              <w:jc w:val="center"/>
              <w:rPr>
                <w:rFonts w:hint="eastAsia" w:ascii="宋体" w:hAnsi="宋体" w:eastAsia="宋体" w:cs="宋体"/>
                <w:i w:val="0"/>
                <w:iCs w:val="0"/>
                <w:color w:val="000000"/>
                <w:sz w:val="18"/>
                <w:szCs w:val="18"/>
                <w:u w:val="none"/>
              </w:rPr>
            </w:pP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1D09C27D">
            <w:pPr>
              <w:jc w:val="center"/>
              <w:rPr>
                <w:rFonts w:hint="eastAsia" w:ascii="宋体" w:hAnsi="宋体" w:eastAsia="宋体" w:cs="宋体"/>
                <w:i w:val="0"/>
                <w:iCs w:val="0"/>
                <w:color w:val="000000"/>
                <w:sz w:val="18"/>
                <w:szCs w:val="18"/>
                <w:u w:val="none"/>
              </w:rPr>
            </w:pPr>
          </w:p>
        </w:tc>
      </w:tr>
      <w:tr w14:paraId="5B08D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0" w:hRule="atLeast"/>
        </w:trPr>
        <w:tc>
          <w:tcPr>
            <w:tcW w:w="304"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5F555CC">
            <w:pPr>
              <w:jc w:val="center"/>
              <w:rPr>
                <w:rFonts w:hint="eastAsia" w:ascii="宋体" w:hAnsi="宋体" w:eastAsia="宋体" w:cs="宋体"/>
                <w:b/>
                <w:bCs/>
                <w:i w:val="0"/>
                <w:iCs w:val="0"/>
                <w:color w:val="000000"/>
                <w:sz w:val="18"/>
                <w:szCs w:val="18"/>
                <w:u w:val="none"/>
              </w:rPr>
            </w:pPr>
          </w:p>
        </w:tc>
        <w:tc>
          <w:tcPr>
            <w:tcW w:w="305" w:type="pct"/>
            <w:tcBorders>
              <w:top w:val="single" w:color="000000" w:sz="4" w:space="0"/>
              <w:left w:val="single" w:color="000000" w:sz="4" w:space="0"/>
              <w:bottom w:val="single" w:color="000000" w:sz="4" w:space="0"/>
              <w:right w:val="single" w:color="000000" w:sz="4" w:space="0"/>
            </w:tcBorders>
            <w:shd w:val="clear"/>
            <w:vAlign w:val="center"/>
          </w:tcPr>
          <w:p w14:paraId="43AF1C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341" w:type="pct"/>
            <w:tcBorders>
              <w:top w:val="single" w:color="000000" w:sz="4" w:space="0"/>
              <w:left w:val="single" w:color="000000" w:sz="4" w:space="0"/>
              <w:bottom w:val="single" w:color="000000" w:sz="4" w:space="0"/>
              <w:right w:val="single" w:color="000000" w:sz="4" w:space="0"/>
            </w:tcBorders>
            <w:shd w:val="clear"/>
            <w:vAlign w:val="center"/>
          </w:tcPr>
          <w:p w14:paraId="1D5877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15796B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社会公众对博物馆服务满意度</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6A701E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486" w:type="pct"/>
            <w:gridSpan w:val="2"/>
            <w:tcBorders>
              <w:top w:val="single" w:color="000000" w:sz="4" w:space="0"/>
              <w:left w:val="single" w:color="000000" w:sz="4" w:space="0"/>
              <w:bottom w:val="single" w:color="000000" w:sz="4" w:space="0"/>
              <w:right w:val="single" w:color="000000" w:sz="4" w:space="0"/>
            </w:tcBorders>
            <w:shd w:val="clear"/>
            <w:vAlign w:val="center"/>
          </w:tcPr>
          <w:p w14:paraId="50C84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4FB039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2BFE70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340F26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527240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5754A87C">
            <w:pPr>
              <w:jc w:val="cente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1337A3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2BA473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1F100D59">
            <w:pPr>
              <w:jc w:val="center"/>
              <w:rPr>
                <w:rFonts w:hint="eastAsia" w:ascii="宋体" w:hAnsi="宋体" w:eastAsia="宋体" w:cs="宋体"/>
                <w:i w:val="0"/>
                <w:iCs w:val="0"/>
                <w:color w:val="000000"/>
                <w:sz w:val="18"/>
                <w:szCs w:val="18"/>
                <w:u w:val="none"/>
              </w:rPr>
            </w:pPr>
          </w:p>
        </w:tc>
      </w:tr>
      <w:tr w14:paraId="5F704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334" w:type="pct"/>
            <w:gridSpan w:val="4"/>
            <w:tcBorders>
              <w:top w:val="single" w:color="000000" w:sz="4" w:space="0"/>
              <w:left w:val="single" w:color="000000" w:sz="4" w:space="0"/>
              <w:bottom w:val="single" w:color="000000" w:sz="4" w:space="0"/>
              <w:right w:val="nil"/>
            </w:tcBorders>
            <w:shd w:val="clear"/>
            <w:vAlign w:val="center"/>
          </w:tcPr>
          <w:p w14:paraId="35C17F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257" w:type="pct"/>
            <w:gridSpan w:val="2"/>
            <w:tcBorders>
              <w:top w:val="single" w:color="000000" w:sz="4" w:space="0"/>
              <w:left w:val="single" w:color="000000" w:sz="4" w:space="0"/>
              <w:bottom w:val="single" w:color="000000" w:sz="4" w:space="0"/>
              <w:right w:val="single" w:color="000000" w:sz="4" w:space="0"/>
            </w:tcBorders>
            <w:shd w:val="clear"/>
            <w:vAlign w:val="center"/>
          </w:tcPr>
          <w:p w14:paraId="583546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486" w:type="pct"/>
            <w:gridSpan w:val="2"/>
            <w:tcBorders>
              <w:top w:val="single" w:color="000000" w:sz="4" w:space="0"/>
              <w:left w:val="nil"/>
              <w:bottom w:val="single" w:color="000000" w:sz="4" w:space="0"/>
              <w:right w:val="single" w:color="000000" w:sz="4" w:space="0"/>
            </w:tcBorders>
            <w:shd w:val="clear"/>
            <w:vAlign w:val="center"/>
          </w:tcPr>
          <w:p w14:paraId="3C8C8EC7">
            <w:pPr>
              <w:rPr>
                <w:rFonts w:hint="eastAsia" w:ascii="宋体" w:hAnsi="宋体" w:eastAsia="宋体" w:cs="宋体"/>
                <w:b/>
                <w:bCs/>
                <w:i w:val="0"/>
                <w:iCs w:val="0"/>
                <w:color w:val="000000"/>
                <w:sz w:val="18"/>
                <w:szCs w:val="18"/>
                <w:u w:val="none"/>
              </w:rPr>
            </w:pPr>
          </w:p>
        </w:tc>
        <w:tc>
          <w:tcPr>
            <w:tcW w:w="392" w:type="pct"/>
            <w:tcBorders>
              <w:top w:val="single" w:color="000000" w:sz="4" w:space="0"/>
              <w:left w:val="single" w:color="000000" w:sz="4" w:space="0"/>
              <w:bottom w:val="single" w:color="000000" w:sz="4" w:space="0"/>
              <w:right w:val="single" w:color="000000" w:sz="4" w:space="0"/>
            </w:tcBorders>
            <w:shd w:val="clear"/>
            <w:vAlign w:val="center"/>
          </w:tcPr>
          <w:p w14:paraId="448D61B3">
            <w:pPr>
              <w:jc w:val="center"/>
              <w:rPr>
                <w:rFonts w:hint="eastAsia" w:ascii="宋体" w:hAnsi="宋体" w:eastAsia="宋体" w:cs="宋体"/>
                <w:i w:val="0"/>
                <w:iCs w:val="0"/>
                <w:color w:val="000000"/>
                <w:sz w:val="18"/>
                <w:szCs w:val="18"/>
                <w:u w:val="none"/>
              </w:rPr>
            </w:pPr>
          </w:p>
        </w:tc>
        <w:tc>
          <w:tcPr>
            <w:tcW w:w="337" w:type="pct"/>
            <w:gridSpan w:val="2"/>
            <w:tcBorders>
              <w:top w:val="single" w:color="000000" w:sz="4" w:space="0"/>
              <w:left w:val="single" w:color="000000" w:sz="4" w:space="0"/>
              <w:bottom w:val="single" w:color="000000" w:sz="4" w:space="0"/>
              <w:right w:val="single" w:color="000000" w:sz="4" w:space="0"/>
            </w:tcBorders>
            <w:shd w:val="clear"/>
            <w:vAlign w:val="center"/>
          </w:tcPr>
          <w:p w14:paraId="6E5F723E">
            <w:pPr>
              <w:jc w:val="center"/>
              <w:rPr>
                <w:rFonts w:hint="eastAsia" w:ascii="宋体" w:hAnsi="宋体" w:eastAsia="宋体" w:cs="宋体"/>
                <w:i w:val="0"/>
                <w:iCs w:val="0"/>
                <w:color w:val="000000"/>
                <w:sz w:val="18"/>
                <w:szCs w:val="18"/>
                <w:u w:val="none"/>
              </w:rPr>
            </w:pPr>
          </w:p>
        </w:tc>
        <w:tc>
          <w:tcPr>
            <w:tcW w:w="270" w:type="pct"/>
            <w:tcBorders>
              <w:top w:val="single" w:color="000000" w:sz="4" w:space="0"/>
              <w:left w:val="single" w:color="000000" w:sz="4" w:space="0"/>
              <w:bottom w:val="single" w:color="000000" w:sz="4" w:space="0"/>
              <w:right w:val="single" w:color="000000" w:sz="4" w:space="0"/>
            </w:tcBorders>
            <w:shd w:val="clear"/>
            <w:vAlign w:val="center"/>
          </w:tcPr>
          <w:p w14:paraId="0F2636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99.91分</w:t>
            </w:r>
          </w:p>
        </w:tc>
        <w:tc>
          <w:tcPr>
            <w:tcW w:w="359" w:type="pct"/>
            <w:tcBorders>
              <w:top w:val="single" w:color="000000" w:sz="4" w:space="0"/>
              <w:left w:val="single" w:color="000000" w:sz="4" w:space="0"/>
              <w:bottom w:val="single" w:color="000000" w:sz="4" w:space="0"/>
              <w:right w:val="single" w:color="000000" w:sz="4" w:space="0"/>
            </w:tcBorders>
            <w:shd w:val="clear"/>
            <w:vAlign w:val="center"/>
          </w:tcPr>
          <w:p w14:paraId="1B08DD8A">
            <w:pPr>
              <w:rPr>
                <w:rFonts w:hint="eastAsia" w:ascii="宋体" w:hAnsi="宋体" w:eastAsia="宋体" w:cs="宋体"/>
                <w:i w:val="0"/>
                <w:iCs w:val="0"/>
                <w:color w:val="000000"/>
                <w:sz w:val="18"/>
                <w:szCs w:val="18"/>
                <w:u w:val="none"/>
              </w:rPr>
            </w:pPr>
          </w:p>
        </w:tc>
        <w:tc>
          <w:tcPr>
            <w:tcW w:w="383" w:type="pct"/>
            <w:tcBorders>
              <w:top w:val="single" w:color="000000" w:sz="4" w:space="0"/>
              <w:left w:val="single" w:color="000000" w:sz="4" w:space="0"/>
              <w:bottom w:val="single" w:color="000000" w:sz="4" w:space="0"/>
              <w:right w:val="single" w:color="000000" w:sz="4" w:space="0"/>
            </w:tcBorders>
            <w:shd w:val="clear"/>
            <w:vAlign w:val="center"/>
          </w:tcPr>
          <w:p w14:paraId="6DC30BD9">
            <w:pPr>
              <w:rPr>
                <w:rFonts w:hint="eastAsia" w:ascii="宋体" w:hAnsi="宋体" w:eastAsia="宋体" w:cs="宋体"/>
                <w:i w:val="0"/>
                <w:iCs w:val="0"/>
                <w:color w:val="000000"/>
                <w:sz w:val="18"/>
                <w:szCs w:val="18"/>
                <w:u w:val="none"/>
              </w:rPr>
            </w:pPr>
          </w:p>
        </w:tc>
        <w:tc>
          <w:tcPr>
            <w:tcW w:w="316" w:type="pct"/>
            <w:tcBorders>
              <w:top w:val="single" w:color="000000" w:sz="4" w:space="0"/>
              <w:left w:val="single" w:color="000000" w:sz="4" w:space="0"/>
              <w:bottom w:val="single" w:color="000000" w:sz="4" w:space="0"/>
              <w:right w:val="single" w:color="000000" w:sz="4" w:space="0"/>
            </w:tcBorders>
            <w:shd w:val="clear"/>
            <w:vAlign w:val="center"/>
          </w:tcPr>
          <w:p w14:paraId="2F5A63FB">
            <w:pPr>
              <w:rPr>
                <w:rFonts w:hint="eastAsia" w:ascii="宋体" w:hAnsi="宋体" w:eastAsia="宋体" w:cs="宋体"/>
                <w:i w:val="0"/>
                <w:iCs w:val="0"/>
                <w:color w:val="000000"/>
                <w:sz w:val="18"/>
                <w:szCs w:val="18"/>
                <w:u w:val="none"/>
              </w:rPr>
            </w:pPr>
          </w:p>
        </w:tc>
        <w:tc>
          <w:tcPr>
            <w:tcW w:w="308" w:type="pct"/>
            <w:tcBorders>
              <w:top w:val="single" w:color="000000" w:sz="4" w:space="0"/>
              <w:left w:val="single" w:color="000000" w:sz="4" w:space="0"/>
              <w:bottom w:val="single" w:color="000000" w:sz="4" w:space="0"/>
              <w:right w:val="single" w:color="000000" w:sz="4" w:space="0"/>
            </w:tcBorders>
            <w:shd w:val="clear"/>
            <w:vAlign w:val="center"/>
          </w:tcPr>
          <w:p w14:paraId="363D60DC">
            <w:pPr>
              <w:rPr>
                <w:rFonts w:hint="eastAsia" w:ascii="宋体" w:hAnsi="宋体" w:eastAsia="宋体" w:cs="宋体"/>
                <w:i w:val="0"/>
                <w:iCs w:val="0"/>
                <w:color w:val="000000"/>
                <w:sz w:val="18"/>
                <w:szCs w:val="18"/>
                <w:u w:val="none"/>
              </w:rPr>
            </w:pPr>
          </w:p>
        </w:tc>
        <w:tc>
          <w:tcPr>
            <w:tcW w:w="551" w:type="pct"/>
            <w:tcBorders>
              <w:top w:val="single" w:color="000000" w:sz="4" w:space="0"/>
              <w:left w:val="single" w:color="000000" w:sz="4" w:space="0"/>
              <w:bottom w:val="single" w:color="000000" w:sz="4" w:space="0"/>
              <w:right w:val="single" w:color="000000" w:sz="4" w:space="0"/>
            </w:tcBorders>
            <w:shd w:val="clear"/>
            <w:vAlign w:val="center"/>
          </w:tcPr>
          <w:p w14:paraId="3959F213">
            <w:pPr>
              <w:rPr>
                <w:rFonts w:hint="eastAsia" w:ascii="宋体" w:hAnsi="宋体" w:eastAsia="宋体" w:cs="宋体"/>
                <w:i w:val="0"/>
                <w:iCs w:val="0"/>
                <w:color w:val="000000"/>
                <w:sz w:val="18"/>
                <w:szCs w:val="18"/>
                <w:u w:val="none"/>
              </w:rPr>
            </w:pPr>
          </w:p>
        </w:tc>
      </w:tr>
    </w:tbl>
    <w:p w14:paraId="0D2C1648">
      <w:pPr>
        <w:ind w:left="0" w:leftChars="0" w:firstLine="0" w:firstLineChars="0"/>
      </w:pPr>
      <w:r>
        <w:br w:type="page"/>
      </w:r>
    </w:p>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6" w:name="_Toc11223"/>
      <w:bookmarkStart w:id="157"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6"/>
      <w:bookmarkEnd w:id="157"/>
    </w:p>
    <w:tbl>
      <w:tblPr>
        <w:tblStyle w:val="16"/>
        <w:tblW w:w="1364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1878"/>
        <w:gridCol w:w="2632"/>
        <w:gridCol w:w="5996"/>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1878"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632"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996"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76" w:hRule="atLeast"/>
          <w:jc w:val="center"/>
        </w:trPr>
        <w:tc>
          <w:tcPr>
            <w:tcW w:w="861" w:type="dxa"/>
            <w:vMerge w:val="restart"/>
            <w:shd w:val="clear" w:color="auto" w:fill="auto"/>
            <w:noWrap w:val="0"/>
            <w:vAlign w:val="center"/>
          </w:tcPr>
          <w:p w14:paraId="0AA76D4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883D90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E000FF6">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31A0B8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1878" w:type="dxa"/>
            <w:shd w:val="clear" w:color="auto" w:fill="auto"/>
            <w:noWrap w:val="0"/>
            <w:vAlign w:val="center"/>
          </w:tcPr>
          <w:p w14:paraId="4F4C2D5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4DDD635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632" w:type="dxa"/>
            <w:shd w:val="clear" w:color="auto" w:fill="auto"/>
            <w:noWrap w:val="0"/>
            <w:vAlign w:val="center"/>
          </w:tcPr>
          <w:p w14:paraId="1586FDC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996" w:type="dxa"/>
            <w:shd w:val="clear" w:color="auto" w:fill="auto"/>
            <w:noWrap w:val="0"/>
            <w:vAlign w:val="center"/>
          </w:tcPr>
          <w:p w14:paraId="7D5EC858">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D62FD41">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5C3220E3">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7DDE8F69">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667423F9">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6A59F93C">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320" w:hRule="atLeast"/>
          <w:jc w:val="center"/>
        </w:trPr>
        <w:tc>
          <w:tcPr>
            <w:tcW w:w="861" w:type="dxa"/>
            <w:vMerge w:val="continue"/>
            <w:shd w:val="clear" w:color="auto" w:fill="auto"/>
            <w:noWrap w:val="0"/>
            <w:vAlign w:val="center"/>
          </w:tcPr>
          <w:p w14:paraId="497BB53F">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493923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1878" w:type="dxa"/>
            <w:shd w:val="clear" w:color="auto" w:fill="auto"/>
            <w:noWrap w:val="0"/>
            <w:vAlign w:val="center"/>
          </w:tcPr>
          <w:p w14:paraId="1EC6F1D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743BBEA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632" w:type="dxa"/>
            <w:shd w:val="clear" w:color="auto" w:fill="auto"/>
            <w:noWrap w:val="0"/>
            <w:vAlign w:val="center"/>
          </w:tcPr>
          <w:p w14:paraId="207EAF3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996" w:type="dxa"/>
            <w:shd w:val="clear" w:color="auto" w:fill="auto"/>
            <w:noWrap w:val="0"/>
            <w:vAlign w:val="center"/>
          </w:tcPr>
          <w:p w14:paraId="11734AE2">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77371B4">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627257B">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6CEF6957">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2BFFBFF2">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1878" w:type="dxa"/>
            <w:shd w:val="clear" w:color="auto" w:fill="auto"/>
            <w:noWrap w:val="0"/>
            <w:vAlign w:val="center"/>
          </w:tcPr>
          <w:p w14:paraId="1831AC42">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5285E53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632" w:type="dxa"/>
            <w:shd w:val="clear" w:color="auto" w:fill="auto"/>
            <w:noWrap w:val="0"/>
            <w:vAlign w:val="center"/>
          </w:tcPr>
          <w:p w14:paraId="20F8FE1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996" w:type="dxa"/>
            <w:shd w:val="clear" w:color="auto" w:fill="auto"/>
            <w:noWrap w:val="0"/>
            <w:vAlign w:val="center"/>
          </w:tcPr>
          <w:p w14:paraId="2347F992">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2D76EA">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293ACF76">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BE83BE6">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7061FF14">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5B58389A">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E2CA6F4">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1878" w:type="dxa"/>
            <w:shd w:val="clear" w:color="auto" w:fill="auto"/>
            <w:noWrap w:val="0"/>
            <w:vAlign w:val="center"/>
          </w:tcPr>
          <w:p w14:paraId="5FC4120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26CDCDC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632" w:type="dxa"/>
            <w:shd w:val="clear" w:color="auto" w:fill="auto"/>
            <w:noWrap w:val="0"/>
            <w:vAlign w:val="center"/>
          </w:tcPr>
          <w:p w14:paraId="2FA2447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996" w:type="dxa"/>
            <w:shd w:val="clear" w:color="auto" w:fill="auto"/>
            <w:noWrap w:val="0"/>
            <w:vAlign w:val="center"/>
          </w:tcPr>
          <w:p w14:paraId="18D1B9B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278CFB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72550CD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0EC7FA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4C2CA5F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15" w:hRule="atLeast"/>
          <w:jc w:val="center"/>
        </w:trPr>
        <w:tc>
          <w:tcPr>
            <w:tcW w:w="861" w:type="dxa"/>
            <w:vMerge w:val="continue"/>
            <w:shd w:val="clear" w:color="auto" w:fill="auto"/>
            <w:noWrap w:val="0"/>
            <w:vAlign w:val="center"/>
          </w:tcPr>
          <w:p w14:paraId="6C9025EA">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C14345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6EA1E74A">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878" w:type="dxa"/>
            <w:shd w:val="clear" w:color="auto" w:fill="auto"/>
            <w:noWrap w:val="0"/>
            <w:vAlign w:val="center"/>
          </w:tcPr>
          <w:p w14:paraId="1E305C8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73C8430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632" w:type="dxa"/>
            <w:shd w:val="clear" w:color="auto" w:fill="auto"/>
            <w:noWrap w:val="0"/>
            <w:vAlign w:val="center"/>
          </w:tcPr>
          <w:p w14:paraId="3BB5DA8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996" w:type="dxa"/>
            <w:shd w:val="clear" w:color="auto" w:fill="auto"/>
            <w:noWrap w:val="0"/>
            <w:vAlign w:val="center"/>
          </w:tcPr>
          <w:p w14:paraId="0954DC5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14D860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5C24D77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4C38244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50E4E31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35" w:hRule="atLeast"/>
          <w:jc w:val="center"/>
        </w:trPr>
        <w:tc>
          <w:tcPr>
            <w:tcW w:w="861" w:type="dxa"/>
            <w:vMerge w:val="continue"/>
            <w:shd w:val="clear" w:color="auto" w:fill="auto"/>
            <w:noWrap w:val="0"/>
            <w:vAlign w:val="center"/>
          </w:tcPr>
          <w:p w14:paraId="345D23D4">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61B7AF7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1878" w:type="dxa"/>
            <w:shd w:val="clear" w:color="auto" w:fill="auto"/>
            <w:noWrap w:val="0"/>
            <w:vAlign w:val="center"/>
          </w:tcPr>
          <w:p w14:paraId="0083C006">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2D093CB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632" w:type="dxa"/>
            <w:shd w:val="clear" w:color="auto" w:fill="auto"/>
            <w:noWrap w:val="0"/>
            <w:vAlign w:val="center"/>
          </w:tcPr>
          <w:p w14:paraId="4C18F1E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996" w:type="dxa"/>
            <w:shd w:val="clear" w:color="auto" w:fill="auto"/>
            <w:noWrap w:val="0"/>
            <w:vAlign w:val="center"/>
          </w:tcPr>
          <w:p w14:paraId="6667E79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CD770A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31061D1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22" w:hRule="atLeast"/>
          <w:jc w:val="center"/>
        </w:trPr>
        <w:tc>
          <w:tcPr>
            <w:tcW w:w="861" w:type="dxa"/>
            <w:vMerge w:val="restart"/>
            <w:shd w:val="clear" w:color="auto" w:fill="auto"/>
            <w:noWrap w:val="0"/>
            <w:vAlign w:val="center"/>
          </w:tcPr>
          <w:p w14:paraId="120FB979">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1459E8F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1878" w:type="dxa"/>
            <w:shd w:val="clear" w:color="auto" w:fill="auto"/>
            <w:noWrap w:val="0"/>
            <w:vAlign w:val="center"/>
          </w:tcPr>
          <w:p w14:paraId="03409CF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632" w:type="dxa"/>
            <w:shd w:val="clear" w:color="auto" w:fill="auto"/>
            <w:noWrap w:val="0"/>
            <w:vAlign w:val="center"/>
          </w:tcPr>
          <w:p w14:paraId="540CABA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996" w:type="dxa"/>
            <w:shd w:val="clear" w:color="auto" w:fill="auto"/>
            <w:noWrap w:val="0"/>
            <w:vAlign w:val="center"/>
          </w:tcPr>
          <w:p w14:paraId="428D4A4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5580A35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651215F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207DB30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41" w:hRule="atLeast"/>
          <w:jc w:val="center"/>
        </w:trPr>
        <w:tc>
          <w:tcPr>
            <w:tcW w:w="861" w:type="dxa"/>
            <w:vMerge w:val="continue"/>
            <w:shd w:val="clear" w:color="auto" w:fill="auto"/>
            <w:noWrap w:val="0"/>
            <w:vAlign w:val="center"/>
          </w:tcPr>
          <w:p w14:paraId="0E337CA9">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1D5EC876">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p>
        </w:tc>
        <w:tc>
          <w:tcPr>
            <w:tcW w:w="1878" w:type="dxa"/>
            <w:shd w:val="clear" w:color="auto" w:fill="auto"/>
            <w:noWrap w:val="0"/>
            <w:vAlign w:val="center"/>
          </w:tcPr>
          <w:p w14:paraId="5C82E777">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632" w:type="dxa"/>
            <w:shd w:val="clear" w:color="auto" w:fill="auto"/>
            <w:noWrap w:val="0"/>
            <w:vAlign w:val="center"/>
          </w:tcPr>
          <w:p w14:paraId="55EC0A0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996" w:type="dxa"/>
            <w:shd w:val="clear" w:color="auto" w:fill="auto"/>
            <w:noWrap w:val="0"/>
            <w:vAlign w:val="center"/>
          </w:tcPr>
          <w:p w14:paraId="765EAF9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567500F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7" w:hRule="atLeast"/>
          <w:jc w:val="center"/>
        </w:trPr>
        <w:tc>
          <w:tcPr>
            <w:tcW w:w="861" w:type="dxa"/>
            <w:vMerge w:val="restart"/>
            <w:shd w:val="clear" w:color="auto" w:fill="auto"/>
            <w:noWrap w:val="0"/>
            <w:vAlign w:val="center"/>
          </w:tcPr>
          <w:p w14:paraId="600C118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12DF9F8E">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7FD360D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1878" w:type="dxa"/>
            <w:shd w:val="clear" w:color="auto" w:fill="auto"/>
            <w:noWrap w:val="0"/>
            <w:vAlign w:val="center"/>
          </w:tcPr>
          <w:p w14:paraId="42F8511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2425AB1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632" w:type="dxa"/>
            <w:shd w:val="clear" w:color="auto" w:fill="auto"/>
            <w:noWrap w:val="0"/>
            <w:vAlign w:val="center"/>
          </w:tcPr>
          <w:p w14:paraId="0274879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996" w:type="dxa"/>
            <w:shd w:val="clear" w:color="auto" w:fill="auto"/>
            <w:noWrap w:val="0"/>
            <w:vAlign w:val="center"/>
          </w:tcPr>
          <w:p w14:paraId="44289AB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893533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2A36836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401780A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1189F32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589A929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694FFE5A">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878" w:type="dxa"/>
            <w:shd w:val="clear" w:color="auto" w:fill="auto"/>
            <w:noWrap w:val="0"/>
            <w:vAlign w:val="center"/>
          </w:tcPr>
          <w:p w14:paraId="09A8CD0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0B2428E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632" w:type="dxa"/>
            <w:shd w:val="clear" w:color="auto" w:fill="auto"/>
            <w:noWrap w:val="0"/>
            <w:vAlign w:val="center"/>
          </w:tcPr>
          <w:p w14:paraId="13CD088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996" w:type="dxa"/>
            <w:shd w:val="clear" w:color="auto" w:fill="auto"/>
            <w:noWrap w:val="0"/>
            <w:vAlign w:val="center"/>
          </w:tcPr>
          <w:p w14:paraId="5A94F10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0F00A5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7FB55A8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45" w:hRule="atLeast"/>
          <w:jc w:val="center"/>
        </w:trPr>
        <w:tc>
          <w:tcPr>
            <w:tcW w:w="861" w:type="dxa"/>
            <w:vMerge w:val="continue"/>
            <w:shd w:val="clear" w:color="auto" w:fill="auto"/>
            <w:noWrap w:val="0"/>
            <w:vAlign w:val="center"/>
          </w:tcPr>
          <w:p w14:paraId="4A262D7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671EF0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p>
        </w:tc>
        <w:tc>
          <w:tcPr>
            <w:tcW w:w="1878" w:type="dxa"/>
            <w:shd w:val="clear" w:color="auto" w:fill="auto"/>
            <w:noWrap w:val="0"/>
            <w:vAlign w:val="center"/>
          </w:tcPr>
          <w:p w14:paraId="2312247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41978BB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632" w:type="dxa"/>
            <w:shd w:val="clear" w:color="auto" w:fill="auto"/>
            <w:noWrap w:val="0"/>
            <w:vAlign w:val="center"/>
          </w:tcPr>
          <w:p w14:paraId="78414BC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996" w:type="dxa"/>
            <w:shd w:val="clear" w:color="auto" w:fill="auto"/>
            <w:noWrap w:val="0"/>
            <w:vAlign w:val="center"/>
          </w:tcPr>
          <w:p w14:paraId="5553CC8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C73F5A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462CBBB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0BA94E4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079887B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364" w:hRule="atLeast"/>
          <w:jc w:val="center"/>
        </w:trPr>
        <w:tc>
          <w:tcPr>
            <w:tcW w:w="861" w:type="dxa"/>
            <w:vMerge w:val="restart"/>
            <w:shd w:val="clear" w:color="auto" w:fill="auto"/>
            <w:noWrap w:val="0"/>
            <w:vAlign w:val="center"/>
          </w:tcPr>
          <w:p w14:paraId="71E5BB5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p w14:paraId="2D17CA37">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652F222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1878" w:type="dxa"/>
            <w:shd w:val="clear" w:color="auto" w:fill="auto"/>
            <w:noWrap w:val="0"/>
            <w:vAlign w:val="center"/>
          </w:tcPr>
          <w:p w14:paraId="2CDB5AB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0"/>
                <w:szCs w:val="20"/>
                <w:u w:val="none"/>
                <w:lang w:val="en-US" w:eastAsia="zh-CN" w:bidi="ar"/>
              </w:rPr>
              <w:t>举办免费开放活动场次</w:t>
            </w:r>
          </w:p>
        </w:tc>
        <w:tc>
          <w:tcPr>
            <w:tcW w:w="2632" w:type="dxa"/>
            <w:shd w:val="clear" w:color="auto" w:fill="auto"/>
            <w:noWrap w:val="0"/>
            <w:vAlign w:val="center"/>
          </w:tcPr>
          <w:p w14:paraId="48E82B5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5996" w:type="dxa"/>
            <w:shd w:val="clear" w:color="auto" w:fill="auto"/>
            <w:noWrap w:val="0"/>
            <w:vAlign w:val="center"/>
          </w:tcPr>
          <w:p w14:paraId="7DE49C9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0302B77">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3DD3697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5C2A50F1">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2131F65">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4343B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257" w:hRule="atLeast"/>
          <w:jc w:val="center"/>
        </w:trPr>
        <w:tc>
          <w:tcPr>
            <w:tcW w:w="861" w:type="dxa"/>
            <w:vMerge w:val="continue"/>
            <w:shd w:val="clear" w:color="auto" w:fill="auto"/>
            <w:noWrap w:val="0"/>
            <w:vAlign w:val="center"/>
          </w:tcPr>
          <w:p w14:paraId="3BA089B5">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E18099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p>
        </w:tc>
        <w:tc>
          <w:tcPr>
            <w:tcW w:w="1878" w:type="dxa"/>
            <w:shd w:val="clear" w:color="auto" w:fill="auto"/>
            <w:noWrap w:val="0"/>
            <w:vAlign w:val="center"/>
          </w:tcPr>
          <w:p w14:paraId="4D7A7F27">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0"/>
                <w:szCs w:val="20"/>
                <w:u w:val="none"/>
                <w:lang w:val="en-US" w:eastAsia="zh-CN" w:bidi="ar"/>
              </w:rPr>
              <w:t>举办流动博物馆巡展宣传场次</w:t>
            </w:r>
          </w:p>
        </w:tc>
        <w:tc>
          <w:tcPr>
            <w:tcW w:w="2632" w:type="dxa"/>
            <w:shd w:val="clear" w:color="auto" w:fill="auto"/>
            <w:noWrap w:val="0"/>
            <w:vAlign w:val="center"/>
          </w:tcPr>
          <w:p w14:paraId="3FB60CA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5996" w:type="dxa"/>
            <w:shd w:val="clear" w:color="auto" w:fill="auto"/>
            <w:noWrap w:val="0"/>
            <w:vAlign w:val="center"/>
          </w:tcPr>
          <w:p w14:paraId="23389E1C">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6D2D6CC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0AB5AF2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632B7560">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E72882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78CDB5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01" w:hRule="atLeast"/>
          <w:jc w:val="center"/>
        </w:trPr>
        <w:tc>
          <w:tcPr>
            <w:tcW w:w="861" w:type="dxa"/>
            <w:vMerge w:val="continue"/>
            <w:shd w:val="clear" w:color="auto" w:fill="auto"/>
            <w:noWrap w:val="0"/>
            <w:vAlign w:val="center"/>
          </w:tcPr>
          <w:p w14:paraId="129351B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189F37A2">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p>
        </w:tc>
        <w:tc>
          <w:tcPr>
            <w:tcW w:w="1878" w:type="dxa"/>
            <w:shd w:val="clear" w:color="auto" w:fill="auto"/>
            <w:noWrap w:val="0"/>
            <w:vAlign w:val="center"/>
          </w:tcPr>
          <w:p w14:paraId="148C7122">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0"/>
                <w:szCs w:val="20"/>
                <w:u w:val="none"/>
                <w:lang w:val="en-US" w:eastAsia="zh-CN" w:bidi="ar"/>
              </w:rPr>
              <w:t>参加人数</w:t>
            </w:r>
          </w:p>
        </w:tc>
        <w:tc>
          <w:tcPr>
            <w:tcW w:w="2632" w:type="dxa"/>
            <w:shd w:val="clear" w:color="auto" w:fill="auto"/>
            <w:noWrap w:val="0"/>
            <w:vAlign w:val="center"/>
          </w:tcPr>
          <w:p w14:paraId="494F650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项目实施的实际产出数与计划产出数的比率，用以反映和考核项目产出数量目标的实现程度。</w:t>
            </w:r>
          </w:p>
        </w:tc>
        <w:tc>
          <w:tcPr>
            <w:tcW w:w="5996" w:type="dxa"/>
            <w:shd w:val="clear" w:color="auto" w:fill="auto"/>
            <w:noWrap w:val="0"/>
            <w:vAlign w:val="center"/>
          </w:tcPr>
          <w:p w14:paraId="3943B95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3304FC2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2655151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0F4D14CE">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F477417">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1.95</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7BA9CEA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11C4755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1878" w:type="dxa"/>
            <w:shd w:val="clear" w:color="auto" w:fill="auto"/>
            <w:noWrap w:val="0"/>
            <w:vAlign w:val="center"/>
          </w:tcPr>
          <w:p w14:paraId="46B8F36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0"/>
                <w:szCs w:val="20"/>
                <w:u w:val="none"/>
                <w:lang w:val="en-US" w:eastAsia="zh-CN" w:bidi="ar"/>
              </w:rPr>
              <w:t>免费开放绩效考评率</w:t>
            </w:r>
          </w:p>
        </w:tc>
        <w:tc>
          <w:tcPr>
            <w:tcW w:w="2632" w:type="dxa"/>
            <w:shd w:val="clear" w:color="auto" w:fill="auto"/>
            <w:noWrap w:val="0"/>
            <w:vAlign w:val="center"/>
          </w:tcPr>
          <w:p w14:paraId="1F648E3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5996" w:type="dxa"/>
            <w:shd w:val="clear" w:color="auto" w:fill="auto"/>
            <w:noWrap w:val="0"/>
            <w:vAlign w:val="center"/>
          </w:tcPr>
          <w:p w14:paraId="69F09A3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0EC4F1D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B11F408">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1468B0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658578A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7C1E4FE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p>
        </w:tc>
        <w:tc>
          <w:tcPr>
            <w:tcW w:w="1878" w:type="dxa"/>
            <w:shd w:val="clear" w:color="auto" w:fill="auto"/>
            <w:noWrap w:val="0"/>
            <w:vAlign w:val="center"/>
          </w:tcPr>
          <w:p w14:paraId="4088FCE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0"/>
                <w:szCs w:val="20"/>
                <w:u w:val="none"/>
                <w:lang w:val="en-US" w:eastAsia="zh-CN" w:bidi="ar"/>
              </w:rPr>
              <w:t>社会教育服务水平</w:t>
            </w:r>
          </w:p>
        </w:tc>
        <w:tc>
          <w:tcPr>
            <w:tcW w:w="2632" w:type="dxa"/>
            <w:shd w:val="clear" w:color="auto" w:fill="auto"/>
            <w:noWrap w:val="0"/>
            <w:vAlign w:val="center"/>
          </w:tcPr>
          <w:p w14:paraId="4D8187F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5996" w:type="dxa"/>
            <w:shd w:val="clear" w:color="auto" w:fill="auto"/>
            <w:noWrap w:val="0"/>
            <w:vAlign w:val="center"/>
          </w:tcPr>
          <w:p w14:paraId="1CC2AF8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123E393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5FC1269">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77CBC3A">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51" w:hRule="atLeast"/>
          <w:jc w:val="center"/>
        </w:trPr>
        <w:tc>
          <w:tcPr>
            <w:tcW w:w="861" w:type="dxa"/>
            <w:vMerge w:val="continue"/>
            <w:shd w:val="clear" w:color="auto" w:fill="auto"/>
            <w:noWrap w:val="0"/>
            <w:vAlign w:val="center"/>
          </w:tcPr>
          <w:p w14:paraId="27E6B332">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p>
        </w:tc>
        <w:tc>
          <w:tcPr>
            <w:tcW w:w="727" w:type="dxa"/>
            <w:vMerge w:val="restart"/>
            <w:shd w:val="clear" w:color="auto" w:fill="auto"/>
            <w:noWrap w:val="0"/>
            <w:vAlign w:val="center"/>
          </w:tcPr>
          <w:p w14:paraId="6B3931E5">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1878" w:type="dxa"/>
            <w:shd w:val="clear" w:color="auto" w:fill="auto"/>
            <w:noWrap w:val="0"/>
            <w:vAlign w:val="center"/>
          </w:tcPr>
          <w:p w14:paraId="5EC05A94">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0"/>
                <w:szCs w:val="20"/>
                <w:u w:val="none"/>
                <w:lang w:val="en-US" w:eastAsia="zh-CN" w:bidi="ar"/>
              </w:rPr>
              <w:t>举办免费开放活动完成时间</w:t>
            </w:r>
          </w:p>
        </w:tc>
        <w:tc>
          <w:tcPr>
            <w:tcW w:w="2632" w:type="dxa"/>
            <w:shd w:val="clear" w:color="auto" w:fill="auto"/>
            <w:noWrap w:val="0"/>
            <w:vAlign w:val="center"/>
          </w:tcPr>
          <w:p w14:paraId="7F5B80B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5996" w:type="dxa"/>
            <w:shd w:val="clear" w:color="auto" w:fill="auto"/>
            <w:noWrap w:val="0"/>
            <w:vAlign w:val="center"/>
          </w:tcPr>
          <w:p w14:paraId="7648847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62B8F144">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0D6DCD24">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3F50F1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079" w:hRule="atLeast"/>
          <w:jc w:val="center"/>
        </w:trPr>
        <w:tc>
          <w:tcPr>
            <w:tcW w:w="861" w:type="dxa"/>
            <w:vMerge w:val="continue"/>
            <w:shd w:val="clear" w:color="auto" w:fill="auto"/>
            <w:noWrap w:val="0"/>
            <w:vAlign w:val="center"/>
          </w:tcPr>
          <w:p w14:paraId="205C2A48">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587783E0">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p>
        </w:tc>
        <w:tc>
          <w:tcPr>
            <w:tcW w:w="1878" w:type="dxa"/>
            <w:shd w:val="clear" w:color="auto" w:fill="auto"/>
            <w:noWrap w:val="0"/>
            <w:vAlign w:val="center"/>
          </w:tcPr>
          <w:p w14:paraId="3A94425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0"/>
                <w:szCs w:val="20"/>
                <w:u w:val="none"/>
                <w:lang w:val="en-US" w:eastAsia="zh-CN" w:bidi="ar"/>
              </w:rPr>
              <w:t>举办流动博物馆宣传完成时间</w:t>
            </w:r>
          </w:p>
        </w:tc>
        <w:tc>
          <w:tcPr>
            <w:tcW w:w="2632" w:type="dxa"/>
            <w:shd w:val="clear" w:color="auto" w:fill="auto"/>
            <w:noWrap w:val="0"/>
            <w:vAlign w:val="center"/>
          </w:tcPr>
          <w:p w14:paraId="64BD63E9">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5996" w:type="dxa"/>
            <w:shd w:val="clear" w:color="auto" w:fill="auto"/>
            <w:noWrap w:val="0"/>
            <w:vAlign w:val="center"/>
          </w:tcPr>
          <w:p w14:paraId="7732729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7E6C8D70">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052BAC0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8F1049E">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0F2150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801" w:hRule="atLeast"/>
          <w:jc w:val="center"/>
        </w:trPr>
        <w:tc>
          <w:tcPr>
            <w:tcW w:w="861" w:type="dxa"/>
            <w:vMerge w:val="continue"/>
            <w:shd w:val="clear" w:color="auto" w:fill="auto"/>
            <w:noWrap w:val="0"/>
            <w:vAlign w:val="center"/>
          </w:tcPr>
          <w:p w14:paraId="35B6FF41">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1CB09F56">
            <w:pPr>
              <w:keepNext w:val="0"/>
              <w:keepLines w:val="0"/>
              <w:pageBreakBefore w:val="0"/>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p>
        </w:tc>
        <w:tc>
          <w:tcPr>
            <w:tcW w:w="1878" w:type="dxa"/>
            <w:shd w:val="clear" w:color="auto" w:fill="auto"/>
            <w:noWrap w:val="0"/>
            <w:vAlign w:val="center"/>
          </w:tcPr>
          <w:p w14:paraId="605F792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博物馆免费开放专项资金完成及时率</w:t>
            </w:r>
          </w:p>
        </w:tc>
        <w:tc>
          <w:tcPr>
            <w:tcW w:w="2632" w:type="dxa"/>
            <w:shd w:val="clear" w:color="auto" w:fill="auto"/>
            <w:noWrap w:val="0"/>
            <w:vAlign w:val="center"/>
          </w:tcPr>
          <w:p w14:paraId="0562BBE5">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5996" w:type="dxa"/>
            <w:shd w:val="clear" w:color="auto" w:fill="auto"/>
            <w:noWrap w:val="0"/>
            <w:vAlign w:val="center"/>
          </w:tcPr>
          <w:p w14:paraId="0F237B46">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实际完成时间：项目实施单位完成该项目实际所耗用的时间。</w:t>
            </w:r>
          </w:p>
          <w:p w14:paraId="7B882B2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5C294E8A">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060E996">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263" w:hRule="atLeast"/>
          <w:jc w:val="center"/>
        </w:trPr>
        <w:tc>
          <w:tcPr>
            <w:tcW w:w="861" w:type="dxa"/>
            <w:vMerge w:val="continue"/>
            <w:shd w:val="clear" w:color="auto" w:fill="auto"/>
            <w:noWrap w:val="0"/>
            <w:vAlign w:val="center"/>
          </w:tcPr>
          <w:p w14:paraId="7B794EFF">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p>
        </w:tc>
        <w:tc>
          <w:tcPr>
            <w:tcW w:w="727" w:type="dxa"/>
            <w:vMerge w:val="restart"/>
            <w:shd w:val="clear" w:color="auto" w:fill="auto"/>
            <w:noWrap w:val="0"/>
            <w:vAlign w:val="center"/>
          </w:tcPr>
          <w:p w14:paraId="58636F20">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1878" w:type="dxa"/>
            <w:shd w:val="clear" w:color="auto" w:fill="auto"/>
            <w:noWrap w:val="0"/>
            <w:vAlign w:val="center"/>
          </w:tcPr>
          <w:p w14:paraId="6654C87E">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iCs w:val="0"/>
                <w:color w:val="000000"/>
                <w:kern w:val="0"/>
                <w:sz w:val="20"/>
                <w:szCs w:val="20"/>
                <w:u w:val="none"/>
                <w:lang w:val="en-US" w:eastAsia="zh-CN" w:bidi="ar"/>
              </w:rPr>
              <w:t>免费开放活动支出</w:t>
            </w:r>
          </w:p>
        </w:tc>
        <w:tc>
          <w:tcPr>
            <w:tcW w:w="2632" w:type="dxa"/>
            <w:shd w:val="clear" w:color="auto" w:fill="auto"/>
            <w:noWrap w:val="0"/>
            <w:vAlign w:val="center"/>
          </w:tcPr>
          <w:p w14:paraId="465D756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5996" w:type="dxa"/>
            <w:shd w:val="clear" w:color="auto" w:fill="auto"/>
            <w:noWrap w:val="0"/>
            <w:vAlign w:val="center"/>
          </w:tcPr>
          <w:p w14:paraId="689FB6B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p>
          <w:p w14:paraId="28E786CF">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5E824F1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657CABBE">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C425BE0">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35ADC4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14" w:hRule="atLeast"/>
          <w:jc w:val="center"/>
        </w:trPr>
        <w:tc>
          <w:tcPr>
            <w:tcW w:w="861" w:type="dxa"/>
            <w:shd w:val="clear" w:color="auto" w:fill="auto"/>
            <w:noWrap w:val="0"/>
            <w:vAlign w:val="center"/>
          </w:tcPr>
          <w:p w14:paraId="1C2A13B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6BAA152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p>
        </w:tc>
        <w:tc>
          <w:tcPr>
            <w:tcW w:w="1878" w:type="dxa"/>
            <w:shd w:val="clear" w:color="auto" w:fill="auto"/>
            <w:noWrap w:val="0"/>
            <w:vAlign w:val="center"/>
          </w:tcPr>
          <w:p w14:paraId="7C54314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i w:val="0"/>
                <w:iCs w:val="0"/>
                <w:color w:val="000000"/>
                <w:kern w:val="0"/>
                <w:sz w:val="20"/>
                <w:szCs w:val="20"/>
                <w:u w:val="none"/>
                <w:lang w:val="en-US" w:eastAsia="zh-CN" w:bidi="ar"/>
              </w:rPr>
              <w:t>流动博物馆巡展宣传支出</w:t>
            </w:r>
          </w:p>
        </w:tc>
        <w:tc>
          <w:tcPr>
            <w:tcW w:w="2632" w:type="dxa"/>
            <w:shd w:val="clear" w:color="auto" w:fill="auto"/>
            <w:noWrap w:val="0"/>
            <w:vAlign w:val="center"/>
          </w:tcPr>
          <w:p w14:paraId="326553E1">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5996" w:type="dxa"/>
            <w:shd w:val="clear" w:color="auto" w:fill="auto"/>
            <w:noWrap w:val="0"/>
            <w:vAlign w:val="center"/>
          </w:tcPr>
          <w:p w14:paraId="5E2A770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p>
          <w:p w14:paraId="79F4B22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07DB9C6A">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3C27CDBC">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54C59799">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7B1BA4E">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783" w:hRule="atLeast"/>
          <w:jc w:val="center"/>
        </w:trPr>
        <w:tc>
          <w:tcPr>
            <w:tcW w:w="861" w:type="dxa"/>
            <w:vMerge w:val="restart"/>
            <w:shd w:val="clear" w:color="auto" w:fill="auto"/>
            <w:noWrap w:val="0"/>
            <w:vAlign w:val="center"/>
          </w:tcPr>
          <w:p w14:paraId="75424F1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79467433">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w:t>
            </w: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r>
              <w:rPr>
                <w:rFonts w:hint="eastAsia" w:ascii="宋体" w:hAnsi="宋体" w:eastAsia="宋体" w:cs="宋体"/>
                <w:color w:val="000000"/>
                <w:kern w:val="0"/>
                <w:sz w:val="22"/>
                <w:szCs w:val="22"/>
                <w:highlight w:val="none"/>
              </w:rPr>
              <w:t>　</w:t>
            </w:r>
          </w:p>
        </w:tc>
        <w:tc>
          <w:tcPr>
            <w:tcW w:w="1878" w:type="dxa"/>
            <w:shd w:val="clear" w:color="auto" w:fill="auto"/>
            <w:noWrap w:val="0"/>
            <w:vAlign w:val="center"/>
          </w:tcPr>
          <w:p w14:paraId="7F7BC3FA">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color w:val="auto"/>
                <w:kern w:val="0"/>
                <w:sz w:val="20"/>
                <w:szCs w:val="20"/>
                <w:u w:val="none"/>
                <w:lang w:val="en-US" w:eastAsia="zh-CN" w:bidi="ar"/>
              </w:rPr>
              <w:t>充分发挥博物馆宣传教育和社会服务阵地作用</w:t>
            </w:r>
          </w:p>
        </w:tc>
        <w:tc>
          <w:tcPr>
            <w:tcW w:w="2632" w:type="dxa"/>
            <w:shd w:val="clear" w:color="auto" w:fill="auto"/>
            <w:noWrap w:val="0"/>
            <w:vAlign w:val="center"/>
          </w:tcPr>
          <w:p w14:paraId="1DBD20E0">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5996" w:type="dxa"/>
            <w:shd w:val="clear" w:color="auto" w:fill="auto"/>
            <w:noWrap w:val="0"/>
            <w:vAlign w:val="center"/>
          </w:tcPr>
          <w:p w14:paraId="7156944D">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7E037567">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63AD75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54E76431">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5ED2AB18">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highlight w:val="none"/>
              </w:rPr>
            </w:pPr>
          </w:p>
        </w:tc>
        <w:tc>
          <w:tcPr>
            <w:tcW w:w="1878" w:type="dxa"/>
            <w:shd w:val="clear" w:color="auto" w:fill="auto"/>
            <w:noWrap w:val="0"/>
            <w:vAlign w:val="center"/>
          </w:tcPr>
          <w:p w14:paraId="0AF9B289">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i w:val="0"/>
                <w:color w:val="auto"/>
                <w:kern w:val="0"/>
                <w:sz w:val="20"/>
                <w:szCs w:val="20"/>
                <w:u w:val="none"/>
                <w:lang w:val="en-US" w:eastAsia="zh-CN" w:bidi="ar"/>
              </w:rPr>
              <w:t>不断强化文物的实证史证作用和宣传教育功能，不断弘扬传承优秀传统文化，大力培育社会主义核心价值观</w:t>
            </w:r>
          </w:p>
        </w:tc>
        <w:tc>
          <w:tcPr>
            <w:tcW w:w="2632" w:type="dxa"/>
            <w:shd w:val="clear" w:color="auto" w:fill="auto"/>
            <w:noWrap w:val="0"/>
            <w:vAlign w:val="center"/>
          </w:tcPr>
          <w:p w14:paraId="3A52AE51">
            <w:pPr>
              <w:keepNext w:val="0"/>
              <w:keepLines w:val="0"/>
              <w:pageBreakBefore w:val="0"/>
              <w:widowControl/>
              <w:kinsoku/>
              <w:wordWrap/>
              <w:overflowPunct/>
              <w:topLinePunct w:val="0"/>
              <w:autoSpaceDE/>
              <w:autoSpaceDN/>
              <w:bidi w:val="0"/>
              <w:adjustRightInd/>
              <w:spacing w:line="240" w:lineRule="exact"/>
              <w:ind w:firstLine="0" w:firstLineChars="0"/>
              <w:jc w:val="left"/>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项目实施所产生的效益。</w:t>
            </w:r>
          </w:p>
        </w:tc>
        <w:tc>
          <w:tcPr>
            <w:tcW w:w="5996" w:type="dxa"/>
            <w:shd w:val="clear" w:color="auto" w:fill="auto"/>
            <w:noWrap w:val="0"/>
            <w:vAlign w:val="center"/>
          </w:tcPr>
          <w:p w14:paraId="5AB02318">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6F0E8D24">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34D8E748">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89" w:hRule="atLeast"/>
          <w:jc w:val="center"/>
        </w:trPr>
        <w:tc>
          <w:tcPr>
            <w:tcW w:w="861" w:type="dxa"/>
            <w:vMerge w:val="continue"/>
            <w:shd w:val="clear" w:color="auto" w:fill="auto"/>
            <w:noWrap w:val="0"/>
            <w:vAlign w:val="center"/>
          </w:tcPr>
          <w:p w14:paraId="12E8E2EB">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5BEB8454">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ascii="宋体" w:hAnsi="宋体" w:eastAsia="宋体" w:cs="宋体"/>
                <w:color w:val="000000"/>
                <w:kern w:val="0"/>
                <w:sz w:val="22"/>
                <w:szCs w:val="22"/>
                <w:highlight w:val="yellow"/>
              </w:rPr>
            </w:pPr>
          </w:p>
        </w:tc>
        <w:tc>
          <w:tcPr>
            <w:tcW w:w="1878" w:type="dxa"/>
            <w:shd w:val="clear" w:color="auto" w:fill="auto"/>
            <w:noWrap w:val="0"/>
            <w:vAlign w:val="center"/>
          </w:tcPr>
          <w:p w14:paraId="3C7A238C">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default" w:ascii="宋体" w:hAnsi="宋体" w:eastAsia="宋体" w:cs="宋体"/>
                <w:color w:val="000000"/>
                <w:kern w:val="0"/>
                <w:sz w:val="22"/>
                <w:szCs w:val="22"/>
                <w:highlight w:val="yellow"/>
                <w:lang w:val="en-US" w:eastAsia="zh-CN"/>
              </w:rPr>
            </w:pPr>
            <w:r>
              <w:rPr>
                <w:rFonts w:hint="eastAsia" w:ascii="宋体" w:hAnsi="宋体" w:eastAsia="宋体" w:cs="宋体"/>
                <w:color w:val="auto"/>
                <w:kern w:val="0"/>
                <w:sz w:val="20"/>
                <w:szCs w:val="20"/>
                <w:highlight w:val="none"/>
                <w:shd w:val="clear" w:color="auto" w:fill="auto"/>
                <w:lang w:val="en-US" w:eastAsia="zh-CN"/>
              </w:rPr>
              <w:t>社会公众对博物馆服务满意度</w:t>
            </w:r>
          </w:p>
        </w:tc>
        <w:tc>
          <w:tcPr>
            <w:tcW w:w="2632" w:type="dxa"/>
            <w:shd w:val="clear" w:color="auto" w:fill="auto"/>
            <w:noWrap w:val="0"/>
            <w:vAlign w:val="center"/>
          </w:tcPr>
          <w:p w14:paraId="3BB5B0BB">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996" w:type="dxa"/>
            <w:shd w:val="clear" w:color="auto" w:fill="auto"/>
            <w:noWrap w:val="0"/>
            <w:vAlign w:val="center"/>
          </w:tcPr>
          <w:p w14:paraId="15A89642">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769" w:type="dxa"/>
            <w:shd w:val="clear" w:color="auto" w:fill="auto"/>
            <w:noWrap w:val="0"/>
            <w:vAlign w:val="center"/>
          </w:tcPr>
          <w:p w14:paraId="1CB4A0E0">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6098" w:type="dxa"/>
            <w:gridSpan w:val="4"/>
            <w:shd w:val="clear" w:color="auto" w:fill="auto"/>
            <w:noWrap w:val="0"/>
            <w:vAlign w:val="center"/>
          </w:tcPr>
          <w:p w14:paraId="1E76966D">
            <w:pPr>
              <w:keepNext w:val="0"/>
              <w:keepLines w:val="0"/>
              <w:pageBreakBefore w:val="0"/>
              <w:widowControl/>
              <w:kinsoku/>
              <w:wordWrap/>
              <w:overflowPunct/>
              <w:topLinePunct w:val="0"/>
              <w:autoSpaceDE/>
              <w:autoSpaceDN/>
              <w:bidi w:val="0"/>
              <w:adjustRightInd/>
              <w:spacing w:line="240" w:lineRule="exact"/>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5996" w:type="dxa"/>
            <w:shd w:val="clear" w:color="auto" w:fill="auto"/>
            <w:noWrap w:val="0"/>
            <w:vAlign w:val="center"/>
          </w:tcPr>
          <w:p w14:paraId="4922E003">
            <w:pPr>
              <w:keepNext w:val="0"/>
              <w:keepLines w:val="0"/>
              <w:pageBreakBefore w:val="0"/>
              <w:widowControl/>
              <w:kinsoku/>
              <w:wordWrap/>
              <w:overflowPunct/>
              <w:topLinePunct w:val="0"/>
              <w:autoSpaceDE/>
              <w:autoSpaceDN/>
              <w:bidi w:val="0"/>
              <w:adjustRightInd/>
              <w:spacing w:line="240" w:lineRule="exact"/>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37EC41E2">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769" w:type="dxa"/>
            <w:shd w:val="clear" w:color="auto" w:fill="auto"/>
            <w:noWrap w:val="0"/>
            <w:vAlign w:val="center"/>
          </w:tcPr>
          <w:p w14:paraId="6AFA488C">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w:t>
            </w:r>
            <w:r>
              <w:rPr>
                <w:rFonts w:hint="eastAsia" w:cs="宋体"/>
                <w:color w:val="auto"/>
                <w:kern w:val="0"/>
                <w:sz w:val="20"/>
                <w:szCs w:val="20"/>
                <w:highlight w:val="none"/>
                <w:shd w:val="clear" w:color="auto" w:fill="auto"/>
                <w:lang w:val="en-US" w:eastAsia="zh-CN"/>
              </w:rPr>
              <w:t>8</w:t>
            </w:r>
            <w:r>
              <w:rPr>
                <w:rFonts w:hint="eastAsia" w:ascii="宋体" w:hAnsi="宋体" w:eastAsia="宋体" w:cs="宋体"/>
                <w:color w:val="auto"/>
                <w:kern w:val="0"/>
                <w:sz w:val="20"/>
                <w:szCs w:val="20"/>
                <w:highlight w:val="none"/>
                <w:shd w:val="clear" w:color="auto" w:fill="auto"/>
                <w:lang w:val="en-US" w:eastAsia="zh-CN"/>
              </w:rPr>
              <w:t>.95</w:t>
            </w:r>
          </w:p>
        </w:tc>
      </w:tr>
    </w:tbl>
    <w:p w14:paraId="1C0B4D48">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sz w:val="30"/>
          <w:szCs w:val="24"/>
        </w:rPr>
      </w:pPr>
    </w:p>
    <w:p w14:paraId="5F4EDF15">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672C5"/>
    <w:rsid w:val="033B569D"/>
    <w:rsid w:val="039C3BA0"/>
    <w:rsid w:val="03A845BB"/>
    <w:rsid w:val="03B45AD1"/>
    <w:rsid w:val="040B3220"/>
    <w:rsid w:val="04D12EE4"/>
    <w:rsid w:val="04D63993"/>
    <w:rsid w:val="05187C8D"/>
    <w:rsid w:val="067601CC"/>
    <w:rsid w:val="07890F4F"/>
    <w:rsid w:val="08892439"/>
    <w:rsid w:val="08B10BF5"/>
    <w:rsid w:val="08EB30F3"/>
    <w:rsid w:val="09237408"/>
    <w:rsid w:val="096A7825"/>
    <w:rsid w:val="09781BD6"/>
    <w:rsid w:val="09F359DF"/>
    <w:rsid w:val="0A575E65"/>
    <w:rsid w:val="0ACA0AB6"/>
    <w:rsid w:val="0B8953AF"/>
    <w:rsid w:val="0C032502"/>
    <w:rsid w:val="0C27698C"/>
    <w:rsid w:val="0D4452F3"/>
    <w:rsid w:val="0F5212A4"/>
    <w:rsid w:val="0F5E5042"/>
    <w:rsid w:val="0FE95707"/>
    <w:rsid w:val="10510571"/>
    <w:rsid w:val="10787A20"/>
    <w:rsid w:val="108672DE"/>
    <w:rsid w:val="10EC685A"/>
    <w:rsid w:val="11390774"/>
    <w:rsid w:val="11994FE0"/>
    <w:rsid w:val="11FA6155"/>
    <w:rsid w:val="123D1AA0"/>
    <w:rsid w:val="12CF0947"/>
    <w:rsid w:val="12F1313F"/>
    <w:rsid w:val="136C678E"/>
    <w:rsid w:val="13DE4A69"/>
    <w:rsid w:val="13EB2FF5"/>
    <w:rsid w:val="14952165"/>
    <w:rsid w:val="14ED4CAC"/>
    <w:rsid w:val="15A46B04"/>
    <w:rsid w:val="16201F02"/>
    <w:rsid w:val="1629432C"/>
    <w:rsid w:val="165825BC"/>
    <w:rsid w:val="16BB4379"/>
    <w:rsid w:val="16BC5D73"/>
    <w:rsid w:val="1700679A"/>
    <w:rsid w:val="1733018A"/>
    <w:rsid w:val="176F36D7"/>
    <w:rsid w:val="17926371"/>
    <w:rsid w:val="1795226D"/>
    <w:rsid w:val="18456B1E"/>
    <w:rsid w:val="19D32F7C"/>
    <w:rsid w:val="1C1171C5"/>
    <w:rsid w:val="1C643C8D"/>
    <w:rsid w:val="1D265138"/>
    <w:rsid w:val="1D6670C8"/>
    <w:rsid w:val="1D7B6BCA"/>
    <w:rsid w:val="1DA41A79"/>
    <w:rsid w:val="1DAC618C"/>
    <w:rsid w:val="1DF53469"/>
    <w:rsid w:val="1E2F24F2"/>
    <w:rsid w:val="1E3D5D76"/>
    <w:rsid w:val="1E58492F"/>
    <w:rsid w:val="1E5B6757"/>
    <w:rsid w:val="1EAF6917"/>
    <w:rsid w:val="1ED10AC6"/>
    <w:rsid w:val="1EFA4321"/>
    <w:rsid w:val="1F89225F"/>
    <w:rsid w:val="1F900A1F"/>
    <w:rsid w:val="1FC0575D"/>
    <w:rsid w:val="20014608"/>
    <w:rsid w:val="206132C7"/>
    <w:rsid w:val="21935C7E"/>
    <w:rsid w:val="21B00C1D"/>
    <w:rsid w:val="21B345CC"/>
    <w:rsid w:val="22666294"/>
    <w:rsid w:val="23031BEB"/>
    <w:rsid w:val="23917691"/>
    <w:rsid w:val="23FA47F9"/>
    <w:rsid w:val="240C02F6"/>
    <w:rsid w:val="242C4A59"/>
    <w:rsid w:val="244D65B8"/>
    <w:rsid w:val="245E1E24"/>
    <w:rsid w:val="24855D52"/>
    <w:rsid w:val="24F95DC0"/>
    <w:rsid w:val="252611F9"/>
    <w:rsid w:val="2583202F"/>
    <w:rsid w:val="25AD5E5D"/>
    <w:rsid w:val="25F65CAF"/>
    <w:rsid w:val="26510D93"/>
    <w:rsid w:val="26877702"/>
    <w:rsid w:val="2732478D"/>
    <w:rsid w:val="27661469"/>
    <w:rsid w:val="27900EAD"/>
    <w:rsid w:val="279B538A"/>
    <w:rsid w:val="286F545C"/>
    <w:rsid w:val="287D7831"/>
    <w:rsid w:val="28CF5431"/>
    <w:rsid w:val="29314FBC"/>
    <w:rsid w:val="2AA2081A"/>
    <w:rsid w:val="2AAE6163"/>
    <w:rsid w:val="2B662238"/>
    <w:rsid w:val="2C024B86"/>
    <w:rsid w:val="2C927671"/>
    <w:rsid w:val="2CC6306F"/>
    <w:rsid w:val="2D7C5CD6"/>
    <w:rsid w:val="2DC647A7"/>
    <w:rsid w:val="2E483E7E"/>
    <w:rsid w:val="2E690493"/>
    <w:rsid w:val="2E9854BD"/>
    <w:rsid w:val="2F0D407F"/>
    <w:rsid w:val="2F454B19"/>
    <w:rsid w:val="2F917A54"/>
    <w:rsid w:val="30A2624A"/>
    <w:rsid w:val="310224D9"/>
    <w:rsid w:val="3125787C"/>
    <w:rsid w:val="31B4621C"/>
    <w:rsid w:val="31E3230A"/>
    <w:rsid w:val="330957E0"/>
    <w:rsid w:val="33356F64"/>
    <w:rsid w:val="33944516"/>
    <w:rsid w:val="33AA7583"/>
    <w:rsid w:val="33FC674F"/>
    <w:rsid w:val="345F612E"/>
    <w:rsid w:val="34B62907"/>
    <w:rsid w:val="358D225B"/>
    <w:rsid w:val="35B91474"/>
    <w:rsid w:val="36281EDA"/>
    <w:rsid w:val="36BD137C"/>
    <w:rsid w:val="36F855EC"/>
    <w:rsid w:val="37EB23BA"/>
    <w:rsid w:val="38053EDF"/>
    <w:rsid w:val="380812A4"/>
    <w:rsid w:val="385D37E7"/>
    <w:rsid w:val="386926DF"/>
    <w:rsid w:val="38782EDD"/>
    <w:rsid w:val="39AD1B7B"/>
    <w:rsid w:val="3ADC5073"/>
    <w:rsid w:val="3B42664A"/>
    <w:rsid w:val="3B4A4138"/>
    <w:rsid w:val="3B9B5A04"/>
    <w:rsid w:val="3CAD1E92"/>
    <w:rsid w:val="3D556267"/>
    <w:rsid w:val="3D836A4E"/>
    <w:rsid w:val="3E291E05"/>
    <w:rsid w:val="3E792E68"/>
    <w:rsid w:val="3EA37E97"/>
    <w:rsid w:val="3EAA7E84"/>
    <w:rsid w:val="3F1A4D1C"/>
    <w:rsid w:val="3FBE0BC5"/>
    <w:rsid w:val="3FEE07F8"/>
    <w:rsid w:val="3FF51842"/>
    <w:rsid w:val="4048103A"/>
    <w:rsid w:val="40736643"/>
    <w:rsid w:val="40D24A7A"/>
    <w:rsid w:val="41736D22"/>
    <w:rsid w:val="418C76A7"/>
    <w:rsid w:val="4204387B"/>
    <w:rsid w:val="42621029"/>
    <w:rsid w:val="42B9463D"/>
    <w:rsid w:val="435241E2"/>
    <w:rsid w:val="43975C51"/>
    <w:rsid w:val="439E3FA7"/>
    <w:rsid w:val="44B32266"/>
    <w:rsid w:val="44FC64F4"/>
    <w:rsid w:val="467F4585"/>
    <w:rsid w:val="470628CB"/>
    <w:rsid w:val="4729480B"/>
    <w:rsid w:val="47555BD4"/>
    <w:rsid w:val="47BC2DB1"/>
    <w:rsid w:val="47E96399"/>
    <w:rsid w:val="47F76025"/>
    <w:rsid w:val="486E33F5"/>
    <w:rsid w:val="48B56357"/>
    <w:rsid w:val="48E12B50"/>
    <w:rsid w:val="499441BE"/>
    <w:rsid w:val="499A6C1C"/>
    <w:rsid w:val="4A042BDD"/>
    <w:rsid w:val="4A195607"/>
    <w:rsid w:val="4A2138F0"/>
    <w:rsid w:val="4A583887"/>
    <w:rsid w:val="4A830DC5"/>
    <w:rsid w:val="4B9F6E02"/>
    <w:rsid w:val="4C89637B"/>
    <w:rsid w:val="4E0C7864"/>
    <w:rsid w:val="4E6E48A8"/>
    <w:rsid w:val="4EEC036B"/>
    <w:rsid w:val="4F714FA1"/>
    <w:rsid w:val="501D2673"/>
    <w:rsid w:val="509207F6"/>
    <w:rsid w:val="50A701D5"/>
    <w:rsid w:val="50C80BF1"/>
    <w:rsid w:val="50E30778"/>
    <w:rsid w:val="513B42E5"/>
    <w:rsid w:val="51852833"/>
    <w:rsid w:val="52F11AC8"/>
    <w:rsid w:val="530107FD"/>
    <w:rsid w:val="534F49D9"/>
    <w:rsid w:val="53555F0F"/>
    <w:rsid w:val="535D23D5"/>
    <w:rsid w:val="53977928"/>
    <w:rsid w:val="549239F0"/>
    <w:rsid w:val="56F4341A"/>
    <w:rsid w:val="575A7321"/>
    <w:rsid w:val="57A53A3A"/>
    <w:rsid w:val="580C3AB9"/>
    <w:rsid w:val="583C7AE0"/>
    <w:rsid w:val="586C1E9A"/>
    <w:rsid w:val="586E0800"/>
    <w:rsid w:val="59216F96"/>
    <w:rsid w:val="597F494E"/>
    <w:rsid w:val="598C4145"/>
    <w:rsid w:val="59957D1B"/>
    <w:rsid w:val="59D4294E"/>
    <w:rsid w:val="5B41678A"/>
    <w:rsid w:val="5B634312"/>
    <w:rsid w:val="5B793214"/>
    <w:rsid w:val="5B9D2CCD"/>
    <w:rsid w:val="5B9E71EA"/>
    <w:rsid w:val="5D7C6DF9"/>
    <w:rsid w:val="5E226FBC"/>
    <w:rsid w:val="5F2D55AE"/>
    <w:rsid w:val="5FE72BD2"/>
    <w:rsid w:val="60120613"/>
    <w:rsid w:val="602F3F48"/>
    <w:rsid w:val="618D5292"/>
    <w:rsid w:val="622E78FA"/>
    <w:rsid w:val="63343F70"/>
    <w:rsid w:val="63B53F57"/>
    <w:rsid w:val="64296E1C"/>
    <w:rsid w:val="64386FCC"/>
    <w:rsid w:val="649E64A2"/>
    <w:rsid w:val="64DB4B3E"/>
    <w:rsid w:val="65E5270A"/>
    <w:rsid w:val="663D3C54"/>
    <w:rsid w:val="6675282C"/>
    <w:rsid w:val="667A6962"/>
    <w:rsid w:val="668524BA"/>
    <w:rsid w:val="66862C89"/>
    <w:rsid w:val="66BB486D"/>
    <w:rsid w:val="66E63727"/>
    <w:rsid w:val="67394C7D"/>
    <w:rsid w:val="68126B38"/>
    <w:rsid w:val="68291A1A"/>
    <w:rsid w:val="68352BB8"/>
    <w:rsid w:val="691327EB"/>
    <w:rsid w:val="691B1594"/>
    <w:rsid w:val="693A016B"/>
    <w:rsid w:val="6965744D"/>
    <w:rsid w:val="69802B99"/>
    <w:rsid w:val="6A17429C"/>
    <w:rsid w:val="6A567EA3"/>
    <w:rsid w:val="6AAF0ED6"/>
    <w:rsid w:val="6B4B4368"/>
    <w:rsid w:val="6B79100E"/>
    <w:rsid w:val="6C844C00"/>
    <w:rsid w:val="6E10212C"/>
    <w:rsid w:val="6E43561A"/>
    <w:rsid w:val="6E557973"/>
    <w:rsid w:val="6E9568DB"/>
    <w:rsid w:val="6F0D6C22"/>
    <w:rsid w:val="6F47657F"/>
    <w:rsid w:val="6F590B25"/>
    <w:rsid w:val="6FAF23D9"/>
    <w:rsid w:val="70635CF6"/>
    <w:rsid w:val="70670707"/>
    <w:rsid w:val="720E3691"/>
    <w:rsid w:val="7249173A"/>
    <w:rsid w:val="724E244C"/>
    <w:rsid w:val="724F0D1A"/>
    <w:rsid w:val="72DA6946"/>
    <w:rsid w:val="72DE4713"/>
    <w:rsid w:val="72F46FE5"/>
    <w:rsid w:val="732764B3"/>
    <w:rsid w:val="74026044"/>
    <w:rsid w:val="74325A77"/>
    <w:rsid w:val="74746410"/>
    <w:rsid w:val="74A745AA"/>
    <w:rsid w:val="75C8506C"/>
    <w:rsid w:val="75E5007C"/>
    <w:rsid w:val="75F509B5"/>
    <w:rsid w:val="7629253C"/>
    <w:rsid w:val="76BA33FA"/>
    <w:rsid w:val="77636B63"/>
    <w:rsid w:val="77813724"/>
    <w:rsid w:val="77861774"/>
    <w:rsid w:val="78AF6928"/>
    <w:rsid w:val="78B21C21"/>
    <w:rsid w:val="78F31435"/>
    <w:rsid w:val="79300B45"/>
    <w:rsid w:val="794D3E18"/>
    <w:rsid w:val="79F3729A"/>
    <w:rsid w:val="7A880722"/>
    <w:rsid w:val="7ABE6120"/>
    <w:rsid w:val="7ACB0498"/>
    <w:rsid w:val="7AED0B4D"/>
    <w:rsid w:val="7C1E4487"/>
    <w:rsid w:val="7C215E02"/>
    <w:rsid w:val="7CF23764"/>
    <w:rsid w:val="7D851A94"/>
    <w:rsid w:val="7E797F74"/>
    <w:rsid w:val="7E8C086A"/>
    <w:rsid w:val="7F517E80"/>
    <w:rsid w:val="7F924011"/>
    <w:rsid w:val="7FC52DC2"/>
    <w:rsid w:val="7FF56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11642</Words>
  <Characters>12261</Characters>
  <Lines>0</Lines>
  <Paragraphs>0</Paragraphs>
  <TotalTime>6</TotalTime>
  <ScaleCrop>false</ScaleCrop>
  <LinksUpToDate>false</LinksUpToDate>
  <CharactersWithSpaces>12333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2025-10-23T03:18:37Z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DAC79BA5D03B4DF2A71A0C0C2BBB8F4A_13</vt:lpwstr>
  </property>
  <property fmtid="{D5CDD505-2E9C-101B-9397-08002B2CF9AE}" pid="4" name="KSOTemplateDocerSaveRecord">
    <vt:lpwstr>eyJoZGlkIjoiNTY3MmI4ODZmMjljZWZhNGFkN2U2N2Y4ODgwYjM5ZGIiLCJ1c2VySWQiOiIzNjI1MzY3NzcifQ==</vt:lpwstr>
  </property>
</Properties>
</file>