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ascii="宋体" w:hAnsi="宋体" w:eastAsia="宋体" w:cs="宋体"/>
          <w:b/>
          <w:bCs/>
          <w:color w:val="auto"/>
          <w:sz w:val="40"/>
          <w:szCs w:val="40"/>
          <w:highlight w:val="none"/>
          <w:shd w:val="clear" w:color="auto" w:fill="auto"/>
          <w:lang w:val="en-US" w:eastAsia="zh-CN"/>
        </w:rPr>
        <w:t>阜康市综合服务中心主体工程项目（2023年3月化债资金）</w:t>
      </w:r>
      <w:r>
        <w:rPr>
          <w:rFonts w:hint="eastAsia" w:ascii="宋体" w:hAnsi="宋体" w:eastAsia="宋体" w:cs="宋体"/>
          <w:b/>
          <w:bCs/>
          <w:color w:val="auto"/>
          <w:sz w:val="40"/>
          <w:szCs w:val="40"/>
          <w:highlight w:val="none"/>
          <w:shd w:val="clear" w:color="auto" w:fill="auto"/>
        </w:rPr>
        <w:t>支出绩效评价报告</w:t>
      </w:r>
      <w:bookmarkEnd w:id="0"/>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spacing w:val="-17"/>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w:t>
      </w:r>
      <w:r>
        <w:rPr>
          <w:rFonts w:hint="eastAsia" w:ascii="宋体" w:hAnsi="宋体" w:eastAsia="宋体" w:cs="宋体"/>
          <w:b/>
          <w:color w:val="auto"/>
          <w:spacing w:val="-17"/>
          <w:kern w:val="2"/>
          <w:sz w:val="28"/>
          <w:szCs w:val="28"/>
          <w:highlight w:val="none"/>
          <w:shd w:val="clear" w:color="auto" w:fill="auto"/>
          <w:lang w:val="en-US" w:eastAsia="zh-CN"/>
        </w:rPr>
        <w:t>阜康市综合服务中心主体工程项目（2023年3月化债资金）</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中共阜康市委员会办公室</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中共阜康市委员会办公室</w:t>
      </w:r>
    </w:p>
    <w:p>
      <w:pPr>
        <w:pStyle w:val="10"/>
        <w:outlineLvl w:val="9"/>
        <w:rPr>
          <w:rFonts w:hint="eastAsia" w:ascii="宋体" w:hAnsi="宋体" w:eastAsia="宋体" w:cs="宋体"/>
          <w:b/>
          <w:color w:val="auto"/>
          <w:kern w:val="2"/>
          <w:sz w:val="28"/>
          <w:szCs w:val="28"/>
          <w:highlight w:val="none"/>
          <w:shd w:val="clear" w:color="auto" w:fill="auto"/>
          <w:lang w:val="en-US" w:eastAsia="zh-CN"/>
        </w:rPr>
      </w:pPr>
    </w:p>
    <w:p>
      <w:pPr>
        <w:rPr>
          <w:rFonts w:hint="eastAsia"/>
          <w:color w:val="auto"/>
          <w:highlight w:val="none"/>
          <w:lang w:val="en-US" w:eastAsia="zh-CN"/>
        </w:rPr>
      </w:pPr>
      <w:r>
        <w:rPr>
          <w:rFonts w:hint="eastAsia"/>
          <w:color w:val="auto"/>
          <w:highlight w:val="none"/>
          <w:lang w:val="en-US" w:eastAsia="zh-CN"/>
        </w:rPr>
        <w:br w:type="page"/>
      </w:r>
    </w:p>
    <w:p>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10</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12</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17</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highlight w:val="none"/>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ascii="宋体" w:hAnsi="宋体" w:eastAsia="宋体" w:cs="宋体"/>
          <w:b/>
          <w:bCs/>
          <w:color w:val="auto"/>
          <w:sz w:val="36"/>
          <w:szCs w:val="36"/>
          <w:highlight w:val="none"/>
          <w:shd w:val="clear" w:color="auto" w:fill="auto"/>
        </w:rPr>
        <w:t>阜康市综合服务中心主体工程项目（2023年3月化债资金）支出绩效评价报告</w:t>
      </w:r>
      <w:bookmarkEnd w:id="1"/>
    </w:p>
    <w:p>
      <w:pPr>
        <w:pStyle w:val="4"/>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pPr>
        <w:pStyle w:val="5"/>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pPr>
        <w:pStyle w:val="6"/>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pPr>
        <w:bidi w:val="0"/>
        <w:rPr>
          <w:rFonts w:hint="eastAsia"/>
          <w:color w:val="auto"/>
          <w:highlight w:val="none"/>
          <w:lang w:val="en-US" w:eastAsia="zh-CN"/>
        </w:rPr>
      </w:pPr>
      <w:r>
        <w:rPr>
          <w:rFonts w:hint="eastAsia"/>
          <w:color w:val="auto"/>
          <w:highlight w:val="none"/>
          <w:lang w:val="en-US" w:eastAsia="zh-CN"/>
        </w:rPr>
        <w:t>为进一步加强债务管理，完善政府债务化解机制，切实落实债务化解有关规定，实行科学化、精细化管理，加强对化解债务资金分配使用，全面准确掌握债务化解情况，确保偿债资金的安全、规范和有效。2023年计划完成1个项目债务化解工作。</w:t>
      </w:r>
    </w:p>
    <w:p>
      <w:pPr>
        <w:pStyle w:val="6"/>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bookmarkEnd w:id="6"/>
      <w:r>
        <w:rPr>
          <w:rFonts w:hint="eastAsia" w:ascii="宋体" w:hAnsi="宋体" w:eastAsia="宋体" w:cs="宋体"/>
          <w:color w:val="auto"/>
          <w:highlight w:val="none"/>
          <w:shd w:val="clear" w:color="auto" w:fill="auto"/>
          <w:lang w:val="en-US" w:eastAsia="zh-CN"/>
        </w:rPr>
        <w:t>化解综合服务中心项目债务成本1</w:t>
      </w:r>
      <w:r>
        <w:rPr>
          <w:rFonts w:hint="eastAsia" w:cs="宋体"/>
          <w:color w:val="auto"/>
          <w:highlight w:val="none"/>
          <w:shd w:val="clear" w:color="auto" w:fill="auto"/>
          <w:lang w:val="en-US" w:eastAsia="zh-CN"/>
        </w:rPr>
        <w:t>5</w:t>
      </w:r>
      <w:r>
        <w:rPr>
          <w:rFonts w:hint="eastAsia" w:ascii="宋体" w:hAnsi="宋体" w:eastAsia="宋体" w:cs="宋体"/>
          <w:color w:val="auto"/>
          <w:highlight w:val="none"/>
          <w:shd w:val="clear" w:color="auto" w:fill="auto"/>
          <w:lang w:val="en-US" w:eastAsia="zh-CN"/>
        </w:rPr>
        <w:t>0万元。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本项目由档案馆负责实施，准备还债请示、意向书、还款备案函等项目资料，及时与财政、企业沟通联系落实项目资金。</w:t>
      </w:r>
    </w:p>
    <w:p>
      <w:pPr>
        <w:pStyle w:val="6"/>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阜康市综合服务中心主体工程项目（2023年3月化债资金）预算安排总额为</w:t>
      </w:r>
      <w:r>
        <w:rPr>
          <w:rFonts w:hint="eastAsia" w:cs="宋体"/>
          <w:color w:val="auto"/>
          <w:highlight w:val="none"/>
          <w:shd w:val="clear" w:color="auto" w:fill="auto"/>
          <w:lang w:val="en-US" w:eastAsia="zh-CN"/>
        </w:rPr>
        <w:t>150</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金150</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150</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w:t>
      </w:r>
      <w:r>
        <w:rPr>
          <w:rFonts w:hint="eastAsia" w:ascii="宋体" w:hAnsi="宋体" w:eastAsia="宋体" w:cs="宋体"/>
          <w:color w:val="auto"/>
          <w:highlight w:val="none"/>
          <w:shd w:val="clear" w:color="auto" w:fill="auto"/>
          <w:lang w:val="en-US" w:eastAsia="zh-CN"/>
        </w:rPr>
        <w:t>阜康市综合服务中心主体工程项目（2023年3月化债资金）</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150</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万元。项目资金主要用于化解综合服务中心项目债务成本1</w:t>
      </w:r>
      <w:r>
        <w:rPr>
          <w:rFonts w:hint="eastAsia" w:cs="宋体"/>
          <w:color w:val="auto"/>
          <w:highlight w:val="none"/>
          <w:shd w:val="clear" w:color="auto" w:fill="auto"/>
          <w:lang w:val="en-US" w:eastAsia="zh-CN"/>
        </w:rPr>
        <w:t>5</w:t>
      </w:r>
      <w:r>
        <w:rPr>
          <w:rFonts w:hint="eastAsia" w:ascii="宋体" w:hAnsi="宋体" w:eastAsia="宋体" w:cs="宋体"/>
          <w:color w:val="auto"/>
          <w:highlight w:val="none"/>
          <w:shd w:val="clear" w:color="auto" w:fill="auto"/>
          <w:lang w:val="en-US" w:eastAsia="zh-CN"/>
        </w:rPr>
        <w:t>0万元。</w:t>
      </w:r>
    </w:p>
    <w:p>
      <w:pPr>
        <w:pStyle w:val="5"/>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pPr>
        <w:pStyle w:val="6"/>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pPr>
        <w:pStyle w:val="6"/>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阜康市综合服务中心主体工程项目（2023年3月化债资金）绩效总体目标为：</w:t>
      </w:r>
      <w:bookmarkStart w:id="10" w:name="_Toc4487"/>
      <w:r>
        <w:rPr>
          <w:rFonts w:hint="eastAsia" w:ascii="宋体" w:hAnsi="宋体" w:eastAsia="宋体" w:cs="宋体"/>
          <w:b w:val="0"/>
          <w:bCs w:val="0"/>
          <w:color w:val="auto"/>
          <w:kern w:val="2"/>
          <w:sz w:val="28"/>
          <w:szCs w:val="28"/>
          <w:highlight w:val="none"/>
          <w:shd w:val="clear" w:color="auto" w:fill="auto"/>
          <w:lang w:val="en-US" w:eastAsia="zh-CN" w:bidi="ar-SA"/>
        </w:rPr>
        <w:t>为进一步加强债务管理，完善政府债务化解机制，切实落实债务化解有关规定，实行科学化、精细化管理，加强对化解债务资金分配使用，全面准确掌握债务化解情况，确保偿债资金的安全、规范和有效。2023年计划完成1个项目债务化解工作。</w:t>
      </w:r>
    </w:p>
    <w:p>
      <w:pPr>
        <w:pStyle w:val="6"/>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2.阶段性目标</w:t>
      </w:r>
      <w:bookmarkEnd w:id="10"/>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“化解债务项目数量”</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1个；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“资金使用合规率”指标，预期指标值为</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100%；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“资金支付及时率”</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100%；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“任务完成时间”</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=2022年3月</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“阜康市综合服务中心主体工程项目成本”</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为≤150万元；</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本项目不存在经济效益；</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“化解单位债务，提升单位和政府形象”</w:t>
      </w:r>
      <w:r>
        <w:rPr>
          <w:rFonts w:hint="eastAsia" w:ascii="宋体" w:hAnsi="宋体" w:eastAsia="宋体" w:cs="宋体"/>
          <w:color w:val="auto"/>
          <w:highlight w:val="none"/>
          <w:shd w:val="clear" w:color="auto" w:fill="auto"/>
          <w:lang w:val="en-US" w:eastAsia="zh-CN"/>
        </w:rPr>
        <w:t>指标，预期指标值为有效提升；</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本项目不存在生态效益；</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本项目不存在</w:t>
      </w:r>
      <w:r>
        <w:rPr>
          <w:rFonts w:hint="eastAsia" w:ascii="宋体" w:hAnsi="宋体" w:eastAsia="宋体" w:cs="宋体"/>
          <w:color w:val="auto"/>
          <w:highlight w:val="none"/>
          <w:shd w:val="clear" w:color="auto" w:fill="auto"/>
          <w:lang w:val="en-US" w:eastAsia="zh-CN"/>
        </w:rPr>
        <w:t>可持续影响</w:t>
      </w:r>
      <w:r>
        <w:rPr>
          <w:rFonts w:hint="eastAsia"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1" w:name="_Toc2549"/>
      <w:r>
        <w:rPr>
          <w:rFonts w:hint="eastAsia" w:ascii="宋体" w:hAnsi="宋体" w:eastAsia="宋体" w:cs="宋体"/>
          <w:color w:val="auto"/>
          <w:highlight w:val="none"/>
          <w:shd w:val="clear" w:color="auto" w:fill="auto"/>
          <w:lang w:eastAsia="zh-CN"/>
        </w:rPr>
        <w:t>“受偿企业满意度”</w:t>
      </w:r>
      <w:r>
        <w:rPr>
          <w:rFonts w:hint="eastAsia" w:ascii="宋体" w:hAnsi="宋体" w:eastAsia="宋体" w:cs="宋体"/>
          <w:color w:val="auto"/>
          <w:highlight w:val="none"/>
          <w:shd w:val="clear" w:color="auto" w:fill="auto"/>
          <w:lang w:val="en-US" w:eastAsia="zh-CN"/>
        </w:rPr>
        <w:t>指标，预期指标值为≥95%</w:t>
      </w:r>
      <w:r>
        <w:rPr>
          <w:rFonts w:hint="eastAsia" w:cs="宋体"/>
          <w:color w:val="auto"/>
          <w:highlight w:val="none"/>
          <w:shd w:val="clear" w:color="auto" w:fill="auto"/>
          <w:lang w:val="en-US" w:eastAsia="zh-CN"/>
        </w:rPr>
        <w:t>。</w:t>
      </w:r>
    </w:p>
    <w:p>
      <w:pPr>
        <w:pStyle w:val="4"/>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rPr>
        <w:t>二、绩效评价工作开展情况</w:t>
      </w:r>
      <w:bookmarkEnd w:id="11"/>
    </w:p>
    <w:p>
      <w:pPr>
        <w:pStyle w:val="5"/>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480473081"/>
      <w:bookmarkStart w:id="13" w:name="_Toc5462343"/>
      <w:bookmarkStart w:id="14" w:name="_Toc22922"/>
      <w:bookmarkStart w:id="15" w:name="_Toc21664"/>
      <w:bookmarkStart w:id="16" w:name="_Toc22169_WPSOffice_Level2"/>
      <w:bookmarkStart w:id="17" w:name="_Toc26632"/>
      <w:bookmarkStart w:id="18" w:name="_Toc12868"/>
      <w:bookmarkStart w:id="19" w:name="_Toc5258"/>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pPr>
        <w:pStyle w:val="6"/>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pPr>
        <w:pStyle w:val="6"/>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年度我单位实施的阜康市综合服务中心主体工程项目（2023年3月化债资金）开展部门绩效评价。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5"/>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pPr>
        <w:pStyle w:val="6"/>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ascii="宋体" w:hAnsi="宋体" w:eastAsia="宋体" w:cs="宋体"/>
          <w:color w:val="auto"/>
          <w:highlight w:val="none"/>
          <w:shd w:val="clear" w:color="auto" w:fill="auto"/>
          <w:lang w:val="en-US" w:eastAsia="zh-CN"/>
        </w:rPr>
        <w:t>阜康市综合服务中心主体工程项目（2023年3月化债资金）</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pPr>
        <w:pStyle w:val="6"/>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19984722"/>
      <w:bookmarkStart w:id="26" w:name="_Toc428278230"/>
      <w:bookmarkStart w:id="27" w:name="_Toc26131"/>
      <w:bookmarkStart w:id="28" w:name="_Toc1913"/>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pPr>
        <w:pStyle w:val="6"/>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与实施情况进行比较，以及采取公众问卷及抽样调查等方式进行评判的方法对阜康市综合服务中心主体工程项目（2023年3月化债资金）进行评价。</w:t>
      </w:r>
    </w:p>
    <w:p>
      <w:pPr>
        <w:pStyle w:val="6"/>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pPr>
        <w:pStyle w:val="6"/>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阜康市综合服务中心主体工程项目（2023年3月化债资金）实施内容、目标信息、预算信息以及其他的一些项目基本信息，有了初步了解，为制定绩效评价工作方案做好准备。</w:t>
      </w:r>
      <w:bookmarkEnd w:id="3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pPr>
        <w:pStyle w:val="4"/>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对阜康市综合服务中心主体工程项目（2023年3月化债资金）绩效进行客观评价，最终评分结果：总分为</w:t>
      </w:r>
      <w:r>
        <w:rPr>
          <w:rFonts w:hint="eastAsia" w:cs="宋体"/>
          <w:color w:val="auto"/>
          <w:highlight w:val="none"/>
          <w:shd w:val="clear" w:color="auto" w:fill="auto"/>
          <w:lang w:val="en-US" w:eastAsia="zh-CN"/>
        </w:rPr>
        <w:t>99.8</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tblInd w:w="0" w:type="dxa"/>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表3-1：阜康市综合服务中心主体工程项目（2023年3月化债资金）项目得分表</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99.8</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99.8</w:t>
            </w:r>
            <w:r>
              <w:rPr>
                <w:rFonts w:hint="eastAsia" w:ascii="宋体" w:hAnsi="宋体" w:eastAsia="宋体" w:cs="宋体"/>
                <w:color w:val="auto"/>
                <w:kern w:val="0"/>
                <w:sz w:val="21"/>
                <w:szCs w:val="21"/>
                <w:highlight w:val="none"/>
                <w:shd w:val="clear" w:color="auto" w:fill="auto"/>
                <w:lang w:val="en-US" w:eastAsia="zh-CN"/>
              </w:rPr>
              <w:t>%</w:t>
            </w:r>
          </w:p>
        </w:tc>
      </w:tr>
    </w:tbl>
    <w:p>
      <w:pPr>
        <w:pStyle w:val="4"/>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pPr>
        <w:pStyle w:val="5"/>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19.8</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Ind w:w="0" w:type="dxa"/>
        <w:shd w:val="clear" w:color="auto" w:fill="auto"/>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tblPrEx>
          <w:shd w:val="clear" w:color="auto" w:fill="auto"/>
          <w:tblLayout w:type="fixed"/>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19.8</w:t>
            </w:r>
          </w:p>
        </w:tc>
        <w:tc>
          <w:tcPr>
            <w:tcW w:w="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color w:val="auto"/>
                <w:highlight w:val="none"/>
              </w:rPr>
            </w:pPr>
            <w:r>
              <w:rPr>
                <w:rFonts w:hint="eastAsia" w:ascii="宋体" w:hAnsi="宋体" w:eastAsia="宋体" w:cs="宋体"/>
                <w:color w:val="auto"/>
                <w:kern w:val="0"/>
                <w:sz w:val="20"/>
                <w:szCs w:val="20"/>
                <w:highlight w:val="none"/>
                <w:shd w:val="clear" w:color="auto" w:fill="auto"/>
                <w:lang w:val="en-US" w:eastAsia="zh-CN"/>
              </w:rPr>
              <w:t>20</w:t>
            </w:r>
          </w:p>
        </w:tc>
      </w:tr>
    </w:tbl>
    <w:p>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pPr>
        <w:bidi w:val="0"/>
        <w:rPr>
          <w:rFonts w:hint="eastAsia"/>
          <w:color w:val="auto"/>
          <w:highlight w:val="none"/>
          <w:lang w:eastAsia="zh-CN"/>
        </w:rPr>
      </w:pPr>
      <w:r>
        <w:rPr>
          <w:rFonts w:hint="eastAsia"/>
          <w:color w:val="auto"/>
          <w:highlight w:val="none"/>
          <w:lang w:eastAsia="zh-CN"/>
        </w:rPr>
        <w:t>①项目立项符合国家法律法规、国民经济发展规划和相关政策；阜财预[2023]0315；</w:t>
      </w:r>
    </w:p>
    <w:p>
      <w:pPr>
        <w:bidi w:val="0"/>
        <w:rPr>
          <w:rFonts w:hint="eastAsia"/>
          <w:color w:val="auto"/>
          <w:highlight w:val="none"/>
          <w:lang w:eastAsia="zh-CN"/>
        </w:rPr>
      </w:pPr>
      <w:r>
        <w:rPr>
          <w:rFonts w:hint="eastAsia"/>
          <w:color w:val="auto"/>
          <w:highlight w:val="none"/>
          <w:lang w:eastAsia="zh-CN"/>
        </w:rPr>
        <w:t>②项目立项符合行业发展规划和政策要求；</w:t>
      </w:r>
    </w:p>
    <w:p>
      <w:pPr>
        <w:bidi w:val="0"/>
        <w:rPr>
          <w:rFonts w:hint="eastAsia"/>
          <w:color w:val="auto"/>
          <w:highlight w:val="none"/>
          <w:lang w:eastAsia="zh-CN"/>
        </w:rPr>
      </w:pPr>
      <w:r>
        <w:rPr>
          <w:rFonts w:hint="eastAsia"/>
          <w:color w:val="auto"/>
          <w:highlight w:val="none"/>
          <w:lang w:eastAsia="zh-CN"/>
        </w:rPr>
        <w:t>③项目立项与部门职责范围相符，属于部门履职所需；</w:t>
      </w:r>
    </w:p>
    <w:p>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pPr>
        <w:bidi w:val="0"/>
        <w:rPr>
          <w:rFonts w:hint="eastAsia"/>
          <w:color w:val="auto"/>
          <w:highlight w:val="none"/>
          <w:lang w:eastAsia="zh-CN"/>
        </w:rPr>
      </w:pPr>
      <w:r>
        <w:rPr>
          <w:rFonts w:hint="eastAsia"/>
          <w:color w:val="auto"/>
          <w:highlight w:val="none"/>
          <w:lang w:eastAsia="zh-CN"/>
        </w:rPr>
        <w:t>①项目按照规定的程序申请设立；</w:t>
      </w:r>
    </w:p>
    <w:p>
      <w:pPr>
        <w:bidi w:val="0"/>
        <w:rPr>
          <w:rFonts w:hint="eastAsia"/>
          <w:color w:val="auto"/>
          <w:highlight w:val="none"/>
          <w:lang w:eastAsia="zh-CN"/>
        </w:rPr>
      </w:pPr>
      <w:r>
        <w:rPr>
          <w:rFonts w:hint="eastAsia"/>
          <w:color w:val="auto"/>
          <w:highlight w:val="none"/>
          <w:lang w:eastAsia="zh-CN"/>
        </w:rPr>
        <w:t>②审批文件、材料符合相关要求；</w:t>
      </w:r>
    </w:p>
    <w:p>
      <w:pPr>
        <w:bidi w:val="0"/>
        <w:rPr>
          <w:rFonts w:hint="eastAsia"/>
          <w:color w:val="auto"/>
          <w:highlight w:val="none"/>
          <w:lang w:eastAsia="zh-CN"/>
        </w:rPr>
      </w:pPr>
      <w:r>
        <w:rPr>
          <w:rFonts w:hint="eastAsia"/>
          <w:color w:val="auto"/>
          <w:highlight w:val="none"/>
          <w:lang w:eastAsia="zh-CN"/>
        </w:rPr>
        <w:t>③事前</w:t>
      </w:r>
      <w:r>
        <w:rPr>
          <w:rFonts w:hint="eastAsia"/>
          <w:color w:val="auto"/>
          <w:highlight w:val="none"/>
          <w:lang w:val="en-US" w:eastAsia="zh-CN"/>
        </w:rPr>
        <w:t>未经过</w:t>
      </w:r>
      <w:r>
        <w:rPr>
          <w:rFonts w:hint="eastAsia"/>
          <w:color w:val="auto"/>
          <w:highlight w:val="none"/>
          <w:lang w:eastAsia="zh-CN"/>
        </w:rPr>
        <w:t>经过必要的可行性研究、专家论证、风险评估、绩效评估，</w:t>
      </w:r>
      <w:r>
        <w:rPr>
          <w:rFonts w:hint="eastAsia"/>
          <w:color w:val="auto"/>
          <w:highlight w:val="none"/>
          <w:lang w:val="en-US" w:eastAsia="zh-CN"/>
        </w:rPr>
        <w:t>经过</w:t>
      </w:r>
      <w:r>
        <w:rPr>
          <w:rFonts w:hint="eastAsia"/>
          <w:color w:val="auto"/>
          <w:highlight w:val="none"/>
          <w:lang w:eastAsia="zh-CN"/>
        </w:rPr>
        <w:t>集体决策。</w:t>
      </w:r>
    </w:p>
    <w:p>
      <w:pPr>
        <w:bidi w:val="0"/>
        <w:rPr>
          <w:rFonts w:hint="eastAsia"/>
          <w:color w:val="auto"/>
          <w:highlight w:val="none"/>
          <w:lang w:eastAsia="zh-CN"/>
        </w:rPr>
      </w:pPr>
      <w:r>
        <w:rPr>
          <w:rFonts w:hint="eastAsia"/>
          <w:b/>
          <w:bCs/>
          <w:color w:val="auto"/>
          <w:highlight w:val="none"/>
          <w:lang w:val="en-US" w:eastAsia="zh-CN"/>
        </w:rPr>
        <w:t>综上，该项指标满分3分，得分2.2分。</w:t>
      </w:r>
    </w:p>
    <w:p>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pPr>
        <w:bidi w:val="0"/>
        <w:rPr>
          <w:rFonts w:hint="eastAsia"/>
          <w:color w:val="auto"/>
          <w:highlight w:val="none"/>
          <w:lang w:eastAsia="zh-CN"/>
        </w:rPr>
      </w:pPr>
      <w:r>
        <w:rPr>
          <w:rFonts w:hint="eastAsia"/>
          <w:color w:val="auto"/>
          <w:highlight w:val="none"/>
          <w:lang w:eastAsia="zh-CN"/>
        </w:rPr>
        <w:t>①项目绩效目标为，进一步加强债务管理，完善政府债务化解机制，切实落实债务化解有关规定，实行科学化、精细化管理，加强对化解债务资金分配使用，全面准确掌握债务化解情况，确保偿债资金的安全、规范和有效。2023年计划完成1个项目债务化解工作；</w:t>
      </w:r>
    </w:p>
    <w:p>
      <w:pPr>
        <w:bidi w:val="0"/>
        <w:rPr>
          <w:rFonts w:hint="eastAsia"/>
          <w:color w:val="auto"/>
          <w:highlight w:val="none"/>
          <w:lang w:eastAsia="zh-CN"/>
        </w:rPr>
      </w:pPr>
      <w:r>
        <w:rPr>
          <w:rFonts w:hint="eastAsia"/>
          <w:color w:val="auto"/>
          <w:highlight w:val="none"/>
          <w:lang w:eastAsia="zh-CN"/>
        </w:rPr>
        <w:t>②项目绩效目标</w:t>
      </w:r>
      <w:r>
        <w:rPr>
          <w:rFonts w:hint="eastAsia"/>
          <w:color w:val="auto"/>
          <w:highlight w:val="none"/>
          <w:lang w:val="en-US" w:eastAsia="zh-CN"/>
        </w:rPr>
        <w:t>为</w:t>
      </w:r>
      <w:r>
        <w:rPr>
          <w:rFonts w:hint="eastAsia"/>
          <w:color w:val="auto"/>
          <w:highlight w:val="none"/>
          <w:lang w:eastAsia="zh-CN"/>
        </w:rPr>
        <w:t>落实债务化解，确保偿债资金的安全、规范和有效；</w:t>
      </w:r>
    </w:p>
    <w:p>
      <w:pPr>
        <w:bidi w:val="0"/>
        <w:rPr>
          <w:rFonts w:hint="eastAsia"/>
          <w:color w:val="auto"/>
          <w:highlight w:val="none"/>
          <w:lang w:eastAsia="zh-CN"/>
        </w:rPr>
      </w:pPr>
      <w:r>
        <w:rPr>
          <w:rFonts w:hint="eastAsia"/>
          <w:color w:val="auto"/>
          <w:highlight w:val="none"/>
          <w:lang w:eastAsia="zh-CN"/>
        </w:rPr>
        <w:t>③项目预期产出效益和效果符合正常的业绩水平，</w:t>
      </w:r>
      <w:r>
        <w:rPr>
          <w:rFonts w:hint="eastAsia"/>
          <w:color w:val="auto"/>
          <w:highlight w:val="none"/>
          <w:lang w:val="en-US" w:eastAsia="zh-CN"/>
        </w:rPr>
        <w:t>通过</w:t>
      </w:r>
      <w:r>
        <w:rPr>
          <w:rFonts w:hint="eastAsia"/>
          <w:color w:val="auto"/>
          <w:highlight w:val="none"/>
          <w:lang w:eastAsia="zh-CN"/>
        </w:rPr>
        <w:t>化解单位债务，</w:t>
      </w:r>
      <w:r>
        <w:rPr>
          <w:rFonts w:hint="eastAsia"/>
          <w:color w:val="auto"/>
          <w:highlight w:val="none"/>
          <w:lang w:val="en-US" w:eastAsia="zh-CN"/>
        </w:rPr>
        <w:t>有效</w:t>
      </w:r>
      <w:r>
        <w:rPr>
          <w:rFonts w:hint="eastAsia"/>
          <w:color w:val="auto"/>
          <w:highlight w:val="none"/>
          <w:lang w:eastAsia="zh-CN"/>
        </w:rPr>
        <w:t>提升单位和政府形象；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color w:val="auto"/>
          <w:highlight w:val="none"/>
          <w:lang w:val="en-US" w:eastAsia="zh-CN"/>
        </w:rPr>
      </w:pPr>
      <w:r>
        <w:rPr>
          <w:rFonts w:hint="eastAsia"/>
          <w:color w:val="auto"/>
          <w:highlight w:val="none"/>
          <w:lang w:eastAsia="zh-CN"/>
        </w:rPr>
        <w:t>④与预算确定的项目投资额为</w:t>
      </w:r>
      <w:r>
        <w:rPr>
          <w:rFonts w:hint="eastAsia"/>
          <w:color w:val="auto"/>
          <w:highlight w:val="none"/>
          <w:lang w:val="en-US" w:eastAsia="zh-CN"/>
        </w:rPr>
        <w:t>150万元，资金执行数为150万元，</w:t>
      </w:r>
      <w:r>
        <w:rPr>
          <w:rFonts w:hint="eastAsia"/>
          <w:color w:val="auto"/>
          <w:highlight w:val="none"/>
          <w:lang w:eastAsia="zh-CN"/>
        </w:rPr>
        <w:t>资金量相匹配。</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pPr>
        <w:bidi w:val="0"/>
        <w:rPr>
          <w:rFonts w:hint="eastAsia"/>
          <w:color w:val="auto"/>
          <w:highlight w:val="none"/>
          <w:lang w:eastAsia="zh-CN"/>
        </w:rPr>
      </w:pPr>
      <w:r>
        <w:rPr>
          <w:rFonts w:hint="eastAsia"/>
          <w:color w:val="auto"/>
          <w:highlight w:val="none"/>
          <w:lang w:eastAsia="zh-CN"/>
        </w:rPr>
        <w:t>①将项目绩效目标细化分解为具体的绩效指标，指标数共计</w:t>
      </w:r>
      <w:r>
        <w:rPr>
          <w:rFonts w:hint="eastAsia"/>
          <w:color w:val="auto"/>
          <w:highlight w:val="none"/>
          <w:lang w:val="en-US" w:eastAsia="zh-CN"/>
        </w:rPr>
        <w:t>7</w:t>
      </w:r>
      <w:r>
        <w:rPr>
          <w:rFonts w:hint="eastAsia"/>
          <w:color w:val="auto"/>
          <w:highlight w:val="none"/>
          <w:lang w:eastAsia="zh-CN"/>
        </w:rPr>
        <w:t>个，其中一级指标</w:t>
      </w:r>
      <w:r>
        <w:rPr>
          <w:rFonts w:hint="eastAsia"/>
          <w:color w:val="auto"/>
          <w:highlight w:val="none"/>
          <w:lang w:val="en-US" w:eastAsia="zh-CN"/>
        </w:rPr>
        <w:t>4</w:t>
      </w:r>
      <w:r>
        <w:rPr>
          <w:rFonts w:hint="eastAsia"/>
          <w:color w:val="auto"/>
          <w:highlight w:val="none"/>
          <w:lang w:eastAsia="zh-CN"/>
        </w:rPr>
        <w:t>个，二级指标6个，三级指标</w:t>
      </w:r>
      <w:r>
        <w:rPr>
          <w:rFonts w:hint="eastAsia"/>
          <w:color w:val="auto"/>
          <w:highlight w:val="none"/>
          <w:lang w:val="en-US" w:eastAsia="zh-CN"/>
        </w:rPr>
        <w:t>7</w:t>
      </w:r>
      <w:r>
        <w:rPr>
          <w:rFonts w:hint="eastAsia"/>
          <w:color w:val="auto"/>
          <w:highlight w:val="none"/>
          <w:lang w:eastAsia="zh-CN"/>
        </w:rPr>
        <w:t>个；</w:t>
      </w:r>
    </w:p>
    <w:p>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②通过清晰、可衡量的指标值予以体现，</w:t>
      </w:r>
      <w:r>
        <w:rPr>
          <w:rFonts w:hint="eastAsia" w:asciiTheme="minorEastAsia" w:hAnsiTheme="minorEastAsia" w:eastAsiaTheme="minorEastAsia" w:cstheme="minorEastAsia"/>
          <w:color w:val="auto"/>
          <w:szCs w:val="30"/>
          <w:highlight w:val="none"/>
        </w:rPr>
        <w:t>其中定量指标</w:t>
      </w:r>
      <w:r>
        <w:rPr>
          <w:rFonts w:hint="eastAsia" w:asciiTheme="minorEastAsia" w:hAnsiTheme="minorEastAsia" w:eastAsiaTheme="minorEastAsia" w:cstheme="minorEastAsia"/>
          <w:color w:val="auto"/>
          <w:szCs w:val="30"/>
          <w:highlight w:val="none"/>
          <w:lang w:val="en-US" w:eastAsia="zh-CN"/>
        </w:rPr>
        <w:t>6</w:t>
      </w:r>
      <w:r>
        <w:rPr>
          <w:rFonts w:hint="eastAsia" w:asciiTheme="minorEastAsia" w:hAnsiTheme="minorEastAsia" w:eastAsiaTheme="minorEastAsia" w:cstheme="minorEastAsia"/>
          <w:color w:val="auto"/>
          <w:szCs w:val="30"/>
          <w:highlight w:val="none"/>
        </w:rPr>
        <w:t>个，</w:t>
      </w:r>
      <w:r>
        <w:rPr>
          <w:rFonts w:hint="eastAsia" w:asciiTheme="minorEastAsia" w:hAnsiTheme="minorEastAsia" w:eastAsiaTheme="minorEastAsia" w:cstheme="minorEastAsia"/>
          <w:color w:val="auto"/>
          <w:szCs w:val="30"/>
          <w:highlight w:val="none"/>
          <w:lang w:eastAsia="zh-CN"/>
        </w:rPr>
        <w:t>定性指标</w:t>
      </w:r>
      <w:r>
        <w:rPr>
          <w:rFonts w:hint="eastAsia" w:asciiTheme="minorEastAsia" w:hAnsiTheme="minorEastAsia" w:eastAsiaTheme="minorEastAsia" w:cstheme="minorEastAsia"/>
          <w:color w:val="auto"/>
          <w:szCs w:val="30"/>
          <w:highlight w:val="none"/>
          <w:lang w:val="en-US" w:eastAsia="zh-CN"/>
        </w:rPr>
        <w:t>1个,量化率85.71%</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③与项目目标任务数或计划数相对应。</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pPr>
        <w:bidi w:val="0"/>
        <w:rPr>
          <w:rFonts w:hint="eastAsia"/>
          <w:color w:val="auto"/>
          <w:highlight w:val="none"/>
          <w:lang w:eastAsia="zh-CN"/>
        </w:rPr>
      </w:pPr>
      <w:r>
        <w:rPr>
          <w:rFonts w:hint="eastAsia"/>
          <w:color w:val="auto"/>
          <w:highlight w:val="none"/>
          <w:lang w:eastAsia="zh-CN"/>
        </w:rPr>
        <w:t>①预算编制经过科学论证；</w:t>
      </w:r>
    </w:p>
    <w:p>
      <w:pPr>
        <w:bidi w:val="0"/>
        <w:rPr>
          <w:rFonts w:hint="eastAsia"/>
          <w:color w:val="auto"/>
          <w:highlight w:val="none"/>
          <w:lang w:eastAsia="zh-CN"/>
        </w:rPr>
      </w:pPr>
      <w:r>
        <w:rPr>
          <w:rFonts w:hint="eastAsia"/>
          <w:color w:val="auto"/>
          <w:highlight w:val="none"/>
          <w:lang w:eastAsia="zh-CN"/>
        </w:rPr>
        <w:t>②预算内容与项目内容</w:t>
      </w:r>
      <w:r>
        <w:rPr>
          <w:rFonts w:hint="eastAsia"/>
          <w:color w:val="auto"/>
          <w:highlight w:val="none"/>
          <w:lang w:val="en-US" w:eastAsia="zh-CN"/>
        </w:rPr>
        <w:t>化解债务</w:t>
      </w:r>
      <w:r>
        <w:rPr>
          <w:rFonts w:hint="eastAsia"/>
          <w:color w:val="auto"/>
          <w:highlight w:val="none"/>
          <w:lang w:eastAsia="zh-CN"/>
        </w:rPr>
        <w:t>匹配；</w:t>
      </w:r>
    </w:p>
    <w:p>
      <w:pPr>
        <w:bidi w:val="0"/>
        <w:rPr>
          <w:rFonts w:hint="eastAsia"/>
          <w:color w:val="auto"/>
          <w:highlight w:val="none"/>
          <w:lang w:eastAsia="zh-CN"/>
        </w:rPr>
      </w:pPr>
      <w:r>
        <w:rPr>
          <w:rFonts w:hint="eastAsia"/>
          <w:color w:val="auto"/>
          <w:highlight w:val="none"/>
          <w:lang w:eastAsia="zh-CN"/>
        </w:rPr>
        <w:t>③预算额度</w:t>
      </w:r>
      <w:r>
        <w:rPr>
          <w:rFonts w:hint="eastAsia"/>
          <w:color w:val="auto"/>
          <w:highlight w:val="none"/>
          <w:lang w:val="en-US" w:eastAsia="zh-CN"/>
        </w:rPr>
        <w:t>150万元，</w:t>
      </w:r>
      <w:r>
        <w:rPr>
          <w:rFonts w:hint="eastAsia"/>
          <w:color w:val="auto"/>
          <w:highlight w:val="none"/>
          <w:lang w:eastAsia="zh-CN"/>
        </w:rPr>
        <w:t>测算依据</w:t>
      </w:r>
      <w:r>
        <w:rPr>
          <w:rFonts w:hint="eastAsia"/>
          <w:color w:val="auto"/>
          <w:highlight w:val="none"/>
          <w:lang w:val="en-US" w:eastAsia="zh-CN"/>
        </w:rPr>
        <w:t>财政2023年化解债务政策</w:t>
      </w:r>
      <w:r>
        <w:rPr>
          <w:rFonts w:hint="eastAsia"/>
          <w:color w:val="auto"/>
          <w:highlight w:val="none"/>
          <w:lang w:eastAsia="zh-CN"/>
        </w:rPr>
        <w:t>编制；</w:t>
      </w:r>
    </w:p>
    <w:p>
      <w:pPr>
        <w:bidi w:val="0"/>
        <w:rPr>
          <w:rFonts w:hint="eastAsia"/>
          <w:color w:val="auto"/>
          <w:highlight w:val="none"/>
          <w:lang w:eastAsia="zh-CN"/>
        </w:rPr>
      </w:pPr>
      <w:r>
        <w:rPr>
          <w:rFonts w:hint="eastAsia"/>
          <w:color w:val="auto"/>
          <w:highlight w:val="none"/>
          <w:lang w:eastAsia="zh-CN"/>
        </w:rPr>
        <w:t>④预算确定的项目投资额为</w:t>
      </w:r>
      <w:r>
        <w:rPr>
          <w:rFonts w:hint="eastAsia"/>
          <w:color w:val="auto"/>
          <w:highlight w:val="none"/>
          <w:lang w:val="en-US" w:eastAsia="zh-CN"/>
        </w:rPr>
        <w:t>150</w:t>
      </w:r>
      <w:r>
        <w:rPr>
          <w:rFonts w:hint="eastAsia"/>
          <w:color w:val="auto"/>
          <w:highlight w:val="none"/>
          <w:lang w:eastAsia="zh-CN"/>
        </w:rPr>
        <w:t>万元，资金执行数为</w:t>
      </w:r>
      <w:r>
        <w:rPr>
          <w:rFonts w:hint="eastAsia"/>
          <w:color w:val="auto"/>
          <w:highlight w:val="none"/>
          <w:lang w:val="en-US" w:eastAsia="zh-CN"/>
        </w:rPr>
        <w:t>150</w:t>
      </w:r>
      <w:r>
        <w:rPr>
          <w:rFonts w:hint="eastAsia"/>
          <w:color w:val="auto"/>
          <w:highlight w:val="none"/>
          <w:lang w:eastAsia="zh-CN"/>
        </w:rPr>
        <w:t>万元，资金量相匹配。</w:t>
      </w:r>
    </w:p>
    <w:p>
      <w:pPr>
        <w:bidi w:val="0"/>
        <w:rPr>
          <w:rFonts w:hint="eastAsia"/>
          <w:color w:val="auto"/>
          <w:highlight w:val="none"/>
          <w:lang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pPr>
        <w:bidi w:val="0"/>
        <w:rPr>
          <w:rFonts w:hint="eastAsia"/>
          <w:color w:val="auto"/>
          <w:highlight w:val="none"/>
          <w:lang w:eastAsia="zh-CN"/>
        </w:rPr>
      </w:pPr>
      <w:r>
        <w:rPr>
          <w:rFonts w:hint="eastAsia"/>
          <w:color w:val="auto"/>
          <w:highlight w:val="none"/>
          <w:lang w:eastAsia="zh-CN"/>
        </w:rPr>
        <w:t>①预算资金分配依据</w:t>
      </w:r>
      <w:r>
        <w:rPr>
          <w:rFonts w:hint="eastAsia"/>
          <w:color w:val="auto"/>
          <w:highlight w:val="none"/>
          <w:lang w:val="en-US" w:eastAsia="zh-CN"/>
        </w:rPr>
        <w:t>化解债务协议实施</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②资金分配</w:t>
      </w:r>
      <w:r>
        <w:rPr>
          <w:rFonts w:hint="eastAsia"/>
          <w:color w:val="auto"/>
          <w:highlight w:val="none"/>
          <w:lang w:val="en-US" w:eastAsia="zh-CN"/>
        </w:rPr>
        <w:t>依据化债协议</w:t>
      </w:r>
      <w:r>
        <w:rPr>
          <w:rFonts w:hint="eastAsia"/>
          <w:color w:val="auto"/>
          <w:highlight w:val="none"/>
          <w:lang w:eastAsia="zh-CN"/>
        </w:rPr>
        <w:t>，额度</w:t>
      </w:r>
      <w:r>
        <w:rPr>
          <w:rFonts w:hint="eastAsia"/>
          <w:color w:val="auto"/>
          <w:highlight w:val="none"/>
          <w:lang w:val="en-US" w:eastAsia="zh-CN"/>
        </w:rPr>
        <w:t>合理，</w:t>
      </w:r>
      <w:r>
        <w:rPr>
          <w:rFonts w:hint="eastAsia"/>
          <w:color w:val="auto"/>
          <w:highlight w:val="none"/>
          <w:lang w:eastAsia="zh-CN"/>
        </w:rPr>
        <w:t>与项目单位实际相适应。</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pStyle w:val="5"/>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Ind w:w="0" w:type="dxa"/>
        <w:shd w:val="clear" w:color="auto" w:fill="auto"/>
        <w:tblLayout w:type="fixed"/>
        <w:tblCellMar>
          <w:top w:w="0" w:type="dxa"/>
          <w:left w:w="0" w:type="dxa"/>
          <w:bottom w:w="0" w:type="dxa"/>
          <w:right w:w="0" w:type="dxa"/>
        </w:tblCellMar>
      </w:tblPr>
      <w:tblGrid>
        <w:gridCol w:w="1182"/>
        <w:gridCol w:w="738"/>
        <w:gridCol w:w="1248"/>
        <w:gridCol w:w="1176"/>
        <w:gridCol w:w="1833"/>
        <w:gridCol w:w="987"/>
        <w:gridCol w:w="1153"/>
      </w:tblGrid>
      <w:tr>
        <w:tblPrEx>
          <w:shd w:val="clear" w:color="auto" w:fill="auto"/>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r>
    </w:tbl>
    <w:p>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pPr>
        <w:bidi w:val="0"/>
        <w:rPr>
          <w:rFonts w:hint="default"/>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150万元</w:t>
      </w:r>
      <w:r>
        <w:rPr>
          <w:rFonts w:hint="eastAsia"/>
          <w:color w:val="auto"/>
          <w:highlight w:val="none"/>
          <w:lang w:eastAsia="zh-CN"/>
        </w:rPr>
        <w:t>/</w:t>
      </w:r>
      <w:r>
        <w:rPr>
          <w:rFonts w:hint="eastAsia"/>
          <w:color w:val="auto"/>
          <w:highlight w:val="none"/>
          <w:lang w:val="en-US" w:eastAsia="zh-CN"/>
        </w:rPr>
        <w:t>150万元</w:t>
      </w:r>
      <w:r>
        <w:rPr>
          <w:rFonts w:hint="eastAsia"/>
          <w:color w:val="auto"/>
          <w:highlight w:val="none"/>
          <w:lang w:eastAsia="zh-CN"/>
        </w:rPr>
        <w:t>）×100</w:t>
      </w:r>
      <w:r>
        <w:rPr>
          <w:rFonts w:hint="eastAsia"/>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w:t>
      </w:r>
    </w:p>
    <w:p>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150万元</w:t>
      </w:r>
      <w:r>
        <w:rPr>
          <w:rFonts w:hint="eastAsia"/>
          <w:color w:val="auto"/>
          <w:highlight w:val="none"/>
          <w:lang w:eastAsia="zh-CN"/>
        </w:rPr>
        <w:t>/</w:t>
      </w:r>
      <w:r>
        <w:rPr>
          <w:rFonts w:hint="eastAsia"/>
          <w:color w:val="auto"/>
          <w:highlight w:val="none"/>
          <w:lang w:val="en-US" w:eastAsia="zh-CN"/>
        </w:rPr>
        <w:t>150万元</w:t>
      </w:r>
      <w:r>
        <w:rPr>
          <w:rFonts w:hint="eastAsia"/>
          <w:color w:val="auto"/>
          <w:highlight w:val="none"/>
          <w:lang w:eastAsia="zh-CN"/>
        </w:rPr>
        <w:t>）×1</w:t>
      </w:r>
      <w:r>
        <w:rPr>
          <w:rFonts w:hint="eastAsia"/>
          <w:color w:val="auto"/>
          <w:highlight w:val="none"/>
          <w:lang w:val="en-US" w:eastAsia="zh-CN"/>
        </w:rPr>
        <w:t>00%=100%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pPr>
        <w:bidi w:val="0"/>
        <w:rPr>
          <w:rFonts w:hint="eastAsia"/>
          <w:color w:val="auto"/>
          <w:highlight w:val="none"/>
          <w:lang w:eastAsia="zh-CN"/>
        </w:rPr>
      </w:pPr>
      <w:r>
        <w:rPr>
          <w:rFonts w:hint="eastAsia"/>
          <w:color w:val="auto"/>
          <w:highlight w:val="none"/>
          <w:lang w:eastAsia="zh-CN"/>
        </w:rPr>
        <w:t>①符合国家财经法规和财务管理制度以及有关专项资金管理办法的规定；阜财预[2023]0315；</w:t>
      </w:r>
    </w:p>
    <w:p>
      <w:pPr>
        <w:bidi w:val="0"/>
        <w:rPr>
          <w:rFonts w:hint="eastAsia"/>
          <w:color w:val="auto"/>
          <w:highlight w:val="none"/>
          <w:lang w:eastAsia="zh-CN"/>
        </w:rPr>
      </w:pPr>
      <w:r>
        <w:rPr>
          <w:rFonts w:hint="eastAsia"/>
          <w:color w:val="auto"/>
          <w:highlight w:val="none"/>
          <w:lang w:eastAsia="zh-CN"/>
        </w:rPr>
        <w:t>②资金的拨付有完整的审批程序和手续；</w:t>
      </w:r>
    </w:p>
    <w:p>
      <w:pPr>
        <w:bidi w:val="0"/>
        <w:rPr>
          <w:rFonts w:hint="eastAsia"/>
          <w:color w:val="auto"/>
          <w:highlight w:val="none"/>
          <w:lang w:eastAsia="zh-CN"/>
        </w:rPr>
      </w:pPr>
      <w:r>
        <w:rPr>
          <w:rFonts w:hint="eastAsia"/>
          <w:color w:val="auto"/>
          <w:highlight w:val="none"/>
          <w:lang w:eastAsia="zh-CN"/>
        </w:rPr>
        <w:t>③符合项目预算批复或合同规定的用途；</w:t>
      </w:r>
    </w:p>
    <w:p>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rPr>
          <w:rFonts w:hint="default"/>
          <w:b/>
          <w:bCs/>
          <w:color w:val="auto"/>
          <w:highlight w:val="none"/>
          <w:lang w:val="en-US" w:eastAsia="zh-CN"/>
        </w:rPr>
      </w:pPr>
      <w:r>
        <w:rPr>
          <w:rFonts w:hint="eastAsia"/>
          <w:b/>
          <w:bCs/>
          <w:color w:val="auto"/>
          <w:highlight w:val="none"/>
          <w:lang w:val="en-US" w:eastAsia="zh-CN"/>
        </w:rPr>
        <w:t>4.管理制度健全性</w:t>
      </w:r>
    </w:p>
    <w:p>
      <w:pPr>
        <w:bidi w:val="0"/>
        <w:rPr>
          <w:rFonts w:hint="default"/>
          <w:color w:val="auto"/>
          <w:highlight w:val="none"/>
          <w:lang w:val="en-US" w:eastAsia="zh-CN"/>
        </w:rPr>
      </w:pPr>
      <w:r>
        <w:rPr>
          <w:rFonts w:hint="eastAsia"/>
          <w:color w:val="auto"/>
          <w:highlight w:val="none"/>
          <w:lang w:eastAsia="zh-CN"/>
        </w:rPr>
        <w:t>①已制定或具有相应的财务和业务管理制度，</w:t>
      </w:r>
      <w:r>
        <w:rPr>
          <w:rFonts w:hint="eastAsia" w:ascii="宋体" w:hAnsi="宋体" w:eastAsia="宋体" w:cs="宋体"/>
          <w:color w:val="auto"/>
          <w:highlight w:val="none"/>
          <w:lang w:eastAsia="zh-CN"/>
        </w:rPr>
        <w:t>如</w:t>
      </w:r>
      <w:r>
        <w:rPr>
          <w:rFonts w:hint="eastAsia" w:ascii="宋体" w:hAnsi="宋体" w:eastAsia="宋体" w:cs="宋体"/>
          <w:color w:val="auto"/>
          <w:highlight w:val="none"/>
          <w:lang w:val="en-US" w:eastAsia="zh-CN"/>
        </w:rPr>
        <w:t>市委办公室</w:t>
      </w:r>
      <w:r>
        <w:rPr>
          <w:rFonts w:hint="eastAsia" w:ascii="宋体" w:hAnsi="宋体" w:eastAsia="宋体" w:cs="宋体"/>
          <w:color w:val="auto"/>
          <w:highlight w:val="none"/>
          <w:lang w:eastAsia="zh-CN"/>
        </w:rPr>
        <w:t>财务管理制度、</w:t>
      </w:r>
      <w:r>
        <w:rPr>
          <w:rFonts w:hint="eastAsia" w:cs="宋体"/>
          <w:color w:val="auto"/>
          <w:highlight w:val="none"/>
          <w:lang w:eastAsia="zh-CN"/>
        </w:rPr>
        <w:t>“</w:t>
      </w:r>
      <w:bookmarkStart w:id="88" w:name="_GoBack"/>
      <w:bookmarkEnd w:id="88"/>
      <w:r>
        <w:rPr>
          <w:rFonts w:hint="eastAsia" w:ascii="宋体" w:hAnsi="宋体" w:eastAsia="宋体" w:cs="宋体"/>
          <w:color w:val="auto"/>
          <w:highlight w:val="none"/>
          <w:lang w:val="en-US" w:eastAsia="zh-CN"/>
        </w:rPr>
        <w:t>三重一大</w:t>
      </w:r>
      <w:r>
        <w:rPr>
          <w:rFonts w:hint="eastAsia" w:cs="宋体"/>
          <w:color w:val="auto"/>
          <w:highlight w:val="none"/>
          <w:lang w:val="en-US" w:eastAsia="zh-CN"/>
        </w:rPr>
        <w:t>”</w:t>
      </w:r>
      <w:r>
        <w:rPr>
          <w:rFonts w:hint="eastAsia" w:ascii="宋体" w:hAnsi="宋体" w:eastAsia="宋体" w:cs="宋体"/>
          <w:color w:val="auto"/>
          <w:highlight w:val="none"/>
          <w:lang w:eastAsia="zh-CN"/>
        </w:rPr>
        <w:t>制度</w:t>
      </w:r>
      <w:r>
        <w:rPr>
          <w:rFonts w:hint="eastAsia" w:ascii="宋体" w:hAnsi="宋体" w:eastAsia="宋体" w:cs="宋体"/>
          <w:color w:val="auto"/>
          <w:highlight w:val="none"/>
          <w:lang w:val="en-US" w:eastAsia="zh-CN"/>
        </w:rPr>
        <w:t>等；</w:t>
      </w:r>
    </w:p>
    <w:p>
      <w:pPr>
        <w:bidi w:val="0"/>
        <w:ind w:left="0" w:leftChars="0" w:firstLine="560" w:firstLineChars="200"/>
        <w:rPr>
          <w:rFonts w:hint="eastAsia"/>
          <w:color w:val="auto"/>
          <w:highlight w:val="none"/>
          <w:lang w:eastAsia="zh-CN"/>
        </w:rPr>
      </w:pPr>
      <w:r>
        <w:rPr>
          <w:rFonts w:hint="eastAsia"/>
          <w:color w:val="auto"/>
          <w:highlight w:val="none"/>
          <w:lang w:eastAsia="zh-CN"/>
        </w:rPr>
        <w:t>②财务和业务管理制度合法、合规、完整。</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pPr>
        <w:bidi w:val="0"/>
        <w:rPr>
          <w:rFonts w:hint="eastAsia"/>
          <w:color w:val="auto"/>
          <w:highlight w:val="none"/>
          <w:lang w:eastAsia="zh-CN"/>
        </w:rPr>
      </w:pPr>
      <w:r>
        <w:rPr>
          <w:rFonts w:hint="eastAsia"/>
          <w:color w:val="auto"/>
          <w:highlight w:val="none"/>
          <w:lang w:eastAsia="zh-CN"/>
        </w:rPr>
        <w:t>①遵守相关法律法规和相关管理规定；</w:t>
      </w:r>
    </w:p>
    <w:p>
      <w:pPr>
        <w:shd w:val="clear"/>
        <w:bidi w:val="0"/>
        <w:rPr>
          <w:rFonts w:hint="eastAsia"/>
          <w:color w:val="auto"/>
          <w:highlight w:val="none"/>
          <w:lang w:eastAsia="zh-CN"/>
        </w:rPr>
      </w:pPr>
      <w:r>
        <w:rPr>
          <w:rFonts w:hint="eastAsia"/>
          <w:color w:val="auto"/>
          <w:highlight w:val="none"/>
          <w:lang w:eastAsia="zh-CN"/>
        </w:rPr>
        <w:t>②项目</w:t>
      </w:r>
      <w:r>
        <w:rPr>
          <w:rFonts w:hint="eastAsia"/>
          <w:color w:val="auto"/>
          <w:highlight w:val="none"/>
          <w:lang w:val="en-US" w:eastAsia="zh-CN"/>
        </w:rPr>
        <w:t>未</w:t>
      </w:r>
      <w:r>
        <w:rPr>
          <w:rFonts w:hint="eastAsia"/>
          <w:color w:val="auto"/>
          <w:highlight w:val="none"/>
          <w:lang w:eastAsia="zh-CN"/>
        </w:rPr>
        <w:t>调整；</w:t>
      </w:r>
    </w:p>
    <w:p>
      <w:pPr>
        <w:shd w:val="clear"/>
        <w:bidi w:val="0"/>
        <w:rPr>
          <w:rFonts w:hint="eastAsia"/>
          <w:color w:val="auto"/>
          <w:highlight w:val="none"/>
          <w:lang w:val="en-US" w:eastAsia="zh-CN"/>
        </w:rPr>
      </w:pPr>
      <w:r>
        <w:rPr>
          <w:rFonts w:hint="default" w:ascii="宋体" w:hAnsi="宋体" w:eastAsia="宋体" w:cs="宋体"/>
          <w:color w:val="auto"/>
          <w:highlight w:val="none"/>
          <w:lang w:eastAsia="zh-CN"/>
        </w:rPr>
        <w:t>③</w:t>
      </w:r>
      <w:r>
        <w:rPr>
          <w:rFonts w:hint="eastAsia"/>
          <w:color w:val="auto"/>
          <w:highlight w:val="none"/>
          <w:lang w:eastAsia="zh-CN"/>
        </w:rPr>
        <w:t>项目</w:t>
      </w:r>
      <w:r>
        <w:rPr>
          <w:rFonts w:hint="eastAsia"/>
          <w:color w:val="auto"/>
          <w:highlight w:val="none"/>
          <w:lang w:val="en-US" w:eastAsia="zh-CN"/>
        </w:rPr>
        <w:t>化解债务协议、收据、发票等资料齐全并及时归档；</w:t>
      </w:r>
    </w:p>
    <w:p>
      <w:pPr>
        <w:shd w:val="clear"/>
        <w:bidi w:val="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④</w:t>
      </w:r>
      <w:r>
        <w:rPr>
          <w:rFonts w:hint="eastAsia"/>
          <w:color w:val="auto"/>
          <w:highlight w:val="none"/>
          <w:lang w:eastAsia="zh-CN"/>
        </w:rPr>
        <w:t>项目实施的人员条件</w:t>
      </w:r>
      <w:r>
        <w:rPr>
          <w:rFonts w:hint="eastAsia"/>
          <w:color w:val="auto"/>
          <w:highlight w:val="none"/>
          <w:shd w:val="clear"/>
          <w:lang w:eastAsia="zh-CN"/>
        </w:rPr>
        <w:t>、场地设备、信息支撑等落实到</w:t>
      </w:r>
      <w:r>
        <w:rPr>
          <w:rFonts w:hint="eastAsia"/>
          <w:color w:val="auto"/>
          <w:highlight w:val="none"/>
          <w:lang w:eastAsia="zh-CN"/>
        </w:rPr>
        <w:t>位。</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pStyle w:val="5"/>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tblPrEx>
          <w:tblLayout w:type="fixed"/>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tblPrEx>
          <w:tblLayout w:type="fixed"/>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化解债务项目数量</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=1个</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7</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1个</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7</w:t>
            </w:r>
          </w:p>
        </w:tc>
      </w:tr>
      <w:tr>
        <w:tblPrEx>
          <w:tblLayout w:type="fixed"/>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资金支付及时率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任务完成时间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=2023年3月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2023年3月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r>
      <w:tr>
        <w:tblPrEx>
          <w:tblLayout w:type="fixed"/>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阜康市综合服务中心主体工程项目成本</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≤150万元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7</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150万元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7</w:t>
            </w:r>
          </w:p>
        </w:tc>
      </w:tr>
      <w:tr>
        <w:tblPrEx>
          <w:tblLayout w:type="fixed"/>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rPr>
          <w:rFonts w:hint="default"/>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pPr>
        <w:bidi w:val="0"/>
        <w:rPr>
          <w:rFonts w:hint="eastAsia"/>
          <w:color w:val="auto"/>
          <w:highlight w:val="none"/>
          <w:lang w:val="en-US" w:eastAsia="zh-CN"/>
        </w:rPr>
      </w:pPr>
      <w:r>
        <w:rPr>
          <w:rFonts w:hint="eastAsia"/>
          <w:color w:val="auto"/>
          <w:highlight w:val="none"/>
          <w:lang w:val="en-US" w:eastAsia="zh-CN"/>
        </w:rPr>
        <w:t>“化解债务项目数量”指标，预期目标值为1个，实际完成为1个。实际完成率=（1个/1个）×100%=100%。</w:t>
      </w:r>
    </w:p>
    <w:p>
      <w:pPr>
        <w:bidi w:val="0"/>
        <w:rPr>
          <w:rFonts w:hint="eastAsia"/>
          <w:color w:val="auto"/>
          <w:highlight w:val="none"/>
          <w:lang w:eastAsia="zh-CN"/>
        </w:rPr>
      </w:pPr>
      <w:r>
        <w:rPr>
          <w:rFonts w:hint="eastAsia"/>
          <w:b/>
          <w:bCs/>
          <w:color w:val="auto"/>
          <w:highlight w:val="none"/>
          <w:lang w:val="en-US" w:eastAsia="zh-CN"/>
        </w:rPr>
        <w:t>综上，该项指标满分7分，得分7分。</w:t>
      </w:r>
    </w:p>
    <w:p>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资金使用合规率”指标，预期目标值为100%，实际完成为100%。</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资金支付及时率</w:t>
      </w:r>
      <w:r>
        <w:rPr>
          <w:rFonts w:hint="eastAsia"/>
          <w:color w:val="auto"/>
          <w:highlight w:val="none"/>
          <w:lang w:eastAsia="zh-CN"/>
        </w:rPr>
        <w:t>”</w:t>
      </w:r>
      <w:r>
        <w:rPr>
          <w:rFonts w:hint="eastAsia"/>
          <w:color w:val="auto"/>
          <w:highlight w:val="none"/>
          <w:lang w:val="en-US" w:eastAsia="zh-CN"/>
        </w:rPr>
        <w:t>指标，预期目标值为100%，实际完成为100%。</w:t>
      </w:r>
    </w:p>
    <w:p>
      <w:pPr>
        <w:bidi w:val="0"/>
        <w:rPr>
          <w:rFonts w:hint="eastAsia"/>
          <w:b/>
          <w:bCs/>
          <w:color w:val="auto"/>
          <w:highlight w:val="none"/>
          <w:lang w:val="en-US" w:eastAsia="zh-CN"/>
        </w:rPr>
      </w:pPr>
      <w:r>
        <w:rPr>
          <w:rFonts w:hint="eastAsia"/>
          <w:b/>
          <w:bCs/>
          <w:color w:val="auto"/>
          <w:highlight w:val="none"/>
          <w:lang w:val="en-US" w:eastAsia="zh-CN"/>
        </w:rPr>
        <w:t>综上，该项指标满分5分，得分5分。</w:t>
      </w:r>
    </w:p>
    <w:p>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任务完成时间</w:t>
      </w:r>
      <w:r>
        <w:rPr>
          <w:rFonts w:hint="eastAsia"/>
          <w:color w:val="auto"/>
          <w:highlight w:val="none"/>
          <w:lang w:eastAsia="zh-CN"/>
        </w:rPr>
        <w:t>”</w:t>
      </w:r>
      <w:r>
        <w:rPr>
          <w:rFonts w:hint="eastAsia"/>
          <w:color w:val="auto"/>
          <w:highlight w:val="none"/>
          <w:lang w:val="en-US" w:eastAsia="zh-CN"/>
        </w:rPr>
        <w:t>指标，预期目标值为2023年3月，实际完成为2023年3月，实际完成率100%。</w:t>
      </w:r>
    </w:p>
    <w:p>
      <w:pPr>
        <w:bidi w:val="0"/>
        <w:rPr>
          <w:rFonts w:hint="eastAsia"/>
          <w:color w:val="auto"/>
          <w:highlight w:val="none"/>
          <w:lang w:eastAsia="zh-CN"/>
        </w:rPr>
      </w:pPr>
      <w:r>
        <w:rPr>
          <w:rFonts w:hint="eastAsia"/>
          <w:b/>
          <w:bCs/>
          <w:color w:val="auto"/>
          <w:highlight w:val="none"/>
          <w:lang w:val="en-US" w:eastAsia="zh-CN"/>
        </w:rPr>
        <w:t>综上，该项指标满分6分，得分6分。</w:t>
      </w:r>
    </w:p>
    <w:p>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阜康市综合服务中心主体工程项目成本</w:t>
      </w:r>
      <w:r>
        <w:rPr>
          <w:rFonts w:hint="eastAsia"/>
          <w:color w:val="auto"/>
          <w:highlight w:val="none"/>
          <w:lang w:eastAsia="zh-CN"/>
        </w:rPr>
        <w:t>”</w:t>
      </w:r>
      <w:r>
        <w:rPr>
          <w:rFonts w:hint="eastAsia"/>
          <w:color w:val="auto"/>
          <w:highlight w:val="none"/>
          <w:lang w:val="en-US" w:eastAsia="zh-CN"/>
        </w:rPr>
        <w:t>指标，预期目标值为≤150万元，实际完成150万元。实际完成率=（150万元/150万元）×100%=100%。</w:t>
      </w:r>
    </w:p>
    <w:p>
      <w:pPr>
        <w:bidi w:val="0"/>
        <w:rPr>
          <w:rFonts w:hint="eastAsia"/>
          <w:color w:val="auto"/>
          <w:highlight w:val="none"/>
          <w:lang w:eastAsia="zh-CN"/>
        </w:rPr>
      </w:pPr>
      <w:r>
        <w:rPr>
          <w:rFonts w:hint="eastAsia"/>
          <w:b/>
          <w:bCs/>
          <w:color w:val="auto"/>
          <w:highlight w:val="none"/>
          <w:lang w:val="en-US" w:eastAsia="zh-CN"/>
        </w:rPr>
        <w:t>综上，该项指标满分7分，得分7分。</w:t>
      </w:r>
    </w:p>
    <w:p>
      <w:pPr>
        <w:pStyle w:val="5"/>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tblInd w:w="0" w:type="dxa"/>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tblPrEx>
          <w:tblLayout w:type="fixed"/>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436" w:hRule="atLeast"/>
          <w:jc w:val="center"/>
        </w:trPr>
        <w:tc>
          <w:tcPr>
            <w:tcW w:w="685" w:type="dxa"/>
            <w:vMerge w:val="restart"/>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效益</w:t>
            </w: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化解单位债务，提升单位和政府形象</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有效提升</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受偿企业满意度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r>
    </w:tbl>
    <w:p>
      <w:pPr>
        <w:pageBreakBefore w:val="0"/>
        <w:kinsoku/>
        <w:wordWrap/>
        <w:overflowPunct/>
        <w:topLinePunct w:val="0"/>
        <w:autoSpaceDE/>
        <w:autoSpaceDN/>
        <w:bidi w:val="0"/>
        <w:spacing w:line="560" w:lineRule="exact"/>
        <w:ind w:firstLine="562" w:firstLineChars="200"/>
        <w:outlineLvl w:val="2"/>
        <w:rPr>
          <w:rFonts w:hint="default"/>
          <w:b/>
          <w:bCs/>
          <w:color w:val="auto"/>
          <w:highlight w:val="none"/>
          <w:lang w:val="en-US" w:eastAsia="zh-CN"/>
        </w:rPr>
      </w:pPr>
      <w:bookmarkStart w:id="75" w:name="_Toc8010"/>
      <w:r>
        <w:rPr>
          <w:rFonts w:hint="eastAsia"/>
          <w:b/>
          <w:bCs/>
          <w:color w:val="auto"/>
          <w:highlight w:val="none"/>
          <w:lang w:val="en-US" w:eastAsia="zh-CN"/>
        </w:rPr>
        <w:t>1.经济效益指标</w:t>
      </w:r>
    </w:p>
    <w:p>
      <w:pPr>
        <w:pageBreakBefore w:val="0"/>
        <w:kinsoku/>
        <w:wordWrap/>
        <w:overflowPunct/>
        <w:topLinePunct w:val="0"/>
        <w:autoSpaceDE/>
        <w:autoSpaceDN/>
        <w:bidi w:val="0"/>
        <w:spacing w:line="560" w:lineRule="exact"/>
        <w:ind w:firstLine="560" w:firstLineChars="200"/>
        <w:rPr>
          <w:rFonts w:hint="eastAsia"/>
          <w:color w:val="auto"/>
          <w:highlight w:val="none"/>
          <w:lang w:val="en-US" w:eastAsia="zh-CN"/>
        </w:rPr>
      </w:pPr>
      <w:r>
        <w:rPr>
          <w:rFonts w:hint="eastAsia"/>
          <w:color w:val="auto"/>
          <w:highlight w:val="none"/>
          <w:lang w:eastAsia="zh-CN"/>
        </w:rPr>
        <w:t>本项目不涉及经济效益指标</w:t>
      </w:r>
      <w:r>
        <w:rPr>
          <w:rFonts w:hint="eastAsia"/>
          <w:b/>
          <w:bCs/>
          <w:color w:val="auto"/>
          <w:highlight w:val="none"/>
          <w:lang w:val="en-US" w:eastAsia="zh-CN"/>
        </w:rPr>
        <w:t>。</w:t>
      </w:r>
    </w:p>
    <w:bookmarkEnd w:id="75"/>
    <w:p>
      <w:pPr>
        <w:bidi w:val="0"/>
        <w:outlineLvl w:val="2"/>
        <w:rPr>
          <w:rFonts w:hint="eastAsia"/>
          <w:b/>
          <w:bCs/>
          <w:color w:val="auto"/>
          <w:highlight w:val="none"/>
          <w:lang w:val="en-US" w:eastAsia="zh-CN"/>
        </w:rPr>
      </w:pPr>
      <w:bookmarkStart w:id="76" w:name="_Toc27006"/>
      <w:r>
        <w:rPr>
          <w:rFonts w:hint="eastAsia"/>
          <w:b/>
          <w:bCs/>
          <w:color w:val="auto"/>
          <w:highlight w:val="none"/>
          <w:lang w:val="en-US" w:eastAsia="zh-CN"/>
        </w:rPr>
        <w:t>2.社会效益指标</w:t>
      </w:r>
      <w:bookmarkEnd w:id="76"/>
    </w:p>
    <w:p>
      <w:pPr>
        <w:bidi w:val="0"/>
        <w:rPr>
          <w:rFonts w:hint="eastAsia"/>
          <w:b w:val="0"/>
          <w:bCs w:val="0"/>
          <w:color w:val="auto"/>
          <w:highlight w:val="none"/>
          <w:lang w:val="en-US" w:eastAsia="zh-CN"/>
        </w:rPr>
      </w:pPr>
      <w:r>
        <w:rPr>
          <w:rFonts w:hint="eastAsia"/>
          <w:color w:val="auto"/>
          <w:highlight w:val="none"/>
          <w:lang w:eastAsia="zh-CN"/>
        </w:rPr>
        <w:t>“</w:t>
      </w:r>
      <w:r>
        <w:rPr>
          <w:rFonts w:hint="eastAsia"/>
          <w:color w:val="auto"/>
          <w:highlight w:val="none"/>
          <w:lang w:val="en-US" w:eastAsia="zh-CN"/>
        </w:rPr>
        <w:t>化解单位债务，提升单位和政府形象</w:t>
      </w:r>
      <w:r>
        <w:rPr>
          <w:rFonts w:hint="eastAsia"/>
          <w:color w:val="auto"/>
          <w:highlight w:val="none"/>
          <w:lang w:eastAsia="zh-CN"/>
        </w:rPr>
        <w:t>”</w:t>
      </w:r>
      <w:r>
        <w:rPr>
          <w:rFonts w:hint="eastAsia"/>
          <w:color w:val="auto"/>
          <w:highlight w:val="none"/>
          <w:lang w:val="en-US" w:eastAsia="zh-CN"/>
        </w:rPr>
        <w:t>指标，预期目标值为有效提升，实际完成为100%。</w:t>
      </w:r>
    </w:p>
    <w:p>
      <w:pPr>
        <w:bidi w:val="0"/>
        <w:rPr>
          <w:rFonts w:hint="eastAsia"/>
          <w:b w:val="0"/>
          <w:bCs w:val="0"/>
          <w:color w:val="auto"/>
          <w:highlight w:val="none"/>
          <w:lang w:val="en-US" w:eastAsia="zh-CN"/>
        </w:rPr>
      </w:pPr>
      <w:r>
        <w:rPr>
          <w:rFonts w:hint="eastAsia"/>
          <w:b w:val="0"/>
          <w:bCs w:val="0"/>
          <w:color w:val="auto"/>
          <w:highlight w:val="none"/>
          <w:lang w:val="en-US" w:eastAsia="zh-CN"/>
        </w:rPr>
        <w:t>通过项目的实施，化解债务，有效提升</w:t>
      </w:r>
      <w:r>
        <w:rPr>
          <w:rFonts w:hint="eastAsia"/>
          <w:color w:val="auto"/>
          <w:highlight w:val="none"/>
          <w:lang w:val="en-US" w:eastAsia="zh-CN"/>
        </w:rPr>
        <w:t>单位和政府形象。</w:t>
      </w:r>
    </w:p>
    <w:p>
      <w:pPr>
        <w:bidi w:val="0"/>
        <w:rPr>
          <w:rFonts w:hint="eastAsia"/>
          <w:color w:val="auto"/>
          <w:highlight w:val="none"/>
          <w:lang w:val="en-US" w:eastAsia="zh-CN"/>
        </w:rPr>
      </w:pPr>
      <w:r>
        <w:rPr>
          <w:rFonts w:hint="eastAsia"/>
          <w:b/>
          <w:bCs/>
          <w:color w:val="auto"/>
          <w:highlight w:val="none"/>
          <w:lang w:val="en-US" w:eastAsia="zh-CN"/>
        </w:rPr>
        <w:t>综上，该项指标满分20分，得分20分。</w:t>
      </w:r>
    </w:p>
    <w:p>
      <w:pPr>
        <w:pageBreakBefore w:val="0"/>
        <w:kinsoku/>
        <w:wordWrap/>
        <w:overflowPunct/>
        <w:topLinePunct w:val="0"/>
        <w:autoSpaceDE/>
        <w:autoSpaceDN/>
        <w:bidi w:val="0"/>
        <w:spacing w:line="560" w:lineRule="exact"/>
        <w:ind w:firstLine="562" w:firstLineChars="200"/>
        <w:outlineLvl w:val="2"/>
        <w:rPr>
          <w:rFonts w:hint="eastAsia"/>
          <w:color w:val="auto"/>
          <w:highlight w:val="none"/>
          <w:lang w:val="en-US" w:eastAsia="zh-CN"/>
        </w:rPr>
      </w:pPr>
      <w:bookmarkStart w:id="77" w:name="_Toc3271"/>
      <w:r>
        <w:rPr>
          <w:rFonts w:hint="eastAsia"/>
          <w:b/>
          <w:bCs/>
          <w:color w:val="auto"/>
          <w:highlight w:val="none"/>
          <w:lang w:val="en-US" w:eastAsia="zh-CN"/>
        </w:rPr>
        <w:t>3.生态效益指标</w:t>
      </w:r>
    </w:p>
    <w:p>
      <w:pPr>
        <w:pageBreakBefore w:val="0"/>
        <w:kinsoku/>
        <w:wordWrap/>
        <w:overflowPunct/>
        <w:topLinePunct w:val="0"/>
        <w:autoSpaceDE/>
        <w:autoSpaceDN/>
        <w:bidi w:val="0"/>
        <w:spacing w:line="560" w:lineRule="exact"/>
        <w:ind w:firstLine="560" w:firstLineChars="200"/>
        <w:rPr>
          <w:color w:val="auto"/>
          <w:highlight w:val="none"/>
        </w:rPr>
      </w:pPr>
      <w:r>
        <w:rPr>
          <w:rFonts w:hint="eastAsia"/>
          <w:color w:val="auto"/>
          <w:highlight w:val="none"/>
        </w:rPr>
        <w:t>本单位不涉及</w:t>
      </w:r>
      <w:r>
        <w:rPr>
          <w:rFonts w:hint="eastAsia"/>
          <w:color w:val="auto"/>
          <w:highlight w:val="none"/>
          <w:lang w:eastAsia="zh-CN"/>
        </w:rPr>
        <w:t>生态效益指标</w:t>
      </w:r>
      <w:r>
        <w:rPr>
          <w:rFonts w:hint="eastAsia"/>
          <w:color w:val="auto"/>
          <w:highlight w:val="none"/>
        </w:rPr>
        <w:t>。</w:t>
      </w:r>
    </w:p>
    <w:p>
      <w:pPr>
        <w:bidi w:val="0"/>
        <w:outlineLvl w:val="2"/>
        <w:rPr>
          <w:rFonts w:hint="eastAsia"/>
          <w:b/>
          <w:bCs/>
          <w:color w:val="auto"/>
          <w:highlight w:val="none"/>
          <w:lang w:val="en-US" w:eastAsia="zh-CN"/>
        </w:rPr>
      </w:pPr>
      <w:r>
        <w:rPr>
          <w:rFonts w:hint="eastAsia"/>
          <w:b/>
          <w:bCs/>
          <w:color w:val="auto"/>
          <w:highlight w:val="none"/>
          <w:lang w:val="en-US" w:eastAsia="zh-CN"/>
        </w:rPr>
        <w:t>4.可持续影响指标</w:t>
      </w:r>
    </w:p>
    <w:p>
      <w:pPr>
        <w:bidi w:val="0"/>
        <w:outlineLvl w:val="2"/>
        <w:rPr>
          <w:rFonts w:hint="eastAsia" w:eastAsia="宋体"/>
          <w:b/>
          <w:bCs/>
          <w:color w:val="auto"/>
          <w:highlight w:val="none"/>
          <w:lang w:val="en-US" w:eastAsia="zh-CN"/>
        </w:rPr>
      </w:pPr>
      <w:r>
        <w:rPr>
          <w:rFonts w:hint="eastAsia"/>
          <w:color w:val="auto"/>
          <w:highlight w:val="none"/>
        </w:rPr>
        <w:t>本单位不涉及可持续影响指标</w:t>
      </w:r>
      <w:r>
        <w:rPr>
          <w:rFonts w:hint="eastAsia"/>
          <w:color w:val="auto"/>
          <w:highlight w:val="none"/>
          <w:lang w:eastAsia="zh-CN"/>
        </w:rPr>
        <w:t>。</w:t>
      </w:r>
    </w:p>
    <w:p>
      <w:pPr>
        <w:bidi w:val="0"/>
        <w:outlineLvl w:val="2"/>
        <w:rPr>
          <w:rFonts w:hint="eastAsia"/>
          <w:b/>
          <w:bCs/>
          <w:color w:val="auto"/>
          <w:highlight w:val="none"/>
          <w:lang w:val="en-US" w:eastAsia="zh-CN"/>
        </w:rPr>
      </w:pPr>
      <w:r>
        <w:rPr>
          <w:rFonts w:hint="eastAsia"/>
          <w:b/>
          <w:bCs/>
          <w:color w:val="auto"/>
          <w:highlight w:val="none"/>
          <w:lang w:val="en-US" w:eastAsia="zh-CN"/>
        </w:rPr>
        <w:t>5.满意度指标</w:t>
      </w:r>
      <w:bookmarkEnd w:id="77"/>
    </w:p>
    <w:p>
      <w:pPr>
        <w:bidi w:val="0"/>
        <w:rPr>
          <w:rFonts w:hint="eastAsia"/>
          <w:b/>
          <w:bCs/>
          <w:color w:val="auto"/>
          <w:highlight w:val="none"/>
          <w:lang w:val="en-US" w:eastAsia="zh-CN"/>
        </w:rPr>
      </w:pPr>
      <w:r>
        <w:rPr>
          <w:rFonts w:hint="eastAsia"/>
          <w:color w:val="auto"/>
          <w:highlight w:val="none"/>
          <w:lang w:eastAsia="zh-CN"/>
        </w:rPr>
        <w:t>“</w:t>
      </w:r>
      <w:r>
        <w:rPr>
          <w:rFonts w:hint="eastAsia"/>
          <w:color w:val="auto"/>
          <w:highlight w:val="none"/>
          <w:lang w:val="en-US" w:eastAsia="zh-CN"/>
        </w:rPr>
        <w:t>受偿企业满意度</w:t>
      </w:r>
      <w:r>
        <w:rPr>
          <w:rFonts w:hint="eastAsia"/>
          <w:color w:val="auto"/>
          <w:highlight w:val="none"/>
          <w:lang w:eastAsia="zh-CN"/>
        </w:rPr>
        <w:t>”</w:t>
      </w:r>
      <w:r>
        <w:rPr>
          <w:rFonts w:hint="eastAsia"/>
          <w:color w:val="auto"/>
          <w:highlight w:val="none"/>
          <w:lang w:val="en-US" w:eastAsia="zh-CN"/>
        </w:rPr>
        <w:t>指标，预期目标值为≥95%，实际完成为100%。</w:t>
      </w:r>
    </w:p>
    <w:p>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pPr>
        <w:pStyle w:val="4"/>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8" w:name="_Toc19962"/>
      <w:r>
        <w:rPr>
          <w:rFonts w:hint="eastAsia" w:ascii="宋体" w:hAnsi="宋体" w:eastAsia="宋体" w:cs="宋体"/>
          <w:b/>
          <w:bCs/>
          <w:color w:val="auto"/>
          <w:highlight w:val="none"/>
          <w:shd w:val="clear" w:color="auto" w:fill="auto"/>
          <w:lang w:val="en-US" w:eastAsia="zh-CN"/>
        </w:rPr>
        <w:t>五、预算执行进度与指标偏差</w:t>
      </w:r>
      <w:bookmarkEnd w:id="78"/>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项目预算资金总额为</w:t>
      </w:r>
      <w:r>
        <w:rPr>
          <w:rFonts w:hint="eastAsia"/>
          <w:b/>
          <w:bCs/>
          <w:color w:val="auto"/>
          <w:highlight w:val="none"/>
          <w:lang w:val="en-US" w:eastAsia="zh-CN"/>
        </w:rPr>
        <w:t>150</w:t>
      </w:r>
      <w:r>
        <w:rPr>
          <w:rFonts w:hint="eastAsia" w:cs="仿宋_GB2312"/>
          <w:color w:val="auto"/>
          <w:sz w:val="28"/>
          <w:szCs w:val="28"/>
          <w:highlight w:val="none"/>
          <w:lang w:val="en-US" w:eastAsia="zh-CN"/>
        </w:rPr>
        <w:t>万元，全年执行数为</w:t>
      </w:r>
      <w:r>
        <w:rPr>
          <w:rFonts w:hint="eastAsia"/>
          <w:b/>
          <w:bCs/>
          <w:color w:val="auto"/>
          <w:highlight w:val="none"/>
          <w:lang w:val="en-US" w:eastAsia="zh-CN"/>
        </w:rPr>
        <w:t>150</w:t>
      </w:r>
      <w:r>
        <w:rPr>
          <w:rFonts w:hint="eastAsia" w:cs="仿宋_GB2312"/>
          <w:color w:val="auto"/>
          <w:sz w:val="28"/>
          <w:szCs w:val="28"/>
          <w:highlight w:val="none"/>
          <w:lang w:val="en-US" w:eastAsia="zh-CN"/>
        </w:rPr>
        <w:t>元，预算执行率为</w:t>
      </w:r>
      <w:r>
        <w:rPr>
          <w:rFonts w:hint="eastAsia"/>
          <w:b/>
          <w:bCs/>
          <w:color w:val="auto"/>
          <w:highlight w:val="none"/>
          <w:lang w:val="en-US" w:eastAsia="zh-CN"/>
        </w:rPr>
        <w:t>100</w:t>
      </w:r>
      <w:r>
        <w:rPr>
          <w:rFonts w:hint="eastAsia" w:cs="仿宋_GB2312"/>
          <w:color w:val="auto"/>
          <w:sz w:val="28"/>
          <w:szCs w:val="28"/>
          <w:highlight w:val="none"/>
          <w:lang w:val="en-US" w:eastAsia="zh-CN"/>
        </w:rPr>
        <w:t>%，</w:t>
      </w:r>
      <w:r>
        <w:rPr>
          <w:rFonts w:hint="eastAsia" w:cs="仿宋_GB2312"/>
          <w:color w:val="auto"/>
          <w:sz w:val="28"/>
          <w:szCs w:val="28"/>
          <w:highlight w:val="none"/>
          <w:lang w:eastAsia="zh-CN"/>
        </w:rPr>
        <w:t>总体完成率为</w:t>
      </w:r>
      <w:r>
        <w:rPr>
          <w:rFonts w:hint="eastAsia"/>
          <w:b/>
          <w:bCs/>
          <w:color w:val="auto"/>
          <w:highlight w:val="none"/>
          <w:lang w:val="en-US" w:eastAsia="zh-CN"/>
        </w:rPr>
        <w:t>100</w:t>
      </w:r>
      <w:r>
        <w:rPr>
          <w:rFonts w:hint="eastAsia" w:cs="仿宋_GB2312"/>
          <w:color w:val="auto"/>
          <w:sz w:val="28"/>
          <w:szCs w:val="28"/>
          <w:highlight w:val="none"/>
          <w:lang w:val="zh-TW" w:eastAsia="zh-TW"/>
        </w:rPr>
        <w:t>%。</w:t>
      </w:r>
      <w:r>
        <w:rPr>
          <w:rFonts w:hint="eastAsia" w:cs="仿宋_GB2312"/>
          <w:color w:val="auto"/>
          <w:sz w:val="28"/>
          <w:szCs w:val="28"/>
          <w:highlight w:val="none"/>
          <w:lang w:val="en-US" w:eastAsia="zh-CN"/>
        </w:rPr>
        <w:t>预算执行率与总体完成率之间无</w:t>
      </w:r>
      <w:r>
        <w:rPr>
          <w:rFonts w:hint="eastAsia"/>
          <w:color w:val="auto"/>
          <w:highlight w:val="none"/>
        </w:rPr>
        <w:t>偏差</w:t>
      </w:r>
      <w:r>
        <w:rPr>
          <w:rFonts w:hint="eastAsia" w:ascii="仿宋_GB2312" w:hAnsi="仿宋_GB2312" w:cs="仿宋_GB2312"/>
          <w:color w:val="auto"/>
          <w:sz w:val="28"/>
          <w:szCs w:val="28"/>
          <w:highlight w:val="none"/>
        </w:rPr>
        <w:t>。</w:t>
      </w:r>
    </w:p>
    <w:p>
      <w:pPr>
        <w:pStyle w:val="4"/>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79"/>
    </w:p>
    <w:p>
      <w:pPr>
        <w:numPr>
          <w:ilvl w:val="0"/>
          <w:numId w:val="0"/>
        </w:numPr>
        <w:bidi w:val="0"/>
        <w:ind w:left="560" w:leftChars="0"/>
        <w:outlineLvl w:val="1"/>
        <w:rPr>
          <w:rFonts w:hint="eastAsia"/>
          <w:b/>
          <w:bCs/>
          <w:color w:val="auto"/>
          <w:highlight w:val="none"/>
          <w:lang w:eastAsia="zh-CN"/>
        </w:rPr>
      </w:pPr>
      <w:bookmarkStart w:id="80" w:name="_Toc13160"/>
      <w:bookmarkStart w:id="81" w:name="_Toc1921"/>
      <w:bookmarkStart w:id="82" w:name="_Toc28290"/>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0"/>
    </w:p>
    <w:p>
      <w:pPr>
        <w:bidi w:val="0"/>
        <w:rPr>
          <w:rFonts w:hint="eastAsia"/>
          <w:color w:val="auto"/>
          <w:highlight w:val="none"/>
          <w:lang w:eastAsia="zh-CN"/>
        </w:rPr>
      </w:pPr>
      <w:r>
        <w:rPr>
          <w:rFonts w:hint="eastAsia"/>
          <w:color w:val="auto"/>
          <w:highlight w:val="none"/>
          <w:lang w:val="en-US" w:eastAsia="zh-CN"/>
        </w:rPr>
        <w:t>阜康市综合服务中心主体工程项目（2023年3月化债资金）</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150</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150</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val="en-US" w:eastAsia="zh-CN"/>
        </w:rPr>
        <w:t>市委办</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市委办</w:t>
      </w:r>
      <w:r>
        <w:rPr>
          <w:rFonts w:hint="eastAsia"/>
          <w:color w:val="auto"/>
          <w:highlight w:val="none"/>
          <w:lang w:eastAsia="zh-CN"/>
        </w:rPr>
        <w:t>事业发展中关系民生与稳定的项目，切实优化资源配置，提高了资金使用的效率和效果。</w:t>
      </w:r>
    </w:p>
    <w:bookmarkEnd w:id="81"/>
    <w:bookmarkEnd w:id="82"/>
    <w:p>
      <w:pPr>
        <w:bidi w:val="0"/>
        <w:outlineLvl w:val="1"/>
        <w:rPr>
          <w:rFonts w:hint="eastAsia"/>
          <w:b/>
          <w:bCs/>
          <w:color w:val="auto"/>
          <w:highlight w:val="none"/>
          <w:lang w:eastAsia="zh-CN"/>
        </w:rPr>
      </w:pPr>
      <w:bookmarkStart w:id="83"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3"/>
    </w:p>
    <w:p>
      <w:pPr>
        <w:bidi w:val="0"/>
        <w:rPr>
          <w:rFonts w:hint="default" w:ascii="宋体" w:hAnsi="宋体" w:eastAsia="宋体" w:cs="宋体"/>
          <w:color w:val="auto"/>
          <w:highlight w:val="none"/>
          <w:lang w:val="en-US" w:eastAsia="zh-CN"/>
        </w:rPr>
      </w:pPr>
      <w:bookmarkStart w:id="84" w:name="_Toc5230"/>
      <w:r>
        <w:rPr>
          <w:rFonts w:hint="eastAsia" w:ascii="宋体" w:hAnsi="宋体" w:eastAsia="宋体" w:cs="宋体"/>
          <w:color w:val="auto"/>
          <w:highlight w:val="none"/>
          <w:lang w:val="en-US" w:eastAsia="zh-CN"/>
        </w:rPr>
        <w:t>（一）</w:t>
      </w:r>
      <w:r>
        <w:rPr>
          <w:rFonts w:hint="eastAsia" w:cs="宋体"/>
          <w:color w:val="auto"/>
          <w:highlight w:val="none"/>
          <w:lang w:val="en-US" w:eastAsia="zh-CN"/>
        </w:rPr>
        <w:t>项目未经过</w:t>
      </w:r>
      <w:r>
        <w:rPr>
          <w:rFonts w:hint="eastAsia"/>
          <w:color w:val="auto"/>
          <w:highlight w:val="none"/>
          <w:lang w:eastAsia="zh-CN"/>
        </w:rPr>
        <w:t>事前</w:t>
      </w:r>
      <w:r>
        <w:rPr>
          <w:rFonts w:hint="eastAsia"/>
          <w:color w:val="auto"/>
          <w:highlight w:val="none"/>
          <w:lang w:val="en-US" w:eastAsia="zh-CN"/>
        </w:rPr>
        <w:t>绩效，如</w:t>
      </w:r>
      <w:r>
        <w:rPr>
          <w:rFonts w:hint="eastAsia"/>
          <w:color w:val="auto"/>
          <w:highlight w:val="none"/>
          <w:lang w:eastAsia="zh-CN"/>
        </w:rPr>
        <w:t>可行性研究、专家论证、风险评估、绩效评估。</w:t>
      </w:r>
    </w:p>
    <w:p>
      <w:pPr>
        <w:pageBreakBefore w:val="0"/>
        <w:kinsoku/>
        <w:wordWrap/>
        <w:overflowPunct/>
        <w:topLinePunct w:val="0"/>
        <w:autoSpaceDE/>
        <w:autoSpaceDN/>
        <w:bidi w:val="0"/>
        <w:spacing w:line="560" w:lineRule="exact"/>
        <w:ind w:firstLine="560" w:firstLineChars="200"/>
        <w:rPr>
          <w:rFonts w:hint="default"/>
          <w:color w:val="auto"/>
          <w:highlight w:val="none"/>
          <w:lang w:val="en-US" w:eastAsia="zh-CN"/>
        </w:rPr>
      </w:pPr>
      <w:r>
        <w:rPr>
          <w:rFonts w:hint="eastAsia"/>
          <w:color w:val="auto"/>
          <w:highlight w:val="none"/>
          <w:lang w:val="en-US" w:eastAsia="zh-CN"/>
        </w:rPr>
        <w:t>（二）掌握绩效管理工作不精不透，绩效业务专业人员缺乏，专业能力不足，学习有待加强。</w:t>
      </w:r>
    </w:p>
    <w:p>
      <w:pPr>
        <w:pStyle w:val="4"/>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4"/>
    </w:p>
    <w:p>
      <w:pPr>
        <w:pageBreakBefore w:val="0"/>
        <w:widowControl w:val="0"/>
        <w:kinsoku/>
        <w:wordWrap/>
        <w:overflowPunct/>
        <w:topLinePunct w:val="0"/>
        <w:autoSpaceDE/>
        <w:autoSpaceDN/>
        <w:bidi w:val="0"/>
        <w:adjustRightInd/>
        <w:snapToGrid/>
        <w:spacing w:line="360" w:lineRule="auto"/>
        <w:ind w:left="0" w:leftChars="0" w:firstLine="560" w:firstLineChars="200"/>
        <w:textAlignment w:val="auto"/>
        <w:rPr>
          <w:rFonts w:hint="default" w:ascii="宋体" w:hAnsi="宋体" w:eastAsia="宋体" w:cs="宋体"/>
          <w:color w:val="auto"/>
          <w:highlight w:val="none"/>
          <w:lang w:val="en-US" w:eastAsia="zh-CN"/>
        </w:rPr>
      </w:pPr>
      <w:bookmarkStart w:id="85" w:name="_Toc15618"/>
      <w:r>
        <w:rPr>
          <w:rFonts w:hint="eastAsia" w:cs="宋体"/>
          <w:color w:val="auto"/>
          <w:highlight w:val="none"/>
          <w:lang w:val="en-US" w:eastAsia="zh-CN"/>
        </w:rPr>
        <w:t>（一）做好项目绩效事前评估，针对项目的</w:t>
      </w:r>
      <w:r>
        <w:rPr>
          <w:rFonts w:hint="eastAsia"/>
          <w:color w:val="auto"/>
          <w:highlight w:val="none"/>
          <w:lang w:eastAsia="zh-CN"/>
        </w:rPr>
        <w:t>可行性研究、专家论证、风险评估、绩效评估</w:t>
      </w:r>
      <w:r>
        <w:rPr>
          <w:rFonts w:hint="eastAsia"/>
          <w:color w:val="auto"/>
          <w:highlight w:val="none"/>
          <w:lang w:val="en-US" w:eastAsia="zh-CN"/>
        </w:rPr>
        <w:t>要</w:t>
      </w:r>
      <w:r>
        <w:rPr>
          <w:rFonts w:hint="eastAsia" w:ascii="宋体" w:hAnsi="宋体" w:eastAsia="宋体" w:cs="宋体"/>
          <w:color w:val="auto"/>
          <w:highlight w:val="none"/>
          <w:lang w:val="en-US" w:eastAsia="zh-CN"/>
        </w:rPr>
        <w:t>跟踪分析</w:t>
      </w:r>
      <w:r>
        <w:rPr>
          <w:rFonts w:hint="eastAsia" w:cs="宋体"/>
          <w:color w:val="auto"/>
          <w:highlight w:val="none"/>
          <w:lang w:val="en-US" w:eastAsia="zh-CN"/>
        </w:rPr>
        <w:t>，提高项目的立项规范性</w:t>
      </w:r>
      <w:r>
        <w:rPr>
          <w:rFonts w:hint="eastAsia" w:ascii="宋体" w:hAnsi="宋体" w:eastAsia="宋体" w:cs="宋体"/>
          <w:color w:val="auto"/>
          <w:highlight w:val="none"/>
          <w:lang w:val="en-US" w:eastAsia="zh-CN"/>
        </w:rPr>
        <w:t>。</w:t>
      </w:r>
    </w:p>
    <w:p>
      <w:pPr>
        <w:ind w:left="0" w:leftChars="0" w:firstLine="560" w:firstLineChars="200"/>
        <w:rPr>
          <w:rFonts w:hint="eastAsia"/>
          <w:color w:val="auto"/>
          <w:highlight w:val="none"/>
          <w:lang w:val="en-US" w:eastAsia="zh-CN"/>
        </w:rPr>
      </w:pPr>
      <w:r>
        <w:rPr>
          <w:rFonts w:hint="eastAsia" w:cs="宋体"/>
          <w:color w:val="auto"/>
          <w:kern w:val="2"/>
          <w:sz w:val="28"/>
          <w:szCs w:val="28"/>
          <w:highlight w:val="none"/>
          <w:lang w:val="en-US" w:eastAsia="zh-CN" w:bidi="ar-SA"/>
        </w:rPr>
        <w:t>（二）</w:t>
      </w:r>
      <w:r>
        <w:rPr>
          <w:rFonts w:hint="eastAsia" w:ascii="宋体" w:hAnsi="宋体" w:eastAsia="宋体" w:cs="宋体"/>
          <w:color w:val="auto"/>
          <w:kern w:val="2"/>
          <w:sz w:val="28"/>
          <w:szCs w:val="28"/>
          <w:highlight w:val="none"/>
          <w:lang w:val="en-US" w:eastAsia="zh-CN" w:bidi="ar-SA"/>
        </w:rPr>
        <w:t>通过强化专业培训、业务交流等措施，提高业务人员绩效管理意识，帮助和促进本单位现有人员提高绩效管理业务水平、实际工作能力，进一步加强预算绩效管理工作。</w:t>
      </w:r>
    </w:p>
    <w:p>
      <w:pPr>
        <w:pStyle w:val="4"/>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5"/>
    </w:p>
    <w:p>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pPr>
        <w:rPr>
          <w:rFonts w:hint="eastAsia" w:ascii="宋体" w:hAnsi="宋体" w:eastAsia="宋体" w:cs="宋体"/>
          <w:b/>
          <w:bCs/>
          <w:color w:val="auto"/>
          <w:kern w:val="2"/>
          <w:sz w:val="36"/>
          <w:szCs w:val="28"/>
          <w:highlight w:val="none"/>
          <w:lang w:val="en-US" w:eastAsia="zh-CN" w:bidi="ar-SA"/>
        </w:rPr>
        <w:sectPr>
          <w:footerReference r:id="rId3"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r>
        <w:rPr>
          <w:rFonts w:hint="eastAsia" w:ascii="宋体" w:hAnsi="宋体" w:eastAsia="宋体" w:cs="宋体"/>
          <w:b/>
          <w:bCs/>
          <w:color w:val="auto"/>
          <w:kern w:val="2"/>
          <w:sz w:val="36"/>
          <w:szCs w:val="28"/>
          <w:highlight w:val="none"/>
          <w:lang w:val="en-US" w:eastAsia="zh-CN" w:bidi="ar-SA"/>
        </w:rPr>
        <w:br w:type="page"/>
      </w:r>
    </w:p>
    <w:p>
      <w:pPr>
        <w:pStyle w:val="4"/>
        <w:pageBreakBefore w:val="0"/>
        <w:numPr>
          <w:ilvl w:val="0"/>
          <w:numId w:val="0"/>
        </w:numPr>
        <w:kinsoku/>
        <w:wordWrap/>
        <w:overflowPunct/>
        <w:topLinePunct w:val="0"/>
        <w:autoSpaceDE/>
        <w:autoSpaceDN/>
        <w:bidi w:val="0"/>
        <w:adjustRightInd/>
        <w:spacing w:beforeLines="0" w:afterLines="0" w:line="360" w:lineRule="auto"/>
        <w:textAlignment w:val="auto"/>
        <w:rPr>
          <w:color w:val="auto"/>
          <w:highlight w:val="none"/>
        </w:rPr>
      </w:pPr>
      <w:bookmarkStart w:id="86" w:name="_Toc11349"/>
      <w:r>
        <w:rPr>
          <w:rFonts w:hint="eastAsia" w:ascii="宋体" w:hAnsi="宋体" w:eastAsia="宋体" w:cs="宋体"/>
          <w:b/>
          <w:bCs/>
          <w:color w:val="auto"/>
          <w:highlight w:val="none"/>
          <w:shd w:val="clear" w:color="auto" w:fill="auto"/>
          <w:lang w:val="en-US" w:eastAsia="zh-CN"/>
        </w:rPr>
        <w:t>附件一、项目支出绩效自评表</w:t>
      </w:r>
      <w:bookmarkEnd w:id="86"/>
    </w:p>
    <w:tbl>
      <w:tblPr>
        <w:tblStyle w:val="11"/>
        <w:tblW w:w="14074" w:type="dxa"/>
        <w:tblInd w:w="1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937"/>
        <w:gridCol w:w="937"/>
        <w:gridCol w:w="937"/>
        <w:gridCol w:w="937"/>
        <w:gridCol w:w="1317"/>
        <w:gridCol w:w="937"/>
        <w:gridCol w:w="937"/>
        <w:gridCol w:w="1032"/>
        <w:gridCol w:w="938"/>
        <w:gridCol w:w="938"/>
        <w:gridCol w:w="1128"/>
        <w:gridCol w:w="1128"/>
        <w:gridCol w:w="1033"/>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800" w:hRule="atLeast"/>
        </w:trPr>
        <w:tc>
          <w:tcPr>
            <w:tcW w:w="14074" w:type="dxa"/>
            <w:gridSpan w:val="14"/>
            <w:tcBorders>
              <w:top w:val="nil"/>
              <w:left w:val="nil"/>
              <w:bottom w:val="nil"/>
              <w:right w:val="nil"/>
            </w:tcBorders>
            <w:shd w:val="clear" w:color="auto" w:fill="auto"/>
            <w:vAlign w:val="center"/>
          </w:tcPr>
          <w:p>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14074" w:type="dxa"/>
            <w:gridSpan w:val="14"/>
            <w:tcBorders>
              <w:top w:val="nil"/>
              <w:left w:val="nil"/>
              <w:bottom w:val="single" w:color="auto" w:sz="4" w:space="0"/>
              <w:right w:val="nil"/>
            </w:tcBorders>
            <w:shd w:val="clear" w:color="auto" w:fill="auto"/>
            <w:vAlign w:val="center"/>
          </w:tcPr>
          <w:p>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874" w:type="dxa"/>
            <w:gridSpan w:val="2"/>
            <w:tcBorders>
              <w:top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200" w:type="dxa"/>
            <w:gridSpan w:val="12"/>
            <w:tcBorders>
              <w:top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阜康市综合服务中心主体工程项目（2023年3月化债资金）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874"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065"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中共阜康市委员会办公室</w:t>
            </w:r>
          </w:p>
        </w:tc>
        <w:tc>
          <w:tcPr>
            <w:tcW w:w="1970"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165"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中共阜康市委员会办公室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874" w:type="dxa"/>
            <w:gridSpan w:val="2"/>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874"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31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874"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70"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066" w:type="dxa"/>
            <w:gridSpan w:val="2"/>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分值权重</w:t>
            </w:r>
          </w:p>
        </w:tc>
        <w:tc>
          <w:tcPr>
            <w:tcW w:w="2161"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874" w:type="dxa"/>
            <w:gridSpan w:val="2"/>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74"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31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150.00 </w:t>
            </w:r>
          </w:p>
        </w:tc>
        <w:tc>
          <w:tcPr>
            <w:tcW w:w="1874"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150.00 </w:t>
            </w:r>
          </w:p>
        </w:tc>
        <w:tc>
          <w:tcPr>
            <w:tcW w:w="1970"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150.00 </w:t>
            </w:r>
          </w:p>
        </w:tc>
        <w:tc>
          <w:tcPr>
            <w:tcW w:w="2066" w:type="dxa"/>
            <w:gridSpan w:val="2"/>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2161"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874" w:type="dxa"/>
            <w:gridSpan w:val="2"/>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74"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31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150.00 </w:t>
            </w:r>
          </w:p>
        </w:tc>
        <w:tc>
          <w:tcPr>
            <w:tcW w:w="1874"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150.00 </w:t>
            </w:r>
          </w:p>
        </w:tc>
        <w:tc>
          <w:tcPr>
            <w:tcW w:w="1970"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150.00 </w:t>
            </w:r>
          </w:p>
        </w:tc>
        <w:tc>
          <w:tcPr>
            <w:tcW w:w="2066" w:type="dxa"/>
            <w:gridSpan w:val="2"/>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2161"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874" w:type="dxa"/>
            <w:gridSpan w:val="2"/>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74"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31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74"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70"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66" w:type="dxa"/>
            <w:gridSpan w:val="2"/>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2161"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937"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972" w:type="dxa"/>
            <w:gridSpan w:val="8"/>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165"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0" w:hRule="atLeast"/>
        </w:trPr>
        <w:tc>
          <w:tcPr>
            <w:tcW w:w="937"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972" w:type="dxa"/>
            <w:gridSpan w:val="8"/>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债务化解机制，切实落实债务化解有关规定，实行科学化、精细‎化管理，加强对化解债务资金分配使用‎，全面准确掌握债务化‎解情况，确保偿债资金‎的安全、规范和有效。2023年计划完成1个项目债务化解工作。</w:t>
            </w:r>
          </w:p>
        </w:tc>
        <w:tc>
          <w:tcPr>
            <w:tcW w:w="5165"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截至2023年12月31日，本单位完成2023年1个项目债务化解工作，从而化解单位债务，项目的实施提升单位和政府形象，完善政府债务化解机制。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937"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31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103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38"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指标赋分规则</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03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0" w:hRule="atLeast"/>
        </w:trPr>
        <w:tc>
          <w:tcPr>
            <w:tcW w:w="937"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937"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化解债务项目数量</w:t>
            </w:r>
          </w:p>
        </w:tc>
        <w:tc>
          <w:tcPr>
            <w:tcW w:w="131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938"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按照完成比例赋分</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938"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0" w:hRule="atLeast"/>
        </w:trPr>
        <w:tc>
          <w:tcPr>
            <w:tcW w:w="937"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37"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资金使用合规率</w:t>
            </w:r>
          </w:p>
        </w:tc>
        <w:tc>
          <w:tcPr>
            <w:tcW w:w="131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38"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按照完成比例赋分</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38"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0" w:hRule="atLeast"/>
        </w:trPr>
        <w:tc>
          <w:tcPr>
            <w:tcW w:w="937"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37"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37"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资金支付及时率</w:t>
            </w:r>
          </w:p>
        </w:tc>
        <w:tc>
          <w:tcPr>
            <w:tcW w:w="131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938"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按照完成比例赋分</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938"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0" w:hRule="atLeast"/>
        </w:trPr>
        <w:tc>
          <w:tcPr>
            <w:tcW w:w="937"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37"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37"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任务完成时间</w:t>
            </w:r>
          </w:p>
        </w:tc>
        <w:tc>
          <w:tcPr>
            <w:tcW w:w="131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=2023年3月</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938"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按照完成比例赋分</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2023年3月</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938"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0" w:hRule="atLeast"/>
        </w:trPr>
        <w:tc>
          <w:tcPr>
            <w:tcW w:w="937"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37"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阜康市综合服务中心主体工程项目成本</w:t>
            </w:r>
          </w:p>
        </w:tc>
        <w:tc>
          <w:tcPr>
            <w:tcW w:w="131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≤150万元</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38"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直接赋分</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150万元</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38"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937"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37"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1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8"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8"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937"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37"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1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8"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8"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937"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37"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1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8"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8"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trPr>
        <w:tc>
          <w:tcPr>
            <w:tcW w:w="937"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37"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化解单位债务，提升单位和政府形象</w:t>
            </w:r>
          </w:p>
        </w:tc>
        <w:tc>
          <w:tcPr>
            <w:tcW w:w="131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有效提升</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38"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按照评判等级赋分</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38"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937"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37"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1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8"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8"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0" w:hRule="atLeast"/>
        </w:trPr>
        <w:tc>
          <w:tcPr>
            <w:tcW w:w="937"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受偿企业满意度</w:t>
            </w:r>
          </w:p>
        </w:tc>
        <w:tc>
          <w:tcPr>
            <w:tcW w:w="131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其他标准</w:t>
            </w: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38"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满意度赋分</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38"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3748" w:type="dxa"/>
            <w:gridSpan w:val="4"/>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317"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937" w:type="dxa"/>
            <w:shd w:val="clear" w:color="auto" w:fill="auto"/>
            <w:vAlign w:val="center"/>
          </w:tcPr>
          <w:p>
            <w:pPr>
              <w:rPr>
                <w:rFonts w:hint="eastAsia" w:ascii="宋体" w:hAnsi="宋体" w:eastAsia="宋体" w:cs="宋体"/>
                <w:b/>
                <w:bCs/>
                <w:i w:val="0"/>
                <w:iCs w:val="0"/>
                <w:color w:val="000000"/>
                <w:sz w:val="20"/>
                <w:szCs w:val="20"/>
                <w:u w:val="none"/>
              </w:rPr>
            </w:pPr>
          </w:p>
        </w:tc>
        <w:tc>
          <w:tcPr>
            <w:tcW w:w="937"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103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38" w:type="dxa"/>
            <w:shd w:val="clear" w:color="auto" w:fill="auto"/>
            <w:vAlign w:val="center"/>
          </w:tcPr>
          <w:p>
            <w:pPr>
              <w:jc w:val="center"/>
            </w:pPr>
          </w:p>
        </w:tc>
        <w:tc>
          <w:tcPr>
            <w:tcW w:w="938" w:type="dxa"/>
            <w:shd w:val="clear" w:color="auto" w:fill="auto"/>
            <w:vAlign w:val="center"/>
          </w:tcPr>
          <w:p>
            <w:pPr>
              <w:rPr>
                <w:rFonts w:hint="eastAsia" w:ascii="宋体" w:hAnsi="宋体" w:eastAsia="宋体" w:cs="宋体"/>
                <w:i w:val="0"/>
                <w:iCs w:val="0"/>
                <w:color w:val="000000"/>
                <w:sz w:val="20"/>
                <w:szCs w:val="20"/>
                <w:u w:val="none"/>
              </w:rPr>
            </w:pPr>
          </w:p>
        </w:tc>
        <w:tc>
          <w:tcPr>
            <w:tcW w:w="1128" w:type="dxa"/>
            <w:shd w:val="clear" w:color="auto" w:fill="auto"/>
            <w:vAlign w:val="center"/>
          </w:tcPr>
          <w:p>
            <w:pPr>
              <w:rPr>
                <w:rFonts w:hint="eastAsia" w:ascii="宋体" w:hAnsi="宋体" w:eastAsia="宋体" w:cs="宋体"/>
                <w:i w:val="0"/>
                <w:iCs w:val="0"/>
                <w:color w:val="000000"/>
                <w:sz w:val="20"/>
                <w:szCs w:val="20"/>
                <w:u w:val="none"/>
              </w:rPr>
            </w:pPr>
          </w:p>
        </w:tc>
        <w:tc>
          <w:tcPr>
            <w:tcW w:w="1128" w:type="dxa"/>
            <w:shd w:val="clear" w:color="auto" w:fill="auto"/>
            <w:vAlign w:val="center"/>
          </w:tcPr>
          <w:p>
            <w:pPr>
              <w:rPr>
                <w:rFonts w:hint="eastAsia" w:ascii="宋体" w:hAnsi="宋体" w:eastAsia="宋体" w:cs="宋体"/>
                <w:i w:val="0"/>
                <w:iCs w:val="0"/>
                <w:color w:val="000000"/>
                <w:sz w:val="20"/>
                <w:szCs w:val="20"/>
                <w:u w:val="none"/>
              </w:rPr>
            </w:pPr>
          </w:p>
        </w:tc>
        <w:tc>
          <w:tcPr>
            <w:tcW w:w="103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8" w:type="dxa"/>
            <w:shd w:val="clear" w:color="auto" w:fill="auto"/>
            <w:vAlign w:val="center"/>
          </w:tcPr>
          <w:p>
            <w:pPr>
              <w:rPr>
                <w:rFonts w:hint="eastAsia" w:ascii="宋体" w:hAnsi="宋体" w:eastAsia="宋体" w:cs="宋体"/>
                <w:i w:val="0"/>
                <w:iCs w:val="0"/>
                <w:color w:val="000000"/>
                <w:sz w:val="20"/>
                <w:szCs w:val="20"/>
                <w:u w:val="none"/>
              </w:rPr>
            </w:pPr>
          </w:p>
        </w:tc>
      </w:tr>
    </w:tbl>
    <w:p>
      <w:pPr>
        <w:ind w:left="0" w:leftChars="-400" w:hanging="1120" w:hangingChars="400"/>
        <w:rPr>
          <w:color w:val="auto"/>
          <w:highlight w:val="none"/>
        </w:rPr>
      </w:pPr>
    </w:p>
    <w:p>
      <w:pPr>
        <w:pStyle w:val="2"/>
        <w:ind w:left="0" w:leftChars="0" w:firstLine="0" w:firstLineChars="0"/>
        <w:jc w:val="both"/>
        <w:rPr>
          <w:rFonts w:hint="default"/>
          <w:color w:val="auto"/>
          <w:highlight w:val="none"/>
          <w:lang w:val="en-US" w:eastAsia="zh-CN"/>
        </w:rPr>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pPr>
        <w:pStyle w:val="4"/>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7"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7"/>
    </w:p>
    <w:tbl>
      <w:tblPr>
        <w:tblStyle w:val="11"/>
        <w:tblW w:w="1392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化解债务项目数量</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7</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产出质量</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资金使用合规率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资金支付及时率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任务完成时间</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6</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阜康市综合服务中心主体工程项目成本</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7</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　</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化解单位债务，提升单位和政府形象</w:t>
            </w:r>
          </w:p>
        </w:tc>
        <w:tc>
          <w:tcPr>
            <w:tcW w:w="2141" w:type="dxa"/>
            <w:shd w:val="clear" w:color="auto" w:fill="auto"/>
            <w:noWrap w:val="0"/>
            <w:vAlign w:val="center"/>
          </w:tcPr>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c>
          <w:tcPr>
            <w:tcW w:w="769"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满意度</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99.8</w:t>
            </w:r>
          </w:p>
        </w:tc>
      </w:tr>
    </w:tbl>
    <w:p>
      <w:pPr>
        <w:spacing w:line="240" w:lineRule="auto"/>
        <w:ind w:firstLine="0" w:firstLineChars="0"/>
        <w:rPr>
          <w:rFonts w:ascii="Times New Roman" w:hAnsi="Times New Roman" w:eastAsia="仿宋_GB2312" w:cs="Times New Roman"/>
          <w:color w:val="auto"/>
          <w:sz w:val="30"/>
          <w:szCs w:val="24"/>
          <w:highlight w:val="none"/>
        </w:rPr>
      </w:pPr>
    </w:p>
    <w:p>
      <w:pPr>
        <w:rPr>
          <w:rFonts w:hint="default"/>
          <w:color w:val="auto"/>
          <w:highlight w:val="none"/>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68291A1A"/>
    <w:rsid w:val="007D6A04"/>
    <w:rsid w:val="00E23C81"/>
    <w:rsid w:val="01253350"/>
    <w:rsid w:val="01282E62"/>
    <w:rsid w:val="014029CF"/>
    <w:rsid w:val="01470C4C"/>
    <w:rsid w:val="02200440"/>
    <w:rsid w:val="02284B43"/>
    <w:rsid w:val="02B015E2"/>
    <w:rsid w:val="02DC08FA"/>
    <w:rsid w:val="033B569D"/>
    <w:rsid w:val="034F1307"/>
    <w:rsid w:val="039C3BA0"/>
    <w:rsid w:val="03A845BB"/>
    <w:rsid w:val="03B45AD1"/>
    <w:rsid w:val="04D12EE4"/>
    <w:rsid w:val="04D63993"/>
    <w:rsid w:val="053C069A"/>
    <w:rsid w:val="07890F4F"/>
    <w:rsid w:val="08892439"/>
    <w:rsid w:val="08EB30F3"/>
    <w:rsid w:val="09237408"/>
    <w:rsid w:val="09781BD6"/>
    <w:rsid w:val="09F359DF"/>
    <w:rsid w:val="0A575E65"/>
    <w:rsid w:val="0ACA0AB6"/>
    <w:rsid w:val="0C032502"/>
    <w:rsid w:val="0C27698C"/>
    <w:rsid w:val="0D4452F3"/>
    <w:rsid w:val="0D934989"/>
    <w:rsid w:val="0F5E5042"/>
    <w:rsid w:val="0FE95707"/>
    <w:rsid w:val="10510571"/>
    <w:rsid w:val="10787A20"/>
    <w:rsid w:val="108672DE"/>
    <w:rsid w:val="10EC685A"/>
    <w:rsid w:val="11FA6155"/>
    <w:rsid w:val="12CF0947"/>
    <w:rsid w:val="12F1313F"/>
    <w:rsid w:val="136C678E"/>
    <w:rsid w:val="13EB2FF5"/>
    <w:rsid w:val="15A46B04"/>
    <w:rsid w:val="165825BC"/>
    <w:rsid w:val="16BC5D73"/>
    <w:rsid w:val="176F36D7"/>
    <w:rsid w:val="1795226D"/>
    <w:rsid w:val="18456B1E"/>
    <w:rsid w:val="1AA4702A"/>
    <w:rsid w:val="1C1171C5"/>
    <w:rsid w:val="1CFD2F9D"/>
    <w:rsid w:val="1D265138"/>
    <w:rsid w:val="1D7B6BCA"/>
    <w:rsid w:val="1DA41A79"/>
    <w:rsid w:val="1DF53469"/>
    <w:rsid w:val="1E2F24F2"/>
    <w:rsid w:val="1E58492F"/>
    <w:rsid w:val="1E5B6757"/>
    <w:rsid w:val="1E8C0EAA"/>
    <w:rsid w:val="1ED10AC6"/>
    <w:rsid w:val="1F131255"/>
    <w:rsid w:val="1F89225F"/>
    <w:rsid w:val="1F900A1F"/>
    <w:rsid w:val="1FC0575D"/>
    <w:rsid w:val="206132C7"/>
    <w:rsid w:val="21B00C1D"/>
    <w:rsid w:val="22A435FC"/>
    <w:rsid w:val="23031BEB"/>
    <w:rsid w:val="23917691"/>
    <w:rsid w:val="244D65B8"/>
    <w:rsid w:val="245E1E24"/>
    <w:rsid w:val="25AB3744"/>
    <w:rsid w:val="25AD5E5D"/>
    <w:rsid w:val="2732478D"/>
    <w:rsid w:val="27661469"/>
    <w:rsid w:val="27900EAD"/>
    <w:rsid w:val="279B538A"/>
    <w:rsid w:val="286F545C"/>
    <w:rsid w:val="28C80538"/>
    <w:rsid w:val="29314FBC"/>
    <w:rsid w:val="2C024B86"/>
    <w:rsid w:val="2C927671"/>
    <w:rsid w:val="2D7409B7"/>
    <w:rsid w:val="2D7C5CD6"/>
    <w:rsid w:val="2E483E7E"/>
    <w:rsid w:val="2E690493"/>
    <w:rsid w:val="2E9854BD"/>
    <w:rsid w:val="2F0D407F"/>
    <w:rsid w:val="2F454B19"/>
    <w:rsid w:val="310224D9"/>
    <w:rsid w:val="31B4621C"/>
    <w:rsid w:val="31E3230A"/>
    <w:rsid w:val="32B9771D"/>
    <w:rsid w:val="32DC116B"/>
    <w:rsid w:val="330957E0"/>
    <w:rsid w:val="33356F64"/>
    <w:rsid w:val="336C49A1"/>
    <w:rsid w:val="33944516"/>
    <w:rsid w:val="34B62907"/>
    <w:rsid w:val="35E1273D"/>
    <w:rsid w:val="36BD137C"/>
    <w:rsid w:val="384F10E3"/>
    <w:rsid w:val="385D37E7"/>
    <w:rsid w:val="38782EDD"/>
    <w:rsid w:val="3A134F99"/>
    <w:rsid w:val="3B42664A"/>
    <w:rsid w:val="3CCB2BCB"/>
    <w:rsid w:val="3D836A4E"/>
    <w:rsid w:val="3EA37E97"/>
    <w:rsid w:val="3FBE0BC5"/>
    <w:rsid w:val="4048103A"/>
    <w:rsid w:val="40736643"/>
    <w:rsid w:val="40D24A7A"/>
    <w:rsid w:val="41C34B8B"/>
    <w:rsid w:val="42621029"/>
    <w:rsid w:val="435241E2"/>
    <w:rsid w:val="43975C51"/>
    <w:rsid w:val="439E3FA7"/>
    <w:rsid w:val="44B32266"/>
    <w:rsid w:val="44FC64F4"/>
    <w:rsid w:val="467F4585"/>
    <w:rsid w:val="470628CB"/>
    <w:rsid w:val="47555BD4"/>
    <w:rsid w:val="47E96399"/>
    <w:rsid w:val="48E12B50"/>
    <w:rsid w:val="499441BE"/>
    <w:rsid w:val="499A6C1C"/>
    <w:rsid w:val="4A2138F0"/>
    <w:rsid w:val="4A583887"/>
    <w:rsid w:val="4B9F6E02"/>
    <w:rsid w:val="4C89637B"/>
    <w:rsid w:val="4E6E48A8"/>
    <w:rsid w:val="4EEC036B"/>
    <w:rsid w:val="501D2673"/>
    <w:rsid w:val="50C80BF1"/>
    <w:rsid w:val="51852833"/>
    <w:rsid w:val="52F11AC8"/>
    <w:rsid w:val="534F49D9"/>
    <w:rsid w:val="53555F0F"/>
    <w:rsid w:val="535D23D5"/>
    <w:rsid w:val="56F4341A"/>
    <w:rsid w:val="575A7321"/>
    <w:rsid w:val="580C3AB9"/>
    <w:rsid w:val="583C7AE0"/>
    <w:rsid w:val="586C1E9A"/>
    <w:rsid w:val="586E0800"/>
    <w:rsid w:val="59216F96"/>
    <w:rsid w:val="598C4145"/>
    <w:rsid w:val="59957D1B"/>
    <w:rsid w:val="59D4294E"/>
    <w:rsid w:val="5B634312"/>
    <w:rsid w:val="5B9D2CCD"/>
    <w:rsid w:val="5B9E71EA"/>
    <w:rsid w:val="5C7315CC"/>
    <w:rsid w:val="5E226FBC"/>
    <w:rsid w:val="5F89315D"/>
    <w:rsid w:val="5FE72BD2"/>
    <w:rsid w:val="60120613"/>
    <w:rsid w:val="60587EA1"/>
    <w:rsid w:val="618D5292"/>
    <w:rsid w:val="622E78FA"/>
    <w:rsid w:val="63343F70"/>
    <w:rsid w:val="633A18FE"/>
    <w:rsid w:val="64296E1C"/>
    <w:rsid w:val="649E64A2"/>
    <w:rsid w:val="65E5270A"/>
    <w:rsid w:val="663D3C54"/>
    <w:rsid w:val="66862C89"/>
    <w:rsid w:val="66BB486D"/>
    <w:rsid w:val="67394C7D"/>
    <w:rsid w:val="68126B38"/>
    <w:rsid w:val="68291A1A"/>
    <w:rsid w:val="68352BB8"/>
    <w:rsid w:val="690E155E"/>
    <w:rsid w:val="691B1594"/>
    <w:rsid w:val="693A016B"/>
    <w:rsid w:val="69900C68"/>
    <w:rsid w:val="6A17429C"/>
    <w:rsid w:val="6A567EA3"/>
    <w:rsid w:val="6AB51288"/>
    <w:rsid w:val="6B4B4368"/>
    <w:rsid w:val="6B79100E"/>
    <w:rsid w:val="6BA73AAA"/>
    <w:rsid w:val="6C844C00"/>
    <w:rsid w:val="6D517201"/>
    <w:rsid w:val="6DBC2951"/>
    <w:rsid w:val="6DCC1D5B"/>
    <w:rsid w:val="6E10212C"/>
    <w:rsid w:val="6E43561A"/>
    <w:rsid w:val="6E557973"/>
    <w:rsid w:val="6E9568DB"/>
    <w:rsid w:val="6F0D6C22"/>
    <w:rsid w:val="6F47657F"/>
    <w:rsid w:val="6FAF23D9"/>
    <w:rsid w:val="70635CF6"/>
    <w:rsid w:val="70670707"/>
    <w:rsid w:val="718015BA"/>
    <w:rsid w:val="71CC10AD"/>
    <w:rsid w:val="720E3691"/>
    <w:rsid w:val="721D233F"/>
    <w:rsid w:val="724E244C"/>
    <w:rsid w:val="72DA6946"/>
    <w:rsid w:val="732764B3"/>
    <w:rsid w:val="74026044"/>
    <w:rsid w:val="74746410"/>
    <w:rsid w:val="756D2207"/>
    <w:rsid w:val="75E5007C"/>
    <w:rsid w:val="77813724"/>
    <w:rsid w:val="77861774"/>
    <w:rsid w:val="783F0848"/>
    <w:rsid w:val="78F31435"/>
    <w:rsid w:val="79300B45"/>
    <w:rsid w:val="794D3E18"/>
    <w:rsid w:val="79F3729A"/>
    <w:rsid w:val="7A880722"/>
    <w:rsid w:val="7A883099"/>
    <w:rsid w:val="7ACB0498"/>
    <w:rsid w:val="7AED0B4D"/>
    <w:rsid w:val="7B42766E"/>
    <w:rsid w:val="7C1E4487"/>
    <w:rsid w:val="7C215E02"/>
    <w:rsid w:val="7CF23764"/>
    <w:rsid w:val="7E797F74"/>
    <w:rsid w:val="7EC24A95"/>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4">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5">
    <w:name w:val="heading 2"/>
    <w:basedOn w:val="1"/>
    <w:next w:val="1"/>
    <w:link w:val="14"/>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6">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spacing w:before="240" w:after="240" w:line="360" w:lineRule="auto"/>
      <w:jc w:val="center"/>
    </w:pPr>
    <w:rPr>
      <w:b/>
      <w:sz w:val="44"/>
    </w:rPr>
  </w:style>
  <w:style w:type="paragraph" w:styleId="3">
    <w:name w:val="Body Text 2"/>
    <w:basedOn w:val="1"/>
    <w:qFormat/>
    <w:uiPriority w:val="0"/>
    <w:pPr>
      <w:spacing w:after="120" w:line="480" w:lineRule="auto"/>
    </w:pPr>
    <w:rPr>
      <w:rFonts w:ascii="Times New Roman" w:hAnsi="Times New Roman" w:eastAsia="宋体" w:cs="Times New Roman"/>
    </w:rPr>
  </w:style>
  <w:style w:type="paragraph" w:styleId="7">
    <w:name w:val="annotation text"/>
    <w:basedOn w:val="1"/>
    <w:qFormat/>
    <w:uiPriority w:val="0"/>
    <w:pPr>
      <w:jc w:val="left"/>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3">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5"/>
    <w:qFormat/>
    <w:uiPriority w:val="0"/>
    <w:rPr>
      <w:rFonts w:ascii="Arial" w:hAnsi="Arial" w:eastAsia="楷体"/>
      <w:b/>
      <w:sz w:val="32"/>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 w:type="paragraph" w:customStyle="1" w:styleId="16">
    <w:name w:val="WPSOffice手动目录 2"/>
    <w:qFormat/>
    <w:uiPriority w:val="0"/>
    <w:pPr>
      <w:ind w:leftChars="200"/>
    </w:pPr>
    <w:rPr>
      <w:rFonts w:ascii="Times New Roman" w:hAnsi="Times New Roman" w:eastAsia="宋体" w:cs="Times New Roman"/>
      <w:sz w:val="20"/>
      <w:szCs w:val="20"/>
    </w:rPr>
  </w:style>
  <w:style w:type="paragraph" w:customStyle="1" w:styleId="17">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8340</Words>
  <Characters>8770</Characters>
  <Lines>0</Lines>
  <Paragraphs>0</Paragraphs>
  <TotalTime>2</TotalTime>
  <ScaleCrop>false</ScaleCrop>
  <LinksUpToDate>false</LinksUpToDate>
  <CharactersWithSpaces>8789</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飞一样的城</cp:lastModifiedBy>
  <dcterms:modified xsi:type="dcterms:W3CDTF">2025-05-29T09:57:25Z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211FFD21187341F38956792BCCB28B2E</vt:lpwstr>
  </property>
</Properties>
</file>