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highlight w:val="none"/>
        </w:rPr>
      </w:pPr>
      <w:bookmarkStart w:id="87" w:name="_GoBack"/>
      <w:bookmarkEnd w:id="87"/>
    </w:p>
    <w:p>
      <w:pPr>
        <w:rPr>
          <w:color w:val="auto"/>
          <w:highlight w:val="none"/>
        </w:rPr>
      </w:pPr>
    </w:p>
    <w:p>
      <w:pPr>
        <w:rPr>
          <w:color w:val="auto"/>
          <w:highlight w:val="none"/>
        </w:rPr>
      </w:pPr>
    </w:p>
    <w:p>
      <w:pPr>
        <w:keepNext w:val="0"/>
        <w:keepLines w:val="0"/>
        <w:pageBreakBefore w:val="0"/>
        <w:widowControl w:val="0"/>
        <w:kinsoku/>
        <w:wordWrap/>
        <w:overflowPunct/>
        <w:topLinePunct w:val="0"/>
        <w:autoSpaceDE/>
        <w:autoSpaceDN/>
        <w:bidi w:val="0"/>
        <w:adjustRightInd/>
        <w:snapToGrid/>
        <w:jc w:val="center"/>
        <w:textAlignment w:val="auto"/>
        <w:rPr>
          <w:b/>
          <w:bCs/>
          <w:color w:val="auto"/>
          <w:sz w:val="40"/>
          <w:szCs w:val="40"/>
          <w:highlight w:val="none"/>
        </w:rPr>
      </w:pPr>
      <w:bookmarkStart w:id="0" w:name="_Toc15679"/>
      <w:r>
        <w:rPr>
          <w:rFonts w:hint="eastAsia"/>
          <w:b/>
          <w:bCs/>
          <w:color w:val="auto"/>
          <w:sz w:val="40"/>
          <w:szCs w:val="40"/>
          <w:highlight w:val="none"/>
        </w:rPr>
        <w:t>阜康市滋泥泉子镇农村厕所革命整村推进财政奖补资金项目支出绩效评价报告</w:t>
      </w:r>
      <w:bookmarkEnd w:id="0"/>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keepNext w:val="0"/>
        <w:keepLines w:val="0"/>
        <w:pageBreakBefore w:val="0"/>
        <w:widowControl w:val="0"/>
        <w:kinsoku/>
        <w:wordWrap/>
        <w:overflowPunct/>
        <w:topLinePunct w:val="0"/>
        <w:autoSpaceDE/>
        <w:autoSpaceDN/>
        <w:bidi w:val="0"/>
        <w:adjustRightInd/>
        <w:snapToGrid/>
        <w:ind w:left="1965" w:leftChars="200" w:hanging="1405" w:hangingChars="500"/>
        <w:textAlignment w:val="auto"/>
        <w:rPr>
          <w:b/>
          <w:bCs/>
          <w:color w:val="auto"/>
          <w:highlight w:val="none"/>
        </w:rPr>
      </w:pPr>
      <w:r>
        <w:rPr>
          <w:rFonts w:hint="eastAsia"/>
          <w:b/>
          <w:bCs/>
          <w:color w:val="auto"/>
          <w:highlight w:val="none"/>
        </w:rPr>
        <w:t>项目名称：</w:t>
      </w:r>
      <w:r>
        <w:rPr>
          <w:rFonts w:hint="eastAsia"/>
          <w:b/>
          <w:bCs/>
          <w:color w:val="auto"/>
          <w:sz w:val="28"/>
          <w:szCs w:val="28"/>
          <w:highlight w:val="none"/>
        </w:rPr>
        <w:t>阜康市滋泥泉子镇农村厕所革命整村推进财政奖补资金项目</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b/>
          <w:bCs/>
          <w:color w:val="auto"/>
          <w:highlight w:val="none"/>
        </w:rPr>
      </w:pPr>
      <w:r>
        <w:rPr>
          <w:rFonts w:hint="eastAsia"/>
          <w:b/>
          <w:bCs/>
          <w:color w:val="auto"/>
          <w:highlight w:val="none"/>
        </w:rPr>
        <w:t>实施单位：阜康市乡村振兴综合保障中心</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b/>
          <w:bCs/>
          <w:color w:val="auto"/>
          <w:highlight w:val="none"/>
        </w:rPr>
      </w:pPr>
      <w:r>
        <w:rPr>
          <w:rFonts w:hint="eastAsia"/>
          <w:b/>
          <w:bCs/>
          <w:color w:val="auto"/>
          <w:highlight w:val="none"/>
        </w:rPr>
        <w:t>主管部门：阜康市乡村振兴综合保障中心</w:t>
      </w:r>
    </w:p>
    <w:p>
      <w:pPr>
        <w:pStyle w:val="11"/>
        <w:rPr>
          <w:color w:val="auto"/>
          <w:highlight w:val="none"/>
        </w:rPr>
      </w:pPr>
    </w:p>
    <w:p>
      <w:pPr>
        <w:rPr>
          <w:color w:val="auto"/>
          <w:highlight w:val="none"/>
        </w:rPr>
      </w:pPr>
      <w:r>
        <w:rPr>
          <w:rFonts w:hint="eastAsia"/>
          <w:color w:val="auto"/>
          <w:highlight w:val="none"/>
        </w:rPr>
        <w:br w:type="page"/>
      </w:r>
    </w:p>
    <w:sdt>
      <w:sdtPr>
        <w:rPr>
          <w:color w:val="auto"/>
          <w:highlight w:val="none"/>
        </w:rPr>
        <w:id w:val="147474046"/>
        <w:docPartObj>
          <w:docPartGallery w:val="Table of Contents"/>
          <w:docPartUnique/>
        </w:docPartObj>
      </w:sdtPr>
      <w:sdtEndPr>
        <w:rPr>
          <w:rFonts w:hint="eastAsia"/>
          <w:b/>
          <w:bCs/>
          <w:color w:val="auto"/>
          <w:highlight w:val="none"/>
        </w:rPr>
      </w:sdtEndPr>
      <w:sdtContent>
        <w:p>
          <w:pPr>
            <w:jc w:val="center"/>
            <w:rPr>
              <w:color w:val="auto"/>
              <w:highlight w:val="none"/>
            </w:rPr>
          </w:pPr>
          <w:r>
            <w:rPr>
              <w:b/>
              <w:bCs/>
              <w:color w:val="auto"/>
              <w:sz w:val="40"/>
              <w:szCs w:val="40"/>
              <w:highlight w:val="none"/>
            </w:rPr>
            <w:t>目录</w:t>
          </w:r>
        </w:p>
        <w:p>
          <w:pPr>
            <w:pStyle w:val="17"/>
            <w:tabs>
              <w:tab w:val="right" w:leader="dot" w:pos="8844"/>
            </w:tabs>
            <w:spacing w:line="520" w:lineRule="exact"/>
            <w:rPr>
              <w:color w:val="auto"/>
              <w:sz w:val="28"/>
              <w:szCs w:val="28"/>
              <w:highlight w:val="none"/>
            </w:rPr>
          </w:pPr>
          <w:r>
            <w:rPr>
              <w:rFonts w:hint="eastAsia"/>
              <w:color w:val="auto"/>
              <w:sz w:val="28"/>
              <w:szCs w:val="28"/>
              <w:highlight w:val="none"/>
            </w:rPr>
            <w:fldChar w:fldCharType="begin"/>
          </w:r>
          <w:r>
            <w:rPr>
              <w:rFonts w:hint="eastAsia"/>
              <w:color w:val="auto"/>
              <w:sz w:val="28"/>
              <w:szCs w:val="28"/>
              <w:highlight w:val="none"/>
            </w:rPr>
            <w:instrText xml:space="preserve">TOC \o "1-3" \h \u </w:instrText>
          </w:r>
          <w:r>
            <w:rPr>
              <w:rFonts w:hint="eastAsia"/>
              <w:color w:val="auto"/>
              <w:sz w:val="28"/>
              <w:szCs w:val="28"/>
              <w:highlight w:val="none"/>
            </w:rPr>
            <w:fldChar w:fldCharType="separate"/>
          </w:r>
        </w:p>
        <w:p>
          <w:pPr>
            <w:pStyle w:val="17"/>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"_Toc17540" </w:instrText>
          </w:r>
          <w:r>
            <w:rPr>
              <w:color w:val="auto"/>
              <w:highlight w:val="none"/>
            </w:rPr>
            <w:fldChar w:fldCharType="separate"/>
          </w:r>
          <w:r>
            <w:rPr>
              <w:rFonts w:hint="eastAsia" w:ascii="宋体" w:hAnsi="宋体" w:cs="宋体"/>
              <w:b/>
              <w:bCs/>
              <w:color w:val="auto"/>
              <w:sz w:val="28"/>
              <w:szCs w:val="28"/>
              <w:highlight w:val="none"/>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b/>
              <w:bCs/>
              <w:color w:val="auto"/>
              <w:sz w:val="28"/>
              <w:szCs w:val="28"/>
              <w:highlight w:val="none"/>
            </w:rPr>
            <w:fldChar w:fldCharType="end"/>
          </w:r>
        </w:p>
        <w:p>
          <w:pPr>
            <w:pStyle w:val="18"/>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"_Toc18966" </w:instrText>
          </w:r>
          <w:r>
            <w:rPr>
              <w:color w:val="auto"/>
              <w:highlight w:val="none"/>
            </w:rPr>
            <w:fldChar w:fldCharType="separate"/>
          </w:r>
          <w:r>
            <w:rPr>
              <w:rFonts w:hint="eastAsia" w:ascii="宋体" w:hAnsi="宋体" w:cs="宋体"/>
              <w:color w:val="auto"/>
              <w:sz w:val="28"/>
              <w:szCs w:val="28"/>
              <w:highlight w:val="none"/>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pPr>
            <w:pStyle w:val="18"/>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"_Toc2879" </w:instrText>
          </w:r>
          <w:r>
            <w:rPr>
              <w:color w:val="auto"/>
              <w:highlight w:val="none"/>
            </w:rPr>
            <w:fldChar w:fldCharType="separate"/>
          </w:r>
          <w:r>
            <w:rPr>
              <w:rFonts w:hint="eastAsia" w:ascii="宋体" w:hAnsi="宋体" w:cs="宋体"/>
              <w:color w:val="auto"/>
              <w:sz w:val="28"/>
              <w:szCs w:val="28"/>
              <w:highlight w:val="none"/>
            </w:rPr>
            <w:t>（二）项目绩效目标</w:t>
          </w:r>
          <w:r>
            <w:rPr>
              <w:color w:val="auto"/>
              <w:sz w:val="28"/>
              <w:szCs w:val="28"/>
              <w:highlight w:val="none"/>
            </w:rPr>
            <w:tab/>
          </w:r>
          <w:r>
            <w:rPr>
              <w:rFonts w:hint="eastAsia"/>
              <w:color w:val="auto"/>
              <w:sz w:val="28"/>
              <w:szCs w:val="28"/>
              <w:highlight w:val="none"/>
              <w:lang w:val="en-US" w:eastAsia="zh-CN"/>
            </w:rPr>
            <w:t>4</w:t>
          </w:r>
          <w:r>
            <w:rPr>
              <w:color w:val="auto"/>
              <w:sz w:val="28"/>
              <w:szCs w:val="28"/>
              <w:highlight w:val="none"/>
            </w:rPr>
            <w:fldChar w:fldCharType="end"/>
          </w:r>
        </w:p>
        <w:p>
          <w:pPr>
            <w:pStyle w:val="17"/>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"_Toc2549" </w:instrText>
          </w:r>
          <w:r>
            <w:rPr>
              <w:color w:val="auto"/>
              <w:highlight w:val="none"/>
            </w:rPr>
            <w:fldChar w:fldCharType="separate"/>
          </w:r>
          <w:r>
            <w:rPr>
              <w:rFonts w:hint="eastAsia" w:ascii="宋体" w:hAnsi="宋体" w:cs="宋体"/>
              <w:b/>
              <w:bCs/>
              <w:color w:val="auto"/>
              <w:sz w:val="28"/>
              <w:szCs w:val="28"/>
              <w:highlight w:val="none"/>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b/>
              <w:bCs/>
              <w:color w:val="auto"/>
              <w:sz w:val="28"/>
              <w:szCs w:val="28"/>
              <w:highlight w:val="none"/>
            </w:rPr>
            <w:fldChar w:fldCharType="end"/>
          </w:r>
        </w:p>
        <w:p>
          <w:pPr>
            <w:pStyle w:val="18"/>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"_Toc21778" </w:instrText>
          </w:r>
          <w:r>
            <w:rPr>
              <w:color w:val="auto"/>
              <w:highlight w:val="none"/>
            </w:rPr>
            <w:fldChar w:fldCharType="separate"/>
          </w:r>
          <w:r>
            <w:rPr>
              <w:rFonts w:hint="eastAsia" w:ascii="宋体" w:hAnsi="宋体" w:cs="宋体"/>
              <w:color w:val="auto"/>
              <w:sz w:val="28"/>
              <w:szCs w:val="28"/>
              <w:highlight w:val="none"/>
            </w:rPr>
            <w:t>（一）绩效评价的目的、对象和范围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pPr>
            <w:pStyle w:val="18"/>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"_Toc15902" </w:instrText>
          </w:r>
          <w:r>
            <w:rPr>
              <w:color w:val="auto"/>
              <w:highlight w:val="none"/>
            </w:rPr>
            <w:fldChar w:fldCharType="separate"/>
          </w:r>
          <w:r>
            <w:rPr>
              <w:rFonts w:hint="eastAsia" w:ascii="宋体" w:hAnsi="宋体" w:cs="宋体"/>
              <w:color w:val="auto"/>
              <w:sz w:val="28"/>
              <w:szCs w:val="28"/>
              <w:highlight w:val="none"/>
            </w:rPr>
            <w:t>（二）绩效评价原则、评价指标体系（附表说明）、评价方法、评价标准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color w:val="auto"/>
              <w:sz w:val="28"/>
              <w:szCs w:val="28"/>
              <w:highlight w:val="none"/>
            </w:rPr>
            <w:fldChar w:fldCharType="end"/>
          </w:r>
        </w:p>
        <w:p>
          <w:pPr>
            <w:pStyle w:val="19"/>
            <w:tabs>
              <w:tab w:val="right" w:leader="dot" w:pos="8844"/>
            </w:tabs>
            <w:spacing w:line="520" w:lineRule="exact"/>
            <w:ind w:left="0" w:leftChars="0" w:firstLine="400" w:firstLineChars="200"/>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"_Toc1070" </w:instrText>
          </w:r>
          <w:r>
            <w:rPr>
              <w:color w:val="auto"/>
              <w:highlight w:val="none"/>
            </w:rPr>
            <w:fldChar w:fldCharType="separate"/>
          </w:r>
          <w:r>
            <w:rPr>
              <w:rFonts w:hint="eastAsia" w:ascii="宋体" w:hAnsi="宋体" w:cs="宋体"/>
              <w:color w:val="auto"/>
              <w:sz w:val="28"/>
              <w:szCs w:val="28"/>
              <w:highlight w:val="none"/>
            </w:rPr>
            <w:t>（三）绩效评价工作过程</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r>
            <w:rPr>
              <w:rFonts w:hint="eastAsia"/>
              <w:color w:val="auto"/>
              <w:sz w:val="28"/>
              <w:szCs w:val="28"/>
              <w:highlight w:val="none"/>
              <w:lang w:val="en-US" w:eastAsia="zh-CN"/>
            </w:rPr>
            <w:t>2</w:t>
          </w:r>
        </w:p>
        <w:p>
          <w:pPr>
            <w:pStyle w:val="17"/>
            <w:tabs>
              <w:tab w:val="right" w:leader="dot" w:pos="8844"/>
            </w:tabs>
            <w:spacing w:line="520" w:lineRule="exact"/>
            <w:rPr>
              <w:rFonts w:hint="eastAsia" w:eastAsia="宋体"/>
              <w:b/>
              <w:bCs/>
              <w:color w:val="auto"/>
              <w:sz w:val="28"/>
              <w:szCs w:val="28"/>
              <w:highlight w:val="none"/>
              <w:lang w:val="en-US" w:eastAsia="zh-CN"/>
            </w:rPr>
          </w:pPr>
          <w:r>
            <w:rPr>
              <w:color w:val="auto"/>
              <w:highlight w:val="none"/>
            </w:rPr>
            <w:fldChar w:fldCharType="begin"/>
          </w:r>
          <w:r>
            <w:rPr>
              <w:color w:val="auto"/>
              <w:highlight w:val="none"/>
            </w:rPr>
            <w:instrText xml:space="preserve"> HYPERLINK \l "_Toc1100" </w:instrText>
          </w:r>
          <w:r>
            <w:rPr>
              <w:color w:val="auto"/>
              <w:highlight w:val="none"/>
            </w:rPr>
            <w:fldChar w:fldCharType="separate"/>
          </w:r>
          <w:r>
            <w:rPr>
              <w:rFonts w:hint="eastAsia" w:ascii="宋体" w:hAnsi="宋体" w:cs="宋体"/>
              <w:b/>
              <w:bCs/>
              <w:color w:val="auto"/>
              <w:sz w:val="28"/>
              <w:szCs w:val="28"/>
              <w:highlight w:val="none"/>
            </w:rPr>
            <w:t>三、综合评价情况及评价结论</w:t>
          </w:r>
          <w:r>
            <w:rPr>
              <w:b/>
              <w:bCs/>
              <w:color w:val="auto"/>
              <w:sz w:val="28"/>
              <w:szCs w:val="28"/>
              <w:highlight w:val="none"/>
            </w:rPr>
            <w:tab/>
          </w:r>
          <w:r>
            <w:rPr>
              <w:rFonts w:hint="eastAsia"/>
              <w:b/>
              <w:bCs/>
              <w:color w:val="auto"/>
              <w:sz w:val="28"/>
              <w:szCs w:val="28"/>
              <w:highlight w:val="none"/>
              <w:lang w:val="en-US" w:eastAsia="zh-CN"/>
            </w:rPr>
            <w:t>1</w:t>
          </w:r>
          <w:r>
            <w:rPr>
              <w:b/>
              <w:bCs/>
              <w:color w:val="auto"/>
              <w:sz w:val="28"/>
              <w:szCs w:val="28"/>
              <w:highlight w:val="none"/>
            </w:rPr>
            <w:fldChar w:fldCharType="end"/>
          </w:r>
          <w:r>
            <w:rPr>
              <w:rFonts w:hint="eastAsia"/>
              <w:b/>
              <w:bCs/>
              <w:color w:val="auto"/>
              <w:sz w:val="28"/>
              <w:szCs w:val="28"/>
              <w:highlight w:val="none"/>
              <w:lang w:val="en-US" w:eastAsia="zh-CN"/>
            </w:rPr>
            <w:t>4</w:t>
          </w:r>
        </w:p>
        <w:p>
          <w:pPr>
            <w:pStyle w:val="17"/>
            <w:tabs>
              <w:tab w:val="right" w:leader="dot" w:pos="8844"/>
            </w:tabs>
            <w:spacing w:line="520" w:lineRule="exact"/>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"_Toc9421" </w:instrText>
          </w:r>
          <w:r>
            <w:rPr>
              <w:color w:val="auto"/>
              <w:highlight w:val="none"/>
            </w:rPr>
            <w:fldChar w:fldCharType="separate"/>
          </w:r>
          <w:r>
            <w:rPr>
              <w:rFonts w:hint="eastAsia" w:ascii="宋体" w:hAnsi="宋体" w:cs="宋体"/>
              <w:b/>
              <w:bCs/>
              <w:color w:val="auto"/>
              <w:sz w:val="28"/>
              <w:szCs w:val="28"/>
              <w:highlight w:val="none"/>
            </w:rPr>
            <w:t>四、绩效评价指标分析</w:t>
          </w:r>
          <w:r>
            <w:rPr>
              <w:b/>
              <w:bCs/>
              <w:color w:val="auto"/>
              <w:sz w:val="28"/>
              <w:szCs w:val="28"/>
              <w:highlight w:val="none"/>
            </w:rPr>
            <w:tab/>
          </w:r>
          <w:r>
            <w:rPr>
              <w:rFonts w:hint="eastAsia"/>
              <w:b/>
              <w:bCs/>
              <w:color w:val="auto"/>
              <w:sz w:val="28"/>
              <w:szCs w:val="28"/>
              <w:highlight w:val="none"/>
              <w:lang w:val="en-US" w:eastAsia="zh-CN"/>
            </w:rPr>
            <w:t>1</w:t>
          </w:r>
          <w:r>
            <w:rPr>
              <w:b/>
              <w:bCs/>
              <w:color w:val="auto"/>
              <w:sz w:val="28"/>
              <w:szCs w:val="28"/>
              <w:highlight w:val="none"/>
            </w:rPr>
            <w:fldChar w:fldCharType="end"/>
          </w:r>
          <w:r>
            <w:rPr>
              <w:rFonts w:hint="eastAsia"/>
              <w:b/>
              <w:bCs/>
              <w:color w:val="auto"/>
              <w:sz w:val="28"/>
              <w:szCs w:val="28"/>
              <w:highlight w:val="none"/>
              <w:lang w:val="en-US" w:eastAsia="zh-CN"/>
            </w:rPr>
            <w:t>4</w:t>
          </w:r>
        </w:p>
        <w:p>
          <w:pPr>
            <w:pStyle w:val="18"/>
            <w:tabs>
              <w:tab w:val="right" w:leader="dot" w:pos="8844"/>
            </w:tabs>
            <w:spacing w:line="520" w:lineRule="exact"/>
            <w:ind w:left="560"/>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"_Toc15355" </w:instrText>
          </w:r>
          <w:r>
            <w:rPr>
              <w:color w:val="auto"/>
              <w:highlight w:val="none"/>
            </w:rPr>
            <w:fldChar w:fldCharType="separate"/>
          </w:r>
          <w:r>
            <w:rPr>
              <w:rFonts w:hint="eastAsia" w:ascii="宋体" w:hAnsi="宋体" w:cs="宋体"/>
              <w:color w:val="auto"/>
              <w:sz w:val="28"/>
              <w:szCs w:val="28"/>
              <w:highlight w:val="none"/>
            </w:rPr>
            <w:t>（一）项目决策情况</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r>
            <w:rPr>
              <w:rFonts w:hint="eastAsia"/>
              <w:color w:val="auto"/>
              <w:sz w:val="28"/>
              <w:szCs w:val="28"/>
              <w:highlight w:val="none"/>
              <w:lang w:val="en-US" w:eastAsia="zh-CN"/>
            </w:rPr>
            <w:t>4</w:t>
          </w:r>
        </w:p>
        <w:p>
          <w:pPr>
            <w:pStyle w:val="18"/>
            <w:tabs>
              <w:tab w:val="right" w:leader="dot" w:pos="8844"/>
            </w:tabs>
            <w:spacing w:line="520" w:lineRule="exact"/>
            <w:ind w:left="560"/>
            <w:rPr>
              <w:rFonts w:hint="default"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"_Toc11361" </w:instrText>
          </w:r>
          <w:r>
            <w:rPr>
              <w:color w:val="auto"/>
              <w:highlight w:val="none"/>
            </w:rPr>
            <w:fldChar w:fldCharType="separate"/>
          </w:r>
          <w:r>
            <w:rPr>
              <w:rFonts w:hint="eastAsia" w:ascii="宋体" w:hAnsi="宋体" w:cs="宋体"/>
              <w:color w:val="auto"/>
              <w:sz w:val="28"/>
              <w:szCs w:val="28"/>
              <w:highlight w:val="none"/>
            </w:rPr>
            <w:t>（二）项目过程情况</w:t>
          </w:r>
          <w:r>
            <w:rPr>
              <w:color w:val="auto"/>
              <w:sz w:val="28"/>
              <w:szCs w:val="28"/>
              <w:highlight w:val="none"/>
            </w:rPr>
            <w:tab/>
          </w:r>
          <w:r>
            <w:rPr>
              <w:color w:val="auto"/>
              <w:sz w:val="28"/>
              <w:szCs w:val="28"/>
              <w:highlight w:val="none"/>
            </w:rPr>
            <w:fldChar w:fldCharType="end"/>
          </w:r>
          <w:r>
            <w:rPr>
              <w:rFonts w:hint="eastAsia"/>
              <w:color w:val="auto"/>
              <w:sz w:val="28"/>
              <w:szCs w:val="28"/>
              <w:highlight w:val="none"/>
              <w:lang w:val="en-US" w:eastAsia="zh-CN"/>
            </w:rPr>
            <w:t>17</w:t>
          </w:r>
        </w:p>
        <w:p>
          <w:pPr>
            <w:pStyle w:val="18"/>
            <w:tabs>
              <w:tab w:val="right" w:leader="dot" w:pos="8844"/>
            </w:tabs>
            <w:spacing w:line="520" w:lineRule="exact"/>
            <w:ind w:left="560"/>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"_Toc16268" </w:instrText>
          </w:r>
          <w:r>
            <w:rPr>
              <w:color w:val="auto"/>
              <w:highlight w:val="none"/>
            </w:rPr>
            <w:fldChar w:fldCharType="separate"/>
          </w:r>
          <w:r>
            <w:rPr>
              <w:rFonts w:hint="eastAsia" w:ascii="宋体" w:hAnsi="宋体" w:cs="宋体"/>
              <w:color w:val="auto"/>
              <w:sz w:val="28"/>
              <w:szCs w:val="28"/>
              <w:highlight w:val="none"/>
            </w:rPr>
            <w:t>（三）项目产出情况</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r>
            <w:rPr>
              <w:rFonts w:hint="eastAsia"/>
              <w:color w:val="auto"/>
              <w:sz w:val="28"/>
              <w:szCs w:val="28"/>
              <w:highlight w:val="none"/>
              <w:lang w:val="en-US" w:eastAsia="zh-CN"/>
            </w:rPr>
            <w:t>9</w:t>
          </w:r>
        </w:p>
        <w:p>
          <w:pPr>
            <w:pStyle w:val="18"/>
            <w:tabs>
              <w:tab w:val="right" w:leader="dot" w:pos="8844"/>
            </w:tabs>
            <w:spacing w:line="520" w:lineRule="exact"/>
            <w:ind w:left="560"/>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"_Toc18446" </w:instrText>
          </w:r>
          <w:r>
            <w:rPr>
              <w:color w:val="auto"/>
              <w:highlight w:val="none"/>
            </w:rPr>
            <w:fldChar w:fldCharType="separate"/>
          </w:r>
          <w:r>
            <w:rPr>
              <w:rFonts w:hint="eastAsia" w:ascii="宋体" w:hAnsi="宋体" w:cs="宋体"/>
              <w:color w:val="auto"/>
              <w:sz w:val="28"/>
              <w:szCs w:val="28"/>
              <w:highlight w:val="none"/>
            </w:rPr>
            <w:t>（四）项目效益情况</w:t>
          </w:r>
          <w:r>
            <w:rPr>
              <w:color w:val="auto"/>
              <w:sz w:val="28"/>
              <w:szCs w:val="28"/>
              <w:highlight w:val="none"/>
            </w:rPr>
            <w:tab/>
          </w:r>
          <w:r>
            <w:rPr>
              <w:rFonts w:hint="eastAsia"/>
              <w:color w:val="auto"/>
              <w:sz w:val="28"/>
              <w:szCs w:val="28"/>
              <w:highlight w:val="none"/>
              <w:lang w:val="en-US" w:eastAsia="zh-CN"/>
            </w:rPr>
            <w:t>2</w:t>
          </w:r>
          <w:r>
            <w:rPr>
              <w:color w:val="auto"/>
              <w:sz w:val="28"/>
              <w:szCs w:val="28"/>
              <w:highlight w:val="none"/>
            </w:rPr>
            <w:fldChar w:fldCharType="end"/>
          </w:r>
          <w:r>
            <w:rPr>
              <w:rFonts w:hint="eastAsia"/>
              <w:color w:val="auto"/>
              <w:sz w:val="28"/>
              <w:szCs w:val="28"/>
              <w:highlight w:val="none"/>
              <w:lang w:val="en-US" w:eastAsia="zh-CN"/>
            </w:rPr>
            <w:t>1</w:t>
          </w:r>
        </w:p>
        <w:p>
          <w:pPr>
            <w:pStyle w:val="17"/>
            <w:tabs>
              <w:tab w:val="right" w:leader="dot" w:pos="8844"/>
            </w:tabs>
            <w:spacing w:line="520" w:lineRule="exact"/>
            <w:rPr>
              <w:rFonts w:hint="eastAsia" w:eastAsia="宋体"/>
              <w:b/>
              <w:bCs/>
              <w:color w:val="auto"/>
              <w:sz w:val="28"/>
              <w:szCs w:val="28"/>
              <w:highlight w:val="none"/>
              <w:lang w:val="en-US" w:eastAsia="zh-CN"/>
            </w:rPr>
          </w:pPr>
          <w:r>
            <w:rPr>
              <w:color w:val="auto"/>
              <w:highlight w:val="none"/>
            </w:rPr>
            <w:fldChar w:fldCharType="begin"/>
          </w:r>
          <w:r>
            <w:rPr>
              <w:color w:val="auto"/>
              <w:highlight w:val="none"/>
            </w:rPr>
            <w:instrText xml:space="preserve"> HYPERLINK \l "_Toc19962" </w:instrText>
          </w:r>
          <w:r>
            <w:rPr>
              <w:color w:val="auto"/>
              <w:highlight w:val="none"/>
            </w:rPr>
            <w:fldChar w:fldCharType="separate"/>
          </w:r>
          <w:r>
            <w:rPr>
              <w:rFonts w:hint="eastAsia" w:ascii="宋体" w:hAnsi="宋体" w:cs="宋体"/>
              <w:b/>
              <w:bCs/>
              <w:color w:val="auto"/>
              <w:sz w:val="28"/>
              <w:szCs w:val="28"/>
              <w:highlight w:val="none"/>
            </w:rPr>
            <w:t>五、预算执行进度与指标偏差</w:t>
          </w:r>
          <w:r>
            <w:rPr>
              <w:b/>
              <w:bCs/>
              <w:color w:val="auto"/>
              <w:sz w:val="28"/>
              <w:szCs w:val="28"/>
              <w:highlight w:val="none"/>
            </w:rPr>
            <w:tab/>
          </w:r>
          <w:r>
            <w:rPr>
              <w:rFonts w:hint="eastAsia"/>
              <w:b/>
              <w:bCs/>
              <w:color w:val="auto"/>
              <w:sz w:val="28"/>
              <w:szCs w:val="28"/>
              <w:highlight w:val="none"/>
              <w:lang w:val="en-US" w:eastAsia="zh-CN"/>
            </w:rPr>
            <w:t>2</w:t>
          </w:r>
          <w:r>
            <w:rPr>
              <w:b/>
              <w:bCs/>
              <w:color w:val="auto"/>
              <w:sz w:val="28"/>
              <w:szCs w:val="28"/>
              <w:highlight w:val="none"/>
            </w:rPr>
            <w:fldChar w:fldCharType="end"/>
          </w:r>
          <w:r>
            <w:rPr>
              <w:rFonts w:hint="eastAsia"/>
              <w:b/>
              <w:bCs/>
              <w:color w:val="auto"/>
              <w:sz w:val="28"/>
              <w:szCs w:val="28"/>
              <w:highlight w:val="none"/>
              <w:lang w:val="en-US" w:eastAsia="zh-CN"/>
            </w:rPr>
            <w:t>2</w:t>
          </w:r>
        </w:p>
        <w:p>
          <w:pPr>
            <w:pStyle w:val="17"/>
            <w:tabs>
              <w:tab w:val="right" w:leader="dot" w:pos="8844"/>
            </w:tabs>
            <w:spacing w:line="520" w:lineRule="exact"/>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"_Toc29934" </w:instrText>
          </w:r>
          <w:r>
            <w:rPr>
              <w:color w:val="auto"/>
              <w:highlight w:val="none"/>
            </w:rPr>
            <w:fldChar w:fldCharType="separate"/>
          </w:r>
          <w:r>
            <w:rPr>
              <w:rFonts w:hint="eastAsia" w:ascii="宋体" w:hAnsi="宋体" w:cs="宋体"/>
              <w:b/>
              <w:bCs/>
              <w:color w:val="auto"/>
              <w:sz w:val="28"/>
              <w:szCs w:val="28"/>
              <w:highlight w:val="none"/>
            </w:rPr>
            <w:t>六、主要经验及做法、存在的问题及原因分析</w:t>
          </w:r>
          <w:r>
            <w:rPr>
              <w:b/>
              <w:bCs/>
              <w:color w:val="auto"/>
              <w:sz w:val="28"/>
              <w:szCs w:val="28"/>
              <w:highlight w:val="none"/>
            </w:rPr>
            <w:tab/>
          </w:r>
          <w:r>
            <w:rPr>
              <w:rFonts w:hint="eastAsia"/>
              <w:b/>
              <w:bCs/>
              <w:color w:val="auto"/>
              <w:sz w:val="28"/>
              <w:szCs w:val="28"/>
              <w:highlight w:val="none"/>
              <w:lang w:val="en-US" w:eastAsia="zh-CN"/>
            </w:rPr>
            <w:t>2</w:t>
          </w:r>
          <w:r>
            <w:rPr>
              <w:b/>
              <w:bCs/>
              <w:color w:val="auto"/>
              <w:sz w:val="28"/>
              <w:szCs w:val="28"/>
              <w:highlight w:val="none"/>
            </w:rPr>
            <w:fldChar w:fldCharType="end"/>
          </w:r>
          <w:r>
            <w:rPr>
              <w:rFonts w:hint="eastAsia"/>
              <w:b/>
              <w:bCs/>
              <w:color w:val="auto"/>
              <w:sz w:val="28"/>
              <w:szCs w:val="28"/>
              <w:highlight w:val="none"/>
              <w:lang w:val="en-US" w:eastAsia="zh-CN"/>
            </w:rPr>
            <w:t>2</w:t>
          </w:r>
        </w:p>
        <w:p>
          <w:pPr>
            <w:pStyle w:val="18"/>
            <w:tabs>
              <w:tab w:val="right" w:leader="dot" w:pos="8844"/>
            </w:tabs>
            <w:spacing w:line="520" w:lineRule="exact"/>
            <w:ind w:left="560"/>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"_Toc13160" </w:instrText>
          </w:r>
          <w:r>
            <w:rPr>
              <w:color w:val="auto"/>
              <w:highlight w:val="none"/>
            </w:rPr>
            <w:fldChar w:fldCharType="separate"/>
          </w:r>
          <w:r>
            <w:rPr>
              <w:rFonts w:hint="eastAsia"/>
              <w:bCs/>
              <w:color w:val="auto"/>
              <w:sz w:val="28"/>
              <w:szCs w:val="28"/>
              <w:highlight w:val="none"/>
            </w:rPr>
            <w:t>（一）主要经验及做法</w:t>
          </w:r>
          <w:r>
            <w:rPr>
              <w:color w:val="auto"/>
              <w:sz w:val="28"/>
              <w:szCs w:val="28"/>
              <w:highlight w:val="none"/>
            </w:rPr>
            <w:tab/>
          </w:r>
          <w:r>
            <w:rPr>
              <w:rFonts w:hint="eastAsia"/>
              <w:color w:val="auto"/>
              <w:sz w:val="28"/>
              <w:szCs w:val="28"/>
              <w:highlight w:val="none"/>
              <w:lang w:val="en-US" w:eastAsia="zh-CN"/>
            </w:rPr>
            <w:t>2</w:t>
          </w:r>
          <w:r>
            <w:rPr>
              <w:color w:val="auto"/>
              <w:sz w:val="28"/>
              <w:szCs w:val="28"/>
              <w:highlight w:val="none"/>
            </w:rPr>
            <w:fldChar w:fldCharType="end"/>
          </w:r>
          <w:r>
            <w:rPr>
              <w:rFonts w:hint="eastAsia"/>
              <w:color w:val="auto"/>
              <w:sz w:val="28"/>
              <w:szCs w:val="28"/>
              <w:highlight w:val="none"/>
              <w:lang w:val="en-US" w:eastAsia="zh-CN"/>
            </w:rPr>
            <w:t>2</w:t>
          </w:r>
        </w:p>
        <w:p>
          <w:pPr>
            <w:pStyle w:val="18"/>
            <w:tabs>
              <w:tab w:val="right" w:leader="dot" w:pos="8844"/>
            </w:tabs>
            <w:spacing w:line="520" w:lineRule="exact"/>
            <w:ind w:left="560"/>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"_Toc9582" </w:instrText>
          </w:r>
          <w:r>
            <w:rPr>
              <w:color w:val="auto"/>
              <w:highlight w:val="none"/>
            </w:rPr>
            <w:fldChar w:fldCharType="separate"/>
          </w:r>
          <w:r>
            <w:rPr>
              <w:rFonts w:hint="eastAsia"/>
              <w:bCs/>
              <w:color w:val="auto"/>
              <w:sz w:val="28"/>
              <w:szCs w:val="28"/>
              <w:highlight w:val="none"/>
            </w:rPr>
            <w:t>（二）存在的问题及原因分析</w:t>
          </w:r>
          <w:r>
            <w:rPr>
              <w:color w:val="auto"/>
              <w:sz w:val="28"/>
              <w:szCs w:val="28"/>
              <w:highlight w:val="none"/>
            </w:rPr>
            <w:tab/>
          </w:r>
          <w:r>
            <w:rPr>
              <w:rFonts w:hint="eastAsia"/>
              <w:color w:val="auto"/>
              <w:sz w:val="28"/>
              <w:szCs w:val="28"/>
              <w:highlight w:val="none"/>
              <w:lang w:val="en-US" w:eastAsia="zh-CN"/>
            </w:rPr>
            <w:t>2</w:t>
          </w:r>
          <w:r>
            <w:rPr>
              <w:color w:val="auto"/>
              <w:sz w:val="28"/>
              <w:szCs w:val="28"/>
              <w:highlight w:val="none"/>
            </w:rPr>
            <w:fldChar w:fldCharType="end"/>
          </w:r>
          <w:r>
            <w:rPr>
              <w:rFonts w:hint="eastAsia"/>
              <w:color w:val="auto"/>
              <w:sz w:val="28"/>
              <w:szCs w:val="28"/>
              <w:highlight w:val="none"/>
              <w:lang w:val="en-US" w:eastAsia="zh-CN"/>
            </w:rPr>
            <w:t>3</w:t>
          </w:r>
        </w:p>
        <w:p>
          <w:pPr>
            <w:pStyle w:val="17"/>
            <w:tabs>
              <w:tab w:val="right" w:leader="dot" w:pos="8844"/>
            </w:tabs>
            <w:spacing w:line="520" w:lineRule="exact"/>
            <w:rPr>
              <w:rFonts w:hint="eastAsia" w:eastAsia="宋体"/>
              <w:b/>
              <w:bCs/>
              <w:color w:val="auto"/>
              <w:sz w:val="28"/>
              <w:szCs w:val="28"/>
              <w:highlight w:val="none"/>
              <w:lang w:val="en-US" w:eastAsia="zh-CN"/>
            </w:rPr>
          </w:pPr>
          <w:r>
            <w:rPr>
              <w:color w:val="auto"/>
              <w:highlight w:val="none"/>
            </w:rPr>
            <w:fldChar w:fldCharType="begin"/>
          </w:r>
          <w:r>
            <w:rPr>
              <w:color w:val="auto"/>
              <w:highlight w:val="none"/>
            </w:rPr>
            <w:instrText xml:space="preserve"> HYPERLINK \l "_Toc5230" </w:instrText>
          </w:r>
          <w:r>
            <w:rPr>
              <w:color w:val="auto"/>
              <w:highlight w:val="none"/>
            </w:rPr>
            <w:fldChar w:fldCharType="separate"/>
          </w:r>
          <w:r>
            <w:rPr>
              <w:rFonts w:hint="eastAsia" w:ascii="宋体" w:hAnsi="宋体" w:cs="宋体"/>
              <w:b/>
              <w:bCs/>
              <w:color w:val="auto"/>
              <w:sz w:val="28"/>
              <w:szCs w:val="28"/>
              <w:highlight w:val="none"/>
            </w:rPr>
            <w:t>七、有关建议</w:t>
          </w:r>
          <w:r>
            <w:rPr>
              <w:b/>
              <w:bCs/>
              <w:color w:val="auto"/>
              <w:sz w:val="28"/>
              <w:szCs w:val="28"/>
              <w:highlight w:val="none"/>
            </w:rPr>
            <w:tab/>
          </w:r>
          <w:r>
            <w:rPr>
              <w:rFonts w:hint="eastAsia"/>
              <w:b/>
              <w:bCs/>
              <w:color w:val="auto"/>
              <w:sz w:val="28"/>
              <w:szCs w:val="28"/>
              <w:highlight w:val="none"/>
              <w:lang w:val="en-US" w:eastAsia="zh-CN"/>
            </w:rPr>
            <w:t>2</w:t>
          </w:r>
          <w:r>
            <w:rPr>
              <w:b/>
              <w:bCs/>
              <w:color w:val="auto"/>
              <w:sz w:val="28"/>
              <w:szCs w:val="28"/>
              <w:highlight w:val="none"/>
            </w:rPr>
            <w:fldChar w:fldCharType="end"/>
          </w:r>
          <w:r>
            <w:rPr>
              <w:rFonts w:hint="eastAsia"/>
              <w:b/>
              <w:bCs/>
              <w:color w:val="auto"/>
              <w:sz w:val="28"/>
              <w:szCs w:val="28"/>
              <w:highlight w:val="none"/>
              <w:lang w:val="en-US" w:eastAsia="zh-CN"/>
            </w:rPr>
            <w:t>3</w:t>
          </w:r>
        </w:p>
        <w:p>
          <w:pPr>
            <w:pStyle w:val="17"/>
            <w:tabs>
              <w:tab w:val="right" w:leader="dot" w:pos="8844"/>
            </w:tabs>
            <w:spacing w:line="520" w:lineRule="exact"/>
            <w:rPr>
              <w:rFonts w:hint="eastAsia" w:eastAsia="宋体"/>
              <w:b/>
              <w:bCs/>
              <w:color w:val="auto"/>
              <w:sz w:val="28"/>
              <w:szCs w:val="28"/>
              <w:highlight w:val="none"/>
              <w:lang w:val="en-US" w:eastAsia="zh-CN"/>
            </w:rPr>
          </w:pPr>
          <w:r>
            <w:rPr>
              <w:color w:val="auto"/>
              <w:highlight w:val="none"/>
            </w:rPr>
            <w:fldChar w:fldCharType="begin"/>
          </w:r>
          <w:r>
            <w:rPr>
              <w:color w:val="auto"/>
              <w:highlight w:val="none"/>
            </w:rPr>
            <w:instrText xml:space="preserve"> HYPERLINK \l "_Toc15618" </w:instrText>
          </w:r>
          <w:r>
            <w:rPr>
              <w:color w:val="auto"/>
              <w:highlight w:val="none"/>
            </w:rPr>
            <w:fldChar w:fldCharType="separate"/>
          </w:r>
          <w:r>
            <w:rPr>
              <w:rFonts w:hint="eastAsia" w:ascii="宋体" w:hAnsi="宋体" w:cs="宋体"/>
              <w:b/>
              <w:bCs/>
              <w:color w:val="auto"/>
              <w:sz w:val="28"/>
              <w:szCs w:val="28"/>
              <w:highlight w:val="none"/>
            </w:rPr>
            <w:t>八、其他需要说明的问题</w:t>
          </w:r>
          <w:r>
            <w:rPr>
              <w:b/>
              <w:bCs/>
              <w:color w:val="auto"/>
              <w:sz w:val="28"/>
              <w:szCs w:val="28"/>
              <w:highlight w:val="none"/>
            </w:rPr>
            <w:tab/>
          </w:r>
          <w:r>
            <w:rPr>
              <w:rFonts w:hint="eastAsia"/>
              <w:b/>
              <w:bCs/>
              <w:color w:val="auto"/>
              <w:sz w:val="28"/>
              <w:szCs w:val="28"/>
              <w:highlight w:val="none"/>
              <w:lang w:val="en-US" w:eastAsia="zh-CN"/>
            </w:rPr>
            <w:t>2</w:t>
          </w:r>
          <w:r>
            <w:rPr>
              <w:b/>
              <w:bCs/>
              <w:color w:val="auto"/>
              <w:sz w:val="28"/>
              <w:szCs w:val="28"/>
              <w:highlight w:val="none"/>
            </w:rPr>
            <w:fldChar w:fldCharType="end"/>
          </w:r>
          <w:r>
            <w:rPr>
              <w:rFonts w:hint="eastAsia"/>
              <w:b/>
              <w:bCs/>
              <w:color w:val="auto"/>
              <w:sz w:val="28"/>
              <w:szCs w:val="28"/>
              <w:highlight w:val="none"/>
              <w:lang w:val="en-US" w:eastAsia="zh-CN"/>
            </w:rPr>
            <w:t>4</w:t>
          </w:r>
        </w:p>
        <w:p>
          <w:pPr>
            <w:pStyle w:val="17"/>
            <w:tabs>
              <w:tab w:val="right" w:leader="dot" w:pos="8844"/>
            </w:tabs>
            <w:spacing w:line="520" w:lineRule="exact"/>
            <w:rPr>
              <w:color w:val="auto"/>
              <w:sz w:val="28"/>
              <w:szCs w:val="28"/>
              <w:highlight w:val="none"/>
            </w:rPr>
          </w:pPr>
        </w:p>
        <w:p>
          <w:pPr>
            <w:rPr>
              <w:color w:val="auto"/>
              <w:highlight w:val="none"/>
            </w:rPr>
            <w:sectPr>
              <w:pgSz w:w="11906" w:h="16838"/>
              <w:pgMar w:top="1928" w:right="1531" w:bottom="1701" w:left="1531" w:header="737" w:footer="851" w:gutter="0"/>
              <w:cols w:space="720" w:num="1"/>
              <w:docGrid w:type="lines" w:linePitch="408" w:charSpace="0"/>
            </w:sectPr>
          </w:pPr>
          <w:r>
            <w:rPr>
              <w:rFonts w:hint="eastAsia"/>
              <w:color w:val="auto"/>
              <w:highlight w:val="none"/>
            </w:rPr>
            <w:fldChar w:fldCharType="end"/>
          </w:r>
        </w:p>
      </w:sdtContent>
    </w:sdt>
    <w:p>
      <w:pPr>
        <w:keepNext w:val="0"/>
        <w:keepLines w:val="0"/>
        <w:pageBreakBefore w:val="0"/>
        <w:widowControl w:val="0"/>
        <w:kinsoku/>
        <w:wordWrap/>
        <w:overflowPunct/>
        <w:topLinePunct w:val="0"/>
        <w:autoSpaceDE/>
        <w:autoSpaceDN/>
        <w:bidi w:val="0"/>
        <w:adjustRightInd/>
        <w:snapToGrid/>
        <w:jc w:val="center"/>
        <w:textAlignment w:val="auto"/>
        <w:rPr>
          <w:b/>
          <w:bCs/>
          <w:color w:val="auto"/>
          <w:sz w:val="36"/>
          <w:szCs w:val="36"/>
          <w:highlight w:val="none"/>
        </w:rPr>
      </w:pPr>
      <w:bookmarkStart w:id="1" w:name="_Toc1194"/>
      <w:r>
        <w:rPr>
          <w:rFonts w:hint="eastAsia"/>
          <w:b/>
          <w:bCs/>
          <w:color w:val="auto"/>
          <w:sz w:val="36"/>
          <w:szCs w:val="36"/>
          <w:highlight w:val="none"/>
        </w:rPr>
        <w:t>阜康市滋泥泉子镇农村厕所革命整村推进财政奖补资金项目支出绩效评价报告</w:t>
      </w:r>
      <w:bookmarkEnd w:id="1"/>
    </w:p>
    <w:p>
      <w:pPr>
        <w:pStyle w:val="2"/>
        <w:pageBreakBefore w:val="0"/>
        <w:widowControl w:val="0"/>
        <w:kinsoku/>
        <w:wordWrap/>
        <w:overflowPunct/>
        <w:topLinePunct w:val="0"/>
        <w:autoSpaceDE/>
        <w:autoSpaceDN/>
        <w:bidi w:val="0"/>
        <w:adjustRightInd/>
        <w:snapToGrid/>
        <w:spacing w:line="360" w:lineRule="auto"/>
        <w:ind w:left="0"/>
        <w:textAlignment w:val="auto"/>
        <w:rPr>
          <w:rFonts w:hint="eastAsia" w:asciiTheme="minorEastAsia" w:hAnsiTheme="minorEastAsia" w:eastAsiaTheme="minorEastAsia" w:cstheme="minorEastAsia"/>
          <w:b/>
          <w:bCs/>
          <w:color w:val="auto"/>
          <w:highlight w:val="none"/>
        </w:rPr>
      </w:pPr>
      <w:bookmarkStart w:id="2" w:name="_Toc17540"/>
      <w:r>
        <w:rPr>
          <w:rFonts w:hint="eastAsia" w:asciiTheme="minorEastAsia" w:hAnsiTheme="minorEastAsia" w:eastAsiaTheme="minorEastAsia" w:cstheme="minorEastAsia"/>
          <w:b/>
          <w:bCs/>
          <w:color w:val="auto"/>
          <w:highlight w:val="none"/>
        </w:rPr>
        <w:t>一、基本情况</w:t>
      </w:r>
      <w:bookmarkEnd w:id="2"/>
    </w:p>
    <w:p>
      <w:pPr>
        <w:pStyle w:val="3"/>
        <w:pageBreakBefore w:val="0"/>
        <w:widowControl w:val="0"/>
        <w:kinsoku/>
        <w:wordWrap/>
        <w:overflowPunct/>
        <w:topLinePunct w:val="0"/>
        <w:autoSpaceDE/>
        <w:autoSpaceDN/>
        <w:bidi w:val="0"/>
        <w:adjustRightInd/>
        <w:snapToGrid/>
        <w:spacing w:line="360" w:lineRule="auto"/>
        <w:ind w:left="0"/>
        <w:textAlignment w:val="auto"/>
        <w:rPr>
          <w:color w:val="auto"/>
          <w:highlight w:val="none"/>
        </w:rPr>
      </w:pPr>
      <w:bookmarkStart w:id="3" w:name="_Toc18966"/>
      <w:r>
        <w:rPr>
          <w:rFonts w:hint="eastAsia"/>
          <w:color w:val="auto"/>
          <w:highlight w:val="none"/>
        </w:rPr>
        <w:t>（一）项目概况</w:t>
      </w:r>
      <w:bookmarkEnd w:id="3"/>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4" w:name="_Toc5043"/>
      <w:r>
        <w:rPr>
          <w:rFonts w:hint="eastAsia" w:ascii="宋体" w:hAnsi="宋体" w:eastAsia="宋体" w:cs="宋体"/>
          <w:b/>
          <w:bCs w:val="0"/>
          <w:color w:val="auto"/>
          <w:highlight w:val="none"/>
        </w:rPr>
        <w:t>1.项目背景</w:t>
      </w:r>
      <w:bookmarkEnd w:id="4"/>
    </w:p>
    <w:p>
      <w:pPr>
        <w:pageBreakBefore w:val="0"/>
        <w:widowControl w:val="0"/>
        <w:kinsoku/>
        <w:wordWrap/>
        <w:overflowPunct/>
        <w:topLinePunct w:val="0"/>
        <w:autoSpaceDE/>
        <w:autoSpaceDN/>
        <w:bidi w:val="0"/>
        <w:adjustRightInd/>
        <w:snapToGrid/>
        <w:spacing w:line="360" w:lineRule="auto"/>
        <w:ind w:left="0"/>
        <w:textAlignment w:val="auto"/>
        <w:rPr>
          <w:color w:val="auto"/>
          <w:highlight w:val="none"/>
        </w:rPr>
      </w:pPr>
      <w:r>
        <w:rPr>
          <w:rFonts w:hint="eastAsia"/>
          <w:color w:val="auto"/>
          <w:highlight w:val="none"/>
        </w:rPr>
        <w:t xml:space="preserve">    在党的十九大报告中，习近平总书记首次提出了“实施乡村振兴战略”。报告指出</w:t>
      </w:r>
      <w:r>
        <w:rPr>
          <w:color w:val="auto"/>
          <w:highlight w:val="none"/>
        </w:rPr>
        <w:t>:“农业农村农民问题是关系国计民生的根本性问题，必须始终把解决好‘三农’问题作为全党工作重中之重”，并提出要坚持农业农村优先发展，加快推进农业农村现代化。</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乡村振兴战略是一项系统工程，包括坚持农业农村优先发展，巩固和完善农村基本经营制度，保持土地承包关系稳定并长久不变，深化农村集体产权制度改革，确保国家粮食安全，构建现代农业产业体系、生产体系、经营体系等各个方面和层次的部署。开展“美丽乡村”创建活动，重点推进生态农业建设、推广节能减排技术、节约和保护农业资源、改善农村人居环境，是在农村地区建设美丽中国的具体行动。</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近年来，阜康市以人为本抓管理创精品，城乡发展不断展现新面貌。但总体而言广大农村地区基础设施依然薄弱，人居环境脏乱差现象仍然突出。推进生态人居、生态环境、生态经济和生态文化建设，创建宜居、宜业、宜游的“美丽乡村”，是新农村建设理念、内容和水平的全面提升，是贯彻落实城乡一体化发展战略的实际步骤。</w:t>
      </w:r>
    </w:p>
    <w:p>
      <w:pPr>
        <w:pageBreakBefore w:val="0"/>
        <w:widowControl w:val="0"/>
        <w:kinsoku/>
        <w:wordWrap/>
        <w:overflowPunct/>
        <w:topLinePunct w:val="0"/>
        <w:autoSpaceDE/>
        <w:autoSpaceDN/>
        <w:bidi w:val="0"/>
        <w:adjustRightInd/>
        <w:snapToGrid/>
        <w:spacing w:line="360" w:lineRule="auto"/>
        <w:ind w:left="0" w:firstLine="562" w:firstLineChars="200"/>
        <w:textAlignment w:val="auto"/>
        <w:rPr>
          <w:b/>
          <w:bCs/>
          <w:color w:val="auto"/>
          <w:highlight w:val="none"/>
        </w:rPr>
      </w:pPr>
      <w:bookmarkStart w:id="5" w:name="_Toc27343"/>
      <w:r>
        <w:rPr>
          <w:rFonts w:hint="eastAsia"/>
          <w:b/>
          <w:bCs/>
          <w:color w:val="auto"/>
          <w:highlight w:val="none"/>
        </w:rPr>
        <w:t>2.主要内容及实施情况</w:t>
      </w:r>
      <w:bookmarkEnd w:id="5"/>
      <w:bookmarkStart w:id="6" w:name="_Toc16592"/>
    </w:p>
    <w:p>
      <w:pPr>
        <w:pageBreakBefore w:val="0"/>
        <w:widowControl w:val="0"/>
        <w:kinsoku/>
        <w:wordWrap/>
        <w:overflowPunct/>
        <w:topLinePunct w:val="0"/>
        <w:autoSpaceDE/>
        <w:autoSpaceDN/>
        <w:bidi w:val="0"/>
        <w:adjustRightInd/>
        <w:snapToGrid/>
        <w:spacing w:line="360" w:lineRule="auto"/>
        <w:ind w:left="0" w:firstLine="562" w:firstLineChars="200"/>
        <w:textAlignment w:val="auto"/>
        <w:rPr>
          <w:color w:val="auto"/>
          <w:highlight w:val="none"/>
        </w:rPr>
      </w:pPr>
      <w:r>
        <w:rPr>
          <w:rFonts w:hint="eastAsia"/>
          <w:b/>
          <w:bCs/>
          <w:color w:val="auto"/>
          <w:highlight w:val="none"/>
        </w:rPr>
        <w:t>主要内容：</w:t>
      </w:r>
      <w:bookmarkEnd w:id="6"/>
      <w:r>
        <w:rPr>
          <w:rFonts w:hint="eastAsia"/>
          <w:color w:val="auto"/>
          <w:highlight w:val="none"/>
        </w:rPr>
        <w:t>贯彻执行党和政府的方针政策以及上级部门的指示，决定，为镇党委政府出主意，当参谋，调查研究，处理信息，参与政务，为机关服务。在阜康市滋泥泉子镇二道河子中心村、何家湾中心村实施农村厕所革命整村推进财政奖补资金项目，严格落实“四个不摘”要求，巩固“两不愁三保障”成果，做好易地扶贫搬迁后续扶持工作，持续改善脱贫地区基础设施条件，进一步提升脱贫地区公共服务水平。</w:t>
      </w:r>
      <w:r>
        <w:rPr>
          <w:color w:val="auto"/>
          <w:highlight w:val="none"/>
        </w:rPr>
        <w:t>2023年预计完成：二道河子中心村：1、新建5.3公里DN100PE供水管网及路面恢复315万元；2、二道河子中心村屯庄片区新建日处理量50m3/d一体化污水处</w:t>
      </w:r>
      <w:r>
        <w:rPr>
          <w:rFonts w:hint="eastAsia"/>
          <w:color w:val="auto"/>
          <w:highlight w:val="none"/>
        </w:rPr>
        <w:t>理设施一套</w:t>
      </w:r>
      <w:r>
        <w:rPr>
          <w:color w:val="auto"/>
          <w:highlight w:val="none"/>
        </w:rPr>
        <w:t>92万元。何家湾中心村：1、新建双河片区饮水管网及配套设施4.5公里309万元；2、新建日处理量50m3/d一体化污水处理设施一套98万元.通过该项目实施从而完善滋泥泉子镇二道河子中心村、何家湾中心村的基础设施建设，有效改善农村人居环境，提升村民生活水平。</w:t>
      </w:r>
    </w:p>
    <w:p>
      <w:pPr>
        <w:pageBreakBefore w:val="0"/>
        <w:widowControl w:val="0"/>
        <w:kinsoku/>
        <w:wordWrap/>
        <w:overflowPunct/>
        <w:topLinePunct w:val="0"/>
        <w:autoSpaceDE/>
        <w:autoSpaceDN/>
        <w:bidi w:val="0"/>
        <w:adjustRightInd/>
        <w:snapToGrid/>
        <w:spacing w:line="360" w:lineRule="auto"/>
        <w:ind w:left="0" w:firstLine="562" w:firstLineChars="200"/>
        <w:textAlignment w:val="auto"/>
        <w:rPr>
          <w:rFonts w:hint="default" w:eastAsia="宋体"/>
          <w:color w:val="auto"/>
          <w:highlight w:val="none"/>
          <w:lang w:val="en-US" w:eastAsia="zh-CN"/>
        </w:rPr>
      </w:pPr>
      <w:r>
        <w:rPr>
          <w:rFonts w:hint="eastAsia"/>
          <w:b/>
          <w:bCs/>
          <w:color w:val="auto"/>
          <w:highlight w:val="none"/>
        </w:rPr>
        <w:t>组织实施：</w:t>
      </w:r>
      <w:r>
        <w:rPr>
          <w:rFonts w:hint="eastAsia"/>
          <w:color w:val="auto"/>
          <w:highlight w:val="none"/>
        </w:rPr>
        <w:t>本项目自</w:t>
      </w:r>
      <w:r>
        <w:rPr>
          <w:rFonts w:hint="eastAsia"/>
          <w:color w:val="auto"/>
          <w:highlight w:val="none"/>
          <w:lang w:val="en-US" w:eastAsia="zh-CN"/>
        </w:rPr>
        <w:t>2023</w:t>
      </w:r>
      <w:r>
        <w:rPr>
          <w:rFonts w:hint="eastAsia"/>
          <w:color w:val="auto"/>
          <w:highlight w:val="none"/>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日经</w:t>
      </w:r>
      <w:r>
        <w:rPr>
          <w:rFonts w:hint="eastAsia"/>
          <w:color w:val="auto"/>
          <w:highlight w:val="none"/>
          <w:lang w:val="en-US" w:eastAsia="zh-CN"/>
        </w:rPr>
        <w:t>阜康市发展和改革委员会</w:t>
      </w:r>
      <w:r>
        <w:rPr>
          <w:rFonts w:hint="eastAsia"/>
          <w:color w:val="auto"/>
          <w:highlight w:val="none"/>
        </w:rPr>
        <w:t>文件</w:t>
      </w:r>
      <w:r>
        <w:rPr>
          <w:rFonts w:hint="eastAsia"/>
          <w:color w:val="auto"/>
          <w:highlight w:val="none"/>
          <w:lang w:eastAsia="zh-CN"/>
        </w:rPr>
        <w:t>（</w:t>
      </w:r>
      <w:r>
        <w:rPr>
          <w:rFonts w:hint="eastAsia"/>
          <w:color w:val="auto"/>
          <w:highlight w:val="none"/>
          <w:lang w:val="en-US" w:eastAsia="zh-CN"/>
        </w:rPr>
        <w:t>阜发改投资[2023]9号</w:t>
      </w:r>
      <w:r>
        <w:rPr>
          <w:rFonts w:hint="eastAsia"/>
          <w:color w:val="auto"/>
          <w:highlight w:val="none"/>
          <w:lang w:eastAsia="zh-CN"/>
        </w:rPr>
        <w:t>）</w:t>
      </w:r>
      <w:r>
        <w:rPr>
          <w:rFonts w:hint="eastAsia"/>
          <w:color w:val="auto"/>
          <w:highlight w:val="none"/>
        </w:rPr>
        <w:t>批复，</w:t>
      </w:r>
      <w:r>
        <w:rPr>
          <w:rFonts w:hint="eastAsia"/>
          <w:color w:val="auto"/>
          <w:highlight w:val="none"/>
          <w:lang w:val="en-US" w:eastAsia="zh-CN"/>
        </w:rPr>
        <w:t>滋泥泉子镇人民政府</w:t>
      </w:r>
      <w:r>
        <w:rPr>
          <w:rFonts w:hint="eastAsia"/>
          <w:color w:val="auto"/>
          <w:highlight w:val="none"/>
        </w:rPr>
        <w:t>经</w:t>
      </w:r>
      <w:r>
        <w:rPr>
          <w:rFonts w:hint="eastAsia"/>
          <w:color w:val="auto"/>
          <w:highlight w:val="none"/>
          <w:lang w:val="en-US" w:eastAsia="zh-CN"/>
        </w:rPr>
        <w:t>召开党政联席会议</w:t>
      </w:r>
      <w:r>
        <w:rPr>
          <w:rFonts w:hint="eastAsia"/>
          <w:color w:val="auto"/>
          <w:highlight w:val="none"/>
        </w:rPr>
        <w:t>，确定了项目领导小组，明确了责任分工：组长为</w:t>
      </w:r>
      <w:r>
        <w:rPr>
          <w:rFonts w:hint="eastAsia"/>
          <w:color w:val="auto"/>
          <w:highlight w:val="none"/>
          <w:lang w:val="en-US" w:eastAsia="zh-CN"/>
        </w:rPr>
        <w:t>陈春明</w:t>
      </w:r>
      <w:r>
        <w:rPr>
          <w:rFonts w:hint="eastAsia"/>
          <w:color w:val="auto"/>
          <w:highlight w:val="none"/>
        </w:rPr>
        <w:t>，副组长为</w:t>
      </w:r>
      <w:r>
        <w:rPr>
          <w:rFonts w:hint="eastAsia"/>
          <w:color w:val="auto"/>
          <w:highlight w:val="none"/>
          <w:lang w:val="en-US" w:eastAsia="zh-CN"/>
        </w:rPr>
        <w:t>苏潘成</w:t>
      </w:r>
      <w:r>
        <w:rPr>
          <w:rFonts w:hint="eastAsia"/>
          <w:color w:val="auto"/>
          <w:highlight w:val="none"/>
        </w:rPr>
        <w:t>，项目负责人为</w:t>
      </w:r>
      <w:r>
        <w:rPr>
          <w:rFonts w:hint="eastAsia"/>
          <w:color w:val="auto"/>
          <w:highlight w:val="none"/>
          <w:lang w:val="en-US" w:eastAsia="zh-CN"/>
        </w:rPr>
        <w:t>张振兴</w:t>
      </w:r>
      <w:r>
        <w:rPr>
          <w:rFonts w:hint="eastAsia"/>
          <w:color w:val="auto"/>
          <w:highlight w:val="none"/>
        </w:rPr>
        <w:t>,组员为</w:t>
      </w:r>
      <w:r>
        <w:rPr>
          <w:rFonts w:hint="eastAsia"/>
          <w:color w:val="auto"/>
          <w:highlight w:val="none"/>
          <w:lang w:val="en-US" w:eastAsia="zh-CN"/>
        </w:rPr>
        <w:t>张新生、</w:t>
      </w:r>
      <w:r>
        <w:rPr>
          <w:rFonts w:hint="eastAsia"/>
          <w:color w:val="auto"/>
          <w:highlight w:val="none"/>
        </w:rPr>
        <w:t>刘奕汝，其中：</w:t>
      </w:r>
      <w:r>
        <w:rPr>
          <w:rFonts w:hint="eastAsia"/>
          <w:color w:val="auto"/>
          <w:highlight w:val="none"/>
          <w:lang w:val="en-US" w:eastAsia="zh-CN"/>
        </w:rPr>
        <w:t>张新生</w:t>
      </w:r>
      <w:r>
        <w:rPr>
          <w:rFonts w:hint="eastAsia"/>
          <w:color w:val="auto"/>
          <w:highlight w:val="none"/>
        </w:rPr>
        <w:t>负责监管工作，</w:t>
      </w:r>
      <w:r>
        <w:rPr>
          <w:rFonts w:hint="eastAsia"/>
          <w:color w:val="auto"/>
          <w:highlight w:val="none"/>
          <w:lang w:val="en-US" w:eastAsia="zh-CN"/>
        </w:rPr>
        <w:t>张新生</w:t>
      </w:r>
      <w:r>
        <w:rPr>
          <w:rFonts w:hint="eastAsia"/>
          <w:color w:val="auto"/>
          <w:highlight w:val="none"/>
        </w:rPr>
        <w:t>负责项目档案资料，刘奕汝负责资金拨付工作。</w:t>
      </w:r>
      <w:r>
        <w:rPr>
          <w:rFonts w:hint="eastAsia"/>
          <w:color w:val="auto"/>
          <w:highlight w:val="none"/>
          <w:lang w:val="en-US" w:eastAsia="zh-CN"/>
        </w:rPr>
        <w:t>阜康市乡村振兴综合保障中心作为行业主管部门，对该项目的实施实行监管责任。</w:t>
      </w:r>
    </w:p>
    <w:p>
      <w:pPr>
        <w:pStyle w:val="5"/>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截至</w:t>
      </w:r>
      <w:r>
        <w:rPr>
          <w:color w:val="auto"/>
          <w:highlight w:val="none"/>
        </w:rPr>
        <w:t>2023年12月31日，本项目完成二道河子处理量50m3/d一体化污水处理设施支付项目资金71.80万元、何家湾供水管网及配套设施1套、何家湾处理量50m3/d一体化污水处理设施1套，项目实施有效改善人居环境，满意度达到100%</w:t>
      </w:r>
      <w:r>
        <w:rPr>
          <w:rFonts w:hint="eastAsia"/>
          <w:color w:val="auto"/>
          <w:highlight w:val="none"/>
        </w:rPr>
        <w:t>。</w:t>
      </w:r>
      <w:r>
        <w:rPr>
          <w:color w:val="auto"/>
          <w:highlight w:val="none"/>
        </w:rPr>
        <w:t>二道河子供水管网及配套设施年初设置指标值为</w:t>
      </w:r>
      <w:r>
        <w:rPr>
          <w:rFonts w:hint="eastAsia"/>
          <w:color w:val="auto"/>
          <w:highlight w:val="none"/>
        </w:rPr>
        <w:t>5.3公里，实际</w:t>
      </w:r>
      <w:r>
        <w:rPr>
          <w:color w:val="auto"/>
          <w:highlight w:val="none"/>
        </w:rPr>
        <w:t>完成3.8公里</w:t>
      </w:r>
      <w:r>
        <w:rPr>
          <w:rFonts w:hint="eastAsia"/>
          <w:color w:val="auto"/>
          <w:highlight w:val="none"/>
        </w:rPr>
        <w:t>；</w:t>
      </w:r>
      <w:r>
        <w:rPr>
          <w:color w:val="auto"/>
          <w:highlight w:val="none"/>
        </w:rPr>
        <w:t>何家湾供水管网及配套设施年初设置指标值为</w:t>
      </w:r>
      <w:r>
        <w:rPr>
          <w:rFonts w:hint="eastAsia"/>
          <w:color w:val="auto"/>
          <w:highlight w:val="none"/>
        </w:rPr>
        <w:t>4.5公里，实际</w:t>
      </w:r>
      <w:r>
        <w:rPr>
          <w:color w:val="auto"/>
          <w:highlight w:val="none"/>
        </w:rPr>
        <w:t>完成4.23公里，未完成</w:t>
      </w:r>
      <w:r>
        <w:rPr>
          <w:rFonts w:hint="eastAsia"/>
          <w:color w:val="auto"/>
          <w:highlight w:val="none"/>
        </w:rPr>
        <w:t>原因为年初设置指标时为预计公里数，实际建设过程中发生变化。</w:t>
      </w:r>
    </w:p>
    <w:p>
      <w:pPr>
        <w:pStyle w:val="5"/>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202</w:t>
      </w:r>
      <w:r>
        <w:rPr>
          <w:color w:val="auto"/>
          <w:highlight w:val="none"/>
        </w:rPr>
        <w:t>3</w:t>
      </w:r>
      <w:r>
        <w:rPr>
          <w:rFonts w:hint="eastAsia"/>
          <w:color w:val="auto"/>
          <w:highlight w:val="none"/>
        </w:rPr>
        <w:t>年</w:t>
      </w:r>
      <w:r>
        <w:rPr>
          <w:color w:val="auto"/>
          <w:highlight w:val="none"/>
        </w:rPr>
        <w:t>10</w:t>
      </w:r>
      <w:r>
        <w:rPr>
          <w:rFonts w:hint="eastAsia"/>
          <w:color w:val="auto"/>
          <w:highlight w:val="none"/>
        </w:rPr>
        <w:t>月，阜康市滋泥泉子镇</w:t>
      </w:r>
      <w:r>
        <w:rPr>
          <w:color w:val="auto"/>
          <w:highlight w:val="none"/>
        </w:rPr>
        <w:t>二道河子</w:t>
      </w:r>
      <w:r>
        <w:rPr>
          <w:rFonts w:hint="eastAsia"/>
          <w:color w:val="auto"/>
          <w:highlight w:val="none"/>
        </w:rPr>
        <w:t>中心村水管网及配套设施由建设单位、设计单位、勘察单位、监理单位、施工单位对该项目进行工程量完工验收，验收结论为：合格。已投入使用。</w:t>
      </w:r>
    </w:p>
    <w:p>
      <w:pPr>
        <w:pStyle w:val="5"/>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202</w:t>
      </w:r>
      <w:r>
        <w:rPr>
          <w:color w:val="auto"/>
          <w:highlight w:val="none"/>
        </w:rPr>
        <w:t>3</w:t>
      </w:r>
      <w:r>
        <w:rPr>
          <w:rFonts w:hint="eastAsia"/>
          <w:color w:val="auto"/>
          <w:highlight w:val="none"/>
        </w:rPr>
        <w:t>年</w:t>
      </w:r>
      <w:r>
        <w:rPr>
          <w:color w:val="auto"/>
          <w:highlight w:val="none"/>
        </w:rPr>
        <w:t>8</w:t>
      </w:r>
      <w:r>
        <w:rPr>
          <w:rFonts w:hint="eastAsia"/>
          <w:color w:val="auto"/>
          <w:highlight w:val="none"/>
        </w:rPr>
        <w:t>月，阜康市滋泥泉子镇何家湾中心村水管网及配套设施由建设单位、设计单位、勘察单位、监理单位、施工单位对该项目进行工程量完工验收，验收结论为：合格。已投入使用。</w:t>
      </w:r>
    </w:p>
    <w:p>
      <w:pPr>
        <w:pStyle w:val="5"/>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阜康市滋泥泉子镇</w:t>
      </w:r>
      <w:r>
        <w:rPr>
          <w:color w:val="auto"/>
          <w:highlight w:val="none"/>
        </w:rPr>
        <w:t>二道河子</w:t>
      </w:r>
      <w:r>
        <w:rPr>
          <w:rFonts w:hint="eastAsia"/>
          <w:color w:val="auto"/>
          <w:highlight w:val="none"/>
        </w:rPr>
        <w:t>中心村水管网及配套设施、阜康市滋泥泉子镇何家湾中心村水管网及配套设施已完成工程结算。</w:t>
      </w:r>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7" w:name="_Toc1858"/>
      <w:r>
        <w:rPr>
          <w:rFonts w:hint="eastAsia" w:ascii="宋体" w:hAnsi="宋体" w:eastAsia="宋体" w:cs="宋体"/>
          <w:b/>
          <w:bCs w:val="0"/>
          <w:color w:val="auto"/>
          <w:highlight w:val="none"/>
        </w:rPr>
        <w:t>3.资金投入和使用情况</w:t>
      </w:r>
      <w:bookmarkEnd w:id="7"/>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（1）项目资金安排落实、总投入等情况分析</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阜康市滋泥泉子镇农村厕所革命整村推进财政奖补资金项目预算安排总额为814万元，其中财政资金814万元，2023年实际收到预算资金814万元，预算资金到位率为100%。</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（2）项目资金实际使用情况分析</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截至2023年12月31日，阜康市滋泥泉子镇农村厕所革命整村推进财政奖补资金项目实际支付资金</w:t>
      </w:r>
      <w:r>
        <w:rPr>
          <w:color w:val="auto"/>
          <w:highlight w:val="none"/>
        </w:rPr>
        <w:t>706.6</w:t>
      </w:r>
      <w:r>
        <w:rPr>
          <w:rFonts w:hint="eastAsia"/>
          <w:color w:val="auto"/>
          <w:highlight w:val="none"/>
          <w:lang w:val="en-US" w:eastAsia="zh-CN"/>
        </w:rPr>
        <w:t>7</w:t>
      </w:r>
      <w:r>
        <w:rPr>
          <w:rFonts w:hint="eastAsia"/>
          <w:color w:val="auto"/>
          <w:highlight w:val="none"/>
        </w:rPr>
        <w:t>万元，预算执行率86.8</w:t>
      </w:r>
      <w:r>
        <w:rPr>
          <w:rFonts w:hint="eastAsia"/>
          <w:color w:val="auto"/>
          <w:highlight w:val="none"/>
          <w:lang w:val="en-US" w:eastAsia="zh-CN"/>
        </w:rPr>
        <w:t>1</w:t>
      </w:r>
      <w:r>
        <w:rPr>
          <w:rFonts w:hint="eastAsia"/>
          <w:color w:val="auto"/>
          <w:highlight w:val="none"/>
        </w:rPr>
        <w:t>%。结转结余资金107.3</w:t>
      </w:r>
      <w:r>
        <w:rPr>
          <w:rFonts w:hint="eastAsia"/>
          <w:color w:val="auto"/>
          <w:highlight w:val="none"/>
          <w:lang w:val="en-US" w:eastAsia="zh-CN"/>
        </w:rPr>
        <w:t>4</w:t>
      </w:r>
      <w:r>
        <w:rPr>
          <w:rFonts w:hint="eastAsia"/>
          <w:color w:val="auto"/>
          <w:highlight w:val="none"/>
        </w:rPr>
        <w:t>万元，</w:t>
      </w:r>
      <w:r>
        <w:rPr>
          <w:rFonts w:hint="eastAsia"/>
          <w:color w:val="auto"/>
          <w:highlight w:val="none"/>
          <w:lang w:val="en-US" w:eastAsia="zh-CN"/>
        </w:rPr>
        <w:t>已上缴国库</w:t>
      </w:r>
      <w:r>
        <w:rPr>
          <w:rFonts w:hint="eastAsia"/>
          <w:color w:val="auto"/>
          <w:highlight w:val="none"/>
        </w:rPr>
        <w:t>。项目资金主要用于支付工程款、项目前期费用等方面。</w:t>
      </w:r>
    </w:p>
    <w:p>
      <w:pPr>
        <w:pStyle w:val="3"/>
        <w:pageBreakBefore w:val="0"/>
        <w:widowControl w:val="0"/>
        <w:numPr>
          <w:ilvl w:val="0"/>
          <w:numId w:val="1"/>
        </w:numPr>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highlight w:val="none"/>
        </w:rPr>
      </w:pPr>
      <w:bookmarkStart w:id="8" w:name="_Toc2879"/>
      <w:r>
        <w:rPr>
          <w:rFonts w:hint="eastAsia" w:ascii="宋体" w:hAnsi="宋体" w:eastAsia="宋体" w:cs="宋体"/>
          <w:color w:val="auto"/>
          <w:highlight w:val="none"/>
        </w:rPr>
        <w:t>项目绩效目标</w:t>
      </w:r>
      <w:bookmarkEnd w:id="8"/>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9" w:name="_Toc10047"/>
      <w:r>
        <w:rPr>
          <w:rFonts w:hint="eastAsia" w:ascii="宋体" w:hAnsi="宋体" w:eastAsia="宋体" w:cs="宋体"/>
          <w:b/>
          <w:bCs w:val="0"/>
          <w:color w:val="auto"/>
          <w:highlight w:val="none"/>
        </w:rPr>
        <w:t>1.总体目标</w:t>
      </w:r>
      <w:bookmarkEnd w:id="9"/>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阜康市滋泥泉子镇农村厕所革命整村推进财政奖补资金项目绩效总体目标为：贯彻执行党和政府的方针政策以及上级部门的指示，决定，为镇党委政府出主意，当参谋，调查研究，处理信息，参与政务，为机关服务。在阜康市滋泥泉子镇二道河子中心村、何家湾中心村实施农村厕所革命整村推进财政奖补资金项目，严格落实“四个不摘”要求，巩固“两不愁三保障”成果，做好易地扶贫搬迁后续扶持工作，持续改善脱贫地区基础设施条件，进一步提升脱贫地区公共服务水平。</w:t>
      </w:r>
      <w:r>
        <w:rPr>
          <w:color w:val="auto"/>
          <w:highlight w:val="none"/>
        </w:rPr>
        <w:t>2023年预计完成：二道河子中心村1、新建5.3公里DN100PE供水管网及路面恢复315万元；2、二道河子中心村屯庄片区新建日处理量50m3/d一体化污水处</w:t>
      </w:r>
      <w:r>
        <w:rPr>
          <w:rFonts w:hint="eastAsia"/>
          <w:color w:val="auto"/>
          <w:highlight w:val="none"/>
        </w:rPr>
        <w:t>理设施一套</w:t>
      </w:r>
      <w:r>
        <w:rPr>
          <w:color w:val="auto"/>
          <w:highlight w:val="none"/>
        </w:rPr>
        <w:t>92万元。何家湾中心村1、新建双河片区饮水管网及配套设施4.5公里309万元；2、新建日处理量50m3/d一体化污水处理设施一套98万元.通过该项目实施从而完善滋泥泉子镇二道河子中心村、何家湾中心村的基础设施建设，有效改善农村人居环境，提升村民生活水平。</w:t>
      </w:r>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10" w:name="_Toc4487"/>
      <w:r>
        <w:rPr>
          <w:rFonts w:hint="eastAsia" w:ascii="宋体" w:hAnsi="宋体" w:eastAsia="宋体" w:cs="宋体"/>
          <w:b/>
          <w:bCs w:val="0"/>
          <w:color w:val="auto"/>
          <w:highlight w:val="none"/>
        </w:rPr>
        <w:t>2.阶段性目标</w:t>
      </w:r>
      <w:bookmarkEnd w:id="10"/>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（1）项目产出目标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①数量指标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“二道河子供水管网及配套设施”指标，预期目标值为≧</w:t>
      </w:r>
      <w:r>
        <w:rPr>
          <w:color w:val="auto"/>
          <w:highlight w:val="none"/>
        </w:rPr>
        <w:t>5.3公里</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“二道河子处理量</w:t>
      </w:r>
      <w:r>
        <w:rPr>
          <w:color w:val="auto"/>
          <w:highlight w:val="none"/>
        </w:rPr>
        <w:t>50m3/d一体化污水处理设施</w:t>
      </w:r>
      <w:r>
        <w:rPr>
          <w:rFonts w:hint="eastAsia"/>
          <w:color w:val="auto"/>
          <w:highlight w:val="none"/>
        </w:rPr>
        <w:t>”指标，预期目标值为≧1套；</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“何家湾供水管网及配套设施”指标，预期目标值为≧</w:t>
      </w:r>
      <w:r>
        <w:rPr>
          <w:color w:val="auto"/>
          <w:highlight w:val="none"/>
        </w:rPr>
        <w:t>4.5公里</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“何家湾处理量</w:t>
      </w:r>
      <w:r>
        <w:rPr>
          <w:color w:val="auto"/>
          <w:highlight w:val="none"/>
        </w:rPr>
        <w:t>50m3/d一体化污水处理设施</w:t>
      </w:r>
      <w:r>
        <w:rPr>
          <w:rFonts w:hint="eastAsia"/>
          <w:color w:val="auto"/>
          <w:highlight w:val="none"/>
        </w:rPr>
        <w:t>”指标，预期目标值为≧1套；</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②质量指标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“项目（工程）验收合格率”指标，预期目标值为</w:t>
      </w:r>
      <w:r>
        <w:rPr>
          <w:color w:val="auto"/>
          <w:highlight w:val="none"/>
        </w:rPr>
        <w:t>=100%</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③时效指标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“项目启动时间”指标，预期目标值为2023年4月；</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“工程完工时间”指标，预期目标值为2023年10月；</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“工程完工及时率”指标，预期目标值为</w:t>
      </w:r>
      <w:r>
        <w:rPr>
          <w:color w:val="auto"/>
          <w:highlight w:val="none"/>
        </w:rPr>
        <w:t>=100%</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（2）成本指标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“二道河子供水管网及配套设施成本”指标，预期目标值为≤</w:t>
      </w:r>
      <w:r>
        <w:rPr>
          <w:color w:val="auto"/>
          <w:highlight w:val="none"/>
        </w:rPr>
        <w:t>315万元</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“二道河子处理量</w:t>
      </w:r>
      <w:r>
        <w:rPr>
          <w:color w:val="auto"/>
          <w:highlight w:val="none"/>
        </w:rPr>
        <w:t>50m3/d一体化污水处理设施成本</w:t>
      </w:r>
      <w:r>
        <w:rPr>
          <w:rFonts w:hint="eastAsia"/>
          <w:color w:val="auto"/>
          <w:highlight w:val="none"/>
        </w:rPr>
        <w:t>”指标，预期目标值为≤</w:t>
      </w:r>
      <w:r>
        <w:rPr>
          <w:color w:val="auto"/>
          <w:highlight w:val="none"/>
        </w:rPr>
        <w:t>92万元</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“何家湾供水管网及配套设施成本”指标，预期目标值为≤</w:t>
      </w:r>
      <w:r>
        <w:rPr>
          <w:color w:val="auto"/>
          <w:highlight w:val="none"/>
        </w:rPr>
        <w:t>309万元</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“何家湾处理量</w:t>
      </w:r>
      <w:r>
        <w:rPr>
          <w:color w:val="auto"/>
          <w:highlight w:val="none"/>
        </w:rPr>
        <w:t>50m3/d一体化污水处理设施成本</w:t>
      </w:r>
      <w:r>
        <w:rPr>
          <w:rFonts w:hint="eastAsia"/>
          <w:color w:val="auto"/>
          <w:highlight w:val="none"/>
        </w:rPr>
        <w:t>”指标，预期目标值为≤98</w:t>
      </w:r>
      <w:r>
        <w:rPr>
          <w:color w:val="auto"/>
          <w:highlight w:val="none"/>
        </w:rPr>
        <w:t>万元</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（3）项目效益目标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①经济效益指标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本项目不涉及经济效益指标；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②社会效益指标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“增强脱贫地区和脱贫群众内生发展动力”指标，预期目标值为增强；</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“有效改善人居环境”指标，预期目标值为有效改善；</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③生态效益指标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本项目不涉及生态效益指标；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④可持续影响</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本项目不涉及可持续影响指标；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⑤满意度指标</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本项目不涉及满意度指标；</w:t>
      </w:r>
    </w:p>
    <w:p>
      <w:pPr>
        <w:pStyle w:val="2"/>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b/>
          <w:bCs/>
          <w:color w:val="auto"/>
          <w:highlight w:val="none"/>
        </w:rPr>
      </w:pPr>
      <w:bookmarkStart w:id="11" w:name="_Toc2549"/>
      <w:r>
        <w:rPr>
          <w:rFonts w:hint="eastAsia" w:ascii="宋体" w:hAnsi="宋体" w:eastAsia="宋体" w:cs="宋体"/>
          <w:b/>
          <w:bCs/>
          <w:color w:val="auto"/>
          <w:highlight w:val="none"/>
        </w:rPr>
        <w:t>二、绩效评价工作开展情况</w:t>
      </w:r>
      <w:bookmarkEnd w:id="11"/>
    </w:p>
    <w:p>
      <w:pPr>
        <w:pStyle w:val="3"/>
        <w:pageBreakBefore w:val="0"/>
        <w:widowControl w:val="0"/>
        <w:numPr>
          <w:ilvl w:val="0"/>
          <w:numId w:val="2"/>
        </w:numPr>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highlight w:val="none"/>
        </w:rPr>
      </w:pPr>
      <w:bookmarkStart w:id="12" w:name="_Toc5462343"/>
      <w:bookmarkStart w:id="13" w:name="_Toc22922"/>
      <w:bookmarkStart w:id="14" w:name="_Toc26632"/>
      <w:bookmarkStart w:id="15" w:name="_Toc21664"/>
      <w:bookmarkStart w:id="16" w:name="_Toc480473081"/>
      <w:bookmarkStart w:id="17" w:name="_Toc22169_WPSOffice_Level2"/>
      <w:bookmarkStart w:id="18" w:name="_Toc12868"/>
      <w:bookmarkStart w:id="19" w:name="_Toc5258"/>
      <w:bookmarkStart w:id="20" w:name="_Toc21778"/>
      <w:r>
        <w:rPr>
          <w:rFonts w:hint="eastAsia" w:ascii="宋体" w:hAnsi="宋体" w:eastAsia="宋体" w:cs="宋体"/>
          <w:color w:val="auto"/>
          <w:highlight w:val="none"/>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highlight w:val="none"/>
        </w:rPr>
        <w:t>、对象和范围</w:t>
      </w:r>
      <w:bookmarkEnd w:id="20"/>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sz w:val="28"/>
          <w:szCs w:val="32"/>
          <w:highlight w:val="none"/>
        </w:rPr>
      </w:pPr>
      <w:bookmarkStart w:id="21" w:name="_Toc15732"/>
      <w:r>
        <w:rPr>
          <w:rFonts w:hint="eastAsia" w:ascii="宋体" w:hAnsi="宋体" w:eastAsia="宋体" w:cs="宋体"/>
          <w:b/>
          <w:bCs w:val="0"/>
          <w:color w:val="auto"/>
          <w:sz w:val="28"/>
          <w:szCs w:val="32"/>
          <w:highlight w:val="none"/>
        </w:rPr>
        <w:t>1.绩效评价的目的</w:t>
      </w:r>
      <w:bookmarkEnd w:id="21"/>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22" w:name="_Toc30609"/>
      <w:r>
        <w:rPr>
          <w:rFonts w:hint="eastAsia" w:ascii="宋体" w:hAnsi="宋体" w:eastAsia="宋体" w:cs="宋体"/>
          <w:b/>
          <w:bCs w:val="0"/>
          <w:color w:val="auto"/>
          <w:highlight w:val="none"/>
        </w:rPr>
        <w:t>2.绩效评价的对象和范围</w:t>
      </w:r>
      <w:bookmarkEnd w:id="22"/>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此次我单位根据《财政支出绩效评价管理暂行办法》（财预〔2020〕10号）文件要求对2023年度我单位实施的阜康市滋泥泉子镇农村厕所革命整村推进财政奖补资金项目开展部门绩效评价。</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widowControl w:val="0"/>
        <w:numPr>
          <w:ilvl w:val="0"/>
          <w:numId w:val="2"/>
        </w:numPr>
        <w:kinsoku/>
        <w:wordWrap/>
        <w:overflowPunct/>
        <w:topLinePunct w:val="0"/>
        <w:autoSpaceDE/>
        <w:autoSpaceDN/>
        <w:bidi w:val="0"/>
        <w:adjustRightInd/>
        <w:snapToGrid/>
        <w:spacing w:line="360" w:lineRule="auto"/>
        <w:ind w:left="0"/>
        <w:textAlignment w:val="auto"/>
        <w:rPr>
          <w:rFonts w:hint="eastAsia" w:ascii="宋体" w:hAnsi="宋体" w:eastAsia="宋体" w:cs="宋体"/>
          <w:color w:val="auto"/>
          <w:highlight w:val="none"/>
        </w:rPr>
      </w:pPr>
      <w:bookmarkStart w:id="23" w:name="_Toc15902"/>
      <w:r>
        <w:rPr>
          <w:rFonts w:hint="eastAsia" w:ascii="宋体" w:hAnsi="宋体" w:eastAsia="宋体" w:cs="宋体"/>
          <w:color w:val="auto"/>
          <w:highlight w:val="none"/>
        </w:rPr>
        <w:t>绩效评价原则、评价指标体系（附表说明）、评价方法、评价标准</w:t>
      </w:r>
      <w:bookmarkEnd w:id="23"/>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24" w:name="_Toc24506"/>
      <w:r>
        <w:rPr>
          <w:rFonts w:hint="eastAsia" w:ascii="宋体" w:hAnsi="宋体" w:eastAsia="宋体" w:cs="宋体"/>
          <w:b/>
          <w:bCs w:val="0"/>
          <w:color w:val="auto"/>
          <w:highlight w:val="none"/>
        </w:rPr>
        <w:t>1.绩效评价原则</w:t>
      </w:r>
      <w:bookmarkEnd w:id="24"/>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依据</w:t>
      </w:r>
      <w:r>
        <w:rPr>
          <w:rFonts w:hint="eastAsia"/>
          <w:bCs/>
          <w:color w:val="auto"/>
          <w:highlight w:val="none"/>
        </w:rPr>
        <w:t>《财政支出绩效评价管理暂行办法》（财预〔2020〕10号）</w:t>
      </w:r>
      <w:r>
        <w:rPr>
          <w:rFonts w:hint="eastAsia"/>
          <w:color w:val="auto"/>
          <w:highlight w:val="none"/>
        </w:rPr>
        <w:t>本次绩效评价秉承科学规范、公正公开、分级分类、绩效相关等原则，按照从投入、过程到产出效果和影响的绩效逻辑路径，结合阜康市滋泥泉子镇农村厕所革命整村推进财政奖补资金项目实际开展情况，运用定量和定性分析相结合的方法，总结经验做法，反思项目实施和管理中的问题，以切实提升财政资金管理的科学化、规范化和精细化水平。</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根据以上原则，绩效评价应遵循如下要求：</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（1）科学公正。绩效评价应当运用科学合理的方法，按照规范的程序，对项目绩效进行客观、公正的反映。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snapToGrid/>
        <w:spacing w:line="360" w:lineRule="auto"/>
        <w:ind w:left="0" w:firstLine="560" w:firstLineChars="200"/>
        <w:textAlignment w:val="auto"/>
        <w:rPr>
          <w:color w:val="auto"/>
          <w:highlight w:val="none"/>
        </w:rPr>
      </w:pPr>
      <w:r>
        <w:rPr>
          <w:rFonts w:hint="eastAsia"/>
          <w:color w:val="auto"/>
          <w:highlight w:val="none"/>
        </w:rPr>
        <w:t>（4）公开透明。绩效评价结果应依法依规公开，并自觉接受社会监督。</w:t>
      </w:r>
    </w:p>
    <w:p>
      <w:pPr>
        <w:pStyle w:val="4"/>
        <w:pageBreakBefore w:val="0"/>
        <w:widowControl w:val="0"/>
        <w:kinsoku/>
        <w:wordWrap/>
        <w:overflowPunct/>
        <w:topLinePunct w:val="0"/>
        <w:autoSpaceDE/>
        <w:autoSpaceDN/>
        <w:bidi w:val="0"/>
        <w:adjustRightInd/>
        <w:snapToGrid/>
        <w:spacing w:line="360" w:lineRule="auto"/>
        <w:ind w:left="0" w:firstLine="560"/>
        <w:textAlignment w:val="auto"/>
        <w:rPr>
          <w:rFonts w:hint="eastAsia" w:ascii="宋体" w:hAnsi="宋体" w:eastAsia="宋体" w:cs="宋体"/>
          <w:b/>
          <w:bCs w:val="0"/>
          <w:color w:val="auto"/>
          <w:highlight w:val="none"/>
        </w:rPr>
      </w:pPr>
      <w:bookmarkStart w:id="25" w:name="_Toc419984722"/>
      <w:bookmarkStart w:id="26" w:name="_Toc26131"/>
      <w:bookmarkStart w:id="27" w:name="_Toc1913"/>
      <w:bookmarkStart w:id="28" w:name="_Toc428278230"/>
      <w:bookmarkStart w:id="29" w:name="_Toc24396"/>
      <w:r>
        <w:rPr>
          <w:rFonts w:hint="eastAsia" w:ascii="宋体" w:hAnsi="宋体" w:eastAsia="宋体" w:cs="宋体"/>
          <w:b/>
          <w:bCs w:val="0"/>
          <w:color w:val="auto"/>
          <w:highlight w:val="none"/>
        </w:rPr>
        <w:t>2.绩效评价指标体系及绩效评价</w:t>
      </w:r>
      <w:bookmarkEnd w:id="25"/>
      <w:bookmarkEnd w:id="26"/>
      <w:bookmarkEnd w:id="27"/>
      <w:bookmarkEnd w:id="28"/>
      <w:r>
        <w:rPr>
          <w:rFonts w:hint="eastAsia" w:ascii="宋体" w:hAnsi="宋体" w:eastAsia="宋体" w:cs="宋体"/>
          <w:b/>
          <w:bCs w:val="0"/>
          <w:color w:val="auto"/>
          <w:highlight w:val="none"/>
        </w:rPr>
        <w:t>标准</w:t>
      </w:r>
      <w:bookmarkEnd w:id="29"/>
    </w:p>
    <w:p>
      <w:pPr>
        <w:pageBreakBefore w:val="0"/>
        <w:widowControl w:val="0"/>
        <w:kinsoku/>
        <w:wordWrap/>
        <w:overflowPunct/>
        <w:topLinePunct w:val="0"/>
        <w:autoSpaceDE/>
        <w:autoSpaceDN/>
        <w:bidi w:val="0"/>
        <w:adjustRightInd/>
        <w:snapToGrid/>
        <w:spacing w:line="360" w:lineRule="auto"/>
        <w:ind w:left="0"/>
        <w:textAlignment w:val="auto"/>
        <w:rPr>
          <w:color w:val="auto"/>
          <w:highlight w:val="none"/>
        </w:rPr>
      </w:pPr>
      <w:r>
        <w:rPr>
          <w:rFonts w:hint="eastAsia"/>
          <w:color w:val="auto"/>
          <w:highlight w:val="none"/>
        </w:rPr>
        <w:t xml:space="preserve">   我单位</w:t>
      </w:r>
      <w:r>
        <w:rPr>
          <w:rFonts w:hint="eastAsia"/>
          <w:color w:val="auto"/>
          <w:highlight w:val="none"/>
          <w:lang w:val="zh-TW" w:eastAsia="zh-TW"/>
        </w:rPr>
        <w:t>根据项目的</w:t>
      </w:r>
      <w:r>
        <w:rPr>
          <w:rFonts w:hint="eastAsia"/>
          <w:color w:val="auto"/>
          <w:highlight w:val="none"/>
        </w:rPr>
        <w:t>实施</w:t>
      </w:r>
      <w:r>
        <w:rPr>
          <w:rFonts w:hint="eastAsia"/>
          <w:color w:val="auto"/>
          <w:highlight w:val="none"/>
          <w:lang w:val="zh-TW" w:eastAsia="zh-TW"/>
        </w:rPr>
        <w:t>资料研读及前期调研，结合项目的实际开展情况，最终形成了项目绩效评价指标体系</w:t>
      </w:r>
      <w:r>
        <w:rPr>
          <w:rFonts w:hint="eastAsia"/>
          <w:color w:val="auto"/>
          <w:highlight w:val="none"/>
          <w:lang w:val="zh-TW"/>
        </w:rPr>
        <w:t>，</w:t>
      </w:r>
      <w:r>
        <w:rPr>
          <w:rFonts w:hint="eastAsia"/>
          <w:color w:val="auto"/>
          <w:highlight w:val="none"/>
        </w:rPr>
        <w:t>指标体系结构如下</w:t>
      </w:r>
      <w:r>
        <w:rPr>
          <w:rFonts w:hint="eastAsia"/>
          <w:b/>
          <w:bCs/>
          <w:color w:val="auto"/>
          <w:highlight w:val="none"/>
        </w:rPr>
        <w:t>（详见上传的附件）</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ind w:left="0"/>
        <w:jc w:val="center"/>
        <w:textAlignment w:val="auto"/>
        <w:rPr>
          <w:b/>
          <w:bCs/>
          <w:color w:val="auto"/>
          <w:highlight w:val="none"/>
        </w:rPr>
      </w:pPr>
      <w:r>
        <w:rPr>
          <w:rFonts w:hint="eastAsia"/>
          <w:b/>
          <w:bCs/>
          <w:color w:val="auto"/>
          <w:highlight w:val="none"/>
          <w:lang w:val="zh-TW" w:eastAsia="zh-TW"/>
        </w:rPr>
        <w:t>项目绩效评价指标体系</w:t>
      </w:r>
    </w:p>
    <w:tbl>
      <w:tblPr>
        <w:tblStyle w:val="12"/>
        <w:tblW w:w="89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58"/>
        <w:gridCol w:w="1226"/>
        <w:gridCol w:w="1076"/>
        <w:gridCol w:w="2048"/>
        <w:gridCol w:w="3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75" w:hRule="atLeast"/>
          <w:tblHeader/>
          <w:jc w:val="center"/>
        </w:trPr>
        <w:tc>
          <w:tcPr>
            <w:tcW w:w="6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一级指标</w:t>
            </w:r>
          </w:p>
        </w:tc>
        <w:tc>
          <w:tcPr>
            <w:tcW w:w="122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二级指标</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三级指标</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指标解释</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6" w:hRule="atLeast"/>
          <w:jc w:val="center"/>
        </w:trPr>
        <w:tc>
          <w:tcPr>
            <w:tcW w:w="6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决策</w:t>
            </w:r>
          </w:p>
        </w:tc>
        <w:tc>
          <w:tcPr>
            <w:tcW w:w="12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项目立项</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立项依据</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充分性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项目立项是否符合法律法规、相关政策、发展规划以及部门职责，用以反映和考核项目立项依据情况。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①项目立项是否符合国家法律法规、国民经济发展规划和相关政策；</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②项目立项是否符合行业发展规划和政策要求；</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③项目立项是否与部门职责范围相符，属于部门履职所需；</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④项目是否属于公共财政支持范围，是否符合中央、地方事权支出责任划分原则；</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9"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立项程序</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规范性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项目申请、设立过程是否符合相关要求，用以反映和考核项目立项的规范情况。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①项目是否按照规定的程序申请设立；</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②审批文件、材料是否符合相关要求；</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3"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绩效目标</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绩效目标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合理性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项目所设定的绩效目标是否依据充分，是否符合客观实际，用以反映和考核项目绩效目标与项目实施的相符情况。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（如未设定预算绩效目标，也可考核其他工作任务目标）</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①项目是否有绩效目标；</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②项目绩效目标与实际工作内容是否具有相关性；</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③项目预期产出效益和效果是否符合正常的业绩水平；</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6"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绩效指标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明确性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依据绩效目标设定的绩效指标是否清晰、细化、可衡量等，用以反映和考核项目绩效目标的明细化情况。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①是否将项目绩效目标细化分解为具体的绩效指标；</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②是否通过清晰、可衡量的指标值予以体现；</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1"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资金投入</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预算编制</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科学性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①预算编制是否经过科学论证；</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②预算内容与项目内容是否匹配；</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③预算额度测算依据是否充分，是否按照标准编制；</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9"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资金分配</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合理性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①预算资金分配依据是否充分；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6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过程</w:t>
            </w:r>
          </w:p>
        </w:tc>
        <w:tc>
          <w:tcPr>
            <w:tcW w:w="12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资金管理</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资金到位率</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实际到位资金与预算资金的比率，用以反映和考核资金落实情况对项目实施的总体保障程度。</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资金到位率=（实际到位资金/预算资金）×100%。</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实际到位资金：一定时期（本年度或项目期）内落实到具体项目的资金。</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7"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预算执行率</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项目预算资金是否按照计划执行，用以反映或考核项目预算执行情况。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预算执行率=（实际支出资金/实际到位资金）×100%。</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2"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资金使用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合规性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项目资金使用是否符合相关的财务管理制度规定，用以反映和考核项目资金的规范运行情况。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①是否符合国家财经法规和财务管理制度以及有关专项资金管理办法的规定；</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②资金的拨付是否有完整的审批程序和手续；</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③是否符合项目预算批复或合同规定的用途；</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0"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组织实施</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管理制度</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健全性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项目实施单位的财务和业务管理制度是否健全，用以反映和考核财务和业务管理制度对项目顺利实施的保障情况。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①是否已制定或具有相应的财务和业务管理制度；</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7"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制度执行</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有效性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项目实施是否符合相关管理规定，用以反映和考核相关管理制度的有效执行情况。</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评价标准：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①是否遵守相关法律法规和相关管理规定；</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②项目调整及支出调整手续是否完备；</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③项目合同书、验收报告、技术鉴定等资料是否齐全并及时归档；</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jc w:val="center"/>
        </w:trPr>
        <w:tc>
          <w:tcPr>
            <w:tcW w:w="6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产出</w:t>
            </w:r>
          </w:p>
        </w:tc>
        <w:tc>
          <w:tcPr>
            <w:tcW w:w="122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产出数量</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实际完成率</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项目实施的实际产出数与计划产出数的比率，用以反映和考核项目产出数量目标的实现程度。</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实际完成率=（实际产出数/计划产出数）×100%。</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实际产出数：一定时期（本年度或项目期）内项目实际产出的产品或提供的服务数量。</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1"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产出质量</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质量达标率</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项目完成的质量达标产出数与实际产出数的比率，用以反映和考核项目产出质量目标的实现程度。</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质量达标率=（质量达标产出数/实际产出数）×100%。</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9"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产出时效</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完成及时性</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项目实际完成时间与计划完成时间的比较，用以反映和考核项目产出时效目标的实现程度。</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实际完成时间：项目实施单位完成该项目实际所耗用的时间。</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3"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产出成本</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成本节约率</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完成项目计划工作目标的实际节约成本与计划成本的比率，用以反映和考核项目的成本节约程度。</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成本节约率=[（计划成本-实际成本）/计划成本]×100%。</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实际成本：项目实施单位如期、保质、保量完成既定工作目标实际所耗费的支出。</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jc w:val="center"/>
        </w:trPr>
        <w:tc>
          <w:tcPr>
            <w:tcW w:w="6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效益</w:t>
            </w:r>
          </w:p>
        </w:tc>
        <w:tc>
          <w:tcPr>
            <w:tcW w:w="12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项目效益</w:t>
            </w: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实施效益</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项目实施所产生的效益。</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9" w:hRule="atLeast"/>
          <w:jc w:val="center"/>
        </w:trPr>
        <w:tc>
          <w:tcPr>
            <w:tcW w:w="6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2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p>
        </w:tc>
        <w:tc>
          <w:tcPr>
            <w:tcW w:w="107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shd w:val="clear" w:color="auto" w:fill="auto"/>
              </w:rPr>
            </w:pPr>
            <w:r>
              <w:rPr>
                <w:rFonts w:hint="eastAsia"/>
                <w:color w:val="auto"/>
                <w:sz w:val="20"/>
                <w:szCs w:val="20"/>
                <w:highlight w:val="none"/>
                <w:shd w:val="clear" w:color="auto" w:fill="auto"/>
              </w:rPr>
              <w:t>满意度</w:t>
            </w:r>
          </w:p>
        </w:tc>
        <w:tc>
          <w:tcPr>
            <w:tcW w:w="204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0"/>
                <w:szCs w:val="20"/>
                <w:highlight w:val="none"/>
                <w:shd w:val="clear" w:color="auto" w:fill="auto"/>
              </w:rPr>
            </w:pPr>
            <w:r>
              <w:rPr>
                <w:rFonts w:hint="eastAsia"/>
                <w:color w:val="auto"/>
                <w:sz w:val="20"/>
                <w:szCs w:val="20"/>
                <w:highlight w:val="none"/>
                <w:shd w:val="clear" w:color="auto" w:fill="auto"/>
              </w:rPr>
              <w:t>社会公众或服务对象对项目实施效果的满意程度。</w:t>
            </w:r>
          </w:p>
        </w:tc>
        <w:tc>
          <w:tcPr>
            <w:tcW w:w="389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0"/>
                <w:szCs w:val="20"/>
                <w:highlight w:val="none"/>
                <w:shd w:val="clear" w:color="auto" w:fill="auto"/>
              </w:rPr>
            </w:pPr>
            <w:r>
              <w:rPr>
                <w:rFonts w:hint="eastAsia"/>
                <w:color w:val="auto"/>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b/>
          <w:bCs w:val="0"/>
          <w:color w:val="auto"/>
          <w:highlight w:val="none"/>
        </w:rPr>
      </w:pPr>
      <w:bookmarkStart w:id="30" w:name="_Toc9941"/>
      <w:r>
        <w:rPr>
          <w:rFonts w:hint="eastAsia" w:ascii="宋体" w:hAnsi="宋体" w:eastAsia="宋体" w:cs="宋体"/>
          <w:b/>
          <w:bCs w:val="0"/>
          <w:color w:val="auto"/>
          <w:highlight w:val="none"/>
        </w:rPr>
        <w:t>3.评价方法</w:t>
      </w:r>
      <w:bookmarkEnd w:id="30"/>
    </w:p>
    <w:p>
      <w:pPr>
        <w:pageBreakBefore w:val="0"/>
        <w:widowControl w:val="0"/>
        <w:kinsoku/>
        <w:wordWrap/>
        <w:overflowPunct/>
        <w:topLinePunct w:val="0"/>
        <w:autoSpaceDE/>
        <w:autoSpaceDN/>
        <w:bidi w:val="0"/>
        <w:adjustRightInd/>
        <w:snapToGrid/>
        <w:spacing w:line="360" w:lineRule="auto"/>
        <w:textAlignment w:val="auto"/>
        <w:rPr>
          <w:color w:val="auto"/>
          <w:highlight w:val="none"/>
        </w:rPr>
      </w:pPr>
      <w:r>
        <w:rPr>
          <w:rFonts w:hint="eastAsia"/>
          <w:color w:val="auto"/>
          <w:highlight w:val="none"/>
        </w:rPr>
        <w:t xml:space="preserve">   本次绩效评价采用的方法为比较法、因素分析法、公众评判法对项目绩效目标预期目标值与实施情况进行比较，以及采取公众问卷及抽样调查等方式进行评判的方法对阜康市滋泥泉子镇农村厕所革命整村推进财政奖补资金项目进行评价。</w:t>
      </w:r>
    </w:p>
    <w:p>
      <w:pPr>
        <w:pStyle w:val="4"/>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b/>
          <w:bCs w:val="0"/>
          <w:color w:val="auto"/>
          <w:highlight w:val="none"/>
        </w:rPr>
      </w:pPr>
      <w:bookmarkStart w:id="31" w:name="_Toc25391"/>
      <w:r>
        <w:rPr>
          <w:rFonts w:hint="eastAsia" w:ascii="宋体" w:hAnsi="宋体" w:eastAsia="宋体" w:cs="宋体"/>
          <w:b/>
          <w:bCs w:val="0"/>
          <w:color w:val="auto"/>
          <w:highlight w:val="none"/>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b/>
          <w:bCs w:val="0"/>
          <w:color w:val="auto"/>
          <w:highlight w:val="none"/>
        </w:rPr>
      </w:pPr>
      <w:r>
        <w:rPr>
          <w:rFonts w:hint="eastAsia" w:ascii="宋体" w:hAnsi="宋体" w:eastAsia="宋体" w:cs="宋体"/>
          <w:b/>
          <w:bCs w:val="0"/>
          <w:color w:val="auto"/>
          <w:highlight w:val="none"/>
        </w:rPr>
        <w:t>（三）绩效评价工作过程</w:t>
      </w:r>
      <w:bookmarkEnd w:id="32"/>
    </w:p>
    <w:p>
      <w:pPr>
        <w:pageBreakBefore w:val="0"/>
        <w:widowControl w:val="0"/>
        <w:kinsoku/>
        <w:wordWrap/>
        <w:overflowPunct/>
        <w:topLinePunct w:val="0"/>
        <w:autoSpaceDE/>
        <w:autoSpaceDN/>
        <w:bidi w:val="0"/>
        <w:adjustRightInd/>
        <w:snapToGrid/>
        <w:spacing w:line="360" w:lineRule="auto"/>
        <w:ind w:firstLine="560" w:firstLineChars="200"/>
        <w:textAlignment w:val="auto"/>
        <w:rPr>
          <w:color w:val="auto"/>
          <w:highlight w:val="none"/>
        </w:rPr>
      </w:pPr>
      <w:bookmarkStart w:id="33" w:name="_Toc12862"/>
      <w:r>
        <w:rPr>
          <w:rFonts w:hint="eastAsia"/>
          <w:color w:val="auto"/>
          <w:highlight w:val="none"/>
        </w:rPr>
        <w:t>1.前期准备</w:t>
      </w:r>
      <w:bookmarkEnd w:id="33"/>
    </w:p>
    <w:p>
      <w:pPr>
        <w:pageBreakBefore w:val="0"/>
        <w:widowControl w:val="0"/>
        <w:kinsoku/>
        <w:wordWrap/>
        <w:overflowPunct/>
        <w:topLinePunct w:val="0"/>
        <w:autoSpaceDE/>
        <w:autoSpaceDN/>
        <w:bidi w:val="0"/>
        <w:adjustRightInd/>
        <w:snapToGrid/>
        <w:spacing w:line="360" w:lineRule="auto"/>
        <w:ind w:firstLine="560" w:firstLineChars="200"/>
        <w:textAlignment w:val="auto"/>
        <w:rPr>
          <w:color w:val="auto"/>
          <w:highlight w:val="none"/>
        </w:rPr>
      </w:pPr>
      <w:r>
        <w:rPr>
          <w:rFonts w:hint="eastAsia"/>
          <w:color w:val="auto"/>
          <w:highlight w:val="none"/>
        </w:rPr>
        <w:t>（1）成立绩效评价项目小组</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color w:val="auto"/>
          <w:highlight w:val="none"/>
        </w:rPr>
      </w:pPr>
      <w:r>
        <w:rPr>
          <w:rFonts w:hint="eastAsia"/>
          <w:color w:val="auto"/>
          <w:highlight w:val="none"/>
        </w:rPr>
        <w:t>为确保该项目绩效评价的顺利实施，评价机构组建了绩效评价项目小组。项目小组负责建立联络制度、明确评价责任人、制定评价方案、实施具体评价等工作。</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34" w:name="_Toc31571"/>
      <w:r>
        <w:rPr>
          <w:rFonts w:hint="eastAsia"/>
          <w:color w:val="auto"/>
          <w:highlight w:val="none"/>
        </w:rPr>
        <w:t>（2）开展前期调研</w:t>
      </w:r>
      <w:bookmarkEnd w:id="34"/>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35" w:name="_Toc21240"/>
      <w:r>
        <w:rPr>
          <w:rFonts w:hint="eastAsia"/>
          <w:color w:val="auto"/>
          <w:highlight w:val="none"/>
        </w:rPr>
        <w:t>绩效评价项目小组依据此次绩效评价受委托内容，对拟评价的项目实施前期调研。通过调研对阜康市滋泥泉子镇农村厕所革命整村推进财政奖补资金项目实施内容、目标信息、预算信息以及其他的一些项目基本信息，有了初步了解，为制定绩效评价工作方案做好准备。</w:t>
      </w:r>
      <w:bookmarkEnd w:id="35"/>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36" w:name="_Toc27977"/>
      <w:r>
        <w:rPr>
          <w:rFonts w:hint="eastAsia"/>
          <w:color w:val="auto"/>
          <w:highlight w:val="none"/>
        </w:rPr>
        <w:t>（3）制订绩效评价工作方案</w:t>
      </w:r>
      <w:bookmarkEnd w:id="36"/>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37" w:name="_Toc19659"/>
      <w:r>
        <w:rPr>
          <w:rFonts w:hint="eastAsia"/>
          <w:color w:val="auto"/>
          <w:highlight w:val="none"/>
        </w:rPr>
        <w:t>绩效评价项目小组根据有关规定和评价对象的特点以及前期调研收集的一些信息，拟定详细的绩效评价工作方案。</w:t>
      </w:r>
      <w:bookmarkEnd w:id="37"/>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38" w:name="_Toc11353"/>
      <w:r>
        <w:rPr>
          <w:rFonts w:hint="eastAsia"/>
          <w:color w:val="auto"/>
          <w:highlight w:val="none"/>
        </w:rPr>
        <w:t>2.具体实施</w:t>
      </w:r>
      <w:bookmarkEnd w:id="38"/>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39" w:name="_Toc14111"/>
      <w:r>
        <w:rPr>
          <w:rFonts w:hint="eastAsia"/>
          <w:color w:val="auto"/>
          <w:highlight w:val="none"/>
        </w:rPr>
        <w:t>（1）收集基础资料</w:t>
      </w:r>
      <w:bookmarkEnd w:id="39"/>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0" w:name="_Toc28524"/>
      <w:r>
        <w:rPr>
          <w:rFonts w:hint="eastAsia"/>
          <w:color w:val="auto"/>
          <w:highlight w:val="none"/>
        </w:rPr>
        <w:t>根据评价工作的需要和要求，在前期调研的基础上，通过多种渠道全面收集项目基础信息资料，主要包括：</w:t>
      </w:r>
      <w:bookmarkEnd w:id="40"/>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1" w:name="_Toc32216"/>
      <w:r>
        <w:rPr>
          <w:rFonts w:hint="eastAsia"/>
          <w:color w:val="auto"/>
          <w:highlight w:val="none"/>
        </w:rPr>
        <w:t>①被评价单位基本概况，如单位职能、事业发展规划、预决算情况、项目立项依据等；</w:t>
      </w:r>
      <w:bookmarkEnd w:id="4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2" w:name="_Toc10505"/>
      <w:r>
        <w:rPr>
          <w:rFonts w:hint="eastAsia"/>
          <w:color w:val="auto"/>
          <w:highlight w:val="none"/>
        </w:rPr>
        <w:t>②绩效目标及其设立依据和调整情况；</w:t>
      </w:r>
      <w:bookmarkEnd w:id="42"/>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3" w:name="_Toc28365"/>
      <w:r>
        <w:rPr>
          <w:rFonts w:hint="eastAsia"/>
          <w:color w:val="auto"/>
          <w:highlight w:val="none"/>
        </w:rPr>
        <w:t>③管理措施及组织实施情况；</w:t>
      </w:r>
      <w:bookmarkEnd w:id="43"/>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4" w:name="_Toc10091"/>
      <w:r>
        <w:rPr>
          <w:rFonts w:hint="eastAsia"/>
          <w:color w:val="auto"/>
          <w:highlight w:val="none"/>
        </w:rPr>
        <w:t>④被评价单位总结分析的绩效目标完成情况及绩效报告；</w:t>
      </w:r>
      <w:bookmarkEnd w:id="44"/>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5" w:name="_Toc1"/>
      <w:r>
        <w:rPr>
          <w:rFonts w:hint="eastAsia"/>
          <w:color w:val="auto"/>
          <w:highlight w:val="none"/>
        </w:rPr>
        <w:t>⑤与绩效评价相关的计划标准、行业标准、历史标准等；</w:t>
      </w:r>
      <w:bookmarkEnd w:id="45"/>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6" w:name="_Toc20059"/>
      <w:r>
        <w:rPr>
          <w:rFonts w:hint="eastAsia"/>
          <w:color w:val="auto"/>
          <w:highlight w:val="none"/>
        </w:rPr>
        <w:t>⑥其他必要的相关资料等。</w:t>
      </w:r>
      <w:bookmarkEnd w:id="46"/>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7" w:name="_Toc31911"/>
      <w:r>
        <w:rPr>
          <w:rFonts w:hint="eastAsia"/>
          <w:color w:val="auto"/>
          <w:highlight w:val="none"/>
        </w:rPr>
        <w:t>（2）整理、研读基础资料</w:t>
      </w:r>
      <w:bookmarkEnd w:id="47"/>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8" w:name="_Toc167"/>
      <w:r>
        <w:rPr>
          <w:rFonts w:hint="eastAsia"/>
          <w:color w:val="auto"/>
          <w:highlight w:val="none"/>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49" w:name="_Toc30513"/>
      <w:r>
        <w:rPr>
          <w:rFonts w:hint="eastAsia"/>
          <w:color w:val="auto"/>
          <w:highlight w:val="none"/>
        </w:rPr>
        <w:t>3.分析评价和撰写报告</w:t>
      </w:r>
      <w:bookmarkEnd w:id="49"/>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50" w:name="_Toc15974"/>
      <w:r>
        <w:rPr>
          <w:rFonts w:hint="eastAsia"/>
          <w:color w:val="auto"/>
          <w:highlight w:val="none"/>
        </w:rPr>
        <w:t>（1）综合分析评价</w:t>
      </w:r>
      <w:bookmarkEnd w:id="50"/>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51" w:name="_Toc4352"/>
      <w:r>
        <w:rPr>
          <w:rFonts w:hint="eastAsia"/>
          <w:color w:val="auto"/>
          <w:highlight w:val="none"/>
        </w:rPr>
        <w:t>①根据所收集的基础资料，结合现场核查的有关情况，整理出绩效评价所需的项目材料和基础数据。</w:t>
      </w:r>
      <w:bookmarkEnd w:id="5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52" w:name="_Toc26231"/>
      <w:r>
        <w:rPr>
          <w:rFonts w:hint="eastAsia"/>
          <w:color w:val="auto"/>
          <w:highlight w:val="none"/>
        </w:rPr>
        <w:t>②将初步评价结论、调整事项、专家咨询意见和有关说明等提交单位内部讨论并征求意见。之后，对所征求的意见及时地进行收集和整理。</w:t>
      </w:r>
      <w:bookmarkEnd w:id="52"/>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53" w:name="_Toc27759"/>
      <w:r>
        <w:rPr>
          <w:rFonts w:hint="eastAsia"/>
          <w:color w:val="auto"/>
          <w:highlight w:val="none"/>
        </w:rPr>
        <w:t>（2）撰写报告</w:t>
      </w:r>
      <w:bookmarkEnd w:id="53"/>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rPr>
      </w:pPr>
      <w:bookmarkStart w:id="54" w:name="_Toc15579"/>
      <w:r>
        <w:rPr>
          <w:rFonts w:hint="eastAsia"/>
          <w:color w:val="auto"/>
          <w:highlight w:val="none"/>
        </w:rPr>
        <w:t>绩效评价项目小组依照整理、分析后的项目材料、数据资料，依据评价形成的初步结论，按照既定的格式和内容要求撰写绩效评价初步报告，最终形成评价结果。</w:t>
      </w:r>
      <w:bookmarkEnd w:id="54"/>
    </w:p>
    <w:p>
      <w:pPr>
        <w:pStyle w:val="2"/>
        <w:pageBreakBefore w:val="0"/>
        <w:widowControl w:val="0"/>
        <w:kinsoku/>
        <w:wordWrap/>
        <w:overflowPunct/>
        <w:topLinePunct w:val="0"/>
        <w:autoSpaceDE/>
        <w:autoSpaceDN/>
        <w:bidi w:val="0"/>
        <w:adjustRightInd/>
        <w:snapToGrid/>
        <w:spacing w:line="360" w:lineRule="auto"/>
        <w:textAlignment w:val="auto"/>
        <w:rPr>
          <w:color w:val="auto"/>
          <w:highlight w:val="none"/>
        </w:rPr>
      </w:pPr>
      <w:bookmarkStart w:id="55" w:name="_Toc1100"/>
      <w:r>
        <w:rPr>
          <w:rFonts w:hint="eastAsia"/>
          <w:color w:val="auto"/>
          <w:highlight w:val="none"/>
        </w:rPr>
        <w:t>三、综合评价情况及评价结论</w:t>
      </w:r>
      <w:bookmarkEnd w:id="55"/>
    </w:p>
    <w:p>
      <w:pPr>
        <w:pageBreakBefore w:val="0"/>
        <w:widowControl w:val="0"/>
        <w:kinsoku/>
        <w:wordWrap/>
        <w:overflowPunct/>
        <w:topLinePunct w:val="0"/>
        <w:autoSpaceDE/>
        <w:autoSpaceDN/>
        <w:bidi w:val="0"/>
        <w:adjustRightInd/>
        <w:snapToGrid/>
        <w:spacing w:line="360" w:lineRule="auto"/>
        <w:ind w:firstLine="560" w:firstLineChars="200"/>
        <w:textAlignment w:val="auto"/>
        <w:rPr>
          <w:color w:val="auto"/>
          <w:highlight w:val="none"/>
          <w:lang w:val="zh-TW" w:eastAsia="zh-TW"/>
        </w:rPr>
      </w:pPr>
      <w:r>
        <w:rPr>
          <w:rFonts w:hint="eastAsia"/>
          <w:color w:val="auto"/>
          <w:highlight w:val="none"/>
        </w:rPr>
        <w:t>此次绩效评价</w:t>
      </w:r>
      <w:r>
        <w:rPr>
          <w:rFonts w:hint="eastAsia"/>
          <w:color w:val="auto"/>
          <w:highlight w:val="none"/>
          <w:lang w:val="zh-TW" w:eastAsia="zh-TW"/>
        </w:rPr>
        <w:t>通过组论证的评价指标体系及评分标准，</w:t>
      </w:r>
      <w:r>
        <w:rPr>
          <w:rFonts w:hint="eastAsia"/>
          <w:color w:val="auto"/>
          <w:highlight w:val="none"/>
        </w:rPr>
        <w:t>采用的方法比较法、因素分析法、公众评判法，</w:t>
      </w:r>
      <w:r>
        <w:rPr>
          <w:rFonts w:hint="eastAsia"/>
          <w:color w:val="auto"/>
          <w:highlight w:val="none"/>
          <w:lang w:val="zh-TW" w:eastAsia="zh-TW"/>
        </w:rPr>
        <w:t>对</w:t>
      </w:r>
      <w:r>
        <w:rPr>
          <w:rFonts w:hint="eastAsia"/>
          <w:color w:val="auto"/>
          <w:highlight w:val="none"/>
        </w:rPr>
        <w:t>阜康市滋泥泉子镇农村厕所革命整村推进财政奖补资金项目</w:t>
      </w:r>
      <w:r>
        <w:rPr>
          <w:rFonts w:hint="eastAsia"/>
          <w:color w:val="auto"/>
          <w:highlight w:val="none"/>
          <w:lang w:val="zh-TW" w:eastAsia="zh-TW"/>
        </w:rPr>
        <w:t>绩效进行客观评价，最终评分结果：总分为</w:t>
      </w:r>
      <w:r>
        <w:rPr>
          <w:rFonts w:hint="eastAsia"/>
          <w:color w:val="auto"/>
          <w:highlight w:val="none"/>
          <w:lang w:val="en-US" w:eastAsia="zh-CN"/>
        </w:rPr>
        <w:t>98.41</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”。各部分权重和绩效</w:t>
      </w:r>
      <w:r>
        <w:rPr>
          <w:rFonts w:hint="eastAsia"/>
          <w:color w:val="auto"/>
          <w:highlight w:val="none"/>
        </w:rPr>
        <w:t>汇总</w:t>
      </w:r>
      <w:r>
        <w:rPr>
          <w:rFonts w:hint="eastAsia"/>
          <w:color w:val="auto"/>
          <w:highlight w:val="none"/>
          <w:lang w:val="zh-TW" w:eastAsia="zh-TW"/>
        </w:rPr>
        <w:t>分值如下表</w:t>
      </w:r>
      <w:r>
        <w:rPr>
          <w:rFonts w:hint="eastAsia"/>
          <w:b/>
          <w:bCs/>
          <w:color w:val="auto"/>
          <w:kern w:val="0"/>
          <w:highlight w:val="none"/>
        </w:rPr>
        <w:t>3-1</w:t>
      </w:r>
      <w:r>
        <w:rPr>
          <w:rFonts w:hint="eastAsia"/>
          <w:color w:val="auto"/>
          <w:highlight w:val="none"/>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lang w:val="zh-TW" w:eastAsia="zh-TW"/>
        </w:rPr>
        <w:t>：</w:t>
      </w:r>
    </w:p>
    <w:tbl>
      <w:tblPr>
        <w:tblStyle w:val="12"/>
        <w:tblW w:w="8780" w:type="dxa"/>
        <w:jc w:val="center"/>
        <w:tblInd w:w="0" w:type="dxa"/>
        <w:tblLayout w:type="fixed"/>
        <w:tblCellMar>
          <w:top w:w="0" w:type="dxa"/>
          <w:left w:w="0" w:type="dxa"/>
          <w:bottom w:w="0" w:type="dxa"/>
          <w:right w:w="0" w:type="dxa"/>
        </w:tblCellMar>
      </w:tblPr>
      <w:tblGrid>
        <w:gridCol w:w="1154"/>
        <w:gridCol w:w="1436"/>
        <w:gridCol w:w="1436"/>
        <w:gridCol w:w="1436"/>
        <w:gridCol w:w="1714"/>
        <w:gridCol w:w="1604"/>
      </w:tblGrid>
      <w:tr>
        <w:tblPrEx>
          <w:tblLayout w:type="fixed"/>
          <w:tblCellMar>
            <w:top w:w="0" w:type="dxa"/>
            <w:left w:w="0" w:type="dxa"/>
            <w:bottom w:w="0" w:type="dxa"/>
            <w:right w:w="0" w:type="dxa"/>
          </w:tblCellMar>
        </w:tblPrEx>
        <w:trPr>
          <w:trHeight w:val="651" w:hRule="atLeast"/>
          <w:jc w:val="center"/>
        </w:trPr>
        <w:tc>
          <w:tcPr>
            <w:tcW w:w="8780"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b/>
                <w:bCs/>
                <w:color w:val="auto"/>
                <w:sz w:val="28"/>
                <w:szCs w:val="28"/>
                <w:highlight w:val="none"/>
              </w:rPr>
            </w:pPr>
            <w:r>
              <w:rPr>
                <w:rFonts w:hint="eastAsia"/>
                <w:b/>
                <w:bCs/>
                <w:color w:val="auto"/>
                <w:sz w:val="28"/>
                <w:szCs w:val="28"/>
                <w:highlight w:val="none"/>
              </w:rPr>
              <w:t>表3-1：阜康市滋泥泉子镇农村厕所革命整村推进财政奖补资金</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21"/>
                <w:szCs w:val="21"/>
                <w:highlight w:val="none"/>
              </w:rPr>
            </w:pPr>
            <w:r>
              <w:rPr>
                <w:rFonts w:hint="eastAsia"/>
                <w:b/>
                <w:bCs/>
                <w:color w:val="auto"/>
                <w:sz w:val="28"/>
                <w:szCs w:val="28"/>
                <w:highlight w:val="none"/>
              </w:rPr>
              <w:t>项目得分表</w:t>
            </w:r>
          </w:p>
        </w:tc>
      </w:tr>
      <w:tr>
        <w:tblPrEx>
          <w:tblLayout w:type="fixed"/>
          <w:tblCellMar>
            <w:top w:w="0" w:type="dxa"/>
            <w:left w:w="0" w:type="dxa"/>
            <w:bottom w:w="0" w:type="dxa"/>
            <w:right w:w="0" w:type="dxa"/>
          </w:tblCellMar>
        </w:tblPrEx>
        <w:trPr>
          <w:trHeight w:val="346" w:hRule="atLeast"/>
          <w:jc w:val="center"/>
        </w:trPr>
        <w:tc>
          <w:tcPr>
            <w:tcW w:w="11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指标类别</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1.项目决策</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2.过程管理</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3.项目产出</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4.项目效益</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b/>
                <w:bCs/>
                <w:color w:val="auto"/>
                <w:sz w:val="20"/>
                <w:szCs w:val="20"/>
                <w:highlight w:val="none"/>
              </w:rPr>
            </w:pPr>
            <w:r>
              <w:rPr>
                <w:rFonts w:hint="eastAsia"/>
                <w:b/>
                <w:bCs/>
                <w:color w:val="auto"/>
                <w:sz w:val="20"/>
                <w:szCs w:val="20"/>
                <w:highlight w:val="none"/>
              </w:rPr>
              <w:t>合计</w:t>
            </w:r>
          </w:p>
        </w:tc>
      </w:tr>
      <w:tr>
        <w:tblPrEx>
          <w:tblLayout w:type="fixed"/>
          <w:tblCellMar>
            <w:top w:w="0" w:type="dxa"/>
            <w:left w:w="0" w:type="dxa"/>
            <w:bottom w:w="0" w:type="dxa"/>
            <w:right w:w="0" w:type="dxa"/>
          </w:tblCellMar>
        </w:tblPrEx>
        <w:trPr>
          <w:trHeight w:val="346" w:hRule="atLeast"/>
          <w:jc w:val="center"/>
        </w:trPr>
        <w:tc>
          <w:tcPr>
            <w:tcW w:w="11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权重</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20</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20</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30</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30</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100</w:t>
            </w:r>
          </w:p>
        </w:tc>
      </w:tr>
      <w:tr>
        <w:tblPrEx>
          <w:tblLayout w:type="fixed"/>
          <w:tblCellMar>
            <w:top w:w="0" w:type="dxa"/>
            <w:left w:w="0" w:type="dxa"/>
            <w:bottom w:w="0" w:type="dxa"/>
            <w:right w:w="0" w:type="dxa"/>
          </w:tblCellMar>
        </w:tblPrEx>
        <w:trPr>
          <w:trHeight w:val="218" w:hRule="atLeast"/>
          <w:jc w:val="center"/>
        </w:trPr>
        <w:tc>
          <w:tcPr>
            <w:tcW w:w="11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分值</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olor w:val="auto"/>
                <w:sz w:val="20"/>
                <w:szCs w:val="20"/>
                <w:highlight w:val="none"/>
                <w:lang w:val="en-US" w:eastAsia="zh-CN"/>
              </w:rPr>
            </w:pPr>
            <w:r>
              <w:rPr>
                <w:rFonts w:hint="eastAsia"/>
                <w:color w:val="auto"/>
                <w:sz w:val="20"/>
                <w:szCs w:val="20"/>
                <w:highlight w:val="none"/>
                <w:lang w:val="en-US" w:eastAsia="zh-CN"/>
              </w:rPr>
              <w:t>19.8</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19.47</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color w:val="auto"/>
                <w:sz w:val="20"/>
                <w:szCs w:val="20"/>
                <w:highlight w:val="none"/>
                <w:lang w:val="en-US" w:eastAsia="zh-CN"/>
              </w:rPr>
            </w:pPr>
            <w:r>
              <w:rPr>
                <w:rFonts w:hint="eastAsia"/>
                <w:color w:val="auto"/>
                <w:sz w:val="20"/>
                <w:szCs w:val="20"/>
                <w:highlight w:val="none"/>
                <w:lang w:val="en-US" w:eastAsia="zh-CN"/>
              </w:rPr>
              <w:t>29.14</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30</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eastAsia="宋体"/>
                <w:color w:val="auto"/>
                <w:sz w:val="20"/>
                <w:szCs w:val="20"/>
                <w:highlight w:val="none"/>
                <w:lang w:val="en-US" w:eastAsia="zh-CN"/>
              </w:rPr>
            </w:pPr>
            <w:r>
              <w:rPr>
                <w:rFonts w:hint="eastAsia"/>
                <w:color w:val="auto"/>
                <w:sz w:val="20"/>
                <w:szCs w:val="20"/>
                <w:highlight w:val="none"/>
                <w:lang w:val="en-US" w:eastAsia="zh-CN"/>
              </w:rPr>
              <w:t>98.41</w:t>
            </w:r>
          </w:p>
        </w:tc>
      </w:tr>
      <w:tr>
        <w:tblPrEx>
          <w:tblLayout w:type="fixed"/>
          <w:tblCellMar>
            <w:top w:w="0" w:type="dxa"/>
            <w:left w:w="0" w:type="dxa"/>
            <w:bottom w:w="0" w:type="dxa"/>
            <w:right w:w="0" w:type="dxa"/>
          </w:tblCellMar>
        </w:tblPrEx>
        <w:trPr>
          <w:trHeight w:val="391" w:hRule="atLeast"/>
          <w:jc w:val="center"/>
        </w:trPr>
        <w:tc>
          <w:tcPr>
            <w:tcW w:w="11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得分率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lang w:val="en-US" w:eastAsia="zh-CN"/>
              </w:rPr>
              <w:t>99</w:t>
            </w:r>
            <w:r>
              <w:rPr>
                <w:rFonts w:hint="eastAsia"/>
                <w:color w:val="auto"/>
                <w:sz w:val="20"/>
                <w:szCs w:val="20"/>
                <w:highlight w:val="none"/>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97.35%</w:t>
            </w:r>
          </w:p>
        </w:tc>
        <w:tc>
          <w:tcPr>
            <w:tcW w:w="1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lang w:val="en-US" w:eastAsia="zh-CN"/>
              </w:rPr>
              <w:t>97.13</w:t>
            </w:r>
            <w:r>
              <w:rPr>
                <w:rFonts w:hint="eastAsia"/>
                <w:color w:val="auto"/>
                <w:sz w:val="20"/>
                <w:szCs w:val="20"/>
                <w:highlight w:val="none"/>
              </w:rPr>
              <w:t>%</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20"/>
                <w:szCs w:val="20"/>
                <w:highlight w:val="none"/>
              </w:rPr>
            </w:pPr>
            <w:r>
              <w:rPr>
                <w:rFonts w:hint="eastAsia"/>
                <w:color w:val="auto"/>
                <w:sz w:val="20"/>
                <w:szCs w:val="20"/>
                <w:highlight w:val="none"/>
              </w:rPr>
              <w:t>100%</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eastAsia="宋体"/>
                <w:color w:val="auto"/>
                <w:sz w:val="20"/>
                <w:szCs w:val="20"/>
                <w:highlight w:val="none"/>
                <w:lang w:val="en-US" w:eastAsia="zh-CN"/>
              </w:rPr>
            </w:pPr>
            <w:r>
              <w:rPr>
                <w:rFonts w:hint="eastAsia"/>
                <w:color w:val="auto"/>
                <w:sz w:val="20"/>
                <w:szCs w:val="20"/>
                <w:highlight w:val="none"/>
                <w:lang w:val="en-US" w:eastAsia="zh-CN"/>
              </w:rPr>
              <w:t>98.41%</w:t>
            </w:r>
          </w:p>
        </w:tc>
      </w:tr>
    </w:tbl>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highlight w:val="none"/>
        </w:rPr>
      </w:pPr>
      <w:bookmarkStart w:id="56" w:name="_Toc9421"/>
      <w:r>
        <w:rPr>
          <w:rFonts w:hint="eastAsia" w:ascii="宋体" w:hAnsi="宋体" w:eastAsia="宋体" w:cs="宋体"/>
          <w:b/>
          <w:bCs/>
          <w:color w:val="auto"/>
          <w:highlight w:val="none"/>
        </w:rPr>
        <w:t>四、绩效评价指标分析</w:t>
      </w:r>
      <w:bookmarkEnd w:id="56"/>
    </w:p>
    <w:p>
      <w:pPr>
        <w:pStyle w:val="3"/>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bookmarkStart w:id="57" w:name="_Toc15355"/>
      <w:r>
        <w:rPr>
          <w:rFonts w:hint="eastAsia" w:ascii="宋体" w:hAnsi="宋体" w:eastAsia="宋体" w:cs="宋体"/>
          <w:color w:val="auto"/>
          <w:highlight w:val="none"/>
        </w:rPr>
        <w:t>（一）项目决策情况</w:t>
      </w:r>
      <w:bookmarkEnd w:id="57"/>
    </w:p>
    <w:p>
      <w:pPr>
        <w:pageBreakBefore w:val="0"/>
        <w:widowControl w:val="0"/>
        <w:kinsoku/>
        <w:wordWrap/>
        <w:overflowPunct/>
        <w:topLinePunct w:val="0"/>
        <w:autoSpaceDE/>
        <w:autoSpaceDN/>
        <w:bidi w:val="0"/>
        <w:adjustRightInd/>
        <w:snapToGrid/>
        <w:spacing w:line="360" w:lineRule="auto"/>
        <w:ind w:firstLine="560" w:firstLineChars="200"/>
        <w:textAlignment w:val="auto"/>
        <w:rPr>
          <w:color w:val="auto"/>
          <w:highlight w:val="none"/>
        </w:rPr>
      </w:pPr>
      <w:r>
        <w:rPr>
          <w:rFonts w:hint="eastAsia"/>
          <w:color w:val="auto"/>
          <w:highlight w:val="none"/>
        </w:rPr>
        <w:t>项目决策由3个二级指标和6个三级指标构成，权重分20分，实际得分</w:t>
      </w:r>
      <w:r>
        <w:rPr>
          <w:rFonts w:hint="eastAsia"/>
          <w:color w:val="auto"/>
          <w:highlight w:val="none"/>
          <w:lang w:val="en-US" w:eastAsia="zh-CN"/>
        </w:rPr>
        <w:t>19.8</w:t>
      </w:r>
      <w:r>
        <w:rPr>
          <w:rFonts w:hint="eastAsia"/>
          <w:color w:val="auto"/>
          <w:highlight w:val="none"/>
        </w:rPr>
        <w:t>分，</w:t>
      </w:r>
      <w:r>
        <w:rPr>
          <w:rFonts w:hint="eastAsia"/>
          <w:color w:val="auto"/>
          <w:highlight w:val="none"/>
          <w:u w:color="000000"/>
          <w:lang w:val="zh-TW" w:eastAsia="zh-TW"/>
        </w:rPr>
        <w:t>各指标业绩值和绩效分值如表</w:t>
      </w:r>
      <w:r>
        <w:rPr>
          <w:rFonts w:hint="eastAsia"/>
          <w:b/>
          <w:bCs/>
          <w:color w:val="auto"/>
          <w:highlight w:val="none"/>
          <w:u w:color="000000"/>
        </w:rPr>
        <w:t>4-1</w:t>
      </w:r>
      <w:r>
        <w:rPr>
          <w:rFonts w:hint="eastAsia"/>
          <w:color w:val="auto"/>
          <w:highlight w:val="none"/>
          <w:u w:color="000000"/>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rPr>
        <w:t>：</w:t>
      </w:r>
    </w:p>
    <w:p>
      <w:pPr>
        <w:pageBreakBefore w:val="0"/>
        <w:widowControl w:val="0"/>
        <w:kinsoku/>
        <w:wordWrap/>
        <w:overflowPunct/>
        <w:topLinePunct w:val="0"/>
        <w:autoSpaceDE/>
        <w:autoSpaceDN/>
        <w:bidi w:val="0"/>
        <w:adjustRightInd/>
        <w:snapToGrid/>
        <w:spacing w:line="360" w:lineRule="auto"/>
        <w:jc w:val="center"/>
        <w:textAlignment w:val="auto"/>
        <w:rPr>
          <w:rFonts w:hint="eastAsia"/>
          <w:b/>
          <w:bCs/>
          <w:color w:val="auto"/>
          <w:highlight w:val="none"/>
          <w:lang w:val="zh-TW" w:eastAsia="zh-TW"/>
        </w:rPr>
      </w:pPr>
    </w:p>
    <w:p>
      <w:pPr>
        <w:pageBreakBefore w:val="0"/>
        <w:widowControl w:val="0"/>
        <w:kinsoku/>
        <w:wordWrap/>
        <w:overflowPunct/>
        <w:topLinePunct w:val="0"/>
        <w:autoSpaceDE/>
        <w:autoSpaceDN/>
        <w:bidi w:val="0"/>
        <w:adjustRightInd/>
        <w:snapToGrid/>
        <w:spacing w:line="360" w:lineRule="auto"/>
        <w:jc w:val="center"/>
        <w:textAlignment w:val="auto"/>
        <w:rPr>
          <w:b/>
          <w:bCs/>
          <w:color w:val="auto"/>
          <w:highlight w:val="none"/>
        </w:rPr>
      </w:pPr>
      <w:r>
        <w:rPr>
          <w:rFonts w:hint="eastAsia"/>
          <w:b/>
          <w:bCs/>
          <w:color w:val="auto"/>
          <w:highlight w:val="none"/>
          <w:lang w:val="zh-TW" w:eastAsia="zh-TW"/>
        </w:rPr>
        <w:t>表</w:t>
      </w:r>
      <w:r>
        <w:rPr>
          <w:rFonts w:hint="eastAsia"/>
          <w:b/>
          <w:bCs/>
          <w:color w:val="auto"/>
          <w:highlight w:val="none"/>
        </w:rPr>
        <w:t>4-1</w:t>
      </w:r>
      <w:r>
        <w:rPr>
          <w:rFonts w:hint="eastAsia"/>
          <w:b/>
          <w:bCs/>
          <w:color w:val="auto"/>
          <w:highlight w:val="none"/>
          <w:lang w:eastAsia="zh-CN"/>
        </w:rPr>
        <w:t>：</w:t>
      </w:r>
      <w:r>
        <w:rPr>
          <w:rFonts w:hint="eastAsia"/>
          <w:b/>
          <w:bCs/>
          <w:color w:val="auto"/>
          <w:highlight w:val="none"/>
          <w:lang w:val="zh-TW" w:eastAsia="zh-TW"/>
        </w:rPr>
        <w:t>项目决策指标及分值</w:t>
      </w:r>
    </w:p>
    <w:tbl>
      <w:tblPr>
        <w:tblStyle w:val="12"/>
        <w:tblW w:w="853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9"/>
        <w:gridCol w:w="970"/>
        <w:gridCol w:w="1261"/>
        <w:gridCol w:w="805"/>
        <w:gridCol w:w="1891"/>
        <w:gridCol w:w="1432"/>
        <w:gridCol w:w="10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一级指标</w:t>
            </w:r>
          </w:p>
        </w:tc>
        <w:tc>
          <w:tcPr>
            <w:tcW w:w="970"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26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二级指标</w:t>
            </w:r>
          </w:p>
        </w:tc>
        <w:tc>
          <w:tcPr>
            <w:tcW w:w="805"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三级指标</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1089"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项目决策</w:t>
            </w:r>
          </w:p>
        </w:tc>
        <w:tc>
          <w:tcPr>
            <w:tcW w:w="970"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w:t>
            </w:r>
          </w:p>
        </w:tc>
        <w:tc>
          <w:tcPr>
            <w:tcW w:w="1261"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项目立项</w:t>
            </w:r>
          </w:p>
        </w:tc>
        <w:tc>
          <w:tcPr>
            <w:tcW w:w="805"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w:t>
            </w: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立项依据充分性</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7" w:hRule="atLeast"/>
          <w:tblHeader/>
          <w:jc w:val="center"/>
        </w:trPr>
        <w:tc>
          <w:tcPr>
            <w:tcW w:w="1089"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970"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61"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805"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立项程序规范性</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1089"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970"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61"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绩效目标</w:t>
            </w:r>
          </w:p>
        </w:tc>
        <w:tc>
          <w:tcPr>
            <w:tcW w:w="805"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绩效目标合理性</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1089"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970"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61"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805"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绩效指标明确性</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1089"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970"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61"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资金投入</w:t>
            </w:r>
          </w:p>
        </w:tc>
        <w:tc>
          <w:tcPr>
            <w:tcW w:w="805" w:type="dxa"/>
            <w:vMerge w:val="restart"/>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w:t>
            </w: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预算编制科学性</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1089"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970"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61"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805" w:type="dxa"/>
            <w:vMerge w:val="continue"/>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资金分配合理性</w:t>
            </w: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blHeader/>
          <w:jc w:val="center"/>
        </w:trPr>
        <w:tc>
          <w:tcPr>
            <w:tcW w:w="3320" w:type="dxa"/>
            <w:gridSpan w:val="3"/>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合计</w:t>
            </w:r>
          </w:p>
        </w:tc>
        <w:tc>
          <w:tcPr>
            <w:tcW w:w="805"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w:t>
            </w:r>
          </w:p>
        </w:tc>
        <w:tc>
          <w:tcPr>
            <w:tcW w:w="1891"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432"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w:t>
            </w:r>
          </w:p>
        </w:tc>
        <w:tc>
          <w:tcPr>
            <w:tcW w:w="1089" w:type="dxa"/>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19.8</w:t>
            </w:r>
          </w:p>
        </w:tc>
      </w:tr>
    </w:tbl>
    <w:p>
      <w:pPr>
        <w:keepNext w:val="0"/>
        <w:keepLines w:val="0"/>
        <w:pageBreakBefore w:val="0"/>
        <w:widowControl w:val="0"/>
        <w:kinsoku/>
        <w:wordWrap/>
        <w:overflowPunct/>
        <w:topLinePunct w:val="0"/>
        <w:autoSpaceDE/>
        <w:autoSpaceDN/>
        <w:bidi w:val="0"/>
        <w:adjustRightInd/>
        <w:snapToGrid/>
        <w:ind w:firstLine="562" w:firstLineChars="200"/>
        <w:textAlignment w:val="auto"/>
        <w:rPr>
          <w:b/>
          <w:bCs/>
          <w:color w:val="auto"/>
          <w:highlight w:val="none"/>
        </w:rPr>
      </w:pPr>
      <w:r>
        <w:rPr>
          <w:rFonts w:hint="eastAsia"/>
          <w:b/>
          <w:bCs/>
          <w:color w:val="auto"/>
          <w:highlight w:val="none"/>
        </w:rPr>
        <w:t xml:space="preserve"> </w:t>
      </w:r>
      <w:bookmarkStart w:id="58" w:name="_Toc13522"/>
      <w:r>
        <w:rPr>
          <w:rFonts w:hint="eastAsia"/>
          <w:b/>
          <w:bCs/>
          <w:color w:val="auto"/>
          <w:highlight w:val="none"/>
        </w:rPr>
        <w:t>1.立项依据充分性</w:t>
      </w:r>
      <w:bookmarkEnd w:id="58"/>
    </w:p>
    <w:p>
      <w:pPr>
        <w:ind w:firstLine="560" w:firstLineChars="200"/>
        <w:rPr>
          <w:color w:val="auto"/>
          <w:highlight w:val="none"/>
        </w:rPr>
      </w:pPr>
      <w:r>
        <w:rPr>
          <w:rFonts w:hint="eastAsia"/>
          <w:color w:val="auto"/>
          <w:highlight w:val="none"/>
        </w:rPr>
        <w:t>①项目立项符合国家法律法规、国民经济发展规划和相关政策；</w:t>
      </w:r>
    </w:p>
    <w:p>
      <w:pPr>
        <w:ind w:firstLine="560" w:firstLineChars="200"/>
        <w:rPr>
          <w:color w:val="auto"/>
          <w:highlight w:val="none"/>
        </w:rPr>
      </w:pPr>
      <w:r>
        <w:rPr>
          <w:rFonts w:hint="eastAsia"/>
          <w:color w:val="auto"/>
          <w:highlight w:val="none"/>
        </w:rPr>
        <w:t>②项目立项符合《中共中央国务院关于实施乡村振兴战略的意见》、《国家乡村振兴战略规划（</w:t>
      </w:r>
      <w:r>
        <w:rPr>
          <w:color w:val="auto"/>
          <w:highlight w:val="none"/>
        </w:rPr>
        <w:t>2018-2022年)》、</w:t>
      </w:r>
      <w:r>
        <w:rPr>
          <w:rFonts w:hint="eastAsia"/>
          <w:color w:val="auto"/>
          <w:highlight w:val="none"/>
        </w:rPr>
        <w:t>《新疆维吾尔自治区乡村振兴战略规划</w:t>
      </w:r>
      <w:r>
        <w:rPr>
          <w:color w:val="auto"/>
          <w:highlight w:val="none"/>
        </w:rPr>
        <w:t>(2018—2022年）》</w:t>
      </w:r>
      <w:r>
        <w:rPr>
          <w:rFonts w:hint="eastAsia"/>
          <w:color w:val="auto"/>
          <w:highlight w:val="none"/>
        </w:rPr>
        <w:t>；</w:t>
      </w:r>
    </w:p>
    <w:p>
      <w:pPr>
        <w:ind w:firstLine="560" w:firstLineChars="200"/>
        <w:rPr>
          <w:color w:val="auto"/>
          <w:highlight w:val="none"/>
        </w:rPr>
      </w:pPr>
      <w:r>
        <w:rPr>
          <w:rFonts w:hint="eastAsia"/>
          <w:color w:val="auto"/>
          <w:highlight w:val="none"/>
        </w:rPr>
        <w:t>③项目立项与负责落实行政主管部门的工作部署，推进全县乡村振兴战略实施，制定乡村振兴主要工作计划和阶段性工作目标；负责统计汇总乡村振兴项目、投资情况；协助主管部门改善农村人居环境相符，属于部门履职所需；</w:t>
      </w:r>
    </w:p>
    <w:p>
      <w:pPr>
        <w:ind w:firstLine="560" w:firstLineChars="200"/>
        <w:rPr>
          <w:color w:val="auto"/>
          <w:highlight w:val="none"/>
        </w:rPr>
      </w:pPr>
      <w:r>
        <w:rPr>
          <w:rFonts w:hint="eastAsia"/>
          <w:color w:val="auto"/>
          <w:highlight w:val="none"/>
        </w:rPr>
        <w:t>④项目属于公共财政支持范围，符合中央、地方事权支出责任划分原则；</w:t>
      </w:r>
    </w:p>
    <w:p>
      <w:pPr>
        <w:ind w:firstLine="560" w:firstLineChars="200"/>
        <w:rPr>
          <w:color w:val="auto"/>
          <w:highlight w:val="none"/>
        </w:rPr>
      </w:pPr>
      <w:r>
        <w:rPr>
          <w:rFonts w:hint="eastAsia"/>
          <w:color w:val="auto"/>
          <w:highlight w:val="none"/>
        </w:rPr>
        <w:t>⑤项目与相关部门同类项目或部门内部相关项目不重复。</w:t>
      </w:r>
    </w:p>
    <w:p>
      <w:pPr>
        <w:ind w:firstLine="562" w:firstLineChars="200"/>
        <w:rPr>
          <w:b/>
          <w:bCs/>
          <w:color w:val="auto"/>
          <w:highlight w:val="none"/>
        </w:rPr>
      </w:pPr>
      <w:r>
        <w:rPr>
          <w:rFonts w:hint="eastAsia"/>
          <w:b/>
          <w:bCs/>
          <w:color w:val="auto"/>
          <w:highlight w:val="none"/>
        </w:rPr>
        <w:t>综上，该项指标满分2分，得分2分。</w:t>
      </w:r>
    </w:p>
    <w:p>
      <w:pPr>
        <w:ind w:firstLine="562" w:firstLineChars="200"/>
        <w:rPr>
          <w:b/>
          <w:bCs/>
          <w:color w:val="auto"/>
          <w:highlight w:val="none"/>
        </w:rPr>
      </w:pPr>
      <w:bookmarkStart w:id="59" w:name="_Toc21976"/>
      <w:r>
        <w:rPr>
          <w:rFonts w:hint="eastAsia"/>
          <w:b/>
          <w:bCs/>
          <w:color w:val="auto"/>
          <w:highlight w:val="none"/>
        </w:rPr>
        <w:t>2.立项程序规范性</w:t>
      </w:r>
      <w:bookmarkEnd w:id="59"/>
    </w:p>
    <w:p>
      <w:pPr>
        <w:ind w:firstLine="560" w:firstLineChars="200"/>
        <w:rPr>
          <w:color w:val="auto"/>
          <w:highlight w:val="none"/>
        </w:rPr>
      </w:pPr>
      <w:r>
        <w:rPr>
          <w:rFonts w:hint="eastAsia"/>
          <w:color w:val="auto"/>
          <w:highlight w:val="none"/>
        </w:rPr>
        <w:t>①项目按照规定的程序申请设立；</w:t>
      </w:r>
    </w:p>
    <w:p>
      <w:pPr>
        <w:ind w:firstLine="560" w:firstLineChars="200"/>
        <w:rPr>
          <w:color w:val="auto"/>
          <w:highlight w:val="none"/>
        </w:rPr>
      </w:pPr>
      <w:r>
        <w:rPr>
          <w:rFonts w:hint="eastAsia"/>
          <w:color w:val="auto"/>
          <w:highlight w:val="none"/>
        </w:rPr>
        <w:t>②审批文件、材料符合相关要求；</w:t>
      </w:r>
    </w:p>
    <w:p>
      <w:pPr>
        <w:ind w:firstLine="560" w:firstLineChars="200"/>
        <w:rPr>
          <w:rFonts w:hint="default" w:eastAsia="宋体"/>
          <w:color w:val="auto"/>
          <w:highlight w:val="none"/>
          <w:lang w:val="en-US" w:eastAsia="zh-CN"/>
        </w:rPr>
      </w:pPr>
      <w:r>
        <w:rPr>
          <w:rFonts w:hint="eastAsia"/>
          <w:color w:val="auto"/>
          <w:highlight w:val="none"/>
        </w:rPr>
        <w:t>③事前经过必要的可行性研究、</w:t>
      </w:r>
      <w:r>
        <w:rPr>
          <w:rFonts w:hint="eastAsia"/>
          <w:color w:val="auto"/>
          <w:highlight w:val="none"/>
          <w:lang w:val="en-US" w:eastAsia="zh-CN"/>
        </w:rPr>
        <w:t>专家论证、</w:t>
      </w:r>
      <w:r>
        <w:rPr>
          <w:rFonts w:hint="eastAsia"/>
          <w:color w:val="auto"/>
          <w:highlight w:val="none"/>
        </w:rPr>
        <w:t>风险评估、集体决策。</w:t>
      </w:r>
      <w:r>
        <w:rPr>
          <w:rFonts w:hint="eastAsia"/>
          <w:color w:val="auto"/>
          <w:highlight w:val="none"/>
          <w:lang w:val="en-US" w:eastAsia="zh-CN"/>
        </w:rPr>
        <w:t>未经过必要的</w:t>
      </w:r>
      <w:r>
        <w:rPr>
          <w:rFonts w:hint="eastAsia"/>
          <w:color w:val="auto"/>
          <w:highlight w:val="none"/>
        </w:rPr>
        <w:t>绩效评估</w:t>
      </w:r>
      <w:r>
        <w:rPr>
          <w:rFonts w:hint="eastAsia"/>
          <w:color w:val="auto"/>
          <w:highlight w:val="none"/>
          <w:lang w:eastAsia="zh-CN"/>
        </w:rPr>
        <w:t>，</w:t>
      </w:r>
      <w:r>
        <w:rPr>
          <w:rFonts w:hint="eastAsia"/>
          <w:color w:val="auto"/>
          <w:highlight w:val="none"/>
          <w:lang w:val="en-US" w:eastAsia="zh-CN"/>
        </w:rPr>
        <w:t>扣0.2分。</w:t>
      </w:r>
    </w:p>
    <w:p>
      <w:pPr>
        <w:ind w:firstLine="562" w:firstLineChars="200"/>
        <w:rPr>
          <w:b/>
          <w:bCs/>
          <w:color w:val="auto"/>
          <w:highlight w:val="none"/>
        </w:rPr>
      </w:pPr>
      <w:r>
        <w:rPr>
          <w:rFonts w:hint="eastAsia"/>
          <w:b/>
          <w:bCs/>
          <w:color w:val="auto"/>
          <w:highlight w:val="none"/>
        </w:rPr>
        <w:t>综上，该项指标满分3分，得分</w:t>
      </w:r>
      <w:r>
        <w:rPr>
          <w:rFonts w:hint="eastAsia"/>
          <w:b/>
          <w:bCs/>
          <w:color w:val="auto"/>
          <w:highlight w:val="none"/>
          <w:lang w:val="en-US" w:eastAsia="zh-CN"/>
        </w:rPr>
        <w:t>2.8</w:t>
      </w:r>
      <w:r>
        <w:rPr>
          <w:rFonts w:hint="eastAsia"/>
          <w:b/>
          <w:bCs/>
          <w:color w:val="auto"/>
          <w:highlight w:val="none"/>
        </w:rPr>
        <w:t>分。</w:t>
      </w:r>
    </w:p>
    <w:p>
      <w:pPr>
        <w:ind w:firstLine="562" w:firstLineChars="200"/>
        <w:rPr>
          <w:b/>
          <w:bCs/>
          <w:color w:val="auto"/>
          <w:highlight w:val="none"/>
        </w:rPr>
      </w:pPr>
      <w:bookmarkStart w:id="60" w:name="_Toc15382"/>
      <w:r>
        <w:rPr>
          <w:rFonts w:hint="eastAsia"/>
          <w:b/>
          <w:bCs/>
          <w:color w:val="auto"/>
          <w:highlight w:val="none"/>
        </w:rPr>
        <w:t>3.绩效目标合理性</w:t>
      </w:r>
      <w:bookmarkEnd w:id="60"/>
    </w:p>
    <w:p>
      <w:pPr>
        <w:ind w:firstLine="560" w:firstLineChars="200"/>
        <w:rPr>
          <w:color w:val="auto"/>
          <w:highlight w:val="none"/>
        </w:rPr>
      </w:pPr>
      <w:r>
        <w:rPr>
          <w:rFonts w:hint="eastAsia"/>
          <w:color w:val="auto"/>
          <w:highlight w:val="none"/>
        </w:rPr>
        <w:t>①项目有绩效目标；</w:t>
      </w:r>
    </w:p>
    <w:p>
      <w:pPr>
        <w:ind w:firstLine="560" w:firstLineChars="200"/>
        <w:rPr>
          <w:color w:val="auto"/>
          <w:highlight w:val="none"/>
        </w:rPr>
      </w:pPr>
      <w:r>
        <w:rPr>
          <w:rFonts w:hint="eastAsia"/>
          <w:color w:val="auto"/>
          <w:highlight w:val="none"/>
        </w:rPr>
        <w:t>②项目绩效目标与实际工作内容具有相关性；</w:t>
      </w:r>
    </w:p>
    <w:p>
      <w:pPr>
        <w:ind w:firstLine="560" w:firstLineChars="200"/>
        <w:rPr>
          <w:color w:val="auto"/>
          <w:highlight w:val="none"/>
        </w:rPr>
      </w:pPr>
      <w:r>
        <w:rPr>
          <w:rFonts w:hint="eastAsia"/>
          <w:color w:val="auto"/>
          <w:highlight w:val="none"/>
        </w:rPr>
        <w:t>③项目预期产出效益和效果符合正常的业绩水平；</w:t>
      </w:r>
    </w:p>
    <w:p>
      <w:pPr>
        <w:ind w:firstLine="560" w:firstLineChars="200"/>
        <w:rPr>
          <w:color w:val="auto"/>
          <w:highlight w:val="none"/>
        </w:rPr>
      </w:pPr>
      <w:r>
        <w:rPr>
          <w:rFonts w:hint="eastAsia"/>
          <w:color w:val="auto"/>
          <w:highlight w:val="none"/>
        </w:rPr>
        <w:t>④与预算确定的项目投资额或资金量相匹配。</w:t>
      </w:r>
    </w:p>
    <w:p>
      <w:pPr>
        <w:ind w:firstLine="562" w:firstLineChars="200"/>
        <w:rPr>
          <w:b/>
          <w:bCs/>
          <w:color w:val="auto"/>
          <w:highlight w:val="none"/>
        </w:rPr>
      </w:pPr>
      <w:r>
        <w:rPr>
          <w:rFonts w:hint="eastAsia"/>
          <w:b/>
          <w:bCs/>
          <w:color w:val="auto"/>
          <w:highlight w:val="none"/>
        </w:rPr>
        <w:t>综上，该项指标满分5分，得分5分。</w:t>
      </w:r>
    </w:p>
    <w:p>
      <w:pPr>
        <w:ind w:firstLine="562" w:firstLineChars="200"/>
        <w:rPr>
          <w:b/>
          <w:bCs/>
          <w:color w:val="auto"/>
          <w:highlight w:val="none"/>
        </w:rPr>
      </w:pPr>
      <w:bookmarkStart w:id="61" w:name="_Toc10650"/>
      <w:r>
        <w:rPr>
          <w:rFonts w:hint="eastAsia"/>
          <w:b/>
          <w:bCs/>
          <w:color w:val="auto"/>
          <w:highlight w:val="none"/>
        </w:rPr>
        <w:t>4.绩效指标明确性</w:t>
      </w:r>
      <w:bookmarkEnd w:id="61"/>
    </w:p>
    <w:p>
      <w:pPr>
        <w:ind w:firstLine="560" w:firstLineChars="200"/>
        <w:rPr>
          <w:rFonts w:hint="default" w:eastAsia="宋体"/>
          <w:color w:val="auto"/>
          <w:highlight w:val="none"/>
          <w:lang w:val="en-US" w:eastAsia="zh-CN"/>
        </w:rPr>
      </w:pPr>
      <w:r>
        <w:rPr>
          <w:rFonts w:hint="eastAsia"/>
          <w:color w:val="auto"/>
          <w:highlight w:val="none"/>
        </w:rPr>
        <w:t>①将项目绩效目标细化分解为具体的绩效指标</w:t>
      </w:r>
      <w:r>
        <w:rPr>
          <w:rFonts w:hint="eastAsia"/>
          <w:color w:val="auto"/>
          <w:highlight w:val="none"/>
          <w:lang w:eastAsia="zh-CN"/>
        </w:rPr>
        <w:t>，</w:t>
      </w:r>
      <w:r>
        <w:rPr>
          <w:rFonts w:hint="eastAsia"/>
          <w:color w:val="auto"/>
          <w:highlight w:val="none"/>
          <w:lang w:val="en-US" w:eastAsia="zh-CN"/>
        </w:rPr>
        <w:t>其中二级指标5个，三级指标14个。</w:t>
      </w:r>
    </w:p>
    <w:p>
      <w:pPr>
        <w:ind w:firstLine="560" w:firstLineChars="200"/>
        <w:rPr>
          <w:rFonts w:hint="default"/>
          <w:color w:val="auto"/>
          <w:highlight w:val="none"/>
          <w:lang w:val="en-US" w:eastAsia="zh-CN"/>
        </w:rPr>
      </w:pPr>
      <w:r>
        <w:rPr>
          <w:rFonts w:hint="eastAsia"/>
          <w:color w:val="auto"/>
          <w:highlight w:val="none"/>
        </w:rPr>
        <w:t>②通过清晰、可衡量的指标值予以体现</w:t>
      </w:r>
      <w:r>
        <w:rPr>
          <w:rFonts w:hint="eastAsia"/>
          <w:color w:val="auto"/>
          <w:highlight w:val="none"/>
          <w:lang w:val="en-US" w:eastAsia="zh-CN"/>
        </w:rPr>
        <w:t>,量化率为85.71%。</w:t>
      </w:r>
    </w:p>
    <w:p>
      <w:pPr>
        <w:ind w:firstLine="560" w:firstLineChars="200"/>
        <w:rPr>
          <w:color w:val="auto"/>
          <w:highlight w:val="none"/>
        </w:rPr>
      </w:pPr>
      <w:r>
        <w:rPr>
          <w:rFonts w:hint="eastAsia"/>
          <w:color w:val="auto"/>
          <w:highlight w:val="none"/>
        </w:rPr>
        <w:t>③与项目目标任务数或计划数相对应。</w:t>
      </w:r>
    </w:p>
    <w:p>
      <w:pPr>
        <w:ind w:firstLine="562" w:firstLineChars="200"/>
        <w:rPr>
          <w:b/>
          <w:bCs/>
          <w:color w:val="auto"/>
          <w:highlight w:val="none"/>
        </w:rPr>
      </w:pPr>
      <w:r>
        <w:rPr>
          <w:rFonts w:hint="eastAsia"/>
          <w:b/>
          <w:bCs/>
          <w:color w:val="auto"/>
          <w:highlight w:val="none"/>
        </w:rPr>
        <w:t>综上，该项指标满分5分，得分5分。</w:t>
      </w:r>
    </w:p>
    <w:p>
      <w:pPr>
        <w:ind w:firstLine="562" w:firstLineChars="200"/>
        <w:rPr>
          <w:b/>
          <w:bCs/>
          <w:color w:val="auto"/>
          <w:highlight w:val="none"/>
        </w:rPr>
      </w:pPr>
      <w:bookmarkStart w:id="62" w:name="_Toc19401"/>
      <w:r>
        <w:rPr>
          <w:rFonts w:hint="eastAsia"/>
          <w:b/>
          <w:bCs/>
          <w:color w:val="auto"/>
          <w:highlight w:val="none"/>
        </w:rPr>
        <w:t>5.预算编制科学性</w:t>
      </w:r>
      <w:bookmarkEnd w:id="62"/>
    </w:p>
    <w:p>
      <w:pPr>
        <w:ind w:firstLine="560" w:firstLineChars="200"/>
        <w:rPr>
          <w:color w:val="auto"/>
          <w:highlight w:val="none"/>
        </w:rPr>
      </w:pPr>
      <w:r>
        <w:rPr>
          <w:rFonts w:hint="eastAsia"/>
          <w:color w:val="auto"/>
          <w:highlight w:val="none"/>
        </w:rPr>
        <w:t>①预算编制经过科学论证；</w:t>
      </w:r>
    </w:p>
    <w:p>
      <w:pPr>
        <w:ind w:firstLine="560" w:firstLineChars="200"/>
        <w:rPr>
          <w:color w:val="auto"/>
          <w:highlight w:val="none"/>
        </w:rPr>
      </w:pPr>
      <w:r>
        <w:rPr>
          <w:rFonts w:hint="eastAsia"/>
          <w:color w:val="auto"/>
          <w:highlight w:val="none"/>
        </w:rPr>
        <w:t>②预算内容与项目内容匹配；</w:t>
      </w:r>
    </w:p>
    <w:p>
      <w:pPr>
        <w:ind w:firstLine="560" w:firstLineChars="200"/>
        <w:rPr>
          <w:color w:val="auto"/>
          <w:highlight w:val="none"/>
        </w:rPr>
      </w:pPr>
      <w:r>
        <w:rPr>
          <w:rFonts w:hint="eastAsia"/>
          <w:color w:val="auto"/>
          <w:highlight w:val="none"/>
        </w:rPr>
        <w:t>③预算额度测算依据充分，按照标准编制；</w:t>
      </w:r>
    </w:p>
    <w:p>
      <w:pPr>
        <w:ind w:firstLine="560" w:firstLineChars="200"/>
        <w:rPr>
          <w:color w:val="auto"/>
          <w:highlight w:val="none"/>
        </w:rPr>
      </w:pPr>
      <w:r>
        <w:rPr>
          <w:rFonts w:hint="eastAsia"/>
          <w:color w:val="auto"/>
          <w:highlight w:val="none"/>
        </w:rPr>
        <w:t>④预算确定的项目投资额或资金量与工作任务相匹配。</w:t>
      </w:r>
    </w:p>
    <w:p>
      <w:pPr>
        <w:ind w:firstLine="562" w:firstLineChars="200"/>
        <w:rPr>
          <w:b/>
          <w:bCs/>
          <w:color w:val="auto"/>
          <w:highlight w:val="none"/>
        </w:rPr>
      </w:pPr>
      <w:r>
        <w:rPr>
          <w:rFonts w:hint="eastAsia"/>
          <w:b/>
          <w:bCs/>
          <w:color w:val="auto"/>
          <w:highlight w:val="none"/>
        </w:rPr>
        <w:t>综上，该项指标满分2分，得分2分。</w:t>
      </w:r>
    </w:p>
    <w:p>
      <w:pPr>
        <w:ind w:firstLine="562" w:firstLineChars="200"/>
        <w:rPr>
          <w:b/>
          <w:bCs/>
          <w:color w:val="auto"/>
          <w:highlight w:val="none"/>
        </w:rPr>
      </w:pPr>
      <w:bookmarkStart w:id="63" w:name="_Toc697"/>
      <w:r>
        <w:rPr>
          <w:rFonts w:hint="eastAsia"/>
          <w:b/>
          <w:bCs/>
          <w:color w:val="auto"/>
          <w:highlight w:val="none"/>
        </w:rPr>
        <w:t>6.资金分配合理性</w:t>
      </w:r>
      <w:bookmarkEnd w:id="63"/>
    </w:p>
    <w:p>
      <w:pPr>
        <w:ind w:firstLine="560" w:firstLineChars="200"/>
        <w:rPr>
          <w:color w:val="auto"/>
          <w:highlight w:val="none"/>
        </w:rPr>
      </w:pPr>
      <w:r>
        <w:rPr>
          <w:rFonts w:hint="eastAsia"/>
          <w:color w:val="auto"/>
          <w:highlight w:val="none"/>
        </w:rPr>
        <w:t>①预算资金分配依据充分；</w:t>
      </w:r>
    </w:p>
    <w:p>
      <w:pPr>
        <w:ind w:firstLine="560" w:firstLineChars="200"/>
        <w:rPr>
          <w:color w:val="auto"/>
          <w:highlight w:val="none"/>
        </w:rPr>
      </w:pPr>
      <w:r>
        <w:rPr>
          <w:rFonts w:hint="eastAsia"/>
          <w:color w:val="auto"/>
          <w:highlight w:val="none"/>
        </w:rPr>
        <w:t>②资金分配额度合理，与项目单位或地方实际相适应。</w:t>
      </w:r>
    </w:p>
    <w:p>
      <w:pPr>
        <w:ind w:firstLine="562" w:firstLineChars="200"/>
        <w:rPr>
          <w:b/>
          <w:bCs/>
          <w:color w:val="auto"/>
          <w:highlight w:val="none"/>
        </w:rPr>
      </w:pPr>
      <w:r>
        <w:rPr>
          <w:rFonts w:hint="eastAsia"/>
          <w:b/>
          <w:bCs/>
          <w:color w:val="auto"/>
          <w:highlight w:val="none"/>
        </w:rPr>
        <w:t>综上，该项指标满分3分，得分3分。</w:t>
      </w:r>
    </w:p>
    <w:p>
      <w:pPr>
        <w:pStyle w:val="3"/>
        <w:rPr>
          <w:rFonts w:hint="eastAsia" w:ascii="宋体" w:hAnsi="宋体" w:eastAsia="宋体" w:cs="宋体"/>
          <w:color w:val="auto"/>
          <w:highlight w:val="none"/>
        </w:rPr>
      </w:pPr>
      <w:bookmarkStart w:id="64" w:name="_Toc11361"/>
      <w:r>
        <w:rPr>
          <w:rFonts w:hint="eastAsia" w:ascii="宋体" w:hAnsi="宋体" w:eastAsia="宋体" w:cs="宋体"/>
          <w:color w:val="auto"/>
          <w:highlight w:val="none"/>
        </w:rPr>
        <w:t>（二）项目过程情况</w:t>
      </w:r>
      <w:bookmarkEnd w:id="64"/>
    </w:p>
    <w:p>
      <w:pPr>
        <w:ind w:firstLine="560" w:firstLineChars="20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过程</w:t>
      </w:r>
      <w:r>
        <w:rPr>
          <w:rFonts w:hint="eastAsia"/>
          <w:color w:val="auto"/>
          <w:highlight w:val="none"/>
          <w:u w:color="000000"/>
        </w:rPr>
        <w:t>管理</w:t>
      </w:r>
      <w:r>
        <w:rPr>
          <w:rFonts w:hint="eastAsia"/>
          <w:color w:val="auto"/>
          <w:highlight w:val="none"/>
          <w:u w:color="000000"/>
          <w:lang w:val="zh-TW" w:eastAsia="zh-TW"/>
        </w:rPr>
        <w:t>类指标由</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w:t>
      </w:r>
      <w:r>
        <w:rPr>
          <w:rFonts w:hint="eastAsia"/>
          <w:color w:val="auto"/>
          <w:highlight w:val="none"/>
          <w:u w:color="000000"/>
          <w:lang w:val="en-US" w:eastAsia="zh-CN"/>
        </w:rPr>
        <w:t>权重分</w:t>
      </w:r>
      <w:r>
        <w:rPr>
          <w:rFonts w:hint="eastAsia"/>
          <w:color w:val="auto"/>
          <w:highlight w:val="none"/>
          <w:u w:color="000000"/>
        </w:rPr>
        <w:t>20</w:t>
      </w:r>
      <w:r>
        <w:rPr>
          <w:rFonts w:hint="eastAsia"/>
          <w:color w:val="auto"/>
          <w:highlight w:val="none"/>
          <w:u w:color="000000"/>
          <w:lang w:val="zh-TW" w:eastAsia="zh-TW"/>
        </w:rPr>
        <w:t>分，实际得分</w:t>
      </w:r>
      <w:r>
        <w:rPr>
          <w:rFonts w:hint="eastAsia"/>
          <w:color w:val="auto"/>
          <w:highlight w:val="none"/>
          <w:u w:color="000000"/>
        </w:rPr>
        <w:t>19.47</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4-2</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jc w:val="center"/>
        <w:rPr>
          <w:b/>
          <w:bCs/>
          <w:color w:val="auto"/>
          <w:highlight w:val="none"/>
        </w:rPr>
      </w:pPr>
      <w:r>
        <w:rPr>
          <w:rFonts w:hint="eastAsia"/>
          <w:b/>
          <w:bCs/>
          <w:color w:val="auto"/>
          <w:highlight w:val="none"/>
          <w:lang w:val="zh-TW" w:eastAsia="zh-TW"/>
        </w:rPr>
        <w:t>表</w:t>
      </w:r>
      <w:r>
        <w:rPr>
          <w:rFonts w:hint="eastAsia"/>
          <w:b/>
          <w:bCs/>
          <w:color w:val="auto"/>
          <w:highlight w:val="none"/>
        </w:rPr>
        <w:t>4-2</w:t>
      </w:r>
      <w:r>
        <w:rPr>
          <w:rFonts w:hint="eastAsia"/>
          <w:b/>
          <w:bCs/>
          <w:color w:val="auto"/>
          <w:highlight w:val="none"/>
          <w:lang w:val="zh-TW" w:eastAsia="zh-TW"/>
        </w:rPr>
        <w:t>项目</w:t>
      </w:r>
      <w:r>
        <w:rPr>
          <w:rFonts w:hint="eastAsia"/>
          <w:b/>
          <w:bCs/>
          <w:color w:val="auto"/>
          <w:highlight w:val="none"/>
          <w:lang w:val="zh-TW"/>
        </w:rPr>
        <w:t>管理</w:t>
      </w:r>
      <w:r>
        <w:rPr>
          <w:rFonts w:hint="eastAsia"/>
          <w:b/>
          <w:bCs/>
          <w:color w:val="auto"/>
          <w:highlight w:val="none"/>
          <w:lang w:val="zh-TW" w:eastAsia="zh-TW"/>
        </w:rPr>
        <w:t>指标及分值</w:t>
      </w:r>
      <w:r>
        <w:rPr>
          <w:rFonts w:hint="eastAsia"/>
          <w:b/>
          <w:bCs/>
          <w:color w:val="auto"/>
          <w:highlight w:val="none"/>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3.47</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19.47</w:t>
            </w:r>
          </w:p>
        </w:tc>
      </w:tr>
    </w:tbl>
    <w:p>
      <w:pPr>
        <w:ind w:firstLine="562" w:firstLineChars="200"/>
        <w:rPr>
          <w:b/>
          <w:bCs/>
          <w:color w:val="auto"/>
          <w:highlight w:val="none"/>
        </w:rPr>
      </w:pPr>
      <w:bookmarkStart w:id="65" w:name="_Toc3886"/>
      <w:r>
        <w:rPr>
          <w:rFonts w:hint="eastAsia"/>
          <w:b/>
          <w:bCs/>
          <w:color w:val="auto"/>
          <w:highlight w:val="none"/>
        </w:rPr>
        <w:t>1.资金到位率</w:t>
      </w:r>
      <w:bookmarkEnd w:id="65"/>
    </w:p>
    <w:p>
      <w:pPr>
        <w:ind w:firstLine="560" w:firstLineChars="200"/>
        <w:rPr>
          <w:b/>
          <w:bCs/>
          <w:color w:val="auto"/>
          <w:highlight w:val="none"/>
        </w:rPr>
      </w:pPr>
      <w:r>
        <w:rPr>
          <w:rFonts w:hint="eastAsia"/>
          <w:color w:val="auto"/>
          <w:highlight w:val="none"/>
        </w:rPr>
        <w:t>资金到位率=（814万元/814万元）×100%</w:t>
      </w:r>
      <w:r>
        <w:rPr>
          <w:rFonts w:hint="eastAsia"/>
          <w:b/>
          <w:bCs/>
          <w:color w:val="auto"/>
          <w:highlight w:val="none"/>
        </w:rPr>
        <w:t>=</w:t>
      </w:r>
      <w:r>
        <w:rPr>
          <w:rFonts w:hint="eastAsia"/>
          <w:bCs/>
          <w:color w:val="auto"/>
          <w:highlight w:val="none"/>
        </w:rPr>
        <w:t>100%</w:t>
      </w:r>
    </w:p>
    <w:p>
      <w:pPr>
        <w:ind w:firstLine="562" w:firstLineChars="200"/>
        <w:rPr>
          <w:b/>
          <w:bCs/>
          <w:color w:val="auto"/>
          <w:highlight w:val="none"/>
        </w:rPr>
      </w:pPr>
      <w:r>
        <w:rPr>
          <w:rFonts w:hint="eastAsia"/>
          <w:b/>
          <w:bCs/>
          <w:color w:val="auto"/>
          <w:highlight w:val="none"/>
        </w:rPr>
        <w:t>综上，该项指标满分4分，得分4分。</w:t>
      </w:r>
    </w:p>
    <w:p>
      <w:pPr>
        <w:ind w:firstLine="562" w:firstLineChars="200"/>
        <w:rPr>
          <w:b/>
          <w:bCs/>
          <w:color w:val="auto"/>
          <w:highlight w:val="none"/>
        </w:rPr>
      </w:pPr>
      <w:bookmarkStart w:id="66" w:name="_Toc9705"/>
      <w:r>
        <w:rPr>
          <w:rFonts w:hint="eastAsia"/>
          <w:b/>
          <w:bCs/>
          <w:color w:val="auto"/>
          <w:highlight w:val="none"/>
        </w:rPr>
        <w:t>2.预算执行率</w:t>
      </w:r>
      <w:bookmarkEnd w:id="66"/>
    </w:p>
    <w:p>
      <w:pPr>
        <w:ind w:firstLine="560" w:firstLineChars="200"/>
        <w:rPr>
          <w:color w:val="auto"/>
          <w:highlight w:val="none"/>
        </w:rPr>
      </w:pPr>
      <w:r>
        <w:rPr>
          <w:rFonts w:hint="eastAsia"/>
          <w:color w:val="auto"/>
          <w:highlight w:val="none"/>
        </w:rPr>
        <w:t>预算执行率=（</w:t>
      </w:r>
      <w:r>
        <w:rPr>
          <w:color w:val="auto"/>
          <w:highlight w:val="none"/>
        </w:rPr>
        <w:t>706.6</w:t>
      </w:r>
      <w:r>
        <w:rPr>
          <w:rFonts w:hint="eastAsia"/>
          <w:color w:val="auto"/>
          <w:highlight w:val="none"/>
          <w:lang w:val="en-US" w:eastAsia="zh-CN"/>
        </w:rPr>
        <w:t>7</w:t>
      </w:r>
      <w:r>
        <w:rPr>
          <w:color w:val="auto"/>
          <w:highlight w:val="none"/>
        </w:rPr>
        <w:t>万元</w:t>
      </w:r>
      <w:r>
        <w:rPr>
          <w:rFonts w:hint="eastAsia"/>
          <w:color w:val="auto"/>
          <w:highlight w:val="none"/>
        </w:rPr>
        <w:t>/814万元）×100%。</w:t>
      </w:r>
      <w:r>
        <w:rPr>
          <w:rFonts w:hint="eastAsia"/>
          <w:b/>
          <w:bCs/>
          <w:color w:val="auto"/>
          <w:highlight w:val="none"/>
        </w:rPr>
        <w:t>=86.8</w:t>
      </w:r>
      <w:r>
        <w:rPr>
          <w:rFonts w:hint="eastAsia"/>
          <w:b/>
          <w:bCs/>
          <w:color w:val="auto"/>
          <w:highlight w:val="none"/>
          <w:lang w:val="en-US" w:eastAsia="zh-CN"/>
        </w:rPr>
        <w:t>1</w:t>
      </w:r>
      <w:r>
        <w:rPr>
          <w:rFonts w:hint="eastAsia"/>
          <w:b/>
          <w:bCs/>
          <w:color w:val="auto"/>
          <w:highlight w:val="none"/>
        </w:rPr>
        <w:t>%</w:t>
      </w:r>
    </w:p>
    <w:p>
      <w:pPr>
        <w:ind w:firstLine="562" w:firstLineChars="200"/>
        <w:rPr>
          <w:b/>
          <w:bCs/>
          <w:color w:val="auto"/>
          <w:highlight w:val="none"/>
        </w:rPr>
      </w:pPr>
      <w:r>
        <w:rPr>
          <w:rFonts w:hint="eastAsia"/>
          <w:b/>
          <w:bCs/>
          <w:color w:val="auto"/>
          <w:highlight w:val="none"/>
        </w:rPr>
        <w:t>综上，该项指标满分4分，得分3.47分。</w:t>
      </w:r>
    </w:p>
    <w:p>
      <w:pPr>
        <w:ind w:firstLine="562" w:firstLineChars="200"/>
        <w:rPr>
          <w:rFonts w:hint="eastAsia" w:eastAsia="宋体"/>
          <w:b/>
          <w:bCs/>
          <w:color w:val="auto"/>
          <w:highlight w:val="none"/>
          <w:lang w:val="en-US" w:eastAsia="zh-CN"/>
        </w:rPr>
      </w:pPr>
      <w:bookmarkStart w:id="67" w:name="_Toc18691"/>
      <w:r>
        <w:rPr>
          <w:rFonts w:hint="eastAsia"/>
          <w:b/>
          <w:bCs/>
          <w:color w:val="auto"/>
          <w:highlight w:val="none"/>
        </w:rPr>
        <w:t>3.资金使用合规性</w:t>
      </w:r>
      <w:bookmarkEnd w:id="67"/>
      <w:r>
        <w:rPr>
          <w:rFonts w:hint="eastAsia"/>
          <w:b/>
          <w:bCs/>
          <w:color w:val="auto"/>
          <w:highlight w:val="none"/>
          <w:lang w:val="en-US" w:eastAsia="zh-CN"/>
        </w:rPr>
        <w:tab/>
      </w:r>
    </w:p>
    <w:p>
      <w:pPr>
        <w:ind w:firstLine="560" w:firstLineChars="200"/>
        <w:rPr>
          <w:color w:val="auto"/>
          <w:highlight w:val="none"/>
        </w:rPr>
      </w:pPr>
      <w:r>
        <w:rPr>
          <w:rFonts w:hint="eastAsia"/>
          <w:color w:val="auto"/>
          <w:highlight w:val="none"/>
        </w:rPr>
        <w:t>①符合《政府会计制度》、《阜康市乡村振兴综合保障中心财务管理制度》以及有关专项资金管理办法的规定；</w:t>
      </w:r>
    </w:p>
    <w:p>
      <w:pPr>
        <w:ind w:firstLine="560" w:firstLineChars="200"/>
        <w:rPr>
          <w:color w:val="auto"/>
          <w:highlight w:val="none"/>
        </w:rPr>
      </w:pPr>
      <w:r>
        <w:rPr>
          <w:rFonts w:hint="eastAsia"/>
          <w:color w:val="auto"/>
          <w:highlight w:val="none"/>
        </w:rPr>
        <w:t>②资金的拨付有完整的审批程序和手续；</w:t>
      </w:r>
    </w:p>
    <w:p>
      <w:pPr>
        <w:ind w:firstLine="560" w:firstLineChars="200"/>
        <w:rPr>
          <w:color w:val="auto"/>
          <w:highlight w:val="none"/>
        </w:rPr>
      </w:pPr>
      <w:r>
        <w:rPr>
          <w:rFonts w:hint="eastAsia"/>
          <w:color w:val="auto"/>
          <w:highlight w:val="none"/>
        </w:rPr>
        <w:t>③符合项目预算批复或合同规定的用途；</w:t>
      </w:r>
    </w:p>
    <w:p>
      <w:pPr>
        <w:ind w:firstLine="560" w:firstLineChars="200"/>
        <w:rPr>
          <w:color w:val="auto"/>
          <w:highlight w:val="none"/>
        </w:rPr>
      </w:pPr>
      <w:r>
        <w:rPr>
          <w:rFonts w:hint="eastAsia"/>
          <w:color w:val="auto"/>
          <w:highlight w:val="none"/>
        </w:rPr>
        <w:t>④不存在截留、挤占、挪用、虚列支出等情况。</w:t>
      </w:r>
    </w:p>
    <w:p>
      <w:pPr>
        <w:ind w:firstLine="562" w:firstLineChars="200"/>
        <w:rPr>
          <w:b/>
          <w:bCs/>
          <w:color w:val="auto"/>
          <w:highlight w:val="none"/>
        </w:rPr>
      </w:pPr>
      <w:r>
        <w:rPr>
          <w:rFonts w:hint="eastAsia"/>
          <w:b/>
          <w:bCs/>
          <w:color w:val="auto"/>
          <w:highlight w:val="none"/>
        </w:rPr>
        <w:t>综上，该项指标满分4分，得分4分。</w:t>
      </w:r>
    </w:p>
    <w:p>
      <w:pPr>
        <w:ind w:firstLine="562" w:firstLineChars="200"/>
        <w:rPr>
          <w:b/>
          <w:bCs/>
          <w:color w:val="auto"/>
          <w:highlight w:val="none"/>
        </w:rPr>
      </w:pPr>
      <w:r>
        <w:rPr>
          <w:rFonts w:hint="eastAsia"/>
          <w:b/>
          <w:bCs/>
          <w:color w:val="auto"/>
          <w:highlight w:val="none"/>
        </w:rPr>
        <w:t>4.管理制度健全性</w:t>
      </w:r>
    </w:p>
    <w:p>
      <w:pPr>
        <w:ind w:firstLine="560" w:firstLineChars="200"/>
        <w:rPr>
          <w:color w:val="auto"/>
          <w:highlight w:val="none"/>
        </w:rPr>
      </w:pPr>
      <w:r>
        <w:rPr>
          <w:rFonts w:hint="eastAsia"/>
          <w:color w:val="auto"/>
          <w:highlight w:val="none"/>
        </w:rPr>
        <w:t>①已制定或具有相应的《阜康市乡村振兴综合保障中心</w:t>
      </w:r>
      <w:r>
        <w:rPr>
          <w:rFonts w:hint="eastAsia"/>
          <w:color w:val="auto"/>
          <w:highlight w:val="none"/>
          <w:lang w:val="en-US" w:eastAsia="zh-CN"/>
        </w:rPr>
        <w:t>部门单位预算绩效管理工作实施办法</w:t>
      </w:r>
      <w:r>
        <w:rPr>
          <w:rFonts w:hint="eastAsia"/>
          <w:color w:val="auto"/>
          <w:highlight w:val="none"/>
        </w:rPr>
        <w:t>》</w:t>
      </w:r>
      <w:r>
        <w:rPr>
          <w:rFonts w:hint="eastAsia"/>
          <w:color w:val="auto"/>
          <w:highlight w:val="none"/>
          <w:lang w:val="en-US" w:eastAsia="zh-CN"/>
        </w:rPr>
        <w:t>、《阜康市乡村振兴综合保障中心单位财务管理制度》</w:t>
      </w:r>
      <w:r>
        <w:rPr>
          <w:rFonts w:hint="eastAsia"/>
          <w:color w:val="auto"/>
          <w:highlight w:val="none"/>
          <w:lang w:eastAsia="zh-CN"/>
        </w:rPr>
        <w:t>、《</w:t>
      </w:r>
      <w:r>
        <w:rPr>
          <w:rFonts w:hint="eastAsia"/>
          <w:color w:val="auto"/>
          <w:highlight w:val="none"/>
        </w:rPr>
        <w:t>阜康市农村建设项目管理制度》</w:t>
      </w:r>
      <w:r>
        <w:rPr>
          <w:rFonts w:hint="eastAsia"/>
          <w:color w:val="auto"/>
          <w:highlight w:val="none"/>
          <w:lang w:val="en-US" w:eastAsia="zh-CN"/>
        </w:rPr>
        <w:t>等</w:t>
      </w:r>
      <w:r>
        <w:rPr>
          <w:rFonts w:hint="eastAsia"/>
          <w:color w:val="auto"/>
          <w:highlight w:val="none"/>
        </w:rPr>
        <w:t>；</w:t>
      </w:r>
    </w:p>
    <w:p>
      <w:pPr>
        <w:ind w:firstLine="560" w:firstLineChars="200"/>
        <w:rPr>
          <w:color w:val="auto"/>
          <w:highlight w:val="none"/>
        </w:rPr>
      </w:pPr>
      <w:r>
        <w:rPr>
          <w:rFonts w:hint="eastAsia"/>
          <w:color w:val="auto"/>
          <w:highlight w:val="none"/>
        </w:rPr>
        <w:t>②财务和业务管理制度合法、合规、完整。</w:t>
      </w:r>
    </w:p>
    <w:p>
      <w:pPr>
        <w:ind w:firstLine="562" w:firstLineChars="200"/>
        <w:rPr>
          <w:b/>
          <w:bCs/>
          <w:color w:val="auto"/>
          <w:highlight w:val="none"/>
        </w:rPr>
      </w:pPr>
      <w:r>
        <w:rPr>
          <w:rFonts w:hint="eastAsia"/>
          <w:b/>
          <w:bCs/>
          <w:color w:val="auto"/>
          <w:highlight w:val="none"/>
        </w:rPr>
        <w:t>综上，该项指标满分4分，得分4分。</w:t>
      </w:r>
    </w:p>
    <w:p>
      <w:pPr>
        <w:ind w:firstLine="562" w:firstLineChars="200"/>
        <w:rPr>
          <w:rFonts w:hint="eastAsia" w:eastAsia="宋体"/>
          <w:b/>
          <w:bCs/>
          <w:color w:val="auto"/>
          <w:highlight w:val="none"/>
          <w:lang w:val="en-US" w:eastAsia="zh-CN"/>
        </w:rPr>
      </w:pPr>
      <w:bookmarkStart w:id="68" w:name="_Toc31684"/>
      <w:r>
        <w:rPr>
          <w:rFonts w:hint="eastAsia"/>
          <w:b/>
          <w:bCs/>
          <w:color w:val="auto"/>
          <w:highlight w:val="none"/>
        </w:rPr>
        <w:t>5.制度执行有效性</w:t>
      </w:r>
      <w:bookmarkEnd w:id="68"/>
    </w:p>
    <w:p>
      <w:pPr>
        <w:ind w:firstLine="560" w:firstLineChars="200"/>
        <w:rPr>
          <w:color w:val="auto"/>
          <w:highlight w:val="none"/>
        </w:rPr>
      </w:pPr>
      <w:r>
        <w:rPr>
          <w:rFonts w:hint="eastAsia"/>
          <w:color w:val="auto"/>
          <w:highlight w:val="none"/>
        </w:rPr>
        <w:t>①遵守相关法律法规和相关管理规定；</w:t>
      </w:r>
    </w:p>
    <w:p>
      <w:pPr>
        <w:ind w:firstLine="560" w:firstLineChars="200"/>
        <w:rPr>
          <w:color w:val="auto"/>
          <w:highlight w:val="none"/>
        </w:rPr>
      </w:pPr>
      <w:r>
        <w:rPr>
          <w:rFonts w:hint="eastAsia"/>
          <w:color w:val="auto"/>
          <w:highlight w:val="none"/>
        </w:rPr>
        <w:t>②项目未调整；</w:t>
      </w:r>
    </w:p>
    <w:p>
      <w:pPr>
        <w:ind w:firstLine="560" w:firstLineChars="200"/>
        <w:rPr>
          <w:color w:val="auto"/>
          <w:highlight w:val="none"/>
        </w:rPr>
      </w:pPr>
      <w:r>
        <w:rPr>
          <w:rFonts w:hint="eastAsia"/>
          <w:color w:val="auto"/>
          <w:highlight w:val="none"/>
        </w:rPr>
        <w:t>③实施方案、工程施工合同、立项批复文件、项目验收报告、项目开工报告等资料齐全并及时归档；</w:t>
      </w:r>
    </w:p>
    <w:p>
      <w:pPr>
        <w:ind w:firstLine="560" w:firstLineChars="200"/>
        <w:rPr>
          <w:color w:val="auto"/>
          <w:highlight w:val="none"/>
        </w:rPr>
      </w:pPr>
      <w:r>
        <w:rPr>
          <w:rFonts w:hint="eastAsia"/>
          <w:color w:val="auto"/>
          <w:highlight w:val="none"/>
        </w:rPr>
        <w:t>④项目实施由阜康滋泥泉子镇人民政府负责，有足够的人力资源支持项目的实施，项目有具体的项目负责人，项目负责人具有丰富的工作经验能够及时解决项目在实施过程中存在的问题。</w:t>
      </w:r>
    </w:p>
    <w:p>
      <w:pPr>
        <w:ind w:firstLine="562" w:firstLineChars="200"/>
        <w:rPr>
          <w:b/>
          <w:bCs/>
          <w:color w:val="auto"/>
          <w:highlight w:val="none"/>
        </w:rPr>
      </w:pPr>
      <w:r>
        <w:rPr>
          <w:rFonts w:hint="eastAsia"/>
          <w:b/>
          <w:bCs/>
          <w:color w:val="auto"/>
          <w:highlight w:val="none"/>
        </w:rPr>
        <w:t>综上，该项指标满分4分，得分4分。</w:t>
      </w:r>
    </w:p>
    <w:p>
      <w:pPr>
        <w:pStyle w:val="3"/>
        <w:rPr>
          <w:rFonts w:hint="eastAsia" w:ascii="宋体" w:hAnsi="宋体" w:eastAsia="宋体" w:cs="宋体"/>
          <w:color w:val="auto"/>
          <w:highlight w:val="none"/>
        </w:rPr>
      </w:pPr>
      <w:bookmarkStart w:id="69" w:name="_Toc16268"/>
      <w:r>
        <w:rPr>
          <w:rFonts w:hint="eastAsia" w:ascii="宋体" w:hAnsi="宋体" w:eastAsia="宋体" w:cs="宋体"/>
          <w:color w:val="auto"/>
          <w:highlight w:val="none"/>
        </w:rPr>
        <w:t>（三）项目产出情况</w:t>
      </w:r>
      <w:bookmarkEnd w:id="69"/>
    </w:p>
    <w:p>
      <w:pPr>
        <w:ind w:firstLine="560" w:firstLineChars="200"/>
        <w:rPr>
          <w:rFonts w:hint="eastAsia"/>
          <w:b/>
          <w:bCs/>
          <w:color w:val="auto"/>
          <w:highlight w:val="none"/>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14</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lang w:val="en-US" w:eastAsia="zh-CN"/>
        </w:rPr>
        <w:t>29.14</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4-3</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jc w:val="center"/>
        <w:rPr>
          <w:b/>
          <w:bCs/>
          <w:color w:val="auto"/>
          <w:highlight w:val="none"/>
        </w:rPr>
      </w:pPr>
      <w:r>
        <w:rPr>
          <w:rFonts w:hint="eastAsia"/>
          <w:b/>
          <w:bCs/>
          <w:color w:val="auto"/>
          <w:highlight w:val="none"/>
          <w:lang w:val="zh-TW" w:eastAsia="zh-TW"/>
        </w:rPr>
        <w:t>表</w:t>
      </w:r>
      <w:r>
        <w:rPr>
          <w:rFonts w:hint="eastAsia"/>
          <w:b/>
          <w:bCs/>
          <w:color w:val="auto"/>
          <w:highlight w:val="none"/>
        </w:rPr>
        <w:t>4-3项目产出</w:t>
      </w:r>
      <w:r>
        <w:rPr>
          <w:rFonts w:hint="eastAsia"/>
          <w:b/>
          <w:bCs/>
          <w:color w:val="auto"/>
          <w:highlight w:val="none"/>
          <w:lang w:val="zh-TW" w:eastAsia="zh-TW"/>
        </w:rPr>
        <w:t>指标及分值</w:t>
      </w:r>
      <w:r>
        <w:rPr>
          <w:rFonts w:hint="eastAsia"/>
          <w:b/>
          <w:bCs/>
          <w:color w:val="auto"/>
          <w:highlight w:val="none"/>
        </w:rPr>
        <w:t>情况</w:t>
      </w:r>
    </w:p>
    <w:tbl>
      <w:tblPr>
        <w:tblStyle w:val="12"/>
        <w:tblW w:w="907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09"/>
        <w:gridCol w:w="1170"/>
        <w:gridCol w:w="2775"/>
        <w:gridCol w:w="793"/>
        <w:gridCol w:w="1284"/>
        <w:gridCol w:w="1373"/>
        <w:gridCol w:w="8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5" w:hRule="atLeast"/>
          <w:jc w:val="center"/>
        </w:trPr>
        <w:tc>
          <w:tcPr>
            <w:tcW w:w="809"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一级指标</w:t>
            </w:r>
          </w:p>
        </w:tc>
        <w:tc>
          <w:tcPr>
            <w:tcW w:w="1170"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二级指标</w:t>
            </w:r>
          </w:p>
        </w:tc>
        <w:tc>
          <w:tcPr>
            <w:tcW w:w="2775"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三级指标</w:t>
            </w:r>
          </w:p>
        </w:tc>
        <w:tc>
          <w:tcPr>
            <w:tcW w:w="793"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年度指标值</w:t>
            </w:r>
          </w:p>
        </w:tc>
        <w:tc>
          <w:tcPr>
            <w:tcW w:w="1284"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标杆分值</w:t>
            </w:r>
          </w:p>
        </w:tc>
        <w:tc>
          <w:tcPr>
            <w:tcW w:w="1373"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全年实际完成值</w:t>
            </w:r>
          </w:p>
        </w:tc>
        <w:tc>
          <w:tcPr>
            <w:tcW w:w="868" w:type="dxa"/>
            <w:shd w:val="clear" w:color="000000"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指标得分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5" w:hRule="atLeast"/>
          <w:jc w:val="center"/>
        </w:trPr>
        <w:tc>
          <w:tcPr>
            <w:tcW w:w="80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产出</w:t>
            </w:r>
          </w:p>
        </w:tc>
        <w:tc>
          <w:tcPr>
            <w:tcW w:w="117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数量指标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二道河子供水管网及配套设施</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≧5.3公里</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2.5</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=3.8公里</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二道河子处理量50m3/d一体化污水处理设施</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≧1套</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2.5</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=1套</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55"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何家湾供水管网及配套设施</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≧4.5公里</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2.5</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=4.23公里</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35"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何家湾处理量50m3/d一体化污水处理设施</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≧1套</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2.5</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=1套</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30"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质量指标</w:t>
            </w: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项目（工程）验收合格率</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5"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时效指标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项目启动时间</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2023年4月</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2023年4月</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5"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工程完工时间</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2023年10月</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2023年10月</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90"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工程完工及时率</w:t>
            </w:r>
          </w:p>
        </w:tc>
        <w:tc>
          <w:tcPr>
            <w:tcW w:w="79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86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成本指标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二道河子供水管网及配套设施成本</w:t>
            </w:r>
          </w:p>
        </w:tc>
        <w:tc>
          <w:tcPr>
            <w:tcW w:w="79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≤315万元</w:t>
            </w:r>
          </w:p>
        </w:tc>
        <w:tc>
          <w:tcPr>
            <w:tcW w:w="1284"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2.5</w:t>
            </w:r>
          </w:p>
        </w:tc>
        <w:tc>
          <w:tcPr>
            <w:tcW w:w="137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=311.98万元</w:t>
            </w:r>
          </w:p>
        </w:tc>
        <w:tc>
          <w:tcPr>
            <w:tcW w:w="8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cs="宋体"/>
                <w:color w:val="auto"/>
                <w:sz w:val="20"/>
                <w:szCs w:val="20"/>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0"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二道河子处理量50m3/d一体化污水处理设施成本</w:t>
            </w:r>
          </w:p>
        </w:tc>
        <w:tc>
          <w:tcPr>
            <w:tcW w:w="79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≤92万元</w:t>
            </w:r>
          </w:p>
        </w:tc>
        <w:tc>
          <w:tcPr>
            <w:tcW w:w="1284"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2.5</w:t>
            </w:r>
          </w:p>
        </w:tc>
        <w:tc>
          <w:tcPr>
            <w:tcW w:w="137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=56.02万元</w:t>
            </w:r>
          </w:p>
        </w:tc>
        <w:tc>
          <w:tcPr>
            <w:tcW w:w="8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cs="宋体"/>
                <w:color w:val="auto"/>
                <w:sz w:val="20"/>
                <w:szCs w:val="20"/>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0"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何家湾供水管网及配套设施成本</w:t>
            </w:r>
          </w:p>
        </w:tc>
        <w:tc>
          <w:tcPr>
            <w:tcW w:w="79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≤309万元</w:t>
            </w:r>
          </w:p>
        </w:tc>
        <w:tc>
          <w:tcPr>
            <w:tcW w:w="1284"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2.5</w:t>
            </w:r>
          </w:p>
        </w:tc>
        <w:tc>
          <w:tcPr>
            <w:tcW w:w="137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8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cs="宋体"/>
                <w:color w:val="auto"/>
                <w:sz w:val="20"/>
                <w:szCs w:val="20"/>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5" w:hRule="atLeast"/>
          <w:jc w:val="center"/>
        </w:trPr>
        <w:tc>
          <w:tcPr>
            <w:tcW w:w="809"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17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277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何家湾处理量50m3/d一体化污水处理设施成本</w:t>
            </w:r>
          </w:p>
        </w:tc>
        <w:tc>
          <w:tcPr>
            <w:tcW w:w="79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≤98万元</w:t>
            </w:r>
          </w:p>
        </w:tc>
        <w:tc>
          <w:tcPr>
            <w:tcW w:w="1284"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2.5</w:t>
            </w:r>
          </w:p>
        </w:tc>
        <w:tc>
          <w:tcPr>
            <w:tcW w:w="1373"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=55.81万元</w:t>
            </w:r>
          </w:p>
        </w:tc>
        <w:tc>
          <w:tcPr>
            <w:tcW w:w="8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cs="宋体"/>
                <w:color w:val="auto"/>
                <w:sz w:val="20"/>
                <w:szCs w:val="20"/>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5" w:hRule="atLeast"/>
          <w:jc w:val="center"/>
        </w:trPr>
        <w:tc>
          <w:tcPr>
            <w:tcW w:w="5547"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合计</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30</w:t>
            </w:r>
          </w:p>
        </w:tc>
        <w:tc>
          <w:tcPr>
            <w:tcW w:w="137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868"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sz w:val="20"/>
                <w:szCs w:val="20"/>
                <w:highlight w:val="none"/>
                <w:lang w:val="en-US" w:eastAsia="zh-CN"/>
              </w:rPr>
            </w:pPr>
            <w:r>
              <w:rPr>
                <w:rFonts w:hint="eastAsia" w:cs="宋体"/>
                <w:color w:val="auto"/>
                <w:sz w:val="20"/>
                <w:szCs w:val="20"/>
                <w:highlight w:val="none"/>
                <w:lang w:val="en-US" w:eastAsia="zh-CN"/>
              </w:rPr>
              <w:t>29.14</w:t>
            </w:r>
          </w:p>
        </w:tc>
      </w:tr>
    </w:tbl>
    <w:p>
      <w:pPr>
        <w:ind w:firstLine="562" w:firstLineChars="200"/>
        <w:rPr>
          <w:b/>
          <w:bCs/>
          <w:color w:val="auto"/>
          <w:highlight w:val="none"/>
        </w:rPr>
      </w:pPr>
      <w:bookmarkStart w:id="70" w:name="_Toc11067"/>
      <w:r>
        <w:rPr>
          <w:rFonts w:hint="eastAsia"/>
          <w:b/>
          <w:bCs/>
          <w:color w:val="auto"/>
          <w:highlight w:val="none"/>
        </w:rPr>
        <w:t>1.项目完成数量</w:t>
      </w:r>
      <w:bookmarkEnd w:id="70"/>
    </w:p>
    <w:p>
      <w:pPr>
        <w:rPr>
          <w:color w:val="auto"/>
          <w:highlight w:val="none"/>
        </w:rPr>
      </w:pPr>
      <w:r>
        <w:rPr>
          <w:rFonts w:hint="eastAsia"/>
          <w:color w:val="auto"/>
          <w:highlight w:val="none"/>
        </w:rPr>
        <w:t xml:space="preserve">   “二道河子供水管网及配套设施”指标，预期目标值为≧</w:t>
      </w:r>
      <w:r>
        <w:rPr>
          <w:color w:val="auto"/>
          <w:highlight w:val="none"/>
        </w:rPr>
        <w:t>5.3公里</w:t>
      </w:r>
      <w:r>
        <w:rPr>
          <w:rFonts w:hint="eastAsia"/>
          <w:color w:val="auto"/>
          <w:highlight w:val="none"/>
        </w:rPr>
        <w:t>，实际完成为</w:t>
      </w:r>
      <w:r>
        <w:rPr>
          <w:color w:val="auto"/>
          <w:highlight w:val="none"/>
        </w:rPr>
        <w:t>3.8公里</w:t>
      </w:r>
      <w:r>
        <w:rPr>
          <w:rFonts w:hint="eastAsia"/>
          <w:color w:val="auto"/>
          <w:highlight w:val="none"/>
        </w:rPr>
        <w:t>。实际完成率=（</w:t>
      </w:r>
      <w:r>
        <w:rPr>
          <w:color w:val="auto"/>
          <w:highlight w:val="none"/>
        </w:rPr>
        <w:t>3.8公里</w:t>
      </w:r>
      <w:r>
        <w:rPr>
          <w:rFonts w:hint="eastAsia"/>
          <w:color w:val="auto"/>
          <w:highlight w:val="none"/>
        </w:rPr>
        <w:t>/</w:t>
      </w:r>
      <w:r>
        <w:rPr>
          <w:color w:val="auto"/>
          <w:highlight w:val="none"/>
        </w:rPr>
        <w:t>5.3公里</w:t>
      </w:r>
      <w:r>
        <w:rPr>
          <w:rFonts w:hint="eastAsia"/>
          <w:color w:val="auto"/>
          <w:highlight w:val="none"/>
        </w:rPr>
        <w:t>）×100%=71.7%。未达到预期目标值原因为年初设置指标时为预计公里数，实际建设过程中发生变化。改进措施为科学测算建设公里数。</w:t>
      </w:r>
    </w:p>
    <w:p>
      <w:pPr>
        <w:ind w:firstLine="560" w:firstLineChars="200"/>
        <w:rPr>
          <w:color w:val="auto"/>
          <w:highlight w:val="none"/>
        </w:rPr>
      </w:pPr>
      <w:r>
        <w:rPr>
          <w:rFonts w:hint="eastAsia"/>
          <w:color w:val="auto"/>
          <w:highlight w:val="none"/>
        </w:rPr>
        <w:t>“二道河子处理量</w:t>
      </w:r>
      <w:r>
        <w:rPr>
          <w:color w:val="auto"/>
          <w:highlight w:val="none"/>
        </w:rPr>
        <w:t>50m3/d一体化污水处理设施</w:t>
      </w:r>
      <w:r>
        <w:rPr>
          <w:rFonts w:hint="eastAsia"/>
          <w:color w:val="auto"/>
          <w:highlight w:val="none"/>
        </w:rPr>
        <w:t>”指标，预期目标值为≧</w:t>
      </w:r>
      <w:r>
        <w:rPr>
          <w:color w:val="auto"/>
          <w:highlight w:val="none"/>
        </w:rPr>
        <w:t>1套</w:t>
      </w:r>
      <w:r>
        <w:rPr>
          <w:rFonts w:hint="eastAsia"/>
          <w:color w:val="auto"/>
          <w:highlight w:val="none"/>
        </w:rPr>
        <w:t>，实际完成为</w:t>
      </w:r>
      <w:r>
        <w:rPr>
          <w:color w:val="auto"/>
          <w:highlight w:val="none"/>
        </w:rPr>
        <w:t>1套</w:t>
      </w:r>
      <w:r>
        <w:rPr>
          <w:rFonts w:hint="eastAsia"/>
          <w:color w:val="auto"/>
          <w:highlight w:val="none"/>
        </w:rPr>
        <w:t>。实际完成率=（</w:t>
      </w:r>
      <w:r>
        <w:rPr>
          <w:color w:val="auto"/>
          <w:highlight w:val="none"/>
        </w:rPr>
        <w:t>1套</w:t>
      </w:r>
      <w:r>
        <w:rPr>
          <w:rFonts w:hint="eastAsia"/>
          <w:color w:val="auto"/>
          <w:highlight w:val="none"/>
        </w:rPr>
        <w:t>/</w:t>
      </w:r>
      <w:r>
        <w:rPr>
          <w:color w:val="auto"/>
          <w:highlight w:val="none"/>
        </w:rPr>
        <w:t>1套</w:t>
      </w:r>
      <w:r>
        <w:rPr>
          <w:rFonts w:hint="eastAsia"/>
          <w:color w:val="auto"/>
          <w:highlight w:val="none"/>
        </w:rPr>
        <w:t>）×100%=100.00%。</w:t>
      </w:r>
    </w:p>
    <w:p>
      <w:pPr>
        <w:ind w:firstLine="560" w:firstLineChars="200"/>
        <w:rPr>
          <w:color w:val="auto"/>
          <w:highlight w:val="none"/>
        </w:rPr>
      </w:pPr>
      <w:r>
        <w:rPr>
          <w:rFonts w:hint="eastAsia"/>
          <w:color w:val="auto"/>
          <w:highlight w:val="none"/>
        </w:rPr>
        <w:t>“何家湾供水管网及配套设施”指标，预期目标值为≧</w:t>
      </w:r>
      <w:r>
        <w:rPr>
          <w:color w:val="auto"/>
          <w:highlight w:val="none"/>
        </w:rPr>
        <w:t>4.5公里</w:t>
      </w:r>
      <w:r>
        <w:rPr>
          <w:rFonts w:hint="eastAsia"/>
          <w:color w:val="auto"/>
          <w:highlight w:val="none"/>
        </w:rPr>
        <w:t>，实际完成为4.23</w:t>
      </w:r>
      <w:r>
        <w:rPr>
          <w:color w:val="auto"/>
          <w:highlight w:val="none"/>
        </w:rPr>
        <w:t>公里</w:t>
      </w:r>
      <w:r>
        <w:rPr>
          <w:rFonts w:hint="eastAsia"/>
          <w:color w:val="auto"/>
          <w:highlight w:val="none"/>
        </w:rPr>
        <w:t>。实际完成率=（4.23</w:t>
      </w:r>
      <w:r>
        <w:rPr>
          <w:color w:val="auto"/>
          <w:highlight w:val="none"/>
        </w:rPr>
        <w:t>公里</w:t>
      </w:r>
      <w:r>
        <w:rPr>
          <w:rFonts w:hint="eastAsia"/>
          <w:color w:val="auto"/>
          <w:highlight w:val="none"/>
        </w:rPr>
        <w:t>/4.5</w:t>
      </w:r>
      <w:r>
        <w:rPr>
          <w:color w:val="auto"/>
          <w:highlight w:val="none"/>
        </w:rPr>
        <w:t>公里</w:t>
      </w:r>
      <w:r>
        <w:rPr>
          <w:rFonts w:hint="eastAsia"/>
          <w:color w:val="auto"/>
          <w:highlight w:val="none"/>
        </w:rPr>
        <w:t>）×100%=94%。未达到预期目标值原因为年初设置指标时为预计公里数，实际建设过程中发生变化。改进措施为科学测算建设公里数。</w:t>
      </w:r>
    </w:p>
    <w:p>
      <w:pPr>
        <w:ind w:firstLine="560" w:firstLineChars="200"/>
        <w:rPr>
          <w:color w:val="auto"/>
          <w:highlight w:val="none"/>
        </w:rPr>
      </w:pPr>
      <w:r>
        <w:rPr>
          <w:rFonts w:hint="eastAsia"/>
          <w:color w:val="auto"/>
          <w:highlight w:val="none"/>
        </w:rPr>
        <w:t>“何家湾处理量</w:t>
      </w:r>
      <w:r>
        <w:rPr>
          <w:color w:val="auto"/>
          <w:highlight w:val="none"/>
        </w:rPr>
        <w:t>50m3/d一体化污水处理设施</w:t>
      </w:r>
      <w:r>
        <w:rPr>
          <w:rFonts w:hint="eastAsia"/>
          <w:color w:val="auto"/>
          <w:highlight w:val="none"/>
        </w:rPr>
        <w:t>”指标，预期目标值为≧</w:t>
      </w:r>
      <w:r>
        <w:rPr>
          <w:color w:val="auto"/>
          <w:highlight w:val="none"/>
        </w:rPr>
        <w:t>1套</w:t>
      </w:r>
      <w:r>
        <w:rPr>
          <w:rFonts w:hint="eastAsia"/>
          <w:color w:val="auto"/>
          <w:highlight w:val="none"/>
        </w:rPr>
        <w:t>，实际完成为</w:t>
      </w:r>
      <w:r>
        <w:rPr>
          <w:color w:val="auto"/>
          <w:highlight w:val="none"/>
        </w:rPr>
        <w:t>1套</w:t>
      </w:r>
      <w:r>
        <w:rPr>
          <w:rFonts w:hint="eastAsia"/>
          <w:color w:val="auto"/>
          <w:highlight w:val="none"/>
        </w:rPr>
        <w:t>。实际完成率=（</w:t>
      </w:r>
      <w:r>
        <w:rPr>
          <w:color w:val="auto"/>
          <w:highlight w:val="none"/>
        </w:rPr>
        <w:t>1套</w:t>
      </w:r>
      <w:r>
        <w:rPr>
          <w:rFonts w:hint="eastAsia"/>
          <w:color w:val="auto"/>
          <w:highlight w:val="none"/>
        </w:rPr>
        <w:t>/</w:t>
      </w:r>
      <w:r>
        <w:rPr>
          <w:color w:val="auto"/>
          <w:highlight w:val="none"/>
        </w:rPr>
        <w:t>1套</w:t>
      </w:r>
      <w:r>
        <w:rPr>
          <w:rFonts w:hint="eastAsia"/>
          <w:color w:val="auto"/>
          <w:highlight w:val="none"/>
        </w:rPr>
        <w:t>）×100%=100.00%。</w:t>
      </w:r>
    </w:p>
    <w:p>
      <w:pPr>
        <w:ind w:firstLine="562" w:firstLineChars="200"/>
        <w:rPr>
          <w:b/>
          <w:bCs/>
          <w:color w:val="auto"/>
          <w:highlight w:val="none"/>
        </w:rPr>
      </w:pPr>
      <w:r>
        <w:rPr>
          <w:rFonts w:hint="eastAsia"/>
          <w:b/>
          <w:bCs/>
          <w:color w:val="auto"/>
          <w:highlight w:val="none"/>
        </w:rPr>
        <w:t>综上，该项指标满分10分，得分9.14分。</w:t>
      </w:r>
    </w:p>
    <w:p>
      <w:pPr>
        <w:ind w:firstLine="562" w:firstLineChars="200"/>
        <w:rPr>
          <w:b/>
          <w:bCs/>
          <w:color w:val="auto"/>
          <w:highlight w:val="none"/>
        </w:rPr>
      </w:pPr>
      <w:bookmarkStart w:id="71" w:name="_Toc31739"/>
      <w:r>
        <w:rPr>
          <w:rFonts w:hint="eastAsia"/>
          <w:b/>
          <w:bCs/>
          <w:color w:val="auto"/>
          <w:highlight w:val="none"/>
        </w:rPr>
        <w:t>2.项目完成质量</w:t>
      </w:r>
      <w:bookmarkEnd w:id="71"/>
    </w:p>
    <w:p>
      <w:pPr>
        <w:ind w:firstLine="560" w:firstLineChars="200"/>
        <w:rPr>
          <w:color w:val="auto"/>
          <w:highlight w:val="none"/>
        </w:rPr>
      </w:pPr>
      <w:r>
        <w:rPr>
          <w:rFonts w:hint="eastAsia"/>
          <w:color w:val="auto"/>
          <w:highlight w:val="none"/>
        </w:rPr>
        <w:t>“项目（工程）验收合格率”指标，预期目标值为=100%，实际完成为100%。</w:t>
      </w:r>
    </w:p>
    <w:p>
      <w:pPr>
        <w:ind w:firstLine="562" w:firstLineChars="200"/>
        <w:rPr>
          <w:b/>
          <w:bCs/>
          <w:color w:val="auto"/>
          <w:highlight w:val="none"/>
        </w:rPr>
      </w:pPr>
      <w:r>
        <w:rPr>
          <w:rFonts w:hint="eastAsia"/>
          <w:b/>
          <w:bCs/>
          <w:color w:val="auto"/>
          <w:highlight w:val="none"/>
        </w:rPr>
        <w:t>综上，该项指标满分4分，得分4分。</w:t>
      </w:r>
    </w:p>
    <w:p>
      <w:pPr>
        <w:ind w:firstLine="562" w:firstLineChars="200"/>
        <w:rPr>
          <w:b/>
          <w:bCs/>
          <w:color w:val="auto"/>
          <w:highlight w:val="none"/>
        </w:rPr>
      </w:pPr>
      <w:bookmarkStart w:id="72" w:name="_Toc18307"/>
      <w:r>
        <w:rPr>
          <w:rFonts w:hint="eastAsia"/>
          <w:b/>
          <w:bCs/>
          <w:color w:val="auto"/>
          <w:highlight w:val="none"/>
        </w:rPr>
        <w:t>3.项目完成时效</w:t>
      </w:r>
      <w:bookmarkEnd w:id="72"/>
    </w:p>
    <w:p>
      <w:pPr>
        <w:ind w:firstLine="560" w:firstLineChars="200"/>
        <w:rPr>
          <w:color w:val="auto"/>
          <w:highlight w:val="none"/>
        </w:rPr>
      </w:pPr>
      <w:r>
        <w:rPr>
          <w:rFonts w:hint="eastAsia"/>
          <w:color w:val="auto"/>
          <w:highlight w:val="none"/>
        </w:rPr>
        <w:t>“项目启动时间”指标，预期目标值为2023年4月，实际完成为2023年4月；</w:t>
      </w:r>
    </w:p>
    <w:p>
      <w:pPr>
        <w:ind w:firstLine="560" w:firstLineChars="200"/>
        <w:rPr>
          <w:color w:val="auto"/>
          <w:highlight w:val="none"/>
        </w:rPr>
      </w:pPr>
      <w:r>
        <w:rPr>
          <w:rFonts w:hint="eastAsia"/>
          <w:color w:val="auto"/>
          <w:highlight w:val="none"/>
        </w:rPr>
        <w:t>“工程完工时间”指标，预期目标值为2023年10月，实际完成为2023年10月；</w:t>
      </w:r>
    </w:p>
    <w:p>
      <w:pPr>
        <w:ind w:firstLine="560" w:firstLineChars="200"/>
        <w:rPr>
          <w:color w:val="auto"/>
          <w:highlight w:val="none"/>
        </w:rPr>
      </w:pPr>
      <w:r>
        <w:rPr>
          <w:rFonts w:hint="eastAsia"/>
          <w:color w:val="auto"/>
          <w:highlight w:val="none"/>
        </w:rPr>
        <w:t>“工程完工及时率”指标，预期目标值为=100%，实际完成为100%；</w:t>
      </w:r>
    </w:p>
    <w:p>
      <w:pPr>
        <w:ind w:firstLine="562" w:firstLineChars="200"/>
        <w:rPr>
          <w:b/>
          <w:bCs/>
          <w:color w:val="auto"/>
          <w:highlight w:val="none"/>
        </w:rPr>
      </w:pPr>
      <w:r>
        <w:rPr>
          <w:rFonts w:hint="eastAsia"/>
          <w:b/>
          <w:bCs/>
          <w:color w:val="auto"/>
          <w:highlight w:val="none"/>
        </w:rPr>
        <w:t>综上，该项指标满分6分，得分6分。</w:t>
      </w:r>
    </w:p>
    <w:p>
      <w:pPr>
        <w:ind w:firstLine="562" w:firstLineChars="200"/>
        <w:rPr>
          <w:b/>
          <w:bCs/>
          <w:color w:val="auto"/>
          <w:highlight w:val="none"/>
        </w:rPr>
      </w:pPr>
      <w:bookmarkStart w:id="73" w:name="_Toc32765"/>
      <w:r>
        <w:rPr>
          <w:rFonts w:hint="eastAsia"/>
          <w:b/>
          <w:bCs/>
          <w:color w:val="auto"/>
          <w:highlight w:val="none"/>
        </w:rPr>
        <w:t>4.项目完成成本</w:t>
      </w:r>
      <w:bookmarkEnd w:id="73"/>
    </w:p>
    <w:p>
      <w:pPr>
        <w:ind w:firstLine="560" w:firstLineChars="200"/>
        <w:rPr>
          <w:color w:val="auto"/>
          <w:highlight w:val="none"/>
        </w:rPr>
      </w:pPr>
      <w:r>
        <w:rPr>
          <w:rFonts w:hint="eastAsia"/>
          <w:color w:val="auto"/>
          <w:highlight w:val="none"/>
        </w:rPr>
        <w:t>“二道河子供水管网及配套设施成本”指标，预期目标值为≤</w:t>
      </w:r>
      <w:r>
        <w:rPr>
          <w:color w:val="auto"/>
          <w:highlight w:val="none"/>
        </w:rPr>
        <w:t>315万元</w:t>
      </w:r>
      <w:r>
        <w:rPr>
          <w:rFonts w:hint="eastAsia"/>
          <w:color w:val="auto"/>
          <w:highlight w:val="none"/>
        </w:rPr>
        <w:t>，实际完成为</w:t>
      </w:r>
      <w:r>
        <w:rPr>
          <w:color w:val="auto"/>
          <w:highlight w:val="none"/>
        </w:rPr>
        <w:t>311.98万元</w:t>
      </w:r>
      <w:r>
        <w:rPr>
          <w:rFonts w:hint="eastAsia"/>
          <w:color w:val="auto"/>
          <w:highlight w:val="none"/>
        </w:rPr>
        <w:t>。实际完成率=</w:t>
      </w:r>
      <w:r>
        <w:rPr>
          <w:rFonts w:hint="eastAsia"/>
          <w:color w:val="auto"/>
          <w:highlight w:val="none"/>
          <w:lang w:val="en-US" w:eastAsia="zh-CN"/>
        </w:rPr>
        <w:t>100</w:t>
      </w:r>
      <w:r>
        <w:rPr>
          <w:rFonts w:hint="eastAsia"/>
          <w:color w:val="auto"/>
          <w:highlight w:val="none"/>
        </w:rPr>
        <w:t>%。</w:t>
      </w:r>
    </w:p>
    <w:p>
      <w:pPr>
        <w:ind w:firstLine="560" w:firstLineChars="200"/>
        <w:rPr>
          <w:color w:val="auto"/>
          <w:highlight w:val="none"/>
        </w:rPr>
      </w:pPr>
      <w:r>
        <w:rPr>
          <w:rFonts w:hint="eastAsia"/>
          <w:color w:val="auto"/>
          <w:highlight w:val="none"/>
        </w:rPr>
        <w:t>“二道河子处理量</w:t>
      </w:r>
      <w:r>
        <w:rPr>
          <w:color w:val="auto"/>
          <w:highlight w:val="none"/>
        </w:rPr>
        <w:t>50m3/d一体化污水处理设施成本</w:t>
      </w:r>
      <w:r>
        <w:rPr>
          <w:rFonts w:hint="eastAsia"/>
          <w:color w:val="auto"/>
          <w:highlight w:val="none"/>
        </w:rPr>
        <w:t>”指标，预期目标值为≤</w:t>
      </w:r>
      <w:r>
        <w:rPr>
          <w:color w:val="auto"/>
          <w:highlight w:val="none"/>
        </w:rPr>
        <w:t>92万元</w:t>
      </w:r>
      <w:r>
        <w:rPr>
          <w:rFonts w:hint="eastAsia"/>
          <w:color w:val="auto"/>
          <w:highlight w:val="none"/>
        </w:rPr>
        <w:t>，实际完成为</w:t>
      </w:r>
      <w:r>
        <w:rPr>
          <w:color w:val="auto"/>
          <w:highlight w:val="none"/>
        </w:rPr>
        <w:t>56.02万元</w:t>
      </w:r>
      <w:r>
        <w:rPr>
          <w:rFonts w:hint="eastAsia"/>
          <w:color w:val="auto"/>
          <w:highlight w:val="none"/>
        </w:rPr>
        <w:t>。实际完成率=</w:t>
      </w:r>
      <w:r>
        <w:rPr>
          <w:rFonts w:hint="eastAsia"/>
          <w:color w:val="auto"/>
          <w:highlight w:val="none"/>
          <w:lang w:val="en-US" w:eastAsia="zh-CN"/>
        </w:rPr>
        <w:t>100</w:t>
      </w:r>
      <w:r>
        <w:rPr>
          <w:rFonts w:hint="eastAsia"/>
          <w:color w:val="auto"/>
          <w:highlight w:val="none"/>
        </w:rPr>
        <w:t>%。</w:t>
      </w:r>
    </w:p>
    <w:p>
      <w:pPr>
        <w:ind w:firstLine="560" w:firstLineChars="200"/>
        <w:rPr>
          <w:color w:val="auto"/>
          <w:highlight w:val="none"/>
        </w:rPr>
      </w:pPr>
      <w:r>
        <w:rPr>
          <w:rFonts w:hint="eastAsia"/>
          <w:color w:val="auto"/>
          <w:highlight w:val="none"/>
        </w:rPr>
        <w:t>“何家湾供水管网及配套设施成本”指标，预期目标值为≤</w:t>
      </w:r>
      <w:r>
        <w:rPr>
          <w:color w:val="auto"/>
          <w:highlight w:val="none"/>
        </w:rPr>
        <w:t>309万元</w:t>
      </w:r>
      <w:r>
        <w:rPr>
          <w:rFonts w:hint="eastAsia"/>
          <w:color w:val="auto"/>
          <w:highlight w:val="none"/>
        </w:rPr>
        <w:t>，实际完成为282.855</w:t>
      </w:r>
      <w:r>
        <w:rPr>
          <w:color w:val="auto"/>
          <w:highlight w:val="none"/>
        </w:rPr>
        <w:t>万元</w:t>
      </w:r>
      <w:r>
        <w:rPr>
          <w:rFonts w:hint="eastAsia"/>
          <w:color w:val="auto"/>
          <w:highlight w:val="none"/>
        </w:rPr>
        <w:t>。实际完成率=</w:t>
      </w:r>
      <w:r>
        <w:rPr>
          <w:rFonts w:hint="eastAsia"/>
          <w:color w:val="auto"/>
          <w:highlight w:val="none"/>
          <w:lang w:val="en-US" w:eastAsia="zh-CN"/>
        </w:rPr>
        <w:t>100</w:t>
      </w:r>
      <w:r>
        <w:rPr>
          <w:rFonts w:hint="eastAsia"/>
          <w:color w:val="auto"/>
          <w:highlight w:val="none"/>
        </w:rPr>
        <w:t>%。</w:t>
      </w:r>
    </w:p>
    <w:p>
      <w:pPr>
        <w:ind w:firstLine="560" w:firstLineChars="200"/>
        <w:rPr>
          <w:color w:val="auto"/>
          <w:highlight w:val="none"/>
        </w:rPr>
      </w:pPr>
      <w:r>
        <w:rPr>
          <w:rFonts w:hint="eastAsia"/>
          <w:color w:val="auto"/>
          <w:highlight w:val="none"/>
        </w:rPr>
        <w:t>“何家湾处理量</w:t>
      </w:r>
      <w:r>
        <w:rPr>
          <w:color w:val="auto"/>
          <w:highlight w:val="none"/>
        </w:rPr>
        <w:t>50m3/d一体化污水处理设施成本</w:t>
      </w:r>
      <w:r>
        <w:rPr>
          <w:rFonts w:hint="eastAsia"/>
          <w:color w:val="auto"/>
          <w:highlight w:val="none"/>
        </w:rPr>
        <w:t>”指标，预期目标值为≤</w:t>
      </w:r>
      <w:r>
        <w:rPr>
          <w:color w:val="auto"/>
          <w:highlight w:val="none"/>
        </w:rPr>
        <w:t>98万元</w:t>
      </w:r>
      <w:r>
        <w:rPr>
          <w:rFonts w:hint="eastAsia"/>
          <w:color w:val="auto"/>
          <w:highlight w:val="none"/>
        </w:rPr>
        <w:t>，实际完成为55.81</w:t>
      </w:r>
      <w:r>
        <w:rPr>
          <w:color w:val="auto"/>
          <w:highlight w:val="none"/>
        </w:rPr>
        <w:t>万元</w:t>
      </w:r>
      <w:r>
        <w:rPr>
          <w:rFonts w:hint="eastAsia"/>
          <w:color w:val="auto"/>
          <w:highlight w:val="none"/>
        </w:rPr>
        <w:t>。实际完成率=</w:t>
      </w:r>
      <w:r>
        <w:rPr>
          <w:rFonts w:hint="eastAsia"/>
          <w:color w:val="auto"/>
          <w:highlight w:val="none"/>
          <w:lang w:val="en-US" w:eastAsia="zh-CN"/>
        </w:rPr>
        <w:t>100</w:t>
      </w:r>
      <w:r>
        <w:rPr>
          <w:rFonts w:hint="eastAsia"/>
          <w:color w:val="auto"/>
          <w:highlight w:val="none"/>
        </w:rPr>
        <w:t>%。</w:t>
      </w:r>
    </w:p>
    <w:p>
      <w:pPr>
        <w:ind w:firstLine="562" w:firstLineChars="200"/>
        <w:rPr>
          <w:b/>
          <w:bCs/>
          <w:color w:val="auto"/>
          <w:highlight w:val="none"/>
        </w:rPr>
      </w:pPr>
      <w:r>
        <w:rPr>
          <w:rFonts w:hint="eastAsia"/>
          <w:b/>
          <w:bCs/>
          <w:color w:val="auto"/>
          <w:highlight w:val="none"/>
        </w:rPr>
        <w:t>综上，该项指标满分10分，得分</w:t>
      </w:r>
      <w:r>
        <w:rPr>
          <w:rFonts w:hint="eastAsia"/>
          <w:b/>
          <w:bCs/>
          <w:color w:val="auto"/>
          <w:highlight w:val="none"/>
          <w:lang w:val="en-US" w:eastAsia="zh-CN"/>
        </w:rPr>
        <w:t>10</w:t>
      </w:r>
      <w:r>
        <w:rPr>
          <w:rFonts w:hint="eastAsia"/>
          <w:b/>
          <w:bCs/>
          <w:color w:val="auto"/>
          <w:highlight w:val="none"/>
        </w:rPr>
        <w:t>分。</w:t>
      </w:r>
    </w:p>
    <w:p>
      <w:pPr>
        <w:pStyle w:val="3"/>
        <w:rPr>
          <w:rFonts w:hint="eastAsia" w:ascii="宋体" w:hAnsi="宋体" w:eastAsia="宋体" w:cs="宋体"/>
          <w:color w:val="auto"/>
          <w:highlight w:val="none"/>
        </w:rPr>
      </w:pPr>
      <w:bookmarkStart w:id="74" w:name="_Toc18446"/>
      <w:r>
        <w:rPr>
          <w:rFonts w:hint="eastAsia" w:ascii="宋体" w:hAnsi="宋体" w:eastAsia="宋体" w:cs="宋体"/>
          <w:color w:val="auto"/>
          <w:highlight w:val="none"/>
        </w:rPr>
        <w:t>（四）项目效益情况</w:t>
      </w:r>
      <w:bookmarkEnd w:id="74"/>
    </w:p>
    <w:p>
      <w:pPr>
        <w:ind w:firstLine="560" w:firstLineChars="20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1</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4-4</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jc w:val="center"/>
        <w:rPr>
          <w:b/>
          <w:bCs/>
          <w:color w:val="auto"/>
          <w:highlight w:val="none"/>
        </w:rPr>
      </w:pPr>
      <w:r>
        <w:rPr>
          <w:rFonts w:hint="eastAsia"/>
          <w:b/>
          <w:bCs/>
          <w:color w:val="auto"/>
          <w:highlight w:val="none"/>
          <w:lang w:val="zh-TW" w:eastAsia="zh-TW"/>
        </w:rPr>
        <w:t>表</w:t>
      </w:r>
      <w:r>
        <w:rPr>
          <w:rFonts w:hint="eastAsia"/>
          <w:b/>
          <w:bCs/>
          <w:color w:val="auto"/>
          <w:highlight w:val="none"/>
        </w:rPr>
        <w:t>4-4项目效益</w:t>
      </w:r>
      <w:r>
        <w:rPr>
          <w:rFonts w:hint="eastAsia"/>
          <w:b/>
          <w:bCs/>
          <w:color w:val="auto"/>
          <w:highlight w:val="none"/>
          <w:lang w:val="zh-TW" w:eastAsia="zh-TW"/>
        </w:rPr>
        <w:t>指标及分值</w:t>
      </w:r>
      <w:r>
        <w:rPr>
          <w:rFonts w:hint="eastAsia"/>
          <w:b/>
          <w:bCs/>
          <w:color w:val="auto"/>
          <w:highlight w:val="none"/>
        </w:rPr>
        <w:t>情况</w:t>
      </w:r>
    </w:p>
    <w:tbl>
      <w:tblPr>
        <w:tblStyle w:val="12"/>
        <w:tblW w:w="8943" w:type="dxa"/>
        <w:jc w:val="center"/>
        <w:tblInd w:w="0" w:type="dxa"/>
        <w:tblLayout w:type="fixed"/>
        <w:tblCellMar>
          <w:top w:w="0" w:type="dxa"/>
          <w:left w:w="0" w:type="dxa"/>
          <w:bottom w:w="0" w:type="dxa"/>
          <w:right w:w="0" w:type="dxa"/>
        </w:tblCellMar>
      </w:tblPr>
      <w:tblGrid>
        <w:gridCol w:w="1256"/>
        <w:gridCol w:w="1725"/>
        <w:gridCol w:w="2744"/>
        <w:gridCol w:w="870"/>
        <w:gridCol w:w="645"/>
        <w:gridCol w:w="1050"/>
        <w:gridCol w:w="653"/>
      </w:tblGrid>
      <w:tr>
        <w:tblPrEx>
          <w:tblLayout w:type="fixed"/>
          <w:tblCellMar>
            <w:top w:w="0" w:type="dxa"/>
            <w:left w:w="0" w:type="dxa"/>
            <w:bottom w:w="0" w:type="dxa"/>
            <w:right w:w="0" w:type="dxa"/>
          </w:tblCellMar>
        </w:tblPrEx>
        <w:trPr>
          <w:trHeight w:val="919" w:hRule="atLeast"/>
          <w:jc w:val="center"/>
        </w:trPr>
        <w:tc>
          <w:tcPr>
            <w:tcW w:w="125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一级</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年度指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标杆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全年实</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指标</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得分</w:t>
            </w:r>
          </w:p>
        </w:tc>
      </w:tr>
      <w:tr>
        <w:tblPrEx>
          <w:tblLayout w:type="fixed"/>
          <w:tblCellMar>
            <w:top w:w="0" w:type="dxa"/>
            <w:left w:w="0" w:type="dxa"/>
            <w:bottom w:w="0" w:type="dxa"/>
            <w:right w:w="0" w:type="dxa"/>
          </w:tblCellMar>
        </w:tblPrEx>
        <w:trPr>
          <w:trHeight w:val="436" w:hRule="atLeast"/>
          <w:jc w:val="center"/>
        </w:trPr>
        <w:tc>
          <w:tcPr>
            <w:tcW w:w="1256"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r>
      <w:tr>
        <w:tblPrEx>
          <w:tblLayout w:type="fixed"/>
          <w:tblCellMar>
            <w:top w:w="0" w:type="dxa"/>
            <w:left w:w="0" w:type="dxa"/>
            <w:bottom w:w="0" w:type="dxa"/>
            <w:right w:w="0" w:type="dxa"/>
          </w:tblCellMar>
        </w:tblPrEx>
        <w:trPr>
          <w:trHeight w:val="436" w:hRule="atLeast"/>
          <w:jc w:val="center"/>
        </w:trPr>
        <w:tc>
          <w:tcPr>
            <w:tcW w:w="1256"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增强脱贫地区和脱贫群众内生发展动力</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增强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r>
      <w:tr>
        <w:tblPrEx>
          <w:tblLayout w:type="fixed"/>
          <w:tblCellMar>
            <w:top w:w="0" w:type="dxa"/>
            <w:left w:w="0" w:type="dxa"/>
            <w:bottom w:w="0" w:type="dxa"/>
            <w:right w:w="0" w:type="dxa"/>
          </w:tblCellMar>
        </w:tblPrEx>
        <w:trPr>
          <w:trHeight w:val="436" w:hRule="atLeast"/>
          <w:jc w:val="center"/>
        </w:trPr>
        <w:tc>
          <w:tcPr>
            <w:tcW w:w="1256"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有效改善人居环境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有效改善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r>
      <w:tr>
        <w:tblPrEx>
          <w:tblLayout w:type="fixed"/>
          <w:tblCellMar>
            <w:top w:w="0" w:type="dxa"/>
            <w:left w:w="0" w:type="dxa"/>
            <w:bottom w:w="0" w:type="dxa"/>
            <w:right w:w="0" w:type="dxa"/>
          </w:tblCellMar>
        </w:tblPrEx>
        <w:trPr>
          <w:trHeight w:val="436" w:hRule="atLeast"/>
          <w:jc w:val="center"/>
        </w:trPr>
        <w:tc>
          <w:tcPr>
            <w:tcW w:w="1256"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r>
      <w:tr>
        <w:tblPrEx>
          <w:tblLayout w:type="fixed"/>
          <w:tblCellMar>
            <w:top w:w="0" w:type="dxa"/>
            <w:left w:w="0" w:type="dxa"/>
            <w:bottom w:w="0" w:type="dxa"/>
            <w:right w:w="0" w:type="dxa"/>
          </w:tblCellMar>
        </w:tblPrEx>
        <w:trPr>
          <w:trHeight w:val="436" w:hRule="atLeast"/>
          <w:jc w:val="center"/>
        </w:trPr>
        <w:tc>
          <w:tcPr>
            <w:tcW w:w="1256"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r>
      <w:tr>
        <w:tblPrEx>
          <w:tblLayout w:type="fixed"/>
          <w:tblCellMar>
            <w:top w:w="0" w:type="dxa"/>
            <w:left w:w="0" w:type="dxa"/>
            <w:bottom w:w="0" w:type="dxa"/>
            <w:right w:w="0" w:type="dxa"/>
          </w:tblCellMar>
        </w:tblPrEx>
        <w:trPr>
          <w:trHeight w:val="436" w:hRule="atLeast"/>
          <w:jc w:val="center"/>
        </w:trPr>
        <w:tc>
          <w:tcPr>
            <w:tcW w:w="1256"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受益群众满意度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w:t>
            </w:r>
          </w:p>
        </w:tc>
      </w:tr>
      <w:tr>
        <w:tblPrEx>
          <w:tblLayout w:type="fixed"/>
          <w:tblCellMar>
            <w:top w:w="0" w:type="dxa"/>
            <w:left w:w="0" w:type="dxa"/>
            <w:bottom w:w="0" w:type="dxa"/>
            <w:right w:w="0" w:type="dxa"/>
          </w:tblCellMar>
        </w:tblPrEx>
        <w:trPr>
          <w:trHeight w:val="469" w:hRule="atLeast"/>
          <w:jc w:val="center"/>
        </w:trPr>
        <w:tc>
          <w:tcPr>
            <w:tcW w:w="659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30</w:t>
            </w:r>
          </w:p>
        </w:tc>
      </w:tr>
    </w:tbl>
    <w:p>
      <w:pPr>
        <w:ind w:firstLine="562" w:firstLineChars="200"/>
        <w:rPr>
          <w:b/>
          <w:bCs/>
          <w:color w:val="auto"/>
          <w:highlight w:val="none"/>
        </w:rPr>
      </w:pPr>
      <w:bookmarkStart w:id="75" w:name="_Toc27006"/>
      <w:r>
        <w:rPr>
          <w:rFonts w:hint="eastAsia"/>
          <w:b/>
          <w:bCs/>
          <w:color w:val="auto"/>
          <w:highlight w:val="none"/>
        </w:rPr>
        <w:t>1.社会效益指标</w:t>
      </w:r>
      <w:bookmarkEnd w:id="75"/>
    </w:p>
    <w:p>
      <w:pPr>
        <w:ind w:firstLine="560" w:firstLineChars="200"/>
        <w:rPr>
          <w:color w:val="auto"/>
          <w:highlight w:val="none"/>
        </w:rPr>
      </w:pPr>
      <w:r>
        <w:rPr>
          <w:rFonts w:hint="eastAsia"/>
          <w:color w:val="auto"/>
          <w:highlight w:val="none"/>
        </w:rPr>
        <w:t>“增强脱贫地区和脱贫群众内生发展动力”指标，预期目标值为增强，实际完成为100%。</w:t>
      </w:r>
    </w:p>
    <w:p>
      <w:pPr>
        <w:ind w:firstLine="560" w:firstLineChars="200"/>
        <w:rPr>
          <w:color w:val="auto"/>
          <w:highlight w:val="none"/>
        </w:rPr>
      </w:pPr>
      <w:r>
        <w:rPr>
          <w:rFonts w:hint="eastAsia"/>
          <w:color w:val="auto"/>
          <w:highlight w:val="none"/>
        </w:rPr>
        <w:t>“有效改善人居环境”指标，预期目标值为有效改善，实际完成为100%。</w:t>
      </w:r>
    </w:p>
    <w:p>
      <w:pPr>
        <w:ind w:firstLine="560" w:firstLineChars="200"/>
        <w:rPr>
          <w:color w:val="auto"/>
          <w:highlight w:val="none"/>
        </w:rPr>
      </w:pPr>
      <w:r>
        <w:rPr>
          <w:rFonts w:hint="eastAsia"/>
          <w:color w:val="auto"/>
          <w:highlight w:val="none"/>
        </w:rPr>
        <w:t>通过项目的实施，有利于阜康市各乡镇经济取得较大的社会效益，极大的改善阜康市乡镇居民的生活居住环境，加快项目所在区域的建设与开发，改善了人居环境，提高了居民生活质量。</w:t>
      </w:r>
    </w:p>
    <w:p>
      <w:pPr>
        <w:ind w:firstLine="560" w:firstLineChars="200"/>
        <w:rPr>
          <w:color w:val="auto"/>
          <w:highlight w:val="none"/>
        </w:rPr>
      </w:pPr>
      <w:r>
        <w:rPr>
          <w:rFonts w:hint="eastAsia"/>
          <w:color w:val="auto"/>
          <w:highlight w:val="none"/>
        </w:rPr>
        <w:t>综上，该项指标满分20分，得分20分。</w:t>
      </w:r>
    </w:p>
    <w:p>
      <w:pPr>
        <w:ind w:firstLine="562" w:firstLineChars="200"/>
        <w:rPr>
          <w:b/>
          <w:bCs/>
          <w:color w:val="auto"/>
          <w:highlight w:val="none"/>
        </w:rPr>
      </w:pPr>
      <w:r>
        <w:rPr>
          <w:rFonts w:hint="eastAsia"/>
          <w:b/>
          <w:bCs/>
          <w:color w:val="auto"/>
          <w:highlight w:val="none"/>
        </w:rPr>
        <w:t>2</w:t>
      </w:r>
      <w:r>
        <w:rPr>
          <w:b/>
          <w:bCs/>
          <w:color w:val="auto"/>
          <w:highlight w:val="none"/>
        </w:rPr>
        <w:t>.满意度指标</w:t>
      </w:r>
    </w:p>
    <w:p>
      <w:pPr>
        <w:ind w:firstLine="560" w:firstLineChars="200"/>
        <w:rPr>
          <w:color w:val="auto"/>
          <w:highlight w:val="none"/>
        </w:rPr>
      </w:pPr>
      <w:r>
        <w:rPr>
          <w:rFonts w:hint="eastAsia"/>
          <w:color w:val="auto"/>
          <w:highlight w:val="none"/>
        </w:rPr>
        <w:t>“受益群众满意度</w:t>
      </w:r>
      <w:r>
        <w:rPr>
          <w:color w:val="auto"/>
          <w:highlight w:val="none"/>
        </w:rPr>
        <w:t>”指标，预期目标值为</w:t>
      </w:r>
      <w:r>
        <w:rPr>
          <w:rFonts w:hint="eastAsia"/>
          <w:color w:val="auto"/>
          <w:highlight w:val="none"/>
        </w:rPr>
        <w:t>≥</w:t>
      </w:r>
      <w:r>
        <w:rPr>
          <w:color w:val="auto"/>
          <w:highlight w:val="none"/>
        </w:rPr>
        <w:t>90%，实际完成为</w:t>
      </w:r>
      <w:r>
        <w:rPr>
          <w:rFonts w:hint="eastAsia"/>
          <w:color w:val="auto"/>
          <w:highlight w:val="none"/>
        </w:rPr>
        <w:t>100%</w:t>
      </w:r>
      <w:r>
        <w:rPr>
          <w:color w:val="auto"/>
          <w:highlight w:val="none"/>
        </w:rPr>
        <w:t>。</w:t>
      </w:r>
    </w:p>
    <w:p>
      <w:pPr>
        <w:ind w:firstLine="560" w:firstLineChars="200"/>
        <w:rPr>
          <w:color w:val="auto"/>
          <w:highlight w:val="none"/>
        </w:rPr>
      </w:pPr>
      <w:r>
        <w:rPr>
          <w:rFonts w:hint="eastAsia"/>
          <w:color w:val="auto"/>
          <w:highlight w:val="none"/>
        </w:rPr>
        <w:t>综上，该项指标满分10</w:t>
      </w:r>
      <w:r>
        <w:rPr>
          <w:color w:val="auto"/>
          <w:highlight w:val="none"/>
        </w:rPr>
        <w:t>分，得分</w:t>
      </w:r>
      <w:r>
        <w:rPr>
          <w:rFonts w:hint="eastAsia"/>
          <w:color w:val="auto"/>
          <w:highlight w:val="none"/>
        </w:rPr>
        <w:t>10</w:t>
      </w:r>
      <w:r>
        <w:rPr>
          <w:color w:val="auto"/>
          <w:highlight w:val="none"/>
        </w:rPr>
        <w:t>分。</w:t>
      </w:r>
    </w:p>
    <w:p>
      <w:pPr>
        <w:pStyle w:val="2"/>
        <w:rPr>
          <w:color w:val="auto"/>
          <w:highlight w:val="none"/>
        </w:rPr>
      </w:pPr>
      <w:bookmarkStart w:id="76" w:name="_Toc19962"/>
      <w:r>
        <w:rPr>
          <w:rFonts w:hint="eastAsia"/>
          <w:color w:val="auto"/>
          <w:highlight w:val="none"/>
        </w:rPr>
        <w:t>五、预算执行进度与指标偏差</w:t>
      </w:r>
      <w:bookmarkEnd w:id="76"/>
    </w:p>
    <w:p>
      <w:pPr>
        <w:ind w:firstLine="560" w:firstLineChars="200"/>
        <w:rPr>
          <w:color w:val="auto"/>
          <w:highlight w:val="none"/>
        </w:rPr>
      </w:pPr>
      <w:r>
        <w:rPr>
          <w:rFonts w:hint="eastAsia"/>
          <w:color w:val="auto"/>
          <w:highlight w:val="none"/>
        </w:rPr>
        <w:t>该项目预算资金总额为814</w:t>
      </w:r>
      <w:r>
        <w:rPr>
          <w:color w:val="auto"/>
          <w:highlight w:val="none"/>
        </w:rPr>
        <w:t>万元，全年执行数为706.6</w:t>
      </w:r>
      <w:r>
        <w:rPr>
          <w:rFonts w:hint="eastAsia"/>
          <w:color w:val="auto"/>
          <w:highlight w:val="none"/>
          <w:lang w:val="en-US" w:eastAsia="zh-CN"/>
        </w:rPr>
        <w:t>7</w:t>
      </w:r>
      <w:r>
        <w:rPr>
          <w:color w:val="auto"/>
          <w:highlight w:val="none"/>
        </w:rPr>
        <w:t>万元，预算</w:t>
      </w:r>
      <w:r>
        <w:rPr>
          <w:rFonts w:hint="eastAsia"/>
          <w:color w:val="auto"/>
          <w:highlight w:val="none"/>
        </w:rPr>
        <w:t>行率为86.8</w:t>
      </w:r>
      <w:r>
        <w:rPr>
          <w:rFonts w:hint="eastAsia"/>
          <w:color w:val="auto"/>
          <w:highlight w:val="none"/>
          <w:lang w:val="en-US" w:eastAsia="zh-CN"/>
        </w:rPr>
        <w:t>1</w:t>
      </w:r>
      <w:r>
        <w:rPr>
          <w:rFonts w:hint="eastAsia"/>
          <w:color w:val="auto"/>
          <w:highlight w:val="none"/>
        </w:rPr>
        <w:t>%，总体完成率为97.55</w:t>
      </w:r>
      <w:r>
        <w:rPr>
          <w:rFonts w:hint="eastAsia"/>
          <w:color w:val="auto"/>
          <w:highlight w:val="none"/>
          <w:lang w:val="zh-TW" w:eastAsia="zh-TW"/>
        </w:rPr>
        <w:t>%。</w:t>
      </w:r>
      <w:r>
        <w:rPr>
          <w:rFonts w:hint="eastAsia"/>
          <w:color w:val="auto"/>
          <w:highlight w:val="none"/>
        </w:rPr>
        <w:t>预算执行率与总体完成率之间的偏差为10.74%。</w:t>
      </w:r>
    </w:p>
    <w:p>
      <w:pPr>
        <w:pStyle w:val="2"/>
        <w:rPr>
          <w:color w:val="auto"/>
          <w:highlight w:val="none"/>
        </w:rPr>
      </w:pPr>
      <w:bookmarkStart w:id="77" w:name="_Toc29934"/>
      <w:r>
        <w:rPr>
          <w:rFonts w:hint="eastAsia"/>
          <w:color w:val="auto"/>
          <w:highlight w:val="none"/>
        </w:rPr>
        <w:t>六、主要经验及做法、存在的问题及原因分析</w:t>
      </w:r>
      <w:bookmarkEnd w:id="77"/>
    </w:p>
    <w:p>
      <w:pPr>
        <w:ind w:firstLine="560" w:firstLineChars="200"/>
        <w:rPr>
          <w:color w:val="auto"/>
          <w:highlight w:val="none"/>
        </w:rPr>
      </w:pPr>
      <w:bookmarkStart w:id="78" w:name="_Toc13160"/>
      <w:bookmarkStart w:id="79" w:name="_Toc1921"/>
      <w:bookmarkStart w:id="80" w:name="_Toc28290"/>
      <w:r>
        <w:rPr>
          <w:rFonts w:hint="eastAsia"/>
          <w:color w:val="auto"/>
          <w:highlight w:val="none"/>
        </w:rPr>
        <w:t>（一）主要经验及做法</w:t>
      </w:r>
      <w:bookmarkEnd w:id="78"/>
    </w:p>
    <w:p>
      <w:pPr>
        <w:ind w:firstLine="560" w:firstLineChars="200"/>
        <w:rPr>
          <w:color w:val="auto"/>
          <w:highlight w:val="none"/>
        </w:rPr>
      </w:pPr>
      <w:r>
        <w:rPr>
          <w:rFonts w:hint="eastAsia"/>
          <w:color w:val="auto"/>
          <w:highlight w:val="none"/>
        </w:rPr>
        <w:t>阜康市滋泥泉子镇农村厕所革命整村推进财政奖补资金项目2023年预算数为814万元，截至2023年12月31日共支出</w:t>
      </w:r>
      <w:r>
        <w:rPr>
          <w:color w:val="auto"/>
          <w:highlight w:val="none"/>
        </w:rPr>
        <w:t>706.6</w:t>
      </w:r>
      <w:r>
        <w:rPr>
          <w:rFonts w:hint="eastAsia"/>
          <w:color w:val="auto"/>
          <w:highlight w:val="none"/>
          <w:lang w:val="en-US" w:eastAsia="zh-CN"/>
        </w:rPr>
        <w:t>7</w:t>
      </w:r>
      <w:r>
        <w:rPr>
          <w:rFonts w:hint="eastAsia"/>
          <w:color w:val="auto"/>
          <w:highlight w:val="none"/>
        </w:rPr>
        <w:t>万元，预算执行率为86.8</w:t>
      </w:r>
      <w:r>
        <w:rPr>
          <w:rFonts w:hint="eastAsia"/>
          <w:color w:val="auto"/>
          <w:highlight w:val="none"/>
          <w:lang w:val="en-US" w:eastAsia="zh-CN"/>
        </w:rPr>
        <w:t>1</w:t>
      </w:r>
      <w:r>
        <w:rPr>
          <w:rFonts w:hint="eastAsia"/>
          <w:color w:val="auto"/>
          <w:highlight w:val="none"/>
        </w:rPr>
        <w:t>%。</w:t>
      </w:r>
    </w:p>
    <w:p>
      <w:pPr>
        <w:ind w:firstLine="560" w:firstLineChars="200"/>
        <w:rPr>
          <w:color w:val="auto"/>
          <w:highlight w:val="none"/>
        </w:rPr>
      </w:pPr>
      <w:r>
        <w:rPr>
          <w:rFonts w:hint="eastAsia"/>
          <w:color w:val="auto"/>
          <w:highlight w:val="none"/>
        </w:rPr>
        <w:t>阜康市乡村振兴综合保障中心建立健全了预算管理规章制度，各部门严格按照预算编制的原则和要求做好当年预算编制工作，在预算绩效管理工作中，做到合理安排各项资金，重点保障基本支出，按轻重缓急顺序原则，优先安排了阜康市乡村振兴综合保障中心事业发展中关系民生与稳定的项目，切实优化资源配置，提高了资金使用的效率和效果。</w:t>
      </w:r>
    </w:p>
    <w:bookmarkEnd w:id="79"/>
    <w:bookmarkEnd w:id="80"/>
    <w:p>
      <w:pPr>
        <w:ind w:firstLine="560" w:firstLineChars="200"/>
        <w:rPr>
          <w:color w:val="auto"/>
          <w:highlight w:val="none"/>
        </w:rPr>
      </w:pPr>
      <w:bookmarkStart w:id="81" w:name="_Toc9582"/>
      <w:r>
        <w:rPr>
          <w:rFonts w:hint="eastAsia"/>
          <w:color w:val="auto"/>
          <w:highlight w:val="none"/>
        </w:rPr>
        <w:t>（二）存在的问题及原因分析</w:t>
      </w:r>
      <w:bookmarkEnd w:id="81"/>
    </w:p>
    <w:p>
      <w:pPr>
        <w:ind w:firstLine="560" w:firstLineChars="200"/>
        <w:rPr>
          <w:rFonts w:hint="default" w:eastAsia="宋体"/>
          <w:color w:val="auto"/>
          <w:highlight w:val="none"/>
          <w:lang w:val="en-US" w:eastAsia="zh-CN"/>
        </w:rPr>
      </w:pPr>
      <w:r>
        <w:rPr>
          <w:rFonts w:hint="eastAsia"/>
          <w:color w:val="auto"/>
          <w:highlight w:val="none"/>
          <w:lang w:val="en-US" w:eastAsia="zh-CN"/>
        </w:rPr>
        <w:t>一是</w:t>
      </w:r>
      <w:r>
        <w:rPr>
          <w:rFonts w:hint="eastAsia"/>
          <w:color w:val="auto"/>
          <w:highlight w:val="none"/>
        </w:rPr>
        <w:t>绩效指标的设定合理性、明确性、可衡量性有待提升数量指标未完成预期指标值，原因为年初设置指标时为预计公里数</w:t>
      </w:r>
      <w:r>
        <w:rPr>
          <w:rFonts w:hint="eastAsia"/>
          <w:color w:val="auto"/>
          <w:highlight w:val="none"/>
          <w:lang w:val="en-US" w:eastAsia="zh-CN"/>
        </w:rPr>
        <w:t>不够合理</w:t>
      </w:r>
      <w:r>
        <w:rPr>
          <w:rFonts w:hint="eastAsia"/>
          <w:color w:val="auto"/>
          <w:highlight w:val="none"/>
        </w:rPr>
        <w:t>，实际建设过程中发生变化</w:t>
      </w:r>
      <w:r>
        <w:rPr>
          <w:rFonts w:hint="eastAsia"/>
          <w:color w:val="auto"/>
          <w:highlight w:val="none"/>
          <w:lang w:eastAsia="zh-CN"/>
        </w:rPr>
        <w:t>，</w:t>
      </w:r>
      <w:r>
        <w:rPr>
          <w:rFonts w:hint="eastAsia"/>
          <w:color w:val="auto"/>
          <w:highlight w:val="none"/>
          <w:lang w:val="en-US" w:eastAsia="zh-CN"/>
        </w:rPr>
        <w:t>导致出现差异。</w:t>
      </w:r>
    </w:p>
    <w:p>
      <w:pPr>
        <w:ind w:firstLine="560" w:firstLineChars="200"/>
        <w:rPr>
          <w:rFonts w:hint="eastAsia" w:eastAsia="宋体"/>
          <w:color w:val="auto"/>
          <w:highlight w:val="none"/>
          <w:lang w:val="en-US" w:eastAsia="zh-CN"/>
        </w:rPr>
      </w:pPr>
      <w:r>
        <w:rPr>
          <w:rFonts w:hint="eastAsia"/>
          <w:color w:val="auto"/>
          <w:highlight w:val="none"/>
          <w:lang w:val="en-US" w:eastAsia="zh-CN"/>
        </w:rPr>
        <w:t>二是</w:t>
      </w:r>
      <w:r>
        <w:rPr>
          <w:rFonts w:hint="eastAsia"/>
          <w:color w:val="auto"/>
          <w:highlight w:val="none"/>
        </w:rPr>
        <w:t>项目</w:t>
      </w:r>
      <w:r>
        <w:rPr>
          <w:color w:val="auto"/>
          <w:highlight w:val="none"/>
        </w:rPr>
        <w:t>预算执行率未达到</w:t>
      </w:r>
      <w:r>
        <w:rPr>
          <w:rFonts w:hint="eastAsia"/>
          <w:color w:val="auto"/>
          <w:highlight w:val="none"/>
        </w:rPr>
        <w:t>100%，</w:t>
      </w:r>
      <w:r>
        <w:rPr>
          <w:rFonts w:hint="eastAsia"/>
          <w:color w:val="auto"/>
          <w:highlight w:val="none"/>
          <w:lang w:val="en-US" w:eastAsia="zh-CN"/>
        </w:rPr>
        <w:t>原因为</w:t>
      </w:r>
      <w:r>
        <w:rPr>
          <w:rFonts w:hint="eastAsia"/>
          <w:color w:val="auto"/>
          <w:highlight w:val="none"/>
        </w:rPr>
        <w:t>根据项目进度支付款项，剩余款项待工程完成决算后支付。</w:t>
      </w:r>
    </w:p>
    <w:p>
      <w:pPr>
        <w:pStyle w:val="2"/>
        <w:rPr>
          <w:color w:val="auto"/>
          <w:highlight w:val="none"/>
        </w:rPr>
      </w:pPr>
      <w:bookmarkStart w:id="82" w:name="_Toc5230"/>
      <w:r>
        <w:rPr>
          <w:rFonts w:hint="eastAsia"/>
          <w:color w:val="auto"/>
          <w:highlight w:val="none"/>
        </w:rPr>
        <w:t>七、有关建议</w:t>
      </w:r>
      <w:bookmarkEnd w:id="82"/>
    </w:p>
    <w:p>
      <w:pPr>
        <w:ind w:firstLine="560" w:firstLineChars="200"/>
        <w:rPr>
          <w:color w:val="auto"/>
          <w:highlight w:val="none"/>
        </w:rPr>
      </w:pPr>
      <w:bookmarkStart w:id="83" w:name="_Toc20454"/>
      <w:r>
        <w:rPr>
          <w:rFonts w:hint="eastAsia"/>
          <w:color w:val="auto"/>
          <w:highlight w:val="none"/>
          <w:lang w:val="en-US" w:eastAsia="zh-CN"/>
        </w:rPr>
        <w:t>一是今后</w:t>
      </w:r>
      <w:r>
        <w:rPr>
          <w:rFonts w:hint="eastAsia"/>
          <w:color w:val="auto"/>
          <w:highlight w:val="none"/>
        </w:rPr>
        <w:t>在编制绩效目标及设置绩效指标时应更加合理、明确、细化，保障绩效指标的合理性、明确性、可衡量性。</w:t>
      </w:r>
      <w:bookmarkEnd w:id="83"/>
      <w:r>
        <w:rPr>
          <w:rFonts w:hint="eastAsia"/>
          <w:color w:val="auto"/>
          <w:highlight w:val="none"/>
          <w:lang w:val="en-US" w:eastAsia="zh-CN"/>
        </w:rPr>
        <w:t>同时</w:t>
      </w:r>
      <w:r>
        <w:rPr>
          <w:rFonts w:hint="eastAsia"/>
          <w:color w:val="auto"/>
          <w:highlight w:val="none"/>
        </w:rPr>
        <w:t>加强绩效管理意识，提高绩效管理水平，及时分析绩效管理过程中存在的问题并提出解决措施，逐步提升项目绩效管理的精细化水平。</w:t>
      </w:r>
    </w:p>
    <w:p>
      <w:pPr>
        <w:ind w:firstLine="560" w:firstLineChars="200"/>
        <w:rPr>
          <w:color w:val="auto"/>
          <w:highlight w:val="none"/>
        </w:rPr>
      </w:pPr>
      <w:r>
        <w:rPr>
          <w:rFonts w:hint="eastAsia"/>
          <w:color w:val="auto"/>
          <w:highlight w:val="none"/>
          <w:lang w:val="en-US" w:eastAsia="zh-CN"/>
        </w:rPr>
        <w:t>二是</w:t>
      </w:r>
      <w:r>
        <w:rPr>
          <w:rFonts w:hint="eastAsia"/>
          <w:color w:val="auto"/>
          <w:highlight w:val="none"/>
        </w:rPr>
        <w:t>加强项目资金使用有效性，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p>
    <w:p>
      <w:pPr>
        <w:pStyle w:val="2"/>
        <w:rPr>
          <w:color w:val="auto"/>
          <w:highlight w:val="none"/>
        </w:rPr>
      </w:pPr>
      <w:bookmarkStart w:id="84" w:name="_Toc15618"/>
      <w:r>
        <w:rPr>
          <w:rFonts w:hint="eastAsia"/>
          <w:color w:val="auto"/>
          <w:highlight w:val="none"/>
        </w:rPr>
        <w:t>八、其他需要说明的问题</w:t>
      </w:r>
      <w:bookmarkEnd w:id="84"/>
    </w:p>
    <w:p>
      <w:pPr>
        <w:ind w:firstLine="560" w:firstLineChars="200"/>
        <w:rPr>
          <w:rFonts w:hint="eastAsia"/>
          <w:color w:val="auto"/>
          <w:highlight w:val="none"/>
        </w:rPr>
        <w:sectPr>
          <w:footerReference r:id="rId3" w:type="default"/>
          <w:pgSz w:w="11906" w:h="16838"/>
          <w:pgMar w:top="1928" w:right="1531" w:bottom="1701" w:left="1531" w:header="737" w:footer="850" w:gutter="0"/>
          <w:pgNumType w:start="1"/>
          <w:cols w:space="0" w:num="1"/>
          <w:rtlGutter w:val="0"/>
          <w:docGrid w:type="lines" w:linePitch="408" w:charSpace="0"/>
        </w:sectPr>
      </w:pPr>
      <w:r>
        <w:rPr>
          <w:rFonts w:hint="eastAsia"/>
          <w:color w:val="auto"/>
          <w:highlight w:val="none"/>
        </w:rPr>
        <w:t>无其他需要说明的问题。</w:t>
      </w:r>
    </w:p>
    <w:p>
      <w:pPr>
        <w:ind w:firstLine="560" w:firstLineChars="200"/>
        <w:rPr>
          <w:rFonts w:hint="eastAsia"/>
          <w:color w:val="auto"/>
          <w:highlight w:val="none"/>
        </w:rPr>
      </w:pPr>
    </w:p>
    <w:p>
      <w:pPr>
        <w:pStyle w:val="2"/>
        <w:ind w:left="0" w:leftChars="0" w:firstLine="640" w:firstLineChars="200"/>
        <w:rPr>
          <w:color w:val="auto"/>
          <w:highlight w:val="none"/>
        </w:rPr>
      </w:pPr>
      <w:bookmarkStart w:id="85" w:name="_Toc11349"/>
      <w:r>
        <w:rPr>
          <w:rFonts w:hint="eastAsia"/>
          <w:color w:val="auto"/>
          <w:highlight w:val="none"/>
        </w:rPr>
        <w:t>附件一、项目支出绩效自评表</w:t>
      </w:r>
      <w:bookmarkEnd w:id="85"/>
    </w:p>
    <w:tbl>
      <w:tblPr>
        <w:tblStyle w:val="12"/>
        <w:tblW w:w="13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09"/>
        <w:gridCol w:w="710"/>
        <w:gridCol w:w="732"/>
        <w:gridCol w:w="1543"/>
        <w:gridCol w:w="822"/>
        <w:gridCol w:w="743"/>
        <w:gridCol w:w="698"/>
        <w:gridCol w:w="683"/>
        <w:gridCol w:w="897"/>
        <w:gridCol w:w="1107"/>
        <w:gridCol w:w="1184"/>
        <w:gridCol w:w="898"/>
        <w:gridCol w:w="937"/>
        <w:gridCol w:w="1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03" w:hRule="atLeast"/>
        </w:trPr>
        <w:tc>
          <w:tcPr>
            <w:tcW w:w="134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3425" w:type="dxa"/>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419" w:type="dxa"/>
            <w:gridSpan w:val="2"/>
            <w:tcBorders>
              <w:top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006" w:type="dxa"/>
            <w:gridSpan w:val="12"/>
            <w:tcBorders>
              <w:top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阜康市滋泥泉子镇农村厕所革命整村推进财政奖补资金项目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41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538"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阜康市乡村振兴综合保障中心</w:t>
            </w:r>
          </w:p>
        </w:tc>
        <w:tc>
          <w:tcPr>
            <w:tcW w:w="158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88"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阜康市乡村振兴综合保障中心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419" w:type="dxa"/>
            <w:gridSpan w:val="2"/>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7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4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8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9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3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6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419"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27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814.00 </w:t>
            </w:r>
          </w:p>
        </w:tc>
        <w:tc>
          <w:tcPr>
            <w:tcW w:w="144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814.00 </w:t>
            </w:r>
          </w:p>
        </w:tc>
        <w:tc>
          <w:tcPr>
            <w:tcW w:w="158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706.67 </w:t>
            </w:r>
          </w:p>
        </w:tc>
        <w:tc>
          <w:tcPr>
            <w:tcW w:w="229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3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86.81%</w:t>
            </w:r>
          </w:p>
        </w:tc>
        <w:tc>
          <w:tcPr>
            <w:tcW w:w="1762"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419"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27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814.00 </w:t>
            </w:r>
          </w:p>
        </w:tc>
        <w:tc>
          <w:tcPr>
            <w:tcW w:w="144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814.00 </w:t>
            </w:r>
          </w:p>
        </w:tc>
        <w:tc>
          <w:tcPr>
            <w:tcW w:w="158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706.67 </w:t>
            </w:r>
          </w:p>
        </w:tc>
        <w:tc>
          <w:tcPr>
            <w:tcW w:w="229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3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6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trPr>
        <w:tc>
          <w:tcPr>
            <w:tcW w:w="1419"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27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44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8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91"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3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6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trPr>
        <w:tc>
          <w:tcPr>
            <w:tcW w:w="70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28" w:type="dxa"/>
            <w:gridSpan w:val="8"/>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88"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0"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6828" w:type="dxa"/>
            <w:gridSpan w:val="8"/>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贯彻执行党和政府的方针政策以及上级部门的指示，决定，为镇党委政府出主意，当参谋，调查研究，处理信息，参与政务，为机关服务。在阜康市滋泥泉子镇二道河子中心村、何家湾中心村实施农村厕所革命整村推进财政奖补资金项目，严格落实“四个不摘”要求，巩固“两不愁三保障”成果，做好易地扶贫搬迁后续扶持工作，持续改善脱贫地区基础设施条件，进一步提升脱贫地区公共服务水平。2023年预计完成：二道河子中心村1、新建5.3公里DN100PE供水管网及路面恢复315万元；2、二道河子中心村屯庄片区新建日处理量50m3/d一体化污水处理设施一套92万元。何家湾中心村1、新建双河片区饮水管网及配套设施4.5公里309万元；2、新建日处理量50m3/d一体化污水处理设施一套98万元.通过该项目实施从而完善滋泥泉子镇二道河子中心村、何家湾中心村的基础设施建设，有效改善农村人居环境，提升村民生活水平。</w:t>
            </w:r>
          </w:p>
        </w:tc>
        <w:tc>
          <w:tcPr>
            <w:tcW w:w="5888"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二道河子供水管网及配套设施完成3.8公里、何家湾供水管网及配套设施完成4.23公里、二道河子处理量50m3/d一体化污水处理设施支付项目资金71.80万元、何家湾供水管网及配套设施1套、何家湾处理量50m3/d一体化污水处理设施1套，项目实施有效改善人居环境，满意度达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709"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6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trPr>
        <w:tc>
          <w:tcPr>
            <w:tcW w:w="70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1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二道河子供水管网及配套设施</w:t>
            </w:r>
          </w:p>
        </w:tc>
        <w:tc>
          <w:tcPr>
            <w:tcW w:w="822" w:type="dxa"/>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≧5.3公里</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正式资料和工作资料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=3.8公里</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71.70%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76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原因为年初设置指标时为预计公里数，实际建设过程中发生变化，改进措施为科学测算建设公里数。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二道河子处理量50m3/d一体化污水处理设施</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正式资料和工作资料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何家湾供水管网及配套设施</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≧4.5公里</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正式资料和工作资料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=4.23公里</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4.68</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何家湾处理量50m3/d一体化污水处理设施</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正式资料和工作资料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项目（工程）验收合格率</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项目启动时间</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工程完工时间</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工程完工及时率</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62"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二道河子供水管网及配套设施成本</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≤315万元</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=315万元</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二道河子处理量50m3/d一体化污水处理设施成本</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≤92万元</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=92万元</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何家湾供水管网及配套设施成本</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≤309万元</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=309万元</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何家湾处理量50m3/d一体化污水处理设施成本</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≤98万元</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=84.94万元</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restart"/>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增强脱贫地区和脱贫群众内生发展动力</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709"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1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有效改善人居环境</w:t>
            </w:r>
          </w:p>
        </w:tc>
        <w:tc>
          <w:tcPr>
            <w:tcW w:w="82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74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62"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3694" w:type="dxa"/>
            <w:gridSpan w:val="4"/>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822" w:type="dxa"/>
            <w:shd w:val="clear" w:color="auto" w:fill="auto"/>
            <w:vAlign w:val="center"/>
          </w:tcPr>
          <w:p>
            <w:pPr>
              <w:rPr>
                <w:rFonts w:hint="eastAsia" w:ascii="宋体" w:hAnsi="宋体" w:eastAsia="宋体" w:cs="宋体"/>
                <w:i w:val="0"/>
                <w:iCs w:val="0"/>
                <w:color w:val="000000"/>
                <w:sz w:val="20"/>
                <w:szCs w:val="20"/>
                <w:u w:val="none"/>
              </w:rPr>
            </w:pPr>
          </w:p>
        </w:tc>
        <w:tc>
          <w:tcPr>
            <w:tcW w:w="743" w:type="dxa"/>
            <w:shd w:val="clear" w:color="auto" w:fill="auto"/>
            <w:vAlign w:val="center"/>
          </w:tcPr>
          <w:p>
            <w:pPr>
              <w:rPr>
                <w:rFonts w:hint="eastAsia" w:ascii="宋体" w:hAnsi="宋体" w:eastAsia="宋体" w:cs="宋体"/>
                <w:b/>
                <w:bCs/>
                <w:i w:val="0"/>
                <w:iCs w:val="0"/>
                <w:color w:val="000000"/>
                <w:sz w:val="20"/>
                <w:szCs w:val="20"/>
                <w:u w:val="none"/>
              </w:rPr>
            </w:pPr>
          </w:p>
        </w:tc>
        <w:tc>
          <w:tcPr>
            <w:tcW w:w="698" w:type="dxa"/>
            <w:shd w:val="clear" w:color="auto" w:fill="auto"/>
            <w:vAlign w:val="center"/>
          </w:tcPr>
          <w:p>
            <w:pPr>
              <w:rPr>
                <w:rFonts w:hint="eastAsia" w:ascii="宋体" w:hAnsi="宋体" w:eastAsia="宋体" w:cs="宋体"/>
                <w:i w:val="0"/>
                <w:iCs w:val="0"/>
                <w:color w:val="000000"/>
                <w:sz w:val="20"/>
                <w:szCs w:val="20"/>
                <w:u w:val="none"/>
              </w:rPr>
            </w:pPr>
          </w:p>
        </w:tc>
        <w:tc>
          <w:tcPr>
            <w:tcW w:w="68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97" w:type="dxa"/>
            <w:shd w:val="clear" w:color="auto" w:fill="auto"/>
            <w:vAlign w:val="center"/>
          </w:tcPr>
          <w:p>
            <w:pPr>
              <w:rPr>
                <w:rFonts w:hint="eastAsia" w:ascii="宋体" w:hAnsi="宋体" w:eastAsia="宋体" w:cs="宋体"/>
                <w:i w:val="0"/>
                <w:iCs w:val="0"/>
                <w:color w:val="000000"/>
                <w:sz w:val="20"/>
                <w:szCs w:val="20"/>
                <w:u w:val="none"/>
              </w:rPr>
            </w:pPr>
          </w:p>
        </w:tc>
        <w:tc>
          <w:tcPr>
            <w:tcW w:w="1107" w:type="dxa"/>
            <w:shd w:val="clear" w:color="auto" w:fill="auto"/>
            <w:vAlign w:val="center"/>
          </w:tcPr>
          <w:p>
            <w:pPr>
              <w:rPr>
                <w:rFonts w:hint="eastAsia" w:ascii="宋体" w:hAnsi="宋体" w:eastAsia="宋体" w:cs="宋体"/>
                <w:i w:val="0"/>
                <w:iCs w:val="0"/>
                <w:color w:val="000000"/>
                <w:sz w:val="20"/>
                <w:szCs w:val="20"/>
                <w:u w:val="none"/>
              </w:rPr>
            </w:pPr>
          </w:p>
        </w:tc>
        <w:tc>
          <w:tcPr>
            <w:tcW w:w="1184" w:type="dxa"/>
            <w:shd w:val="clear" w:color="auto" w:fill="auto"/>
            <w:vAlign w:val="center"/>
          </w:tcPr>
          <w:p>
            <w:pPr>
              <w:rPr>
                <w:rFonts w:hint="eastAsia" w:ascii="宋体" w:hAnsi="宋体" w:eastAsia="宋体" w:cs="宋体"/>
                <w:i w:val="0"/>
                <w:iCs w:val="0"/>
                <w:color w:val="000000"/>
                <w:sz w:val="20"/>
                <w:szCs w:val="20"/>
                <w:u w:val="none"/>
              </w:rPr>
            </w:pPr>
          </w:p>
        </w:tc>
        <w:tc>
          <w:tcPr>
            <w:tcW w:w="898" w:type="dxa"/>
            <w:shd w:val="clear" w:color="auto" w:fill="auto"/>
            <w:vAlign w:val="center"/>
          </w:tcPr>
          <w:p>
            <w:pP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91.64 </w:t>
            </w:r>
          </w:p>
        </w:tc>
        <w:tc>
          <w:tcPr>
            <w:tcW w:w="1762" w:type="dxa"/>
            <w:shd w:val="clear" w:color="auto" w:fill="auto"/>
            <w:vAlign w:val="center"/>
          </w:tcPr>
          <w:p>
            <w:pPr>
              <w:rPr>
                <w:rFonts w:hint="eastAsia" w:ascii="宋体" w:hAnsi="宋体" w:eastAsia="宋体" w:cs="宋体"/>
                <w:i w:val="0"/>
                <w:iCs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jc w:val="center"/>
        <w:textAlignment w:val="auto"/>
        <w:rPr>
          <w:color w:val="auto"/>
          <w:highlight w:val="none"/>
        </w:rPr>
      </w:pPr>
    </w:p>
    <w:p>
      <w:pPr>
        <w:rPr>
          <w:color w:val="auto"/>
          <w:highlight w:val="none"/>
        </w:rPr>
      </w:pPr>
    </w:p>
    <w:p>
      <w:pPr>
        <w:rPr>
          <w:color w:val="auto"/>
          <w:highlight w:val="none"/>
        </w:rPr>
        <w:sectPr>
          <w:pgSz w:w="16838" w:h="11906" w:orient="landscape"/>
          <w:pgMar w:top="1531" w:right="1928" w:bottom="1531" w:left="1701" w:header="737" w:footer="850" w:gutter="0"/>
          <w:pgNumType w:start="1"/>
          <w:cols w:space="0" w:num="1"/>
          <w:rtlGutter w:val="0"/>
          <w:docGrid w:type="lines" w:linePitch="408" w:charSpace="0"/>
        </w:sectPr>
      </w:pPr>
    </w:p>
    <w:p>
      <w:pPr>
        <w:pStyle w:val="2"/>
        <w:ind w:left="0" w:leftChars="0" w:firstLine="320" w:firstLineChars="100"/>
        <w:rPr>
          <w:color w:val="auto"/>
          <w:highlight w:val="none"/>
        </w:rPr>
      </w:pPr>
      <w:r>
        <w:rPr>
          <w:rFonts w:hint="eastAsia"/>
          <w:color w:val="auto"/>
          <w:highlight w:val="none"/>
        </w:rPr>
        <w:t>附件二、项目支出绩效评价指标体系打分表</w:t>
      </w:r>
    </w:p>
    <w:tbl>
      <w:tblPr>
        <w:tblStyle w:val="12"/>
        <w:tblpPr w:leftFromText="180" w:rightFromText="180" w:vertAnchor="text" w:horzAnchor="page" w:tblpX="1716" w:tblpY="541"/>
        <w:tblOverlap w:val="never"/>
        <w:tblW w:w="13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2"/>
        <w:gridCol w:w="832"/>
        <w:gridCol w:w="1689"/>
        <w:gridCol w:w="2484"/>
        <w:gridCol w:w="4952"/>
        <w:gridCol w:w="1266"/>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15" w:hRule="atLeast"/>
        </w:trPr>
        <w:tc>
          <w:tcPr>
            <w:tcW w:w="8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bookmarkStart w:id="86" w:name="_Toc15067"/>
            <w:r>
              <w:rPr>
                <w:rFonts w:hint="eastAsia" w:ascii="宋体" w:hAnsi="宋体" w:eastAsia="宋体" w:cs="宋体"/>
                <w:b/>
                <w:bCs/>
                <w:color w:val="auto"/>
                <w:sz w:val="21"/>
                <w:szCs w:val="21"/>
                <w:highlight w:val="none"/>
              </w:rPr>
              <w:t>一级指标</w:t>
            </w:r>
          </w:p>
        </w:tc>
        <w:tc>
          <w:tcPr>
            <w:tcW w:w="8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二级指标</w:t>
            </w: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三级指标</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指标解释</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指标说明</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决策　</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项目立项　</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立项依据充分性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项目立项是否符合法律法规、相关政策、发展规划以及部门职责，用以反映和考核项目立项依据情况。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①项目立项是否符合国家法律法规、国民经济发展规划和相关政策；</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②项目立项是否符合行业发展规划和政策要求；</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③项目立项是否与部门职责范围相符，属于部门履职所需；</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④项目是否属于公共财政支持范围，是否符合中央、地方事权支出责任划分原则；</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⑤项目是否与相关部门同类项目或部门内部相关项目重复。</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立项程序规范性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项目申请、设立过程是否符合相关要求，用以反映和考核项目立项的规范情况。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①项目是否按照规定的程序申请设立；</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②审批文件、材料是否符合相关要求；</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③事前是否已经过必要的可行性研究、专家论证、风险评估、绩效评估、集体决策。</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绩效目标　</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绩效目标合理性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项目所设定的绩效目标是否依据充分，是否符合客观实际，用以反映和考核项目绩效目标与项目实施的相符情况。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（如未设定预算绩效目标，也可考核其他工作任务目标）</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①项目是否有绩效目标；</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②项目绩效目标与实际工作内容是否具有相关性；</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③项目预期产出效益和效果是否符合正常的业绩水平；</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④是否与预算确定的项目投资额或资金量相匹配。</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决策　</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绩效目标</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绩效指标明确性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依据绩效目标设定的绩效指标是否清晰、细化、可衡量等，用以反映和考核项目绩效目标的明细化情况。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①是否将项目绩效目标细化分解为具体的绩效指标；</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②是否通过清晰、可衡量的指标值予以体现；</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③是否与项目目标任务数或计划数相对应。</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资金投入</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预算编制科学性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项目预算编制是否经过科学论证、有明确标准，资金额度与年度目标是否相适应，用以反映和考核项目预算编制的科学性、合理性情况。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①预算编制是否经过科学论证；</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②预算内容与项目内容是否匹配；</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③预算额度测算依据是否充分，是否按照标准编制；</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④预算确定的项目投资额或资金量是否与工作任务相匹配。</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资金分配合理性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项目预算资金分配是否有测算依据，与补助单位或地方实际是否相适应，用以反映和考核项目预算资金分配的科学性、合理性情况。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①预算资金分配依据是否充分；</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②资金分配额度是否合理，与项目单位或地方实际是否相适应。</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过程</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资金管理</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资金到位率</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实际到位资金与预算资金的比率，用以反映和考核资金落实情况对项目实施的总体保障程度。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资金到位率=（实际到位资金/预算资金）×100%。</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实际到位资金：一定时期（本年度或项目期）内落实到具体项目的资金。</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预算资金：一定时期（本年度或项目期）内预算安排到具体项目的资金。</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预算执行率</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项目预算资金是否按照计划执行，用以反映或考核项目预算执行情况。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预算执行率=（实际支出资金/实际到位资金）×100%。</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实际支出资金：一定时期（本年度或项目期）内项目实际拨付的资金。</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过程　</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资金管理</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资金使用合规性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项目资金使用是否符合相关的财务管理制度规定，用以反映和考核项目资金的规范运行情况。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①是否符合国家财经法规和财务管理制度以及有关专项资金管理办法的规定；</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②资金的拨付是否有完整的审批程序和手续；</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③是否符合项目预算批复或合同规定的用途；</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④是否存在截留、挤占、挪用、虚列支出等情况。</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组织实施</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管理制度健全性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项目实施单位的财务和业务管理制度是否健全，用以反映和考核财务和业务管理制度对项目顺利实施的保障情况。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①是否已制定或具有相应的财务和业务管理制度；</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②财务和业务管理制度是否合法、合规、完整。</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制度执行有效性</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项目实施是否符合相关管理规定，用以反映和考核相关管理制度的有效执行情况。</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评价要点：</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①是否遵守相关法律法规和相关管理规定；</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②项目调整及支出调整手续是否完备；</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③项目合同书、验收报告、技术鉴定等资料是否齐全并及时归档；</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④项目实施的人员条件、场地设备、信息支撑等是否落实到位。</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产出数量</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二道河子供水管网及配套设施</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项目实施的实际产出数与计划产出数的比率，用以反映和考核项目产出数量目标的实现程度。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实际完成率=（实际产出数/计划产出数）×100%。</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实际产出数：一定时期（本年度或项目期）内项目实际产出的产品或提供的服务数量。</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计划产出数：项目绩效目标确定的在一定时期（本年度或项目期）内计划产出的产品或提供的服务数量。</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产出数量</w:t>
            </w: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二道河子处理量50m3/d一体化污水处理设施</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项目实施的实际产出数与计划产出数的比率，用以反映和考核项目产出数量目标的实现程度。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率=（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何家湾供水管网及配套设施</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项目实施的实际产出数与计划产出数的比率，用以反映和考核项目产出数量目标的实现程度。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率=（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何家湾处理量50m3/d一体化污水处理设施</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项目实施的实际产出数与计划产出数的比率，用以反映和考核项目产出数量目标的实现程度。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率=（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产出质量</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项目（工程）验收合格率</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项目完成的质量达标产出数与实际产出数的比率，用以反映和考核项目产出质量目标的实现程度。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质量达标率=（质量达标产出数/实际产出数）×100%。</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产出时效</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项目启动时间</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项目实际完成时间与计划完成时间的比较，用以反映和考核项目产出时效目标的实现程度。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实际完成时间：项目实施单位完成该项目实际所耗用的时间。</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计划完成时间：按照项目实施计划或相关规定完成该项目所需的时间。</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0"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产出时效</w:t>
            </w: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工程完工时间</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项目实际完成时间与计划完成时间的比较，用以反映和考核项目产出时效目标的实现程度。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实际完成时间：项目实施单位完成该项目实际所耗用的时间。计划完成时间：按照项目实施计划或相关规定完成该项目所需的时间。</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0"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产出时效</w:t>
            </w: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工程完工及时率</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项目实际完成时间与计划完成时间的比较，用以反映和考核项目产出时效目标的实现程度。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实际完成时间：项目实施单位完成该项目实际所耗用的时间。计划完成时间：按照项目实施计划或相关规定完成该项目所需的时间。</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产出成本</w:t>
            </w:r>
          </w:p>
        </w:tc>
        <w:tc>
          <w:tcPr>
            <w:tcW w:w="1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二道河子供水管网及配套设施成本</w:t>
            </w:r>
          </w:p>
        </w:tc>
        <w:tc>
          <w:tcPr>
            <w:tcW w:w="248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完成项目计划工作目标的实际节约成本与计划成本的比率，用以反映和考核项目的成本节约程度。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c>
          <w:tcPr>
            <w:tcW w:w="126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成本节约率=[（计划成本-实际成本）/计划成本]×100%。</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实际成本：项目实施单位如期、保质、保量完成既定工作目标实际所耗费的支出。</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248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计划成本：项目实施单位为完成工作目标计划安排的支出，一般以项目预算为参考。</w:t>
            </w:r>
          </w:p>
        </w:tc>
        <w:tc>
          <w:tcPr>
            <w:tcW w:w="126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c>
          <w:tcPr>
            <w:tcW w:w="1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二道河子处理量50m3/d一体化污水处理设施成本</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完成项目计划工作目标的实际节约成本与计划成本的比率，用以反映和考核项目的成本节约程度。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节约率=[（计划成本-实际成本）/计划成本]×100%。实际成本：项目实施单位如期、保质、保量完成既定工作目标实际所耗费的支出。计划成本：项目实施单位为完成工作目标计划安排的支出，一般以项目预算为参考。</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何家湾供水管网及配套设施成本</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完成项目计划工作目标的实际节约成本与计划成本的比率，用以反映和考核项目的成本节约程度。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节约率=[（计划成本-实际成本）/计划成本]×100%。实际成本：项目实施单位如期、保质、保量完成既定工作目标实际所耗费的支出。计划成本：项目实施单位为完成工作目标计划安排的支出，一般以项目预算为参考。</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何家湾处理量50m3/d一体化污水处理设施成本</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完成项目计划工作目标的实际节约成本与计划成本的比率，用以反映和考核项目的成本节约程度。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节约率=[（计划成本-实际成本）/计划成本]×100%。实际成本：项目实施单位如期、保质、保量完成既定工作目标实际所耗费的支出。计划成本：项目实施单位为完成工作目标计划安排的支出，一般以项目预算为参考。</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7" w:hRule="atLeast"/>
        </w:trPr>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效益　</w:t>
            </w:r>
          </w:p>
        </w:tc>
        <w:tc>
          <w:tcPr>
            <w:tcW w:w="83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项目效益　</w:t>
            </w: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增强脱贫地区和脱贫群众内生发展动力</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项目实施所产生的效益。</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项目实施所产生的社会效益、经济效益、生态效益、可持续影响等。可根据项目实际情况有选择地设置和细化。</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7"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有效改善人居环境</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项目实施所产生的效益。</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项目实施所产生的社会效益、经济效益、生态效益、可持续影响等。可根据项目实际情况有选择地设置和细化。</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83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p>
        </w:tc>
        <w:tc>
          <w:tcPr>
            <w:tcW w:w="168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受益群众满意度</w:t>
            </w:r>
          </w:p>
        </w:tc>
        <w:tc>
          <w:tcPr>
            <w:tcW w:w="248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社会公众或服务对象对项目实施效果的满意程度。</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社会公众或服务对象是指因该项目实施而受到影响的部门（单位）、群体或个人。一般采取社会调查的方式。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5837"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w:t>
            </w:r>
          </w:p>
        </w:tc>
        <w:tc>
          <w:tcPr>
            <w:tcW w:w="49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c>
          <w:tcPr>
            <w:tcW w:w="162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98.41</w:t>
            </w:r>
          </w:p>
        </w:tc>
      </w:tr>
      <w:bookmarkEnd w:id="86"/>
    </w:tbl>
    <w:p>
      <w:pPr>
        <w:rPr>
          <w:color w:val="auto"/>
          <w:highlight w:val="none"/>
        </w:rPr>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0250E3"/>
    <w:rsid w:val="00026C51"/>
    <w:rsid w:val="000928EB"/>
    <w:rsid w:val="000B2659"/>
    <w:rsid w:val="000C6169"/>
    <w:rsid w:val="000C7618"/>
    <w:rsid w:val="000E6F68"/>
    <w:rsid w:val="000F3C38"/>
    <w:rsid w:val="000F47FB"/>
    <w:rsid w:val="001144FA"/>
    <w:rsid w:val="001308B7"/>
    <w:rsid w:val="00153B50"/>
    <w:rsid w:val="001A2C5B"/>
    <w:rsid w:val="001A40B6"/>
    <w:rsid w:val="002044DA"/>
    <w:rsid w:val="00222F50"/>
    <w:rsid w:val="002263FA"/>
    <w:rsid w:val="002328E2"/>
    <w:rsid w:val="00256CF4"/>
    <w:rsid w:val="00286FF5"/>
    <w:rsid w:val="002F46A3"/>
    <w:rsid w:val="00307619"/>
    <w:rsid w:val="00317C59"/>
    <w:rsid w:val="00326B3E"/>
    <w:rsid w:val="003441B0"/>
    <w:rsid w:val="00386644"/>
    <w:rsid w:val="00393F82"/>
    <w:rsid w:val="003943F7"/>
    <w:rsid w:val="003D3C29"/>
    <w:rsid w:val="004726AB"/>
    <w:rsid w:val="00476F36"/>
    <w:rsid w:val="00481C97"/>
    <w:rsid w:val="004D2EC3"/>
    <w:rsid w:val="004D4940"/>
    <w:rsid w:val="0050407B"/>
    <w:rsid w:val="0051463F"/>
    <w:rsid w:val="00572175"/>
    <w:rsid w:val="0058165F"/>
    <w:rsid w:val="005D584E"/>
    <w:rsid w:val="00626938"/>
    <w:rsid w:val="006841BE"/>
    <w:rsid w:val="006B210B"/>
    <w:rsid w:val="006C03B2"/>
    <w:rsid w:val="00731A0E"/>
    <w:rsid w:val="00736A4F"/>
    <w:rsid w:val="00740E06"/>
    <w:rsid w:val="00787BF8"/>
    <w:rsid w:val="007D6A04"/>
    <w:rsid w:val="007F216E"/>
    <w:rsid w:val="00846A2F"/>
    <w:rsid w:val="00877283"/>
    <w:rsid w:val="00893B27"/>
    <w:rsid w:val="008A2BD5"/>
    <w:rsid w:val="008B2E93"/>
    <w:rsid w:val="008C09D6"/>
    <w:rsid w:val="008C6ED8"/>
    <w:rsid w:val="00900536"/>
    <w:rsid w:val="009216AF"/>
    <w:rsid w:val="00956ECE"/>
    <w:rsid w:val="009C5FDD"/>
    <w:rsid w:val="009D5019"/>
    <w:rsid w:val="009F3443"/>
    <w:rsid w:val="00A10125"/>
    <w:rsid w:val="00A431BB"/>
    <w:rsid w:val="00A63072"/>
    <w:rsid w:val="00A7359F"/>
    <w:rsid w:val="00AA2287"/>
    <w:rsid w:val="00AD6768"/>
    <w:rsid w:val="00AD6DED"/>
    <w:rsid w:val="00AD7838"/>
    <w:rsid w:val="00AE45E0"/>
    <w:rsid w:val="00B2387B"/>
    <w:rsid w:val="00B30BBF"/>
    <w:rsid w:val="00B437BD"/>
    <w:rsid w:val="00B85661"/>
    <w:rsid w:val="00C147C2"/>
    <w:rsid w:val="00C26ECD"/>
    <w:rsid w:val="00C332E6"/>
    <w:rsid w:val="00C7156F"/>
    <w:rsid w:val="00CD1346"/>
    <w:rsid w:val="00CE3806"/>
    <w:rsid w:val="00CF3752"/>
    <w:rsid w:val="00CF46BA"/>
    <w:rsid w:val="00CF5BC0"/>
    <w:rsid w:val="00D210C8"/>
    <w:rsid w:val="00D24AC7"/>
    <w:rsid w:val="00D46AD7"/>
    <w:rsid w:val="00D7355A"/>
    <w:rsid w:val="00D83568"/>
    <w:rsid w:val="00DC48CD"/>
    <w:rsid w:val="00DD406F"/>
    <w:rsid w:val="00DE1FFF"/>
    <w:rsid w:val="00DF21A0"/>
    <w:rsid w:val="00E035F7"/>
    <w:rsid w:val="00E07806"/>
    <w:rsid w:val="00E23C81"/>
    <w:rsid w:val="00E34239"/>
    <w:rsid w:val="00E92E22"/>
    <w:rsid w:val="00EC29AD"/>
    <w:rsid w:val="00F107D8"/>
    <w:rsid w:val="00F227E4"/>
    <w:rsid w:val="00F27609"/>
    <w:rsid w:val="00F32F0C"/>
    <w:rsid w:val="00F43D97"/>
    <w:rsid w:val="00F85676"/>
    <w:rsid w:val="00F95A58"/>
    <w:rsid w:val="00FA0FF8"/>
    <w:rsid w:val="00FA20D7"/>
    <w:rsid w:val="01253350"/>
    <w:rsid w:val="01282E62"/>
    <w:rsid w:val="014029CF"/>
    <w:rsid w:val="01470C4C"/>
    <w:rsid w:val="01B92703"/>
    <w:rsid w:val="02200440"/>
    <w:rsid w:val="02284B43"/>
    <w:rsid w:val="02B015E2"/>
    <w:rsid w:val="02DC08FA"/>
    <w:rsid w:val="033B569D"/>
    <w:rsid w:val="036B3B95"/>
    <w:rsid w:val="039C3BA0"/>
    <w:rsid w:val="03A845BB"/>
    <w:rsid w:val="03B45AD1"/>
    <w:rsid w:val="04923B56"/>
    <w:rsid w:val="04D12EE4"/>
    <w:rsid w:val="04D63993"/>
    <w:rsid w:val="05F50500"/>
    <w:rsid w:val="063E55A1"/>
    <w:rsid w:val="06FF20EF"/>
    <w:rsid w:val="072C18FD"/>
    <w:rsid w:val="07890F4F"/>
    <w:rsid w:val="080A34A7"/>
    <w:rsid w:val="08892439"/>
    <w:rsid w:val="08EB30F3"/>
    <w:rsid w:val="091D6035"/>
    <w:rsid w:val="09237408"/>
    <w:rsid w:val="09781BD6"/>
    <w:rsid w:val="09F359DF"/>
    <w:rsid w:val="0A575E65"/>
    <w:rsid w:val="0AA3195E"/>
    <w:rsid w:val="0ACA0AB6"/>
    <w:rsid w:val="0AF32C8B"/>
    <w:rsid w:val="0B806B66"/>
    <w:rsid w:val="0BD75B20"/>
    <w:rsid w:val="0C032502"/>
    <w:rsid w:val="0C27698C"/>
    <w:rsid w:val="0C5448A6"/>
    <w:rsid w:val="0CA06E95"/>
    <w:rsid w:val="0D4452F3"/>
    <w:rsid w:val="0E3776C4"/>
    <w:rsid w:val="0F126913"/>
    <w:rsid w:val="0F5E5042"/>
    <w:rsid w:val="0FE95707"/>
    <w:rsid w:val="10510571"/>
    <w:rsid w:val="10787A20"/>
    <w:rsid w:val="108672DE"/>
    <w:rsid w:val="10EC685A"/>
    <w:rsid w:val="11FA6155"/>
    <w:rsid w:val="12CF0947"/>
    <w:rsid w:val="12F1313F"/>
    <w:rsid w:val="136C678E"/>
    <w:rsid w:val="13EB2FF5"/>
    <w:rsid w:val="15A46B04"/>
    <w:rsid w:val="165825BC"/>
    <w:rsid w:val="16BC5D73"/>
    <w:rsid w:val="16EF0253"/>
    <w:rsid w:val="175E2835"/>
    <w:rsid w:val="176F36D7"/>
    <w:rsid w:val="17716EB9"/>
    <w:rsid w:val="1795226D"/>
    <w:rsid w:val="182B52BA"/>
    <w:rsid w:val="18456B1E"/>
    <w:rsid w:val="1A126244"/>
    <w:rsid w:val="1AE7003B"/>
    <w:rsid w:val="1BAC4BFB"/>
    <w:rsid w:val="1C1171C5"/>
    <w:rsid w:val="1D265138"/>
    <w:rsid w:val="1D7B6BCA"/>
    <w:rsid w:val="1DA41A79"/>
    <w:rsid w:val="1DF53469"/>
    <w:rsid w:val="1E2F24F2"/>
    <w:rsid w:val="1E58492F"/>
    <w:rsid w:val="1E5B6757"/>
    <w:rsid w:val="1E7E75DC"/>
    <w:rsid w:val="1ED10AC6"/>
    <w:rsid w:val="1F89225F"/>
    <w:rsid w:val="1F900A1F"/>
    <w:rsid w:val="1FC0575D"/>
    <w:rsid w:val="1FC85AE5"/>
    <w:rsid w:val="206132C7"/>
    <w:rsid w:val="21280DEA"/>
    <w:rsid w:val="21803236"/>
    <w:rsid w:val="21B00C1D"/>
    <w:rsid w:val="21BE3FAA"/>
    <w:rsid w:val="22413721"/>
    <w:rsid w:val="23031BEB"/>
    <w:rsid w:val="23342DC6"/>
    <w:rsid w:val="23917691"/>
    <w:rsid w:val="23952182"/>
    <w:rsid w:val="23FF2191"/>
    <w:rsid w:val="244D65B8"/>
    <w:rsid w:val="245E1E24"/>
    <w:rsid w:val="25AD5E5D"/>
    <w:rsid w:val="2732478D"/>
    <w:rsid w:val="273332EB"/>
    <w:rsid w:val="27661469"/>
    <w:rsid w:val="27900EAD"/>
    <w:rsid w:val="279B538A"/>
    <w:rsid w:val="286F545C"/>
    <w:rsid w:val="287C74F6"/>
    <w:rsid w:val="287E3969"/>
    <w:rsid w:val="29314FBC"/>
    <w:rsid w:val="293C40F8"/>
    <w:rsid w:val="29C21449"/>
    <w:rsid w:val="29D85215"/>
    <w:rsid w:val="2A6F5587"/>
    <w:rsid w:val="2AB47B79"/>
    <w:rsid w:val="2BF44AF4"/>
    <w:rsid w:val="2C024B86"/>
    <w:rsid w:val="2C927671"/>
    <w:rsid w:val="2D46513C"/>
    <w:rsid w:val="2D7C5CD6"/>
    <w:rsid w:val="2E483E7E"/>
    <w:rsid w:val="2E690493"/>
    <w:rsid w:val="2E9854BD"/>
    <w:rsid w:val="2F0D407F"/>
    <w:rsid w:val="2F454B19"/>
    <w:rsid w:val="300C25D8"/>
    <w:rsid w:val="310224D9"/>
    <w:rsid w:val="310E7E67"/>
    <w:rsid w:val="31B4621C"/>
    <w:rsid w:val="31E3230A"/>
    <w:rsid w:val="330957E0"/>
    <w:rsid w:val="33356F64"/>
    <w:rsid w:val="337466D9"/>
    <w:rsid w:val="33944516"/>
    <w:rsid w:val="349F587D"/>
    <w:rsid w:val="34B62907"/>
    <w:rsid w:val="359B315B"/>
    <w:rsid w:val="36BD137C"/>
    <w:rsid w:val="385D37E7"/>
    <w:rsid w:val="38782EDD"/>
    <w:rsid w:val="396E3E07"/>
    <w:rsid w:val="3A494444"/>
    <w:rsid w:val="3B42664A"/>
    <w:rsid w:val="3B5D312D"/>
    <w:rsid w:val="3C706777"/>
    <w:rsid w:val="3D3A5DA8"/>
    <w:rsid w:val="3D836A4E"/>
    <w:rsid w:val="3EA37E97"/>
    <w:rsid w:val="3EB94B1E"/>
    <w:rsid w:val="3F0C17DE"/>
    <w:rsid w:val="3FBE0BC5"/>
    <w:rsid w:val="3FE20FA5"/>
    <w:rsid w:val="4048103A"/>
    <w:rsid w:val="40736643"/>
    <w:rsid w:val="40D24A7A"/>
    <w:rsid w:val="42621029"/>
    <w:rsid w:val="428A7F2C"/>
    <w:rsid w:val="435241E2"/>
    <w:rsid w:val="43975C51"/>
    <w:rsid w:val="439E3FA7"/>
    <w:rsid w:val="44610F89"/>
    <w:rsid w:val="44B32266"/>
    <w:rsid w:val="44FC64F4"/>
    <w:rsid w:val="463A07FF"/>
    <w:rsid w:val="467F4585"/>
    <w:rsid w:val="470628CB"/>
    <w:rsid w:val="47555BD4"/>
    <w:rsid w:val="479152AA"/>
    <w:rsid w:val="47E96399"/>
    <w:rsid w:val="48E12B50"/>
    <w:rsid w:val="499441BE"/>
    <w:rsid w:val="499A6C1C"/>
    <w:rsid w:val="4A12705C"/>
    <w:rsid w:val="4A2138F0"/>
    <w:rsid w:val="4A583887"/>
    <w:rsid w:val="4B103D18"/>
    <w:rsid w:val="4B9F6E02"/>
    <w:rsid w:val="4C511050"/>
    <w:rsid w:val="4C89637B"/>
    <w:rsid w:val="4E3B2E3E"/>
    <w:rsid w:val="4E6E48A8"/>
    <w:rsid w:val="4E9A3978"/>
    <w:rsid w:val="4EEC036B"/>
    <w:rsid w:val="50146A38"/>
    <w:rsid w:val="50182788"/>
    <w:rsid w:val="501D2673"/>
    <w:rsid w:val="50C80BF1"/>
    <w:rsid w:val="51852833"/>
    <w:rsid w:val="52CE4CBC"/>
    <w:rsid w:val="52F11AC8"/>
    <w:rsid w:val="534F49D9"/>
    <w:rsid w:val="53555F0F"/>
    <w:rsid w:val="535D23D5"/>
    <w:rsid w:val="53824872"/>
    <w:rsid w:val="53B24586"/>
    <w:rsid w:val="556709D9"/>
    <w:rsid w:val="55BB5249"/>
    <w:rsid w:val="56444379"/>
    <w:rsid w:val="56973B85"/>
    <w:rsid w:val="56F4341A"/>
    <w:rsid w:val="575A7321"/>
    <w:rsid w:val="57863C36"/>
    <w:rsid w:val="57F10557"/>
    <w:rsid w:val="580C3AB9"/>
    <w:rsid w:val="583C7AE0"/>
    <w:rsid w:val="586C1E9A"/>
    <w:rsid w:val="586E0800"/>
    <w:rsid w:val="59216F96"/>
    <w:rsid w:val="598C4145"/>
    <w:rsid w:val="59957D1B"/>
    <w:rsid w:val="59D4294E"/>
    <w:rsid w:val="5A1E4DC1"/>
    <w:rsid w:val="5AE44879"/>
    <w:rsid w:val="5B634312"/>
    <w:rsid w:val="5B9D2CCD"/>
    <w:rsid w:val="5B9E71EA"/>
    <w:rsid w:val="5E226FBC"/>
    <w:rsid w:val="5E31411E"/>
    <w:rsid w:val="5FE72BD2"/>
    <w:rsid w:val="60120613"/>
    <w:rsid w:val="618D5292"/>
    <w:rsid w:val="622E78FA"/>
    <w:rsid w:val="63250CFB"/>
    <w:rsid w:val="63343F70"/>
    <w:rsid w:val="63AA6D73"/>
    <w:rsid w:val="64062745"/>
    <w:rsid w:val="64106445"/>
    <w:rsid w:val="64296E1C"/>
    <w:rsid w:val="649E64A2"/>
    <w:rsid w:val="65E5270A"/>
    <w:rsid w:val="65E77E74"/>
    <w:rsid w:val="663D3C54"/>
    <w:rsid w:val="66862C89"/>
    <w:rsid w:val="66976C44"/>
    <w:rsid w:val="66BB486D"/>
    <w:rsid w:val="66C0263F"/>
    <w:rsid w:val="67394C7D"/>
    <w:rsid w:val="678A6D87"/>
    <w:rsid w:val="68126B38"/>
    <w:rsid w:val="68291A1A"/>
    <w:rsid w:val="68352BB8"/>
    <w:rsid w:val="68D401FC"/>
    <w:rsid w:val="691B1594"/>
    <w:rsid w:val="693A016B"/>
    <w:rsid w:val="6A17429C"/>
    <w:rsid w:val="6A567EA3"/>
    <w:rsid w:val="6B4B4368"/>
    <w:rsid w:val="6B79100E"/>
    <w:rsid w:val="6C844C00"/>
    <w:rsid w:val="6D6650AB"/>
    <w:rsid w:val="6E10212C"/>
    <w:rsid w:val="6E43561A"/>
    <w:rsid w:val="6E557973"/>
    <w:rsid w:val="6E9568DB"/>
    <w:rsid w:val="6E9E3430"/>
    <w:rsid w:val="6EF31DAF"/>
    <w:rsid w:val="6F0D6C22"/>
    <w:rsid w:val="6F47657F"/>
    <w:rsid w:val="6F4D723F"/>
    <w:rsid w:val="6F906926"/>
    <w:rsid w:val="6FAF23D9"/>
    <w:rsid w:val="70635CF6"/>
    <w:rsid w:val="70670707"/>
    <w:rsid w:val="720E3691"/>
    <w:rsid w:val="724E244C"/>
    <w:rsid w:val="72DA6946"/>
    <w:rsid w:val="732764B3"/>
    <w:rsid w:val="738C2323"/>
    <w:rsid w:val="73D019E7"/>
    <w:rsid w:val="74026044"/>
    <w:rsid w:val="74746410"/>
    <w:rsid w:val="75E5007C"/>
    <w:rsid w:val="761B423C"/>
    <w:rsid w:val="769969A4"/>
    <w:rsid w:val="77813724"/>
    <w:rsid w:val="77861774"/>
    <w:rsid w:val="77AA4CB4"/>
    <w:rsid w:val="787943FB"/>
    <w:rsid w:val="78F31435"/>
    <w:rsid w:val="79300B45"/>
    <w:rsid w:val="794D3E18"/>
    <w:rsid w:val="79F3729A"/>
    <w:rsid w:val="7A880722"/>
    <w:rsid w:val="7AC676A0"/>
    <w:rsid w:val="7ACB0498"/>
    <w:rsid w:val="7AED0B4D"/>
    <w:rsid w:val="7C1E4487"/>
    <w:rsid w:val="7C215E02"/>
    <w:rsid w:val="7C956619"/>
    <w:rsid w:val="7C9F446A"/>
    <w:rsid w:val="7CF23764"/>
    <w:rsid w:val="7D664D74"/>
    <w:rsid w:val="7E3B390A"/>
    <w:rsid w:val="7E797F74"/>
    <w:rsid w:val="7F495873"/>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3717"/>
        <w:tab w:val="left" w:pos="5007"/>
      </w:tabs>
      <w:spacing w:line="360" w:lineRule="auto"/>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line="560" w:lineRule="exact"/>
      <w:ind w:firstLine="640"/>
      <w:outlineLvl w:val="0"/>
    </w:pPr>
    <w:rPr>
      <w:rFonts w:ascii="Times New Roman" w:hAnsi="Times New Roman" w:eastAsia="黑体"/>
      <w:kern w:val="44"/>
      <w:sz w:val="32"/>
      <w:szCs w:val="22"/>
    </w:rPr>
  </w:style>
  <w:style w:type="paragraph" w:styleId="3">
    <w:name w:val="heading 2"/>
    <w:basedOn w:val="1"/>
    <w:next w:val="1"/>
    <w:link w:val="16"/>
    <w:unhideWhenUsed/>
    <w:qFormat/>
    <w:uiPriority w:val="0"/>
    <w:pPr>
      <w:keepNext/>
      <w:keepLines/>
      <w:spacing w:line="560" w:lineRule="exact"/>
      <w:ind w:firstLine="643"/>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562" w:firstLineChars="200"/>
      <w:outlineLvl w:val="2"/>
    </w:pPr>
    <w:rPr>
      <w:rFonts w:ascii="仿宋_GB2312" w:hAnsi="仿宋_GB2312" w:eastAsia="仿宋_GB2312"/>
      <w:bCs/>
      <w:kern w:val="0"/>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w:basedOn w:val="1"/>
    <w:next w:val="7"/>
    <w:qFormat/>
    <w:uiPriority w:val="0"/>
    <w:pPr>
      <w:spacing w:before="240" w:after="240"/>
      <w:jc w:val="center"/>
    </w:pPr>
    <w:rPr>
      <w:b/>
      <w:sz w:val="44"/>
    </w:rPr>
  </w:style>
  <w:style w:type="paragraph" w:styleId="7">
    <w:name w:val="Body Text 2"/>
    <w:basedOn w:val="1"/>
    <w:qFormat/>
    <w:uiPriority w:val="0"/>
    <w:pPr>
      <w:spacing w:after="120" w:line="480" w:lineRule="auto"/>
    </w:pPr>
    <w:rPr>
      <w:rFonts w:ascii="Times New Roman" w:hAnsi="Times New Roman" w:cs="Times New Roman"/>
    </w:rPr>
  </w:style>
  <w:style w:type="paragraph" w:styleId="8">
    <w:name w:val="Balloon Text"/>
    <w:basedOn w:val="1"/>
    <w:link w:val="20"/>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1">
    <w:name w:val="Title"/>
    <w:basedOn w:val="1"/>
    <w:next w:val="1"/>
    <w:qFormat/>
    <w:uiPriority w:val="0"/>
    <w:pPr>
      <w:spacing w:before="240" w:after="60"/>
      <w:outlineLvl w:val="0"/>
    </w:pPr>
    <w:rPr>
      <w:rFonts w:ascii="MS Sans Serif" w:hAnsi="MS Sans Serif" w:cs="MS Sans Serif"/>
      <w:b/>
      <w:bCs/>
      <w:sz w:val="24"/>
      <w:szCs w:val="32"/>
    </w:rPr>
  </w:style>
  <w:style w:type="character" w:styleId="14">
    <w:name w:val="annotation reference"/>
    <w:basedOn w:val="13"/>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3"/>
    <w:qFormat/>
    <w:uiPriority w:val="0"/>
    <w:rPr>
      <w:rFonts w:ascii="Arial" w:hAnsi="Arial" w:eastAsia="楷体" w:cs="宋体"/>
      <w:b/>
      <w:kern w:val="2"/>
      <w:sz w:val="32"/>
      <w:szCs w:val="28"/>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9">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0">
    <w:name w:val="批注框文本 Char"/>
    <w:basedOn w:val="13"/>
    <w:link w:val="8"/>
    <w:qFormat/>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11417</Words>
  <Characters>12224</Characters>
  <Lines>145</Lines>
  <Paragraphs>40</Paragraphs>
  <TotalTime>2</TotalTime>
  <ScaleCrop>false</ScaleCrop>
  <LinksUpToDate>false</LinksUpToDate>
  <CharactersWithSpaces>12296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2025-05-29T10:02:44Z</dcterms:modified>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