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87BED7">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14:paraId="10FC03A6">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D117086">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6DC00D0">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ascii="宋体" w:hAnsi="宋体" w:eastAsia="宋体" w:cs="宋体"/>
          <w:b/>
          <w:bCs/>
          <w:color w:val="auto"/>
          <w:sz w:val="40"/>
          <w:szCs w:val="40"/>
          <w:highlight w:val="none"/>
          <w:shd w:val="clear" w:color="auto" w:fill="auto"/>
          <w:lang w:val="en-US" w:eastAsia="zh-CN"/>
        </w:rPr>
        <w:t>南华路社区新建充电棚项目</w:t>
      </w:r>
      <w:r>
        <w:rPr>
          <w:rFonts w:hint="eastAsia" w:ascii="宋体" w:hAnsi="宋体" w:eastAsia="宋体" w:cs="宋体"/>
          <w:b/>
          <w:bCs/>
          <w:color w:val="auto"/>
          <w:sz w:val="40"/>
          <w:szCs w:val="40"/>
          <w:highlight w:val="none"/>
          <w:shd w:val="clear" w:color="auto" w:fill="auto"/>
        </w:rPr>
        <w:t>支出绩效评价报告</w:t>
      </w:r>
      <w:bookmarkEnd w:id="0"/>
    </w:p>
    <w:p w14:paraId="692A43F1">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5C398CF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44267D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5F1FF6F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0C3685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9485A7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9E3E175">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7F25D4F6">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项目名称：新疆阜康市人民政府准东办事处-南华路社区新建充电棚项目工程款</w:t>
      </w:r>
    </w:p>
    <w:p w14:paraId="4C33A1C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新疆阜康市人民政府准东办事处</w:t>
      </w:r>
    </w:p>
    <w:p w14:paraId="4EFA1896">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新疆阜康市人民政府准东办事处</w:t>
      </w:r>
    </w:p>
    <w:p w14:paraId="4E11D034">
      <w:pPr>
        <w:pStyle w:val="11"/>
        <w:outlineLvl w:val="9"/>
        <w:rPr>
          <w:rFonts w:hint="eastAsia" w:ascii="宋体" w:hAnsi="宋体" w:eastAsia="宋体" w:cs="宋体"/>
          <w:b/>
          <w:color w:val="auto"/>
          <w:kern w:val="2"/>
          <w:sz w:val="28"/>
          <w:szCs w:val="28"/>
          <w:highlight w:val="none"/>
          <w:shd w:val="clear" w:color="auto" w:fill="auto"/>
          <w:lang w:val="en-US" w:eastAsia="zh-CN"/>
        </w:rPr>
      </w:pPr>
    </w:p>
    <w:p w14:paraId="10802E0B">
      <w:pPr>
        <w:rPr>
          <w:rFonts w:hint="eastAsia"/>
          <w:color w:val="auto"/>
          <w:highlight w:val="none"/>
          <w:lang w:val="en-US" w:eastAsia="zh-CN"/>
        </w:rPr>
      </w:pPr>
      <w:r>
        <w:rPr>
          <w:rFonts w:hint="eastAsia"/>
          <w:color w:val="auto"/>
          <w:highlight w:val="none"/>
          <w:lang w:val="en-US" w:eastAsia="zh-CN"/>
        </w:rPr>
        <w:br w:type="page"/>
      </w:r>
    </w:p>
    <w:p w14:paraId="79B4A3C9">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7F9812F9">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39363D6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7EE1EE18">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4E116BE">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5C8E05F7">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rFonts w:hint="eastAsia"/>
              <w:color w:val="auto"/>
              <w:sz w:val="28"/>
              <w:szCs w:val="28"/>
              <w:highlight w:val="none"/>
              <w:lang w:val="en-US" w:eastAsia="zh-CN"/>
            </w:rPr>
            <w:fldChar w:fldCharType="end"/>
          </w:r>
        </w:p>
        <w:p w14:paraId="5611ACE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67CD5C6">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4C7F6BE6">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14:paraId="1F019824">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14:paraId="5EA50E0A">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3AE2210">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243BFD8">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12</w:t>
          </w:r>
          <w:r>
            <w:rPr>
              <w:color w:val="auto"/>
              <w:sz w:val="28"/>
              <w:szCs w:val="28"/>
              <w:highlight w:val="none"/>
            </w:rPr>
            <w:fldChar w:fldCharType="end"/>
          </w:r>
          <w:r>
            <w:rPr>
              <w:rFonts w:hint="eastAsia"/>
              <w:color w:val="auto"/>
              <w:sz w:val="28"/>
              <w:szCs w:val="28"/>
              <w:highlight w:val="none"/>
              <w:lang w:val="en-US" w:eastAsia="zh-CN"/>
            </w:rPr>
            <w:fldChar w:fldCharType="end"/>
          </w:r>
        </w:p>
        <w:p w14:paraId="28CFBAA1">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14:paraId="45D6ED9A">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16</w:t>
          </w:r>
          <w:r>
            <w:rPr>
              <w:color w:val="auto"/>
              <w:sz w:val="28"/>
              <w:szCs w:val="28"/>
              <w:highlight w:val="none"/>
            </w:rPr>
            <w:fldChar w:fldCharType="end"/>
          </w:r>
          <w:r>
            <w:rPr>
              <w:rFonts w:hint="eastAsia"/>
              <w:color w:val="auto"/>
              <w:sz w:val="28"/>
              <w:szCs w:val="28"/>
              <w:highlight w:val="none"/>
              <w:lang w:val="en-US" w:eastAsia="zh-CN"/>
            </w:rPr>
            <w:fldChar w:fldCharType="end"/>
          </w:r>
        </w:p>
        <w:p w14:paraId="676F92EA">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5F3B2887">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20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E4D184D">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20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D29062C">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20</w:t>
          </w:r>
          <w:r>
            <w:rPr>
              <w:color w:val="auto"/>
              <w:sz w:val="28"/>
              <w:szCs w:val="28"/>
              <w:highlight w:val="none"/>
            </w:rPr>
            <w:fldChar w:fldCharType="end"/>
          </w:r>
          <w:r>
            <w:rPr>
              <w:rFonts w:hint="eastAsia"/>
              <w:color w:val="auto"/>
              <w:sz w:val="28"/>
              <w:szCs w:val="28"/>
              <w:highlight w:val="none"/>
              <w:lang w:val="en-US" w:eastAsia="zh-CN"/>
            </w:rPr>
            <w:fldChar w:fldCharType="end"/>
          </w:r>
        </w:p>
        <w:p w14:paraId="47CF33F4">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20</w:t>
          </w:r>
          <w:r>
            <w:rPr>
              <w:color w:val="auto"/>
              <w:sz w:val="28"/>
              <w:szCs w:val="28"/>
              <w:highlight w:val="none"/>
            </w:rPr>
            <w:fldChar w:fldCharType="end"/>
          </w:r>
          <w:r>
            <w:rPr>
              <w:rFonts w:hint="eastAsia"/>
              <w:color w:val="auto"/>
              <w:sz w:val="28"/>
              <w:szCs w:val="28"/>
              <w:highlight w:val="none"/>
              <w:lang w:val="en-US" w:eastAsia="zh-CN"/>
            </w:rPr>
            <w:fldChar w:fldCharType="end"/>
          </w:r>
        </w:p>
        <w:p w14:paraId="4D131530">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20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FA5B2CA">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20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69938EE">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72FC9CBA">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highlight w:val="none"/>
              <w:lang w:val="en-US" w:eastAsia="zh-CN"/>
            </w:rPr>
            <w:fldChar w:fldCharType="end"/>
          </w:r>
        </w:p>
      </w:sdtContent>
    </w:sdt>
    <w:p w14:paraId="2883E75D">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南华路社区新建充电棚项目</w:t>
      </w:r>
      <w:r>
        <w:rPr>
          <w:rFonts w:hint="eastAsia" w:ascii="宋体" w:hAnsi="宋体" w:eastAsia="宋体" w:cs="宋体"/>
          <w:b/>
          <w:bCs/>
          <w:color w:val="auto"/>
          <w:sz w:val="36"/>
          <w:szCs w:val="36"/>
          <w:highlight w:val="none"/>
          <w:shd w:val="clear" w:color="auto" w:fill="auto"/>
        </w:rPr>
        <w:t>支出绩效评价报告</w:t>
      </w:r>
      <w:bookmarkEnd w:id="1"/>
    </w:p>
    <w:p w14:paraId="31745583">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72260089">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50CCD836">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6F89EF8D">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eastAsia="宋体" w:cs="宋体"/>
          <w:color w:val="auto"/>
          <w:highlight w:val="none"/>
          <w:shd w:val="clear" w:color="auto" w:fill="auto"/>
          <w:lang w:val="en-US" w:eastAsia="zh-CN"/>
        </w:rPr>
      </w:pPr>
      <w:r>
        <w:rPr>
          <w:rFonts w:hint="eastAsia"/>
          <w:color w:val="auto"/>
          <w:highlight w:val="none"/>
          <w:lang w:eastAsia="zh-CN"/>
        </w:rPr>
        <w:t>阜康市</w:t>
      </w:r>
      <w:r>
        <w:rPr>
          <w:rFonts w:hint="eastAsia" w:cs="宋体"/>
          <w:color w:val="auto"/>
          <w:highlight w:val="none"/>
          <w:shd w:val="clear" w:color="auto" w:fill="auto"/>
          <w:lang w:val="en-US" w:eastAsia="zh-CN"/>
        </w:rPr>
        <w:t>准东办事处南华路社区成立于2015年4月，辖区总面积5.1平方公里，下辖8个小区，共有151幢楼296个单元，共计8866户，17924人。</w:t>
      </w:r>
    </w:p>
    <w:p w14:paraId="1F0E76A0">
      <w:pPr>
        <w:bidi w:val="0"/>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为进一步提升社区服务供给能力和服务水平，更好的满足小区居民的需要，根据2022年阜康市人大常委会，关于解决2022年度第一批民生微实事的意见，办文序号131号。阜财预</w:t>
      </w: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0215号文件精神，准东办事处为了</w:t>
      </w:r>
      <w:bookmarkStart w:id="89" w:name="_GoBack"/>
      <w:r>
        <w:rPr>
          <w:rFonts w:hint="eastAsia" w:cs="宋体"/>
          <w:color w:val="auto"/>
          <w:highlight w:val="none"/>
          <w:shd w:val="clear" w:color="auto" w:fill="auto"/>
          <w:lang w:val="en-US" w:eastAsia="zh-CN"/>
        </w:rPr>
        <w:t>深入</w:t>
      </w:r>
      <w:bookmarkEnd w:id="89"/>
      <w:r>
        <w:rPr>
          <w:rFonts w:hint="eastAsia" w:cs="宋体"/>
          <w:color w:val="auto"/>
          <w:highlight w:val="none"/>
          <w:shd w:val="clear" w:color="auto" w:fill="auto"/>
          <w:lang w:val="en-US" w:eastAsia="zh-CN"/>
        </w:rPr>
        <w:t>贯彻落实习近平新时代中国特色社会主义思想，更好的解决群众关心关注的“微实事”，在六号公馆小区、滨河新居小区、有色家园小区安装电动车充电棚。希望通过充电车棚的安装，有效降低飞线充电带来的安全隐患，保证居民的财产安全不受损失。</w:t>
      </w:r>
      <w:bookmarkStart w:id="5" w:name="_Toc27343"/>
    </w:p>
    <w:p w14:paraId="1DB9FCFB">
      <w:pPr>
        <w:bidi w:val="0"/>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11645F2B">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b w:val="0"/>
          <w:bCs w:val="0"/>
          <w:color w:val="auto"/>
          <w:highlight w:val="none"/>
          <w:shd w:val="clear" w:color="auto" w:fill="auto"/>
          <w:lang w:eastAsia="zh-CN"/>
        </w:rPr>
      </w:pPr>
      <w:bookmarkStart w:id="6" w:name="_Toc16592"/>
      <w:r>
        <w:rPr>
          <w:rFonts w:hint="eastAsia" w:cs="宋体"/>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w:t>
      </w:r>
      <w:bookmarkEnd w:id="6"/>
      <w:r>
        <w:rPr>
          <w:rFonts w:hint="eastAsia" w:ascii="宋体" w:hAnsi="宋体" w:eastAsia="宋体" w:cs="宋体"/>
          <w:b w:val="0"/>
          <w:bCs w:val="0"/>
          <w:color w:val="auto"/>
          <w:kern w:val="2"/>
          <w:sz w:val="28"/>
          <w:szCs w:val="28"/>
          <w:highlight w:val="none"/>
          <w:shd w:val="clear" w:color="auto" w:fill="auto"/>
          <w:lang w:val="en-US" w:eastAsia="zh-CN"/>
        </w:rPr>
        <w:t>南华路社区新建充电棚项目主要在</w:t>
      </w:r>
      <w:r>
        <w:rPr>
          <w:rFonts w:hint="eastAsia" w:ascii="宋体" w:hAnsi="宋体" w:eastAsia="宋体" w:cs="宋体"/>
          <w:b w:val="0"/>
          <w:bCs w:val="0"/>
          <w:color w:val="auto"/>
          <w:highlight w:val="none"/>
          <w:shd w:val="clear" w:color="auto" w:fill="auto"/>
          <w:lang w:val="en-US" w:eastAsia="zh-CN"/>
        </w:rPr>
        <w:t>六号公馆小区、滨河新居小区、有色家园小区安装电动车充电棚，该项目通过选址，搭建充电棚接入电源，安装充电桩、充电插座等，方便用户进行充电操作。该项目的完成有效降低飞线带来的安全隐患，为辖区居民提供良好的生活环境。</w:t>
      </w:r>
    </w:p>
    <w:p w14:paraId="7C3141A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2022</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30</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阜康市人大常委会</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阜康市人民政府准东办事处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张悦</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赵英</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项目负责人为郑欢欢,</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王丽、孙健、贺小慧、贾丽娜、朱彩霞</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郑欢欢</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孙健</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王丽</w:t>
      </w:r>
      <w:r>
        <w:rPr>
          <w:rFonts w:hint="eastAsia" w:ascii="宋体" w:hAnsi="宋体" w:eastAsia="宋体" w:cs="宋体"/>
          <w:color w:val="auto"/>
          <w:highlight w:val="none"/>
          <w:shd w:val="clear" w:color="auto" w:fill="auto"/>
          <w:lang w:val="en-US" w:eastAsia="zh-CN"/>
        </w:rPr>
        <w:t>负责资金拨付工作。</w:t>
      </w:r>
    </w:p>
    <w:p w14:paraId="4ECE1EB4">
      <w:pPr>
        <w:pStyle w:val="6"/>
        <w:rPr>
          <w:rFonts w:hint="default" w:eastAsia="宋体"/>
          <w:color w:val="auto"/>
          <w:highlight w:val="none"/>
          <w:lang w:val="en-US" w:eastAsia="zh-CN"/>
        </w:rPr>
      </w:pPr>
      <w:r>
        <w:rPr>
          <w:rFonts w:hint="eastAsia" w:ascii="宋体" w:hAnsi="宋体" w:eastAsia="宋体" w:cs="宋体"/>
          <w:color w:val="auto"/>
          <w:highlight w:val="none"/>
          <w:shd w:val="clear" w:color="auto" w:fill="auto"/>
          <w:lang w:val="en-US" w:eastAsia="zh-CN"/>
        </w:rPr>
        <w:t>南华路社区新建充电棚项目</w:t>
      </w:r>
      <w:r>
        <w:rPr>
          <w:rFonts w:hint="eastAsia" w:cs="宋体"/>
          <w:color w:val="auto"/>
          <w:highlight w:val="none"/>
          <w:shd w:val="clear" w:color="auto" w:fill="auto"/>
          <w:lang w:val="en-US" w:eastAsia="zh-CN"/>
        </w:rPr>
        <w:t>计划投资23万元，资金来源为上级拨款，由阜康市人民政府准东办事处组织招标，阜康市第二建筑安装工程有限公司中标。</w:t>
      </w:r>
      <w:r>
        <w:rPr>
          <w:rFonts w:hint="eastAsia" w:ascii="宋体" w:hAnsi="宋体" w:eastAsia="宋体" w:cs="宋体"/>
          <w:color w:val="auto"/>
          <w:highlight w:val="none"/>
          <w:shd w:val="clear" w:color="auto" w:fill="auto"/>
          <w:lang w:val="en-US" w:eastAsia="zh-CN"/>
        </w:rPr>
        <w:t>南华路社区新建充电棚项目</w:t>
      </w:r>
      <w:r>
        <w:rPr>
          <w:rFonts w:hint="eastAsia" w:cs="宋体"/>
          <w:color w:val="auto"/>
          <w:highlight w:val="none"/>
          <w:shd w:val="clear" w:color="auto" w:fill="auto"/>
          <w:lang w:val="en-US" w:eastAsia="zh-CN"/>
        </w:rPr>
        <w:t>主要包括：在滨河新居小区、有色家园小区、六号公馆小区安装充电棚。</w:t>
      </w:r>
      <w:r>
        <w:rPr>
          <w:rFonts w:hint="eastAsia" w:ascii="宋体" w:hAnsi="宋体" w:eastAsia="宋体" w:cs="宋体"/>
          <w:color w:val="auto"/>
          <w:highlight w:val="none"/>
          <w:shd w:val="clear" w:color="auto" w:fill="auto"/>
          <w:lang w:val="en-US" w:eastAsia="zh-CN"/>
        </w:rPr>
        <w:t>该项目通过选址，搭建充电棚接入电源，安装充电桩、充电插座等，</w:t>
      </w:r>
      <w:r>
        <w:rPr>
          <w:rFonts w:hint="eastAsia" w:cs="宋体"/>
          <w:color w:val="auto"/>
          <w:highlight w:val="none"/>
          <w:shd w:val="clear" w:color="auto" w:fill="auto"/>
          <w:lang w:val="en-US" w:eastAsia="zh-CN"/>
        </w:rPr>
        <w:t>截止2022年8月，该项目全部完工并进行验收，项目的完成</w:t>
      </w:r>
      <w:r>
        <w:rPr>
          <w:rFonts w:hint="eastAsia" w:ascii="宋体" w:hAnsi="宋体" w:eastAsia="宋体" w:cs="宋体"/>
          <w:color w:val="auto"/>
          <w:highlight w:val="none"/>
          <w:shd w:val="clear" w:color="auto" w:fill="auto"/>
          <w:lang w:val="en-US" w:eastAsia="zh-CN"/>
        </w:rPr>
        <w:t>为居民提供了更好的生活环境。</w:t>
      </w:r>
    </w:p>
    <w:p w14:paraId="4BEEF0B3">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14:paraId="3AFC628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3398F4D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南华路社区新建充电棚项目预算安排总额为</w:t>
      </w:r>
      <w:r>
        <w:rPr>
          <w:rFonts w:hint="eastAsia" w:cs="宋体"/>
          <w:color w:val="auto"/>
          <w:highlight w:val="none"/>
          <w:shd w:val="clear" w:color="auto" w:fill="auto"/>
          <w:lang w:val="en-US" w:eastAsia="zh-CN"/>
        </w:rPr>
        <w:t>23</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金23</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23</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4845B3D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6007A120">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w:t>
      </w:r>
      <w:r>
        <w:rPr>
          <w:rFonts w:hint="eastAsia" w:ascii="宋体" w:hAnsi="宋体" w:eastAsia="宋体" w:cs="宋体"/>
          <w:color w:val="auto"/>
          <w:highlight w:val="none"/>
          <w:shd w:val="clear" w:color="auto" w:fill="auto"/>
          <w:lang w:val="en-US" w:eastAsia="zh-CN"/>
        </w:rPr>
        <w:t>南华路社区新建充电棚项目</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23</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项目资金主要用于</w:t>
      </w:r>
      <w:r>
        <w:rPr>
          <w:rFonts w:hint="eastAsia" w:ascii="宋体" w:hAnsi="宋体" w:eastAsia="宋体" w:cs="宋体"/>
          <w:color w:val="auto"/>
          <w:highlight w:val="none"/>
          <w:shd w:val="clear" w:color="auto" w:fill="auto"/>
          <w:lang w:val="en-US" w:eastAsia="zh-CN"/>
        </w:rPr>
        <w:t>南华路社区新建充电棚项目</w:t>
      </w:r>
      <w:r>
        <w:rPr>
          <w:rFonts w:hint="eastAsia" w:cs="宋体"/>
          <w:color w:val="auto"/>
          <w:highlight w:val="none"/>
          <w:shd w:val="clear" w:color="auto" w:fill="auto"/>
          <w:lang w:val="en-US" w:eastAsia="zh-CN"/>
        </w:rPr>
        <w:t>建设安装等方面。</w:t>
      </w:r>
    </w:p>
    <w:p w14:paraId="7F2FC903">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1488310B">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6C104D3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南华路社区新建充电棚项目</w:t>
      </w:r>
      <w:r>
        <w:rPr>
          <w:rFonts w:hint="eastAsia" w:cs="宋体"/>
          <w:color w:val="auto"/>
          <w:highlight w:val="none"/>
          <w:shd w:val="clear" w:color="auto" w:fill="auto"/>
          <w:lang w:val="en-US" w:eastAsia="zh-CN"/>
        </w:rPr>
        <w:t>绩效总体目标为：根据阜财预</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0215号文件精神，准东办事处为了深入贯彻落实习近平新时代中国特色社会主义思想，更好的解决群众关心关注的“微实事”，在六号公馆小区、滨河新居小区、有色家园小区安装电动车充电棚。</w:t>
      </w:r>
    </w:p>
    <w:p w14:paraId="2C4B3AD6">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5161FF86">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2AB0988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485B334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5E710A8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充电车棚</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3个</w:t>
      </w:r>
      <w:r>
        <w:rPr>
          <w:rFonts w:hint="eastAsia" w:ascii="宋体" w:hAnsi="宋体" w:eastAsia="宋体" w:cs="宋体"/>
          <w:color w:val="auto"/>
          <w:highlight w:val="none"/>
          <w:shd w:val="clear" w:color="auto" w:fill="auto"/>
          <w:lang w:val="en-US" w:eastAsia="zh-CN"/>
        </w:rPr>
        <w:t>；</w:t>
      </w:r>
    </w:p>
    <w:p w14:paraId="2591C20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79E0E1A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项目质量验收合格率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2063FF0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2857864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施工及时率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74F585D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项目起止时间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2022年8月-10月</w:t>
      </w:r>
      <w:r>
        <w:rPr>
          <w:rFonts w:hint="eastAsia" w:ascii="宋体" w:hAnsi="宋体" w:eastAsia="宋体" w:cs="宋体"/>
          <w:color w:val="auto"/>
          <w:highlight w:val="none"/>
          <w:shd w:val="clear" w:color="auto" w:fill="auto"/>
          <w:lang w:val="en-US" w:eastAsia="zh-CN"/>
        </w:rPr>
        <w:t>；</w:t>
      </w:r>
    </w:p>
    <w:p w14:paraId="378437B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14:paraId="0A3E7A0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六号公馆小区充电车棚费用</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≤8万元</w:t>
      </w:r>
      <w:r>
        <w:rPr>
          <w:rFonts w:hint="eastAsia" w:ascii="宋体" w:hAnsi="宋体" w:eastAsia="宋体" w:cs="宋体"/>
          <w:color w:val="auto"/>
          <w:highlight w:val="none"/>
          <w:shd w:val="clear" w:color="auto" w:fill="auto"/>
          <w:lang w:val="en-US" w:eastAsia="zh-CN"/>
        </w:rPr>
        <w:t>；</w:t>
      </w:r>
    </w:p>
    <w:p w14:paraId="3E4F209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滨河新居小区充电车棚费用</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≤8.1万元</w:t>
      </w:r>
      <w:r>
        <w:rPr>
          <w:rFonts w:hint="eastAsia" w:ascii="宋体" w:hAnsi="宋体" w:eastAsia="宋体" w:cs="宋体"/>
          <w:color w:val="auto"/>
          <w:highlight w:val="none"/>
          <w:shd w:val="clear" w:color="auto" w:fill="auto"/>
          <w:lang w:val="en-US" w:eastAsia="zh-CN"/>
        </w:rPr>
        <w:t>；</w:t>
      </w:r>
    </w:p>
    <w:p w14:paraId="32ED531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有色家园小区充电车棚费用</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≤6.9万元</w:t>
      </w:r>
      <w:r>
        <w:rPr>
          <w:rFonts w:hint="eastAsia" w:ascii="宋体" w:hAnsi="宋体" w:eastAsia="宋体" w:cs="宋体"/>
          <w:color w:val="auto"/>
          <w:highlight w:val="none"/>
          <w:shd w:val="clear" w:color="auto" w:fill="auto"/>
          <w:lang w:val="en-US" w:eastAsia="zh-CN"/>
        </w:rPr>
        <w:t>；</w:t>
      </w:r>
    </w:p>
    <w:p w14:paraId="7E01BAA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4DB6BB17">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7808E7E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本项目不涉及经济效益指标；</w:t>
      </w:r>
    </w:p>
    <w:p w14:paraId="39C8A89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225FE7B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降低飞线充电带来的安全隐患</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降低</w:t>
      </w:r>
      <w:r>
        <w:rPr>
          <w:rFonts w:hint="eastAsia" w:ascii="宋体" w:hAnsi="宋体" w:eastAsia="宋体" w:cs="宋体"/>
          <w:color w:val="auto"/>
          <w:highlight w:val="none"/>
          <w:shd w:val="clear" w:color="auto" w:fill="auto"/>
          <w:lang w:val="en-US" w:eastAsia="zh-CN"/>
        </w:rPr>
        <w:t>；</w:t>
      </w:r>
    </w:p>
    <w:p w14:paraId="06F62B1F">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45FCAF93">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满足居民电动车充电需求，为辖区居民提供良好的生活环境，促进社会可持续健康发展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长期</w:t>
      </w:r>
      <w:r>
        <w:rPr>
          <w:rFonts w:hint="eastAsia" w:ascii="宋体" w:hAnsi="宋体" w:eastAsia="宋体" w:cs="宋体"/>
          <w:color w:val="auto"/>
          <w:highlight w:val="none"/>
          <w:shd w:val="clear" w:color="auto" w:fill="auto"/>
          <w:lang w:val="en-US" w:eastAsia="zh-CN"/>
        </w:rPr>
        <w:t>；</w:t>
      </w:r>
    </w:p>
    <w:p w14:paraId="7AD5001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14:paraId="5C5CB21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本项目不涉及</w:t>
      </w:r>
      <w:r>
        <w:rPr>
          <w:rFonts w:hint="eastAsia" w:cs="宋体"/>
          <w:color w:val="auto"/>
          <w:highlight w:val="none"/>
          <w:shd w:val="clear" w:color="auto" w:fill="auto"/>
          <w:lang w:val="en-US" w:eastAsia="zh-CN"/>
        </w:rPr>
        <w:t>可持续影响</w:t>
      </w:r>
      <w:r>
        <w:rPr>
          <w:rFonts w:hint="eastAsia" w:ascii="宋体" w:hAnsi="宋体" w:eastAsia="宋体" w:cs="宋体"/>
          <w:color w:val="auto"/>
          <w:highlight w:val="none"/>
          <w:shd w:val="clear" w:color="auto" w:fill="auto"/>
          <w:lang w:val="en-US" w:eastAsia="zh-CN"/>
        </w:rPr>
        <w:t>指标；</w:t>
      </w:r>
    </w:p>
    <w:p w14:paraId="10AFF70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2BFC929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准东办事处辖区居民满意率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为≥95%</w:t>
      </w:r>
      <w:r>
        <w:rPr>
          <w:rFonts w:hint="eastAsia" w:cs="宋体"/>
          <w:color w:val="auto"/>
          <w:highlight w:val="none"/>
          <w:shd w:val="clear" w:color="auto" w:fill="auto"/>
          <w:lang w:val="en-US" w:eastAsia="zh-CN"/>
        </w:rPr>
        <w:t>。</w:t>
      </w:r>
    </w:p>
    <w:p w14:paraId="4C2535D1">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14:paraId="4B269D05">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26632"/>
      <w:bookmarkStart w:id="13" w:name="_Toc22922"/>
      <w:bookmarkStart w:id="14" w:name="_Toc5462343"/>
      <w:bookmarkStart w:id="15" w:name="_Toc5258"/>
      <w:bookmarkStart w:id="16" w:name="_Toc22169_WPSOffice_Level2"/>
      <w:bookmarkStart w:id="17" w:name="_Toc480473081"/>
      <w:bookmarkStart w:id="18" w:name="_Toc12868"/>
      <w:bookmarkStart w:id="19" w:name="_Toc21664"/>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1BFA238C">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30594B5B">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61260860">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539DE96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年度我单位实施的南华路社区新建充电棚项目开展部门绩效评价。</w:t>
      </w:r>
    </w:p>
    <w:p w14:paraId="4921ABE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46CE66B5">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2C745A68">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6F8E6CE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ascii="宋体" w:hAnsi="宋体" w:eastAsia="宋体" w:cs="宋体"/>
          <w:color w:val="auto"/>
          <w:highlight w:val="none"/>
          <w:shd w:val="clear" w:color="auto" w:fill="auto"/>
          <w:lang w:val="en-US" w:eastAsia="zh-CN"/>
        </w:rPr>
        <w:t>南华路社区新建充电棚项目</w:t>
      </w:r>
      <w:r>
        <w:rPr>
          <w:rFonts w:hint="eastAsia" w:ascii="宋体" w:hAnsi="宋体" w:eastAsia="宋体" w:cs="宋体"/>
          <w:color w:val="auto"/>
          <w:highlight w:val="none"/>
          <w:shd w:val="clear" w:color="auto" w:fill="auto"/>
          <w:lang w:eastAsia="zh-CN"/>
        </w:rPr>
        <w:t>实际开展情况，运用定量和定性分析相结合的方法，总结经验做法，反思项目实施和管理中的问题，以切实提升财政资金管理的科学化、规范化和精细化水平。</w:t>
      </w:r>
    </w:p>
    <w:p w14:paraId="77E882D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19C9E88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16688B6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79CCDFD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6653F92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3B31695F">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1913"/>
      <w:bookmarkStart w:id="26" w:name="_Toc428278230"/>
      <w:bookmarkStart w:id="27" w:name="_Toc26131"/>
      <w:bookmarkStart w:id="28" w:name="_Toc419984722"/>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13F0F1A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2EC601A2">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2"/>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2B83F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22F5E4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1D6C90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58BBF4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6598C2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26444D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68378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4A030D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7CB43C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2F37A6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09F015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3982114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323FC74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A1B6D6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4819348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04D32AB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6AEEEA2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382563C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68B92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239E3437">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4F3174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214B7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070214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503C032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0427B32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8DDFC8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017BC48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5FF0771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26831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0D05B54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069BAE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21AEC9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269E85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14A1239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2817F98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42063D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3E90149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45B4D90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3086CB2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143C718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3168D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7290D5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512AA3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55F79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392C2B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70A99C9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00D9BF2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58D78F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6000C82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251357D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42E84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023A96B4">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65F88A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2081D6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62A1D2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6029F7B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6F6E74C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5A973C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4665FB9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14596E2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131FD4A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2E02F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09766C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571035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6DD284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710A12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4B54542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67CE31D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A9ECA0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08F8183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5DA6C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3E2C6C4C">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74FFFF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45C8A4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44D6AB0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5C43C6E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531AB5E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638EB27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4B736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6958262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E18037B">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AE05E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705972F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314255B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79EEA72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00574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5FEAD7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07661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3AB78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6899E8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102E767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00358A5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E428F7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17ABAC1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5ADDD78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08F5671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4E8B4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7BABA48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61E475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40787E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204C94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2FB7BAA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5E159A3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A29050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0FD3DC4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1040C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387E42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D8441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7759D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60933E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6961D78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5B0621E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955428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1EF4D89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4A226F2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33881DD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74B67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79AFDC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3A6A47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36E963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7A2DFC3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1714975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3B4B076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1962A66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6ED66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387F30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683868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038A32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2F710D3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0AF17BC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3CAF105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6819A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4299FC1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67103055">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676DAB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7F2D7F2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3510C29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14898FD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14AE1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45983E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6CB8F6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72CAD5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7A23A6C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7625942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3086425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0F23D9B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053B8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63E20F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23DD3B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596D40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798B963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2DFEEAA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0EB82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6CBE93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FD90E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34AB0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431FB9C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5EBC328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03B19E92">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15061FC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与实施情况进行比较，以及采取公众问卷及抽样调查等方式进行评判的方法对南华路社区新建充电棚项目进行评价。</w:t>
      </w:r>
    </w:p>
    <w:p w14:paraId="7CFC453D">
      <w:pPr>
        <w:pStyle w:val="5"/>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7A5F711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04086ED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0E04327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028A1912">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6B7BC152">
      <w:pPr>
        <w:pStyle w:val="5"/>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03D1AD55">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64A43C30">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0C17C03C">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79F6A539">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6263B20F">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w:t>
      </w:r>
      <w:r>
        <w:rPr>
          <w:rFonts w:hint="eastAsia" w:ascii="宋体" w:hAnsi="宋体" w:eastAsia="宋体" w:cs="宋体"/>
          <w:b w:val="0"/>
          <w:bCs w:val="0"/>
          <w:color w:val="auto"/>
          <w:kern w:val="2"/>
          <w:sz w:val="28"/>
          <w:szCs w:val="28"/>
          <w:highlight w:val="none"/>
          <w:shd w:val="clear" w:color="auto" w:fill="auto"/>
          <w:lang w:val="en-US" w:eastAsia="zh-CN" w:bidi="ar-SA"/>
        </w:rPr>
        <w:t>南华路社区新建充电棚项目</w:t>
      </w:r>
      <w:r>
        <w:rPr>
          <w:rFonts w:hint="eastAsia" w:ascii="宋体" w:hAnsi="宋体" w:eastAsia="宋体" w:cs="宋体"/>
          <w:b w:val="0"/>
          <w:bCs w:val="0"/>
          <w:color w:val="auto"/>
          <w:kern w:val="2"/>
          <w:sz w:val="28"/>
          <w:szCs w:val="24"/>
          <w:highlight w:val="none"/>
          <w:shd w:val="clear" w:color="auto" w:fill="auto"/>
          <w:lang w:val="en-US" w:eastAsia="zh-CN" w:bidi="ar-SA"/>
        </w:rPr>
        <w:t>实施内容、目标信息、预算信息以及其他的一些项目基本信息，有了初步了解，为制定绩效评价工作方案做好准备。</w:t>
      </w:r>
      <w:bookmarkEnd w:id="35"/>
    </w:p>
    <w:p w14:paraId="0B1AC933">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5502EFAD">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6860D72E">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3ED424DA">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0B37582B">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73D7C8A8">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196878AE">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356DF9B1">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17846EA0">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71B8E6D2">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02C1C60F">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43580594">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47E537AB">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685B38B9">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310AF687">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333D9756">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48975CD0">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33EBB157">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75C47EB7">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3E24F275">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43CC5D9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ascii="宋体" w:hAnsi="宋体" w:eastAsia="宋体" w:cs="宋体"/>
          <w:color w:val="auto"/>
          <w:highlight w:val="none"/>
          <w:shd w:val="clear" w:color="auto" w:fill="auto"/>
          <w:lang w:val="en-US" w:eastAsia="zh-CN"/>
        </w:rPr>
        <w:t>南华路社区新建充电棚项目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99.2</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2"/>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0868631B">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5468CF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ascii="宋体" w:hAnsi="宋体" w:eastAsia="宋体" w:cs="宋体"/>
                <w:b w:val="0"/>
                <w:bCs w:val="0"/>
                <w:color w:val="auto"/>
                <w:kern w:val="2"/>
                <w:sz w:val="28"/>
                <w:szCs w:val="28"/>
                <w:highlight w:val="none"/>
                <w:shd w:val="clear" w:color="auto" w:fill="auto"/>
                <w:lang w:val="en-US" w:eastAsia="zh-CN" w:bidi="ar-SA"/>
              </w:rPr>
              <w:t>南华路社区新建充电棚项目</w:t>
            </w:r>
            <w:r>
              <w:rPr>
                <w:rFonts w:hint="eastAsia" w:ascii="宋体" w:hAnsi="宋体" w:eastAsia="宋体" w:cs="宋体"/>
                <w:b/>
                <w:bCs/>
                <w:color w:val="auto"/>
                <w:kern w:val="0"/>
                <w:sz w:val="28"/>
                <w:szCs w:val="28"/>
                <w:highlight w:val="none"/>
                <w:shd w:val="clear" w:color="auto" w:fill="auto"/>
                <w:lang w:val="en-US" w:eastAsia="zh-CN"/>
              </w:rPr>
              <w:t>得分表</w:t>
            </w:r>
          </w:p>
          <w:p w14:paraId="06FC16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p>
        </w:tc>
      </w:tr>
      <w:tr w14:paraId="45935321">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0AC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463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4BE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6735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322B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4E5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247958E3">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DFC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2A4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241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60A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1D8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C03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25688EA4">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E5C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C7F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19.2</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0BE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5A73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147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42E8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99.2</w:t>
            </w:r>
          </w:p>
        </w:tc>
      </w:tr>
      <w:tr w14:paraId="550C7670">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4CD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C99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96</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FF8B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A0C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073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409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99.2</w:t>
            </w:r>
            <w:r>
              <w:rPr>
                <w:rFonts w:hint="eastAsia" w:ascii="宋体" w:hAnsi="宋体" w:eastAsia="宋体" w:cs="宋体"/>
                <w:color w:val="auto"/>
                <w:kern w:val="0"/>
                <w:sz w:val="21"/>
                <w:szCs w:val="21"/>
                <w:highlight w:val="none"/>
                <w:shd w:val="clear" w:color="auto" w:fill="auto"/>
                <w:lang w:val="en-US" w:eastAsia="zh-CN"/>
              </w:rPr>
              <w:t>%</w:t>
            </w:r>
          </w:p>
        </w:tc>
      </w:tr>
    </w:tbl>
    <w:p w14:paraId="0AC5030E">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6B29F304">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3E45834A">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19.2</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08A247D7">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2"/>
        <w:tblW w:w="8447" w:type="dxa"/>
        <w:jc w:val="center"/>
        <w:shd w:val="clear" w:color="auto" w:fill="auto"/>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7D89E7A5">
        <w:tblPrEx>
          <w:shd w:val="clear" w:color="auto" w:fill="auto"/>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E260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8CB0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7AA0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FF91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C553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1B30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881C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50F229FC">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12EF68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4D1073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564DB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7D057A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99D6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C24E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3C1E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0A1B3392">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D5943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CCDC7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4E79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9C403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ACB7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2D9B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AED0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2.2</w:t>
            </w:r>
          </w:p>
        </w:tc>
      </w:tr>
      <w:tr w14:paraId="1F3DBCB7">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EF348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5E2A7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5151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2F9B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1B8C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43A31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16F3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7C4C0933">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D1D19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3F25E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AE6B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C7A1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3C76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9011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B004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438DED91">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00C41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2AA75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4B69F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A4FE8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DB70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C32F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4840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767BF30E">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5C97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EDE2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438B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4A03F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36A0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82C8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23E0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41F76718">
        <w:tblPrEx>
          <w:shd w:val="clear" w:color="auto" w:fill="auto"/>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E016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2167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BF26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021D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A8B6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19.2</w:t>
            </w:r>
          </w:p>
        </w:tc>
      </w:tr>
    </w:tbl>
    <w:p w14:paraId="6B17C2C6">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14:paraId="494AD968">
      <w:pPr>
        <w:bidi w:val="0"/>
        <w:rPr>
          <w:rFonts w:hint="default"/>
          <w:color w:val="auto"/>
          <w:highlight w:val="none"/>
          <w:lang w:val="en-US" w:eastAsia="zh-CN"/>
        </w:rPr>
      </w:pPr>
      <w:r>
        <w:rPr>
          <w:rFonts w:hint="eastAsia"/>
          <w:color w:val="auto"/>
          <w:highlight w:val="none"/>
          <w:lang w:eastAsia="zh-CN"/>
        </w:rPr>
        <w:t>①项目立项符合国家法律法规、国民经济发展规划和相关政策；经阜康市人大常委会，关于解决</w:t>
      </w:r>
      <w:r>
        <w:rPr>
          <w:rFonts w:hint="eastAsia"/>
          <w:color w:val="auto"/>
          <w:highlight w:val="none"/>
          <w:lang w:val="en-US" w:eastAsia="zh-CN"/>
        </w:rPr>
        <w:t>2022年度第一批民生微实事的意见，办文序号131号文件，同意</w:t>
      </w:r>
      <w:r>
        <w:rPr>
          <w:rFonts w:hint="eastAsia" w:ascii="宋体" w:hAnsi="宋体" w:eastAsia="宋体" w:cs="宋体"/>
          <w:b w:val="0"/>
          <w:bCs w:val="0"/>
          <w:color w:val="auto"/>
          <w:kern w:val="2"/>
          <w:sz w:val="28"/>
          <w:szCs w:val="28"/>
          <w:highlight w:val="none"/>
          <w:shd w:val="clear" w:color="auto" w:fill="auto"/>
          <w:lang w:val="en-US" w:eastAsia="zh-CN" w:bidi="ar-SA"/>
        </w:rPr>
        <w:t>南华路社区新建充电棚项目</w:t>
      </w:r>
      <w:r>
        <w:rPr>
          <w:rFonts w:hint="eastAsia" w:cs="宋体"/>
          <w:b w:val="0"/>
          <w:bCs w:val="0"/>
          <w:color w:val="auto"/>
          <w:kern w:val="2"/>
          <w:sz w:val="28"/>
          <w:szCs w:val="28"/>
          <w:highlight w:val="none"/>
          <w:shd w:val="clear" w:color="auto" w:fill="auto"/>
          <w:lang w:val="en-US" w:eastAsia="zh-CN" w:bidi="ar-SA"/>
        </w:rPr>
        <w:t>建设。</w:t>
      </w:r>
    </w:p>
    <w:p w14:paraId="28769E63">
      <w:pPr>
        <w:bidi w:val="0"/>
        <w:rPr>
          <w:rFonts w:hint="default"/>
          <w:color w:val="auto"/>
          <w:highlight w:val="none"/>
          <w:lang w:val="en-US" w:eastAsia="zh-CN"/>
        </w:rPr>
      </w:pPr>
      <w:r>
        <w:rPr>
          <w:rFonts w:hint="eastAsia"/>
          <w:color w:val="auto"/>
          <w:highlight w:val="none"/>
          <w:lang w:eastAsia="zh-CN"/>
        </w:rPr>
        <w:t>②项目立项符合行业发展规划和政策要求；经阜康市人大常委会，关于解决</w:t>
      </w:r>
      <w:r>
        <w:rPr>
          <w:rFonts w:hint="eastAsia"/>
          <w:color w:val="auto"/>
          <w:highlight w:val="none"/>
          <w:lang w:val="en-US" w:eastAsia="zh-CN"/>
        </w:rPr>
        <w:t>2022年度第一批民生微实事的意见，办文序号131号文件，同意</w:t>
      </w:r>
      <w:r>
        <w:rPr>
          <w:rFonts w:hint="eastAsia" w:ascii="宋体" w:hAnsi="宋体" w:eastAsia="宋体" w:cs="宋体"/>
          <w:b w:val="0"/>
          <w:bCs w:val="0"/>
          <w:color w:val="auto"/>
          <w:kern w:val="2"/>
          <w:sz w:val="28"/>
          <w:szCs w:val="28"/>
          <w:highlight w:val="none"/>
          <w:shd w:val="clear" w:color="auto" w:fill="auto"/>
          <w:lang w:val="en-US" w:eastAsia="zh-CN" w:bidi="ar-SA"/>
        </w:rPr>
        <w:t>南华路社区新建充电棚项目</w:t>
      </w:r>
      <w:r>
        <w:rPr>
          <w:rFonts w:hint="eastAsia" w:cs="宋体"/>
          <w:b w:val="0"/>
          <w:bCs w:val="0"/>
          <w:color w:val="auto"/>
          <w:kern w:val="2"/>
          <w:sz w:val="28"/>
          <w:szCs w:val="28"/>
          <w:highlight w:val="none"/>
          <w:shd w:val="clear" w:color="auto" w:fill="auto"/>
          <w:lang w:val="en-US" w:eastAsia="zh-CN" w:bidi="ar-SA"/>
        </w:rPr>
        <w:t>建设。该项目计划投资23万元，主要为六号公馆小区、滨河新居小区、有色家园小区安装充电棚。以满足居民电动车充电需要。</w:t>
      </w:r>
    </w:p>
    <w:p w14:paraId="1A7A75F2">
      <w:pPr>
        <w:bidi w:val="0"/>
        <w:rPr>
          <w:rFonts w:hint="eastAsia"/>
          <w:color w:val="auto"/>
          <w:highlight w:val="none"/>
          <w:lang w:eastAsia="zh-CN"/>
        </w:rPr>
      </w:pPr>
      <w:r>
        <w:rPr>
          <w:rFonts w:hint="eastAsia"/>
          <w:color w:val="auto"/>
          <w:highlight w:val="none"/>
          <w:lang w:eastAsia="zh-CN"/>
        </w:rPr>
        <w:t>③项目立项与阜康市准东办事处部门职责负责居民委员会的管理，负责辖区内民政、社会福利和救济保障、拥军优属、社区服务工作相符，属于部门履职所需；</w:t>
      </w:r>
    </w:p>
    <w:p w14:paraId="2947E3E1">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14:paraId="6ADC67A7">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14:paraId="1F1FF4C2">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14:paraId="06A005EE">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14:paraId="33F04771">
      <w:pPr>
        <w:bidi w:val="0"/>
        <w:rPr>
          <w:rFonts w:hint="eastAsia"/>
          <w:color w:val="auto"/>
          <w:highlight w:val="none"/>
          <w:lang w:eastAsia="zh-CN"/>
        </w:rPr>
      </w:pPr>
      <w:r>
        <w:rPr>
          <w:rFonts w:hint="eastAsia"/>
          <w:color w:val="auto"/>
          <w:highlight w:val="none"/>
          <w:lang w:eastAsia="zh-CN"/>
        </w:rPr>
        <w:t>①项目经</w:t>
      </w:r>
      <w:r>
        <w:rPr>
          <w:rFonts w:hint="eastAsia" w:cs="宋体"/>
          <w:color w:val="auto"/>
          <w:highlight w:val="none"/>
          <w:shd w:val="clear" w:color="auto" w:fill="auto"/>
          <w:lang w:val="en-US" w:eastAsia="zh-CN"/>
        </w:rPr>
        <w:t>阜财预</w:t>
      </w: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0215号文件精神，市人大常委会</w:t>
      </w:r>
      <w:r>
        <w:rPr>
          <w:rFonts w:hint="eastAsia" w:ascii="宋体" w:hAnsi="宋体" w:eastAsia="宋体" w:cs="宋体"/>
          <w:color w:val="auto"/>
          <w:kern w:val="0"/>
          <w:szCs w:val="30"/>
          <w:highlight w:val="none"/>
          <w:lang w:eastAsia="zh-CN"/>
        </w:rPr>
        <w:t>领导审批，</w:t>
      </w:r>
      <w:r>
        <w:rPr>
          <w:rFonts w:hint="eastAsia" w:ascii="宋体" w:hAnsi="宋体" w:eastAsia="宋体" w:cs="宋体"/>
          <w:color w:val="auto"/>
          <w:kern w:val="0"/>
          <w:szCs w:val="30"/>
          <w:highlight w:val="none"/>
        </w:rPr>
        <w:t>立项资料齐全，立项程序规范</w:t>
      </w:r>
      <w:r>
        <w:rPr>
          <w:rFonts w:hint="eastAsia"/>
          <w:color w:val="auto"/>
          <w:highlight w:val="none"/>
          <w:lang w:eastAsia="zh-CN"/>
        </w:rPr>
        <w:t>；</w:t>
      </w:r>
    </w:p>
    <w:p w14:paraId="5BF7F7E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②项目审批文件</w:t>
      </w:r>
      <w:r>
        <w:rPr>
          <w:rFonts w:hint="eastAsia" w:cs="宋体"/>
          <w:color w:val="auto"/>
          <w:highlight w:val="none"/>
          <w:shd w:val="clear" w:color="auto" w:fill="auto"/>
          <w:lang w:val="en-US" w:eastAsia="zh-CN"/>
        </w:rPr>
        <w:t>阜财预</w:t>
      </w: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0215号文件</w:t>
      </w:r>
      <w:r>
        <w:rPr>
          <w:rFonts w:hint="eastAsia"/>
          <w:color w:val="auto"/>
          <w:highlight w:val="none"/>
          <w:lang w:eastAsia="zh-CN"/>
        </w:rPr>
        <w:t>符合相关要求；</w:t>
      </w:r>
    </w:p>
    <w:p w14:paraId="3FEB5329">
      <w:pPr>
        <w:bidi w:val="0"/>
        <w:rPr>
          <w:rFonts w:hint="eastAsia"/>
          <w:color w:val="auto"/>
          <w:highlight w:val="none"/>
          <w:lang w:eastAsia="zh-CN"/>
        </w:rPr>
      </w:pPr>
      <w:r>
        <w:rPr>
          <w:rFonts w:hint="eastAsia"/>
          <w:color w:val="auto"/>
          <w:highlight w:val="none"/>
          <w:lang w:eastAsia="zh-CN"/>
        </w:rPr>
        <w:t>③事前经过阜康市常委会集体决策，无可行性研究、专家论证、风险评估、绩效评估。</w:t>
      </w:r>
    </w:p>
    <w:p w14:paraId="5B5D3C2E">
      <w:pPr>
        <w:bidi w:val="0"/>
        <w:rPr>
          <w:rFonts w:hint="default"/>
          <w:color w:val="auto"/>
          <w:highlight w:val="none"/>
          <w:lang w:val="en-US" w:eastAsia="zh-CN"/>
        </w:rPr>
      </w:pPr>
      <w:r>
        <w:rPr>
          <w:rFonts w:hint="eastAsia"/>
          <w:b/>
          <w:bCs/>
          <w:color w:val="auto"/>
          <w:highlight w:val="none"/>
          <w:lang w:val="en-US" w:eastAsia="zh-CN"/>
        </w:rPr>
        <w:t>综上，该项指标满分3分，得分2.2分。</w:t>
      </w:r>
    </w:p>
    <w:p w14:paraId="62CF0037">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14:paraId="67BAE773">
      <w:pPr>
        <w:bidi w:val="0"/>
        <w:rPr>
          <w:rFonts w:hint="eastAsia"/>
          <w:color w:val="auto"/>
          <w:highlight w:val="none"/>
          <w:lang w:eastAsia="zh-CN"/>
        </w:rPr>
      </w:pPr>
      <w:r>
        <w:rPr>
          <w:rFonts w:hint="eastAsia"/>
          <w:color w:val="auto"/>
          <w:highlight w:val="none"/>
          <w:lang w:eastAsia="zh-CN"/>
        </w:rPr>
        <w:t>①根据阜康市人大常委会【2023】办文序号</w:t>
      </w:r>
      <w:r>
        <w:rPr>
          <w:rFonts w:hint="eastAsia"/>
          <w:color w:val="auto"/>
          <w:highlight w:val="none"/>
          <w:lang w:val="en-US" w:eastAsia="zh-CN"/>
        </w:rPr>
        <w:t>131</w:t>
      </w:r>
      <w:r>
        <w:rPr>
          <w:rFonts w:hint="eastAsia"/>
          <w:color w:val="auto"/>
          <w:highlight w:val="none"/>
          <w:lang w:eastAsia="zh-CN"/>
        </w:rPr>
        <w:t>号文件精神，准东办事处为了深入贯彻落实习近平新时代中国特色社会主义思想，更好的解决群众关心关注的“微实事”，在南华路社区新建充电棚，该项目计划投入</w:t>
      </w:r>
      <w:r>
        <w:rPr>
          <w:rFonts w:hint="eastAsia"/>
          <w:color w:val="auto"/>
          <w:highlight w:val="none"/>
          <w:lang w:val="en-US" w:eastAsia="zh-CN"/>
        </w:rPr>
        <w:t>23</w:t>
      </w:r>
      <w:r>
        <w:rPr>
          <w:rFonts w:hint="eastAsia"/>
          <w:color w:val="auto"/>
          <w:highlight w:val="none"/>
          <w:lang w:eastAsia="zh-CN"/>
        </w:rPr>
        <w:t>万元。根据绩效管理要求，已</w:t>
      </w:r>
      <w:r>
        <w:rPr>
          <w:rFonts w:hint="eastAsia" w:ascii="宋体" w:hAnsi="宋体" w:eastAsia="宋体" w:cs="宋体"/>
          <w:color w:val="auto"/>
          <w:szCs w:val="30"/>
          <w:highlight w:val="none"/>
        </w:rPr>
        <w:t>及时编制目标表</w:t>
      </w:r>
      <w:r>
        <w:rPr>
          <w:rFonts w:hint="eastAsia"/>
          <w:color w:val="auto"/>
          <w:highlight w:val="none"/>
          <w:lang w:eastAsia="zh-CN"/>
        </w:rPr>
        <w:t>；</w:t>
      </w:r>
    </w:p>
    <w:p w14:paraId="7E45B6B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②项目绩效目标为解决群众关心的“微实事”项目，在南华路社区新建充电棚项目，与实际工作内容具有相关性；</w:t>
      </w:r>
    </w:p>
    <w:p w14:paraId="77121919">
      <w:pPr>
        <w:bidi w:val="0"/>
        <w:rPr>
          <w:rFonts w:hint="eastAsia"/>
          <w:color w:val="auto"/>
          <w:highlight w:val="none"/>
          <w:lang w:eastAsia="zh-CN"/>
        </w:rPr>
      </w:pPr>
      <w:r>
        <w:rPr>
          <w:rFonts w:hint="eastAsia"/>
          <w:color w:val="auto"/>
          <w:highlight w:val="none"/>
          <w:lang w:eastAsia="zh-CN"/>
        </w:rPr>
        <w:t>③项目预期产出为降低飞线充电带来的安全隐患，满足居民电动车充电需求，为辖区居民提供良好的生活环境，促进社会可持续健康发展。符合正常的业绩水平；</w:t>
      </w:r>
    </w:p>
    <w:p w14:paraId="37418E95">
      <w:pPr>
        <w:bidi w:val="0"/>
        <w:rPr>
          <w:rFonts w:hint="eastAsia"/>
          <w:color w:val="auto"/>
          <w:highlight w:val="none"/>
          <w:lang w:eastAsia="zh-CN"/>
        </w:rPr>
      </w:pPr>
      <w:r>
        <w:rPr>
          <w:rFonts w:hint="eastAsia"/>
          <w:color w:val="auto"/>
          <w:highlight w:val="none"/>
          <w:lang w:eastAsia="zh-CN"/>
        </w:rPr>
        <w:t>④预算确定的项目投资额为</w:t>
      </w:r>
      <w:r>
        <w:rPr>
          <w:rFonts w:hint="eastAsia"/>
          <w:color w:val="auto"/>
          <w:highlight w:val="none"/>
          <w:lang w:val="en-US" w:eastAsia="zh-CN"/>
        </w:rPr>
        <w:t>23万元，资金执行数为23万元，</w:t>
      </w:r>
      <w:r>
        <w:rPr>
          <w:rFonts w:hint="eastAsia"/>
          <w:color w:val="auto"/>
          <w:highlight w:val="none"/>
          <w:lang w:eastAsia="zh-CN"/>
        </w:rPr>
        <w:t>资金量相匹配。。</w:t>
      </w:r>
    </w:p>
    <w:p w14:paraId="084317D9">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043EB423">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409C659C">
      <w:pPr>
        <w:bidi w:val="0"/>
        <w:rPr>
          <w:rFonts w:hint="eastAsia"/>
          <w:color w:val="auto"/>
          <w:highlight w:val="none"/>
          <w:lang w:eastAsia="zh-CN"/>
        </w:rPr>
      </w:pPr>
      <w:r>
        <w:rPr>
          <w:rFonts w:hint="eastAsia"/>
          <w:color w:val="auto"/>
          <w:highlight w:val="none"/>
          <w:lang w:eastAsia="zh-CN"/>
        </w:rPr>
        <w:t>①将项目绩效目标细化分解为具体的绩效指标，</w:t>
      </w:r>
      <w:r>
        <w:rPr>
          <w:rFonts w:hint="eastAsia" w:asciiTheme="minorEastAsia" w:hAnsiTheme="minorEastAsia" w:eastAsiaTheme="minorEastAsia" w:cstheme="minorEastAsia"/>
          <w:color w:val="auto"/>
          <w:szCs w:val="30"/>
          <w:highlight w:val="none"/>
        </w:rPr>
        <w:t>指标数共计</w:t>
      </w:r>
      <w:r>
        <w:rPr>
          <w:rFonts w:hint="eastAsia" w:asciiTheme="minorEastAsia" w:hAnsiTheme="minorEastAsia" w:eastAsiaTheme="minorEastAsia" w:cstheme="minorEastAsia"/>
          <w:color w:val="auto"/>
          <w:szCs w:val="30"/>
          <w:highlight w:val="none"/>
          <w:lang w:val="en-US" w:eastAsia="zh-CN"/>
        </w:rPr>
        <w:t>20</w:t>
      </w:r>
      <w:r>
        <w:rPr>
          <w:rFonts w:hint="eastAsia" w:asciiTheme="minorEastAsia" w:hAnsiTheme="minorEastAsia" w:eastAsiaTheme="minorEastAsia" w:cstheme="minorEastAsia"/>
          <w:color w:val="auto"/>
          <w:szCs w:val="30"/>
          <w:highlight w:val="none"/>
        </w:rPr>
        <w:t>个，其中</w:t>
      </w:r>
      <w:r>
        <w:rPr>
          <w:rFonts w:hint="eastAsia" w:asciiTheme="minorEastAsia" w:hAnsiTheme="minorEastAsia" w:eastAsiaTheme="minorEastAsia" w:cstheme="minorEastAsia"/>
          <w:color w:val="auto"/>
          <w:szCs w:val="30"/>
          <w:highlight w:val="none"/>
          <w:lang w:eastAsia="zh-CN"/>
        </w:rPr>
        <w:t>一级指标</w:t>
      </w:r>
      <w:r>
        <w:rPr>
          <w:rFonts w:hint="eastAsia" w:asciiTheme="minorEastAsia" w:hAnsiTheme="minorEastAsia" w:eastAsiaTheme="minorEastAsia" w:cstheme="minorEastAsia"/>
          <w:color w:val="auto"/>
          <w:szCs w:val="30"/>
          <w:highlight w:val="none"/>
          <w:lang w:val="en-US" w:eastAsia="zh-CN"/>
        </w:rPr>
        <w:t>4个，</w:t>
      </w:r>
      <w:r>
        <w:rPr>
          <w:rFonts w:hint="eastAsia" w:asciiTheme="minorEastAsia" w:hAnsiTheme="minorEastAsia" w:eastAsiaTheme="minorEastAsia" w:cstheme="minorEastAsia"/>
          <w:color w:val="auto"/>
          <w:szCs w:val="30"/>
          <w:highlight w:val="none"/>
          <w:lang w:eastAsia="zh-CN"/>
        </w:rPr>
        <w:t>二级指标</w:t>
      </w:r>
      <w:r>
        <w:rPr>
          <w:rFonts w:hint="eastAsia" w:asciiTheme="minorEastAsia" w:hAnsiTheme="minorEastAsia" w:eastAsiaTheme="minorEastAsia" w:cstheme="minorEastAsia"/>
          <w:color w:val="auto"/>
          <w:szCs w:val="30"/>
          <w:highlight w:val="none"/>
          <w:lang w:val="en-US" w:eastAsia="zh-CN"/>
        </w:rPr>
        <w:t>6个，</w:t>
      </w:r>
      <w:r>
        <w:rPr>
          <w:rFonts w:hint="eastAsia" w:asciiTheme="minorEastAsia" w:hAnsiTheme="minorEastAsia" w:eastAsiaTheme="minorEastAsia" w:cstheme="minorEastAsia"/>
          <w:color w:val="auto"/>
          <w:szCs w:val="30"/>
          <w:highlight w:val="none"/>
          <w:lang w:eastAsia="zh-CN"/>
        </w:rPr>
        <w:t>三级</w:t>
      </w:r>
      <w:r>
        <w:rPr>
          <w:rFonts w:hint="eastAsia" w:asciiTheme="minorEastAsia" w:hAnsiTheme="minorEastAsia" w:eastAsiaTheme="minorEastAsia" w:cstheme="minorEastAsia"/>
          <w:color w:val="auto"/>
          <w:szCs w:val="30"/>
          <w:highlight w:val="none"/>
        </w:rPr>
        <w:t>指标</w:t>
      </w:r>
      <w:r>
        <w:rPr>
          <w:rFonts w:hint="eastAsia" w:asciiTheme="minorEastAsia" w:hAnsiTheme="minorEastAsia" w:eastAsiaTheme="minorEastAsia" w:cstheme="minorEastAsia"/>
          <w:color w:val="auto"/>
          <w:szCs w:val="30"/>
          <w:highlight w:val="none"/>
          <w:lang w:val="en-US" w:eastAsia="zh-CN"/>
        </w:rPr>
        <w:t>10</w:t>
      </w:r>
      <w:r>
        <w:rPr>
          <w:rFonts w:hint="eastAsia" w:asciiTheme="minorEastAsia" w:hAnsiTheme="minorEastAsia" w:eastAsiaTheme="minorEastAsia" w:cstheme="minorEastAsia"/>
          <w:color w:val="auto"/>
          <w:szCs w:val="30"/>
          <w:highlight w:val="none"/>
        </w:rPr>
        <w:t>个</w:t>
      </w:r>
      <w:r>
        <w:rPr>
          <w:rFonts w:hint="eastAsia"/>
          <w:color w:val="auto"/>
          <w:highlight w:val="none"/>
          <w:lang w:eastAsia="zh-CN"/>
        </w:rPr>
        <w:t>；</w:t>
      </w:r>
    </w:p>
    <w:p w14:paraId="69E7D19B">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②通过清晰、可衡量的指标值予以体现，</w:t>
      </w:r>
      <w:r>
        <w:rPr>
          <w:rFonts w:hint="eastAsia" w:asciiTheme="minorEastAsia" w:hAnsiTheme="minorEastAsia" w:eastAsiaTheme="minorEastAsia" w:cstheme="minorEastAsia"/>
          <w:color w:val="auto"/>
          <w:szCs w:val="30"/>
          <w:highlight w:val="none"/>
        </w:rPr>
        <w:t>其中定量指标</w:t>
      </w:r>
      <w:r>
        <w:rPr>
          <w:rFonts w:hint="eastAsia" w:asciiTheme="minorEastAsia" w:hAnsiTheme="minorEastAsia" w:eastAsiaTheme="minorEastAsia" w:cstheme="minorEastAsia"/>
          <w:color w:val="auto"/>
          <w:szCs w:val="30"/>
          <w:highlight w:val="none"/>
          <w:lang w:val="en-US" w:eastAsia="zh-CN"/>
        </w:rPr>
        <w:t>8</w:t>
      </w:r>
      <w:r>
        <w:rPr>
          <w:rFonts w:hint="eastAsia" w:asciiTheme="minorEastAsia" w:hAnsiTheme="minorEastAsia" w:eastAsiaTheme="minorEastAsia" w:cstheme="minorEastAsia"/>
          <w:color w:val="auto"/>
          <w:szCs w:val="30"/>
          <w:highlight w:val="none"/>
        </w:rPr>
        <w:t>个，</w:t>
      </w:r>
      <w:r>
        <w:rPr>
          <w:rFonts w:hint="eastAsia" w:asciiTheme="minorEastAsia" w:hAnsiTheme="minorEastAsia" w:eastAsiaTheme="minorEastAsia" w:cstheme="minorEastAsia"/>
          <w:color w:val="auto"/>
          <w:szCs w:val="30"/>
          <w:highlight w:val="none"/>
          <w:lang w:eastAsia="zh-CN"/>
        </w:rPr>
        <w:t>定性指标</w:t>
      </w:r>
      <w:r>
        <w:rPr>
          <w:rFonts w:hint="eastAsia" w:asciiTheme="minorEastAsia" w:hAnsiTheme="minorEastAsia" w:eastAsiaTheme="minorEastAsia" w:cstheme="minorEastAsia"/>
          <w:color w:val="auto"/>
          <w:szCs w:val="30"/>
          <w:highlight w:val="none"/>
          <w:lang w:val="en-US" w:eastAsia="zh-CN"/>
        </w:rPr>
        <w:t>2个</w:t>
      </w:r>
      <w:r>
        <w:rPr>
          <w:rFonts w:hint="eastAsia"/>
          <w:color w:val="auto"/>
          <w:highlight w:val="none"/>
          <w:lang w:eastAsia="zh-CN"/>
        </w:rPr>
        <w:t>；</w:t>
      </w:r>
      <w:r>
        <w:rPr>
          <w:rFonts w:hint="eastAsia" w:asciiTheme="minorEastAsia" w:hAnsiTheme="minorEastAsia" w:eastAsiaTheme="minorEastAsia" w:cstheme="minorEastAsia"/>
          <w:color w:val="auto"/>
          <w:szCs w:val="30"/>
          <w:highlight w:val="none"/>
          <w:lang w:val="en-US" w:eastAsia="zh-CN"/>
        </w:rPr>
        <w:t>量化率达到80%</w:t>
      </w:r>
      <w:r>
        <w:rPr>
          <w:rFonts w:hint="eastAsia"/>
          <w:color w:val="auto"/>
          <w:highlight w:val="none"/>
          <w:lang w:eastAsia="zh-CN"/>
        </w:rPr>
        <w:t>；</w:t>
      </w:r>
    </w:p>
    <w:p w14:paraId="27818894">
      <w:pPr>
        <w:bidi w:val="0"/>
        <w:rPr>
          <w:rFonts w:hint="eastAsia"/>
          <w:color w:val="auto"/>
          <w:highlight w:val="none"/>
          <w:lang w:eastAsia="zh-CN"/>
        </w:rPr>
      </w:pPr>
      <w:r>
        <w:rPr>
          <w:rFonts w:hint="eastAsia"/>
          <w:color w:val="auto"/>
          <w:highlight w:val="none"/>
          <w:lang w:eastAsia="zh-CN"/>
        </w:rPr>
        <w:t>③与项目目标任务数或计划数相对应。</w:t>
      </w:r>
    </w:p>
    <w:p w14:paraId="5FFC6E35">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2515880F">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14:paraId="3797B5BA">
      <w:pPr>
        <w:bidi w:val="0"/>
        <w:rPr>
          <w:rFonts w:hint="eastAsia"/>
          <w:color w:val="auto"/>
          <w:highlight w:val="none"/>
          <w:lang w:eastAsia="zh-CN"/>
        </w:rPr>
      </w:pPr>
      <w:r>
        <w:rPr>
          <w:rFonts w:hint="eastAsia"/>
          <w:color w:val="auto"/>
          <w:highlight w:val="none"/>
          <w:lang w:eastAsia="zh-CN"/>
        </w:rPr>
        <w:t>①南华路社区新建充电棚</w:t>
      </w:r>
      <w:r>
        <w:rPr>
          <w:rFonts w:hint="eastAsia"/>
          <w:color w:val="auto"/>
          <w:highlight w:val="none"/>
          <w:lang w:val="en-US" w:eastAsia="zh-CN"/>
        </w:rPr>
        <w:t>项目</w:t>
      </w:r>
      <w:r>
        <w:rPr>
          <w:rFonts w:hint="eastAsia"/>
          <w:color w:val="auto"/>
          <w:highlight w:val="none"/>
          <w:lang w:eastAsia="zh-CN"/>
        </w:rPr>
        <w:t>预算编制经过科学论证；</w:t>
      </w:r>
    </w:p>
    <w:p w14:paraId="76670256">
      <w:pPr>
        <w:bidi w:val="0"/>
        <w:rPr>
          <w:rFonts w:hint="eastAsia"/>
          <w:color w:val="auto"/>
          <w:highlight w:val="none"/>
          <w:lang w:eastAsia="zh-CN"/>
        </w:rPr>
      </w:pPr>
      <w:r>
        <w:rPr>
          <w:rFonts w:hint="eastAsia"/>
          <w:color w:val="auto"/>
          <w:highlight w:val="none"/>
          <w:lang w:eastAsia="zh-CN"/>
        </w:rPr>
        <w:t>②预算内容与阜康市人大常委会【2023】办文序号</w:t>
      </w:r>
      <w:r>
        <w:rPr>
          <w:rFonts w:hint="eastAsia"/>
          <w:color w:val="auto"/>
          <w:highlight w:val="none"/>
          <w:lang w:val="en-US" w:eastAsia="zh-CN"/>
        </w:rPr>
        <w:t>131</w:t>
      </w:r>
      <w:r>
        <w:rPr>
          <w:rFonts w:hint="eastAsia"/>
          <w:color w:val="auto"/>
          <w:highlight w:val="none"/>
          <w:lang w:eastAsia="zh-CN"/>
        </w:rPr>
        <w:t>号文件精神，准东办事处为了深入贯彻落实习近平新时代中国特色社会主义思想，更好的解决群众关心关注的“微实事”，在南华路社区新建充电棚项目内容匹配；</w:t>
      </w:r>
    </w:p>
    <w:p w14:paraId="509D80E9">
      <w:pPr>
        <w:bidi w:val="0"/>
        <w:rPr>
          <w:rFonts w:hint="eastAsia"/>
          <w:color w:val="auto"/>
          <w:highlight w:val="none"/>
          <w:lang w:eastAsia="zh-CN"/>
        </w:rPr>
      </w:pPr>
      <w:r>
        <w:rPr>
          <w:rFonts w:hint="eastAsia"/>
          <w:color w:val="auto"/>
          <w:highlight w:val="none"/>
          <w:lang w:eastAsia="zh-CN"/>
        </w:rPr>
        <w:t>③预算额度</w:t>
      </w:r>
      <w:r>
        <w:rPr>
          <w:rFonts w:hint="eastAsia"/>
          <w:color w:val="auto"/>
          <w:highlight w:val="none"/>
          <w:lang w:val="en-US" w:eastAsia="zh-CN"/>
        </w:rPr>
        <w:t>23万元</w:t>
      </w:r>
      <w:r>
        <w:rPr>
          <w:rFonts w:hint="eastAsia"/>
          <w:color w:val="auto"/>
          <w:highlight w:val="none"/>
          <w:lang w:eastAsia="zh-CN"/>
        </w:rPr>
        <w:t>，按照工程量咨询，符合市场标准；</w:t>
      </w:r>
    </w:p>
    <w:p w14:paraId="5F7E2176">
      <w:pPr>
        <w:bidi w:val="0"/>
        <w:rPr>
          <w:rFonts w:hint="eastAsia"/>
          <w:color w:val="auto"/>
          <w:highlight w:val="none"/>
          <w:lang w:eastAsia="zh-CN"/>
        </w:rPr>
      </w:pPr>
      <w:r>
        <w:rPr>
          <w:rFonts w:hint="eastAsia"/>
          <w:color w:val="auto"/>
          <w:highlight w:val="none"/>
          <w:lang w:eastAsia="zh-CN"/>
        </w:rPr>
        <w:t>④预算确定的项目投资额</w:t>
      </w:r>
      <w:r>
        <w:rPr>
          <w:rFonts w:hint="eastAsia"/>
          <w:color w:val="auto"/>
          <w:highlight w:val="none"/>
          <w:lang w:val="en-US" w:eastAsia="zh-CN"/>
        </w:rPr>
        <w:t>23万元，</w:t>
      </w:r>
      <w:r>
        <w:rPr>
          <w:rFonts w:hint="eastAsia"/>
          <w:color w:val="auto"/>
          <w:highlight w:val="none"/>
          <w:lang w:eastAsia="zh-CN"/>
        </w:rPr>
        <w:t>与工作任务相匹配。</w:t>
      </w:r>
    </w:p>
    <w:p w14:paraId="55319926">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29B26400">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14:paraId="32468166">
      <w:pPr>
        <w:bidi w:val="0"/>
        <w:rPr>
          <w:rFonts w:hint="eastAsia"/>
          <w:color w:val="auto"/>
          <w:highlight w:val="none"/>
          <w:lang w:eastAsia="zh-CN"/>
        </w:rPr>
      </w:pPr>
      <w:r>
        <w:rPr>
          <w:rFonts w:hint="eastAsia"/>
          <w:color w:val="auto"/>
          <w:highlight w:val="none"/>
          <w:lang w:eastAsia="zh-CN"/>
        </w:rPr>
        <w:t>①预算资金分配依据南华路社区新建充电棚</w:t>
      </w:r>
      <w:r>
        <w:rPr>
          <w:rFonts w:hint="eastAsia"/>
          <w:color w:val="auto"/>
          <w:highlight w:val="none"/>
          <w:lang w:val="en-US" w:eastAsia="zh-CN"/>
        </w:rPr>
        <w:t>项目完工</w:t>
      </w:r>
      <w:r>
        <w:rPr>
          <w:rFonts w:hint="eastAsia"/>
          <w:color w:val="auto"/>
          <w:highlight w:val="none"/>
          <w:lang w:eastAsia="zh-CN"/>
        </w:rPr>
        <w:t>情况实施；</w:t>
      </w:r>
    </w:p>
    <w:p w14:paraId="18BCBC57">
      <w:pPr>
        <w:bidi w:val="0"/>
        <w:rPr>
          <w:rFonts w:hint="eastAsia"/>
          <w:color w:val="auto"/>
          <w:highlight w:val="none"/>
          <w:lang w:eastAsia="zh-CN"/>
        </w:rPr>
      </w:pPr>
      <w:r>
        <w:rPr>
          <w:rFonts w:hint="eastAsia"/>
          <w:color w:val="auto"/>
          <w:highlight w:val="none"/>
          <w:lang w:eastAsia="zh-CN"/>
        </w:rPr>
        <w:t>②资金分配南华路社区新建充电棚</w:t>
      </w:r>
      <w:r>
        <w:rPr>
          <w:rFonts w:hint="eastAsia"/>
          <w:color w:val="auto"/>
          <w:highlight w:val="none"/>
          <w:lang w:val="en-US" w:eastAsia="zh-CN"/>
        </w:rPr>
        <w:t>项目工程量，</w:t>
      </w:r>
      <w:r>
        <w:rPr>
          <w:rFonts w:hint="eastAsia"/>
          <w:color w:val="auto"/>
          <w:highlight w:val="none"/>
          <w:lang w:eastAsia="zh-CN"/>
        </w:rPr>
        <w:t>额度合理，与项目单位或地方实际相适应。</w:t>
      </w:r>
    </w:p>
    <w:p w14:paraId="149D983A">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2E2E6973">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4F096789">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682124D3">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317" w:type="dxa"/>
        <w:jc w:val="center"/>
        <w:shd w:val="clear" w:color="auto" w:fill="auto"/>
        <w:tblLayout w:type="fixed"/>
        <w:tblCellMar>
          <w:top w:w="0" w:type="dxa"/>
          <w:left w:w="0" w:type="dxa"/>
          <w:bottom w:w="0" w:type="dxa"/>
          <w:right w:w="0" w:type="dxa"/>
        </w:tblCellMar>
      </w:tblPr>
      <w:tblGrid>
        <w:gridCol w:w="1182"/>
        <w:gridCol w:w="738"/>
        <w:gridCol w:w="1248"/>
        <w:gridCol w:w="1176"/>
        <w:gridCol w:w="1833"/>
        <w:gridCol w:w="987"/>
        <w:gridCol w:w="1153"/>
      </w:tblGrid>
      <w:tr w14:paraId="5B86680E">
        <w:tblPrEx>
          <w:shd w:val="clear" w:color="auto" w:fill="auto"/>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F7D8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DF51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C7EE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8643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9B38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E901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3126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65EA580E">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19D3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861C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AB33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46F9F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6204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0CBD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6D55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5C08A9C6">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4AF1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80D8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CB15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DED7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729A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34F2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AEB2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4FA4692A">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86BA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765C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4F28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9CB1D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BBF5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9BBD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E9C2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66DEF376">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18E2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0180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6C82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20D8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B5C9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9A85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2A1A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931020D">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6489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1E8F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8D1D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645C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D962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5BCD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37EC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47FE3DC8">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45C3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DCA6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101D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E3DC8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3102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79F09C1A">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14:paraId="17C889B7">
      <w:pPr>
        <w:bidi w:val="0"/>
        <w:rPr>
          <w:rFonts w:hint="default" w:ascii="宋体" w:hAnsi="宋体" w:eastAsia="宋体" w:cs="宋体"/>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23万元</w:t>
      </w:r>
      <w:r>
        <w:rPr>
          <w:rFonts w:hint="eastAsia"/>
          <w:color w:val="auto"/>
          <w:highlight w:val="none"/>
          <w:lang w:eastAsia="zh-CN"/>
        </w:rPr>
        <w:t>/</w:t>
      </w:r>
      <w:r>
        <w:rPr>
          <w:rFonts w:hint="eastAsia"/>
          <w:color w:val="auto"/>
          <w:highlight w:val="none"/>
          <w:lang w:val="en-US" w:eastAsia="zh-CN"/>
        </w:rPr>
        <w:t>23万元</w:t>
      </w:r>
      <w:r>
        <w:rPr>
          <w:rFonts w:hint="eastAsia"/>
          <w:color w:val="auto"/>
          <w:highlight w:val="none"/>
          <w:lang w:eastAsia="zh-CN"/>
        </w:rPr>
        <w:t>）×100%</w:t>
      </w:r>
      <w:r>
        <w:rPr>
          <w:rFonts w:hint="eastAsia" w:ascii="宋体" w:hAnsi="宋体" w:eastAsia="宋体" w:cs="宋体"/>
          <w:color w:val="auto"/>
          <w:highlight w:val="none"/>
          <w:lang w:val="en-US" w:eastAsia="zh-CN"/>
        </w:rPr>
        <w:t>=100%</w:t>
      </w:r>
    </w:p>
    <w:p w14:paraId="12C294A7">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47B0B5B6">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513143EA">
      <w:pPr>
        <w:bidi w:val="0"/>
        <w:rPr>
          <w:rFonts w:hint="default" w:ascii="宋体" w:hAnsi="宋体" w:eastAsia="宋体" w:cs="宋体"/>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23万元</w:t>
      </w:r>
      <w:r>
        <w:rPr>
          <w:rFonts w:hint="eastAsia"/>
          <w:color w:val="auto"/>
          <w:highlight w:val="none"/>
          <w:lang w:eastAsia="zh-CN"/>
        </w:rPr>
        <w:t>/</w:t>
      </w:r>
      <w:r>
        <w:rPr>
          <w:rFonts w:hint="eastAsia"/>
          <w:color w:val="auto"/>
          <w:highlight w:val="none"/>
          <w:lang w:val="en-US" w:eastAsia="zh-CN"/>
        </w:rPr>
        <w:t>23万元</w:t>
      </w:r>
      <w:r>
        <w:rPr>
          <w:rFonts w:hint="eastAsia"/>
          <w:color w:val="auto"/>
          <w:highlight w:val="none"/>
          <w:lang w:eastAsia="zh-CN"/>
        </w:rPr>
        <w:t>）×100%</w:t>
      </w:r>
      <w:r>
        <w:rPr>
          <w:rFonts w:hint="eastAsia" w:ascii="宋体" w:hAnsi="宋体" w:eastAsia="宋体" w:cs="宋体"/>
          <w:color w:val="auto"/>
          <w:highlight w:val="none"/>
          <w:lang w:val="en-US" w:eastAsia="zh-CN"/>
        </w:rPr>
        <w:t>=100%</w:t>
      </w:r>
    </w:p>
    <w:p w14:paraId="2821DA20">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19947284">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1414E722">
      <w:pPr>
        <w:bidi w:val="0"/>
        <w:rPr>
          <w:rFonts w:hint="eastAsia"/>
          <w:color w:val="auto"/>
          <w:highlight w:val="none"/>
          <w:lang w:eastAsia="zh-CN"/>
        </w:rPr>
      </w:pPr>
      <w:r>
        <w:rPr>
          <w:rFonts w:hint="eastAsia"/>
          <w:color w:val="auto"/>
          <w:highlight w:val="none"/>
          <w:lang w:eastAsia="zh-CN"/>
        </w:rPr>
        <w:t>①符合国家财经法规和财务管理制度以及《阜康市准东办事处财务制度》、《阜康市准东办事处项目管理制度》、《阜康市准东办事处采购管理制度》有关专项资金管理办法的规定；</w:t>
      </w:r>
    </w:p>
    <w:p w14:paraId="135DFBFA">
      <w:pPr>
        <w:bidi w:val="0"/>
        <w:rPr>
          <w:rFonts w:hint="eastAsia"/>
          <w:color w:val="auto"/>
          <w:highlight w:val="none"/>
          <w:lang w:eastAsia="zh-CN"/>
        </w:rPr>
      </w:pPr>
      <w:r>
        <w:rPr>
          <w:rFonts w:hint="eastAsia"/>
          <w:color w:val="auto"/>
          <w:highlight w:val="none"/>
          <w:lang w:eastAsia="zh-CN"/>
        </w:rPr>
        <w:t>②资金的拨付由单位财务部门根据项目完工审定书向市财政局做经费申请，申请拨付到位后对手续齐全的项目进行资金支付；</w:t>
      </w:r>
    </w:p>
    <w:p w14:paraId="7E8BA6A4">
      <w:pPr>
        <w:bidi w:val="0"/>
        <w:rPr>
          <w:rFonts w:hint="eastAsia"/>
          <w:color w:val="auto"/>
          <w:highlight w:val="none"/>
          <w:lang w:eastAsia="zh-CN"/>
        </w:rPr>
      </w:pPr>
      <w:r>
        <w:rPr>
          <w:rFonts w:hint="eastAsia"/>
          <w:color w:val="auto"/>
          <w:highlight w:val="none"/>
          <w:lang w:eastAsia="zh-CN"/>
        </w:rPr>
        <w:t>③符合项目预算批复、人大“微实事”项目的用途；</w:t>
      </w:r>
    </w:p>
    <w:p w14:paraId="79DD55CF">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14:paraId="666A5395">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6B893887">
      <w:pPr>
        <w:bidi w:val="0"/>
        <w:rPr>
          <w:rFonts w:hint="eastAsia"/>
          <w:b/>
          <w:bCs/>
          <w:color w:val="auto"/>
          <w:highlight w:val="none"/>
          <w:lang w:val="en-US" w:eastAsia="zh-CN"/>
        </w:rPr>
      </w:pPr>
      <w:r>
        <w:rPr>
          <w:rFonts w:hint="eastAsia"/>
          <w:b/>
          <w:bCs/>
          <w:color w:val="auto"/>
          <w:highlight w:val="none"/>
          <w:lang w:val="en-US" w:eastAsia="zh-CN"/>
        </w:rPr>
        <w:t>4.管理制度健全性</w:t>
      </w:r>
    </w:p>
    <w:p w14:paraId="06F21AA3">
      <w:pPr>
        <w:bidi w:val="0"/>
        <w:rPr>
          <w:rFonts w:hint="eastAsia"/>
          <w:color w:val="auto"/>
          <w:highlight w:val="none"/>
          <w:lang w:val="en-US" w:eastAsia="zh-CN"/>
        </w:rPr>
      </w:pPr>
      <w:r>
        <w:rPr>
          <w:rFonts w:hint="eastAsia"/>
          <w:color w:val="auto"/>
          <w:highlight w:val="none"/>
          <w:lang w:eastAsia="zh-CN"/>
        </w:rPr>
        <w:t>①已制定或具有相应的</w:t>
      </w:r>
      <w:r>
        <w:rPr>
          <w:rFonts w:hint="eastAsia"/>
          <w:color w:val="auto"/>
          <w:highlight w:val="none"/>
          <w:lang w:val="en-US" w:eastAsia="zh-CN"/>
        </w:rPr>
        <w:t>《财务预算管理制度》《项目管理制度》《预决算管理制度》等各项规章制度和工作程序，严把资金使用、管理、绩效等，各环节关口，堵塞漏洞，消除隐患，切实加强资金的监管。</w:t>
      </w:r>
    </w:p>
    <w:p w14:paraId="579BCF7D">
      <w:pPr>
        <w:bidi w:val="0"/>
        <w:rPr>
          <w:rFonts w:hint="eastAsia"/>
          <w:color w:val="auto"/>
          <w:highlight w:val="none"/>
          <w:lang w:eastAsia="zh-CN"/>
        </w:rPr>
      </w:pPr>
      <w:r>
        <w:rPr>
          <w:rFonts w:hint="eastAsia"/>
          <w:color w:val="auto"/>
          <w:highlight w:val="none"/>
          <w:lang w:eastAsia="zh-CN"/>
        </w:rPr>
        <w:t>②财务和业务管理制度合法、合规、完整。</w:t>
      </w:r>
    </w:p>
    <w:p w14:paraId="0FC2CF34">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2842BC0D">
      <w:pPr>
        <w:bidi w:val="0"/>
        <w:ind w:left="1403" w:leftChars="200" w:hanging="843" w:hangingChars="300"/>
        <w:outlineLvl w:val="2"/>
        <w:rPr>
          <w:rFonts w:hint="default"/>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31C2BB39">
      <w:pPr>
        <w:bidi w:val="0"/>
        <w:rPr>
          <w:rFonts w:hint="eastAsia"/>
          <w:color w:val="auto"/>
          <w:highlight w:val="none"/>
          <w:lang w:eastAsia="zh-CN"/>
        </w:rPr>
      </w:pPr>
      <w:r>
        <w:rPr>
          <w:rFonts w:hint="eastAsia"/>
          <w:color w:val="auto"/>
          <w:highlight w:val="none"/>
          <w:lang w:eastAsia="zh-CN"/>
        </w:rPr>
        <w:t>①遵守阜康市准东办事处</w:t>
      </w:r>
      <w:r>
        <w:rPr>
          <w:rFonts w:hint="eastAsia"/>
          <w:color w:val="auto"/>
          <w:highlight w:val="none"/>
          <w:lang w:val="en-US" w:eastAsia="zh-CN"/>
        </w:rPr>
        <w:t>《财务预算管理制度》《项目管理制度》《预决算管理制度》等</w:t>
      </w:r>
      <w:r>
        <w:rPr>
          <w:rFonts w:hint="eastAsia"/>
          <w:color w:val="auto"/>
          <w:highlight w:val="none"/>
          <w:lang w:eastAsia="zh-CN"/>
        </w:rPr>
        <w:t>相关管理规定；</w:t>
      </w:r>
    </w:p>
    <w:p w14:paraId="0FB2E30E">
      <w:pPr>
        <w:bidi w:val="0"/>
        <w:rPr>
          <w:rFonts w:hint="eastAsia"/>
          <w:color w:val="auto"/>
          <w:highlight w:val="none"/>
          <w:lang w:eastAsia="zh-CN"/>
        </w:rPr>
      </w:pPr>
      <w:r>
        <w:rPr>
          <w:rFonts w:hint="eastAsia"/>
          <w:color w:val="auto"/>
          <w:highlight w:val="none"/>
          <w:lang w:eastAsia="zh-CN"/>
        </w:rPr>
        <w:t>②项目未调整；</w:t>
      </w:r>
    </w:p>
    <w:p w14:paraId="36372F43">
      <w:pPr>
        <w:bidi w:val="0"/>
        <w:rPr>
          <w:rFonts w:hint="eastAsia"/>
          <w:color w:val="auto"/>
          <w:highlight w:val="none"/>
          <w:lang w:eastAsia="zh-CN"/>
        </w:rPr>
      </w:pPr>
      <w:r>
        <w:rPr>
          <w:rFonts w:hint="eastAsia"/>
          <w:color w:val="auto"/>
          <w:highlight w:val="none"/>
          <w:lang w:eastAsia="zh-CN"/>
        </w:rPr>
        <w:t>③项目合同书、项目验收报告、项目审定书等资料齐全并及时归档；</w:t>
      </w:r>
    </w:p>
    <w:p w14:paraId="2590A460">
      <w:pPr>
        <w:bidi w:val="0"/>
        <w:rPr>
          <w:rFonts w:hint="eastAsia"/>
          <w:color w:val="auto"/>
          <w:highlight w:val="none"/>
          <w:lang w:eastAsia="zh-CN"/>
        </w:rPr>
      </w:pPr>
      <w:r>
        <w:rPr>
          <w:rFonts w:hint="eastAsia"/>
          <w:color w:val="auto"/>
          <w:highlight w:val="none"/>
          <w:lang w:eastAsia="zh-CN"/>
        </w:rPr>
        <w:t>④项目实施的人员条件</w:t>
      </w:r>
      <w:r>
        <w:rPr>
          <w:rFonts w:hint="eastAsia"/>
          <w:color w:val="auto"/>
          <w:highlight w:val="none"/>
          <w:shd w:val="clear"/>
          <w:lang w:eastAsia="zh-CN"/>
        </w:rPr>
        <w:t>、场地设备、信息支撑等落实到</w:t>
      </w:r>
      <w:r>
        <w:rPr>
          <w:rFonts w:hint="eastAsia"/>
          <w:color w:val="auto"/>
          <w:highlight w:val="none"/>
          <w:lang w:eastAsia="zh-CN"/>
        </w:rPr>
        <w:t>位。由街道牵头，社区配合。</w:t>
      </w:r>
    </w:p>
    <w:p w14:paraId="2D4A18F3">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29227763">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6567E985">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7</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7E79C738">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424" w:type="dxa"/>
        <w:tblInd w:w="0" w:type="dxa"/>
        <w:shd w:val="clear" w:color="auto" w:fill="auto"/>
        <w:tblLayout w:type="fixed"/>
        <w:tblCellMar>
          <w:top w:w="0" w:type="dxa"/>
          <w:left w:w="0" w:type="dxa"/>
          <w:bottom w:w="0" w:type="dxa"/>
          <w:right w:w="0" w:type="dxa"/>
        </w:tblCellMar>
      </w:tblPr>
      <w:tblGrid>
        <w:gridCol w:w="606"/>
        <w:gridCol w:w="887"/>
        <w:gridCol w:w="2526"/>
        <w:gridCol w:w="1373"/>
        <w:gridCol w:w="533"/>
        <w:gridCol w:w="1304"/>
        <w:gridCol w:w="603"/>
        <w:gridCol w:w="592"/>
      </w:tblGrid>
      <w:tr w14:paraId="0DDA9FD4">
        <w:tblPrEx>
          <w:tblCellMar>
            <w:top w:w="0" w:type="dxa"/>
            <w:left w:w="0" w:type="dxa"/>
            <w:bottom w:w="0" w:type="dxa"/>
            <w:right w:w="0" w:type="dxa"/>
          </w:tblCellMar>
        </w:tblPrEx>
        <w:trPr>
          <w:trHeight w:val="750" w:hRule="atLeast"/>
        </w:trPr>
        <w:tc>
          <w:tcPr>
            <w:tcW w:w="6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321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BA22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55F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CF2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594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7105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CCC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c>
          <w:tcPr>
            <w:tcW w:w="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021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p>
        </w:tc>
      </w:tr>
      <w:tr w14:paraId="5191D265">
        <w:tblPrEx>
          <w:shd w:val="clear" w:color="auto" w:fill="auto"/>
          <w:tblCellMar>
            <w:top w:w="0" w:type="dxa"/>
            <w:left w:w="0" w:type="dxa"/>
            <w:bottom w:w="0" w:type="dxa"/>
            <w:right w:w="0" w:type="dxa"/>
          </w:tblCellMar>
        </w:tblPrEx>
        <w:trPr>
          <w:trHeight w:val="415" w:hRule="atLeast"/>
        </w:trPr>
        <w:tc>
          <w:tcPr>
            <w:tcW w:w="606"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6AEFE6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C76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D20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充电车棚</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C6C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=3个</w:t>
            </w:r>
          </w:p>
        </w:tc>
        <w:tc>
          <w:tcPr>
            <w:tcW w:w="5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5BE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C4A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3个</w:t>
            </w:r>
          </w:p>
        </w:tc>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8F4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4F1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r>
      <w:tr w14:paraId="7257BF71">
        <w:tblPrEx>
          <w:shd w:val="clear" w:color="auto" w:fill="auto"/>
          <w:tblCellMar>
            <w:top w:w="0" w:type="dxa"/>
            <w:left w:w="0" w:type="dxa"/>
            <w:bottom w:w="0" w:type="dxa"/>
            <w:right w:w="0" w:type="dxa"/>
          </w:tblCellMar>
        </w:tblPrEx>
        <w:trPr>
          <w:trHeight w:val="390" w:hRule="atLeast"/>
        </w:trPr>
        <w:tc>
          <w:tcPr>
            <w:tcW w:w="606"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6BE619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2CD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47B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项目质量验收合格率</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8EB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5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328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3CD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1D0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748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r>
      <w:tr w14:paraId="555EA5F5">
        <w:tblPrEx>
          <w:shd w:val="clear" w:color="auto" w:fill="auto"/>
          <w:tblCellMar>
            <w:top w:w="0" w:type="dxa"/>
            <w:left w:w="0" w:type="dxa"/>
            <w:bottom w:w="0" w:type="dxa"/>
            <w:right w:w="0" w:type="dxa"/>
          </w:tblCellMar>
        </w:tblPrEx>
        <w:trPr>
          <w:trHeight w:val="410" w:hRule="atLeast"/>
        </w:trPr>
        <w:tc>
          <w:tcPr>
            <w:tcW w:w="606"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2365EC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887"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4EBF1C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4D4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施工及时率</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351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5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FB1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3F1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99CA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0883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r>
      <w:tr w14:paraId="2970F37A">
        <w:tblPrEx>
          <w:shd w:val="clear" w:color="auto" w:fill="auto"/>
          <w:tblCellMar>
            <w:top w:w="0" w:type="dxa"/>
            <w:left w:w="0" w:type="dxa"/>
            <w:bottom w:w="0" w:type="dxa"/>
            <w:right w:w="0" w:type="dxa"/>
          </w:tblCellMar>
        </w:tblPrEx>
        <w:trPr>
          <w:trHeight w:val="410" w:hRule="atLeast"/>
        </w:trPr>
        <w:tc>
          <w:tcPr>
            <w:tcW w:w="606"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25B645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887"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481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609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项目起止时间</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3E2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2022年8月-10月</w:t>
            </w:r>
          </w:p>
        </w:tc>
        <w:tc>
          <w:tcPr>
            <w:tcW w:w="5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543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068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2022年8月-10月</w:t>
            </w:r>
          </w:p>
        </w:tc>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61EF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31FD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r>
      <w:tr w14:paraId="3DABAA4A">
        <w:tblPrEx>
          <w:shd w:val="clear" w:color="auto" w:fill="auto"/>
          <w:tblCellMar>
            <w:top w:w="0" w:type="dxa"/>
            <w:left w:w="0" w:type="dxa"/>
            <w:bottom w:w="0" w:type="dxa"/>
            <w:right w:w="0" w:type="dxa"/>
          </w:tblCellMar>
        </w:tblPrEx>
        <w:trPr>
          <w:trHeight w:val="428" w:hRule="atLeast"/>
        </w:trPr>
        <w:tc>
          <w:tcPr>
            <w:tcW w:w="606"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417264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887"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6D4A1C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B1E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六号公馆小区充电车棚费用</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2B8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≤8万元</w:t>
            </w:r>
          </w:p>
        </w:tc>
        <w:tc>
          <w:tcPr>
            <w:tcW w:w="5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DC5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A10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8万元</w:t>
            </w:r>
          </w:p>
        </w:tc>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F99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E91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r>
      <w:tr w14:paraId="60755A37">
        <w:tblPrEx>
          <w:shd w:val="clear" w:color="auto" w:fill="auto"/>
          <w:tblCellMar>
            <w:top w:w="0" w:type="dxa"/>
            <w:left w:w="0" w:type="dxa"/>
            <w:bottom w:w="0" w:type="dxa"/>
            <w:right w:w="0" w:type="dxa"/>
          </w:tblCellMar>
        </w:tblPrEx>
        <w:trPr>
          <w:trHeight w:val="428" w:hRule="atLeast"/>
        </w:trPr>
        <w:tc>
          <w:tcPr>
            <w:tcW w:w="606"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7C8933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887"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5227DA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8968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滨河新居小区充电车棚费用</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27E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≤8.1万元</w:t>
            </w:r>
          </w:p>
        </w:tc>
        <w:tc>
          <w:tcPr>
            <w:tcW w:w="5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34B2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C562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8.1万元</w:t>
            </w:r>
          </w:p>
        </w:tc>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3D3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928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r>
      <w:tr w14:paraId="1C60B5A8">
        <w:tblPrEx>
          <w:shd w:val="clear" w:color="auto" w:fill="auto"/>
          <w:tblCellMar>
            <w:top w:w="0" w:type="dxa"/>
            <w:left w:w="0" w:type="dxa"/>
            <w:bottom w:w="0" w:type="dxa"/>
            <w:right w:w="0" w:type="dxa"/>
          </w:tblCellMar>
        </w:tblPrEx>
        <w:trPr>
          <w:trHeight w:val="428" w:hRule="atLeast"/>
        </w:trPr>
        <w:tc>
          <w:tcPr>
            <w:tcW w:w="606"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21E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887"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0673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326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有色家园小区充电车棚费用</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958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≤6.9万元</w:t>
            </w:r>
          </w:p>
        </w:tc>
        <w:tc>
          <w:tcPr>
            <w:tcW w:w="5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5675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730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6.9万元</w:t>
            </w:r>
          </w:p>
        </w:tc>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376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2F0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r>
      <w:tr w14:paraId="59E5F3B0">
        <w:tblPrEx>
          <w:shd w:val="clear" w:color="auto" w:fill="auto"/>
          <w:tblCellMar>
            <w:top w:w="0" w:type="dxa"/>
            <w:left w:w="0" w:type="dxa"/>
            <w:bottom w:w="0" w:type="dxa"/>
            <w:right w:w="0" w:type="dxa"/>
          </w:tblCellMar>
        </w:tblPrEx>
        <w:trPr>
          <w:trHeight w:val="403" w:hRule="atLeast"/>
        </w:trPr>
        <w:tc>
          <w:tcPr>
            <w:tcW w:w="53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2B0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E312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4AD8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625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443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r>
    </w:tbl>
    <w:p w14:paraId="0EB7A676">
      <w:pPr>
        <w:bidi w:val="0"/>
        <w:rPr>
          <w:rFonts w:hint="default"/>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14:paraId="351F676C">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充电车棚</w:t>
      </w:r>
      <w:r>
        <w:rPr>
          <w:rFonts w:hint="eastAsia"/>
          <w:color w:val="auto"/>
          <w:highlight w:val="none"/>
          <w:lang w:eastAsia="zh-CN"/>
        </w:rPr>
        <w:t>”</w:t>
      </w:r>
      <w:r>
        <w:rPr>
          <w:rFonts w:hint="eastAsia"/>
          <w:color w:val="auto"/>
          <w:highlight w:val="none"/>
          <w:lang w:val="en-US" w:eastAsia="zh-CN"/>
        </w:rPr>
        <w:t>指标，预期目标值为=3个，实际完成为3个。实际完成率=（3个/3个）×100%=100%。</w:t>
      </w:r>
    </w:p>
    <w:p w14:paraId="4DE2A29C">
      <w:pPr>
        <w:bidi w:val="0"/>
        <w:rPr>
          <w:rFonts w:hint="eastAsia"/>
          <w:b/>
          <w:bCs/>
          <w:color w:val="auto"/>
          <w:highlight w:val="none"/>
          <w:lang w:val="en-US" w:eastAsia="zh-CN"/>
        </w:rPr>
      </w:pPr>
      <w:r>
        <w:rPr>
          <w:rFonts w:hint="eastAsia"/>
          <w:b/>
          <w:bCs/>
          <w:color w:val="auto"/>
          <w:highlight w:val="none"/>
          <w:lang w:val="en-US" w:eastAsia="zh-CN"/>
        </w:rPr>
        <w:t>综上，该项指标满分5分，得分5分。</w:t>
      </w:r>
    </w:p>
    <w:p w14:paraId="47CDC5EB">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11BB2B67">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项目质量验收合格率</w:t>
      </w:r>
      <w:r>
        <w:rPr>
          <w:rFonts w:hint="eastAsia"/>
          <w:color w:val="auto"/>
          <w:highlight w:val="none"/>
          <w:lang w:eastAsia="zh-CN"/>
        </w:rPr>
        <w:t>”</w:t>
      </w:r>
      <w:r>
        <w:rPr>
          <w:rFonts w:hint="eastAsia"/>
          <w:color w:val="auto"/>
          <w:highlight w:val="none"/>
          <w:lang w:val="en-US" w:eastAsia="zh-CN"/>
        </w:rPr>
        <w:t>指标，预期目标值为=100%，实际完成为100%，实际完成率100%。</w:t>
      </w:r>
    </w:p>
    <w:p w14:paraId="741E674B">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1400296E">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1F69654A">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施工及时率</w:t>
      </w:r>
      <w:r>
        <w:rPr>
          <w:rFonts w:hint="eastAsia"/>
          <w:color w:val="auto"/>
          <w:highlight w:val="none"/>
          <w:lang w:eastAsia="zh-CN"/>
        </w:rPr>
        <w:t>”</w:t>
      </w:r>
      <w:r>
        <w:rPr>
          <w:rFonts w:hint="eastAsia"/>
          <w:color w:val="auto"/>
          <w:highlight w:val="none"/>
          <w:lang w:val="en-US" w:eastAsia="zh-CN"/>
        </w:rPr>
        <w:t>指标，预期目标值为=100%，实际完成为100%，实际完成率100%。</w:t>
      </w:r>
    </w:p>
    <w:p w14:paraId="4FAA7086">
      <w:pPr>
        <w:bidi w:val="0"/>
        <w:rPr>
          <w:rFonts w:hint="eastAsia"/>
          <w:color w:val="auto"/>
          <w:highlight w:val="none"/>
          <w:lang w:val="en-US" w:eastAsia="zh-CN"/>
        </w:rPr>
      </w:pPr>
      <w:r>
        <w:rPr>
          <w:rFonts w:hint="eastAsia"/>
          <w:b/>
          <w:bCs/>
          <w:color w:val="auto"/>
          <w:highlight w:val="none"/>
          <w:lang w:val="en-US" w:eastAsia="zh-CN"/>
        </w:rPr>
        <w:t>综上，该项指标满分4分，得分4分。</w:t>
      </w:r>
    </w:p>
    <w:p w14:paraId="044D1E49">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项目起止时间</w:t>
      </w:r>
      <w:r>
        <w:rPr>
          <w:rFonts w:hint="eastAsia"/>
          <w:color w:val="auto"/>
          <w:highlight w:val="none"/>
          <w:lang w:eastAsia="zh-CN"/>
        </w:rPr>
        <w:t>”</w:t>
      </w:r>
      <w:r>
        <w:rPr>
          <w:rFonts w:hint="eastAsia"/>
          <w:color w:val="auto"/>
          <w:highlight w:val="none"/>
          <w:lang w:val="en-US" w:eastAsia="zh-CN"/>
        </w:rPr>
        <w:t>指标，预期目标值为2022年8月-10月，实际完成为2022年8月-10月，实际完成率100%。</w:t>
      </w:r>
    </w:p>
    <w:p w14:paraId="5AD854A9">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716A2D32">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14:paraId="60AA6F7C">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六号公馆小区充电车棚费用</w:t>
      </w:r>
      <w:r>
        <w:rPr>
          <w:rFonts w:hint="eastAsia"/>
          <w:color w:val="auto"/>
          <w:highlight w:val="none"/>
          <w:lang w:eastAsia="zh-CN"/>
        </w:rPr>
        <w:t>”</w:t>
      </w:r>
      <w:r>
        <w:rPr>
          <w:rFonts w:hint="eastAsia"/>
          <w:color w:val="auto"/>
          <w:highlight w:val="none"/>
          <w:lang w:val="en-US" w:eastAsia="zh-CN"/>
        </w:rPr>
        <w:t>指标，预期目标值为≤8万元，实际完成为8万元。实际完成率=（8万元/8万元）×100%=100%。</w:t>
      </w:r>
    </w:p>
    <w:p w14:paraId="1F17D1FA">
      <w:pPr>
        <w:bidi w:val="0"/>
        <w:rPr>
          <w:rFonts w:hint="eastAsia"/>
          <w:color w:val="auto"/>
          <w:highlight w:val="none"/>
          <w:lang w:val="en-US" w:eastAsia="zh-CN"/>
        </w:rPr>
      </w:pPr>
      <w:r>
        <w:rPr>
          <w:rFonts w:hint="eastAsia"/>
          <w:b/>
          <w:bCs/>
          <w:color w:val="auto"/>
          <w:highlight w:val="none"/>
          <w:lang w:val="en-US" w:eastAsia="zh-CN"/>
        </w:rPr>
        <w:t>综上，该项指标满分4分，得分4分。</w:t>
      </w:r>
    </w:p>
    <w:p w14:paraId="4CB37E3E">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滨河新居小区充电车棚费用</w:t>
      </w:r>
      <w:r>
        <w:rPr>
          <w:rFonts w:hint="eastAsia"/>
          <w:color w:val="auto"/>
          <w:highlight w:val="none"/>
          <w:lang w:eastAsia="zh-CN"/>
        </w:rPr>
        <w:t>”</w:t>
      </w:r>
      <w:r>
        <w:rPr>
          <w:rFonts w:hint="eastAsia"/>
          <w:color w:val="auto"/>
          <w:highlight w:val="none"/>
          <w:lang w:val="en-US" w:eastAsia="zh-CN"/>
        </w:rPr>
        <w:t>指标，预期目标值为≤8.1万元，实际完成为8.1万元。实际完成率=（8.1万元/8.1万元）×100%=100%。</w:t>
      </w:r>
    </w:p>
    <w:p w14:paraId="130546E4">
      <w:pPr>
        <w:bidi w:val="0"/>
        <w:rPr>
          <w:rFonts w:hint="eastAsia"/>
          <w:color w:val="auto"/>
          <w:highlight w:val="none"/>
          <w:lang w:val="en-US" w:eastAsia="zh-CN"/>
        </w:rPr>
      </w:pPr>
      <w:r>
        <w:rPr>
          <w:rFonts w:hint="eastAsia"/>
          <w:b/>
          <w:bCs/>
          <w:color w:val="auto"/>
          <w:highlight w:val="none"/>
          <w:lang w:val="en-US" w:eastAsia="zh-CN"/>
        </w:rPr>
        <w:t>综上，该项指标满分4分，得分4分。</w:t>
      </w:r>
    </w:p>
    <w:p w14:paraId="511BE240">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有色家园小区充电车棚费用</w:t>
      </w:r>
      <w:r>
        <w:rPr>
          <w:rFonts w:hint="eastAsia"/>
          <w:color w:val="auto"/>
          <w:highlight w:val="none"/>
          <w:lang w:eastAsia="zh-CN"/>
        </w:rPr>
        <w:t>”</w:t>
      </w:r>
      <w:r>
        <w:rPr>
          <w:rFonts w:hint="eastAsia"/>
          <w:color w:val="auto"/>
          <w:highlight w:val="none"/>
          <w:lang w:val="en-US" w:eastAsia="zh-CN"/>
        </w:rPr>
        <w:t>指标，预期目标值为≤6.9万元，实际完成为6.9万元。实际完成率=（6.9万元/6.9万元）×100%=100%。</w:t>
      </w:r>
    </w:p>
    <w:p w14:paraId="5F610074">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28500B4D">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1902A43E">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4C1E24F7">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bookmarkStart w:id="75" w:name="_Toc8010"/>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p w14:paraId="017DF55A">
      <w:pPr>
        <w:pageBreakBefore w:val="0"/>
        <w:widowControl w:val="0"/>
        <w:kinsoku/>
        <w:wordWrap/>
        <w:overflowPunct/>
        <w:topLinePunct w:val="0"/>
        <w:autoSpaceDE/>
        <w:autoSpaceDN/>
        <w:bidi w:val="0"/>
        <w:adjustRightInd/>
        <w:spacing w:line="360" w:lineRule="auto"/>
        <w:ind w:firstLine="560"/>
        <w:jc w:val="center"/>
        <w:textAlignment w:val="auto"/>
        <w:rPr>
          <w:rFonts w:hint="default" w:ascii="宋体" w:hAnsi="宋体" w:eastAsia="宋体" w:cs="宋体"/>
          <w:color w:val="auto"/>
          <w:kern w:val="2"/>
          <w:highlight w:val="none"/>
          <w:u w:color="000000"/>
          <w:shd w:val="clear" w:color="auto" w:fill="auto"/>
          <w:lang w:val="en-US" w:eastAsia="zh-TW"/>
        </w:rPr>
      </w:pPr>
    </w:p>
    <w:tbl>
      <w:tblPr>
        <w:tblStyle w:val="12"/>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05DB42C4">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666FD9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0CA2D1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40DBC9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159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5C29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49A1D6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7DB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16B7D9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0C2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209909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319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7E7570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478EE271">
        <w:tblPrEx>
          <w:tblCellMar>
            <w:top w:w="0" w:type="dxa"/>
            <w:left w:w="0" w:type="dxa"/>
            <w:bottom w:w="0" w:type="dxa"/>
            <w:right w:w="0" w:type="dxa"/>
          </w:tblCellMar>
        </w:tblPrEx>
        <w:trPr>
          <w:trHeight w:val="436" w:hRule="atLeast"/>
          <w:jc w:val="center"/>
        </w:trPr>
        <w:tc>
          <w:tcPr>
            <w:tcW w:w="685" w:type="dxa"/>
            <w:vMerge w:val="restart"/>
            <w:tcBorders>
              <w:left w:val="single" w:color="auto" w:sz="4" w:space="0"/>
              <w:right w:val="single" w:color="auto" w:sz="4" w:space="0"/>
            </w:tcBorders>
            <w:shd w:val="clear" w:color="auto" w:fill="auto"/>
            <w:tcMar>
              <w:top w:w="15" w:type="dxa"/>
              <w:left w:w="15" w:type="dxa"/>
              <w:right w:w="15" w:type="dxa"/>
            </w:tcMar>
            <w:vAlign w:val="center"/>
          </w:tcPr>
          <w:p w14:paraId="5980BC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5790A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17B0D7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687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0D0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5FD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33E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5A24A045">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4D477C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restart"/>
            <w:tcBorders>
              <w:top w:val="single" w:color="auto" w:sz="4" w:space="0"/>
              <w:left w:val="single" w:color="000000" w:sz="4" w:space="0"/>
              <w:right w:val="single" w:color="auto" w:sz="4" w:space="0"/>
            </w:tcBorders>
            <w:shd w:val="clear" w:color="auto" w:fill="auto"/>
            <w:tcMar>
              <w:top w:w="15" w:type="dxa"/>
              <w:left w:w="15" w:type="dxa"/>
              <w:right w:w="15" w:type="dxa"/>
            </w:tcMar>
            <w:vAlign w:val="center"/>
          </w:tcPr>
          <w:p w14:paraId="33364D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p w14:paraId="7C5E1C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6A564D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降低飞线充电带来的安全隐患</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C4C1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降低</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979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711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B7B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1E8F236C">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39DEEA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continue"/>
            <w:tcBorders>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070A24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68F815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满足居民电动车充电需求，为辖区居民提供良好的生活环境，促进社会可持续健康发展。</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2AB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长期</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475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E501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7F7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66F9DC30">
        <w:tblPrEx>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ADC4C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F05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514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7A0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3733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E76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F74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688ABFE9">
        <w:tblPrEx>
          <w:tblCellMar>
            <w:top w:w="0" w:type="dxa"/>
            <w:left w:w="0" w:type="dxa"/>
            <w:bottom w:w="0" w:type="dxa"/>
            <w:right w:w="0" w:type="dxa"/>
          </w:tblCellMar>
        </w:tblPrEx>
        <w:trPr>
          <w:trHeight w:val="469" w:hRule="atLeast"/>
          <w:jc w:val="center"/>
        </w:trPr>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D76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F7C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color w:val="auto"/>
                <w:highlight w:val="none"/>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111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color w:val="auto"/>
                <w:highlight w:val="none"/>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408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color w:val="auto"/>
                <w:highlight w:val="none"/>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2CDD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B53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98AE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6FBC3CEF">
        <w:tblPrEx>
          <w:tblCellMar>
            <w:top w:w="0" w:type="dxa"/>
            <w:left w:w="0" w:type="dxa"/>
            <w:bottom w:w="0" w:type="dxa"/>
            <w:right w:w="0" w:type="dxa"/>
          </w:tblCellMar>
        </w:tblPrEx>
        <w:trPr>
          <w:trHeight w:val="469" w:hRule="atLeast"/>
          <w:jc w:val="center"/>
        </w:trPr>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9F9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3A2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A8A0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准东办事处辖区居民满意率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B3E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449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FC1E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46B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bl>
    <w:p w14:paraId="304016BE">
      <w:pPr>
        <w:bidi w:val="0"/>
        <w:outlineLvl w:val="2"/>
        <w:rPr>
          <w:rFonts w:hint="eastAsia"/>
          <w:b/>
          <w:bCs/>
          <w:color w:val="auto"/>
          <w:highlight w:val="none"/>
          <w:lang w:val="en-US" w:eastAsia="zh-CN"/>
        </w:rPr>
      </w:pPr>
      <w:r>
        <w:rPr>
          <w:rFonts w:hint="eastAsia"/>
          <w:b/>
          <w:bCs/>
          <w:color w:val="auto"/>
          <w:highlight w:val="none"/>
          <w:lang w:val="en-US" w:eastAsia="zh-CN"/>
        </w:rPr>
        <w:t>1.经济效益指标</w:t>
      </w:r>
      <w:bookmarkEnd w:id="75"/>
      <w:bookmarkStart w:id="76" w:name="_Toc27006"/>
    </w:p>
    <w:p w14:paraId="5F50F373">
      <w:pPr>
        <w:bidi w:val="0"/>
        <w:outlineLvl w:val="2"/>
        <w:rPr>
          <w:rFonts w:hint="eastAsia"/>
          <w:color w:val="auto"/>
          <w:highlight w:val="none"/>
          <w:lang w:eastAsia="zh-CN"/>
        </w:rPr>
      </w:pPr>
      <w:r>
        <w:rPr>
          <w:rFonts w:hint="eastAsia"/>
          <w:color w:val="auto"/>
          <w:highlight w:val="none"/>
          <w:lang w:eastAsia="zh-CN"/>
        </w:rPr>
        <w:t>本项目不涉及经济效益指标。</w:t>
      </w:r>
    </w:p>
    <w:p w14:paraId="5055ABFE">
      <w:pPr>
        <w:bidi w:val="0"/>
        <w:outlineLvl w:val="2"/>
        <w:rPr>
          <w:rFonts w:hint="eastAsia"/>
          <w:b/>
          <w:bCs/>
          <w:color w:val="auto"/>
          <w:highlight w:val="none"/>
          <w:lang w:val="en-US" w:eastAsia="zh-CN"/>
        </w:rPr>
      </w:pPr>
      <w:r>
        <w:rPr>
          <w:rFonts w:hint="eastAsia"/>
          <w:b/>
          <w:bCs/>
          <w:color w:val="auto"/>
          <w:highlight w:val="none"/>
          <w:lang w:val="en-US" w:eastAsia="zh-CN"/>
        </w:rPr>
        <w:t>2.社会效益指标</w:t>
      </w:r>
      <w:bookmarkEnd w:id="76"/>
    </w:p>
    <w:p w14:paraId="09405F98">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降低飞线充电带来的安全隐患</w:t>
      </w:r>
      <w:r>
        <w:rPr>
          <w:rFonts w:hint="eastAsia"/>
          <w:color w:val="auto"/>
          <w:highlight w:val="none"/>
          <w:lang w:eastAsia="zh-CN"/>
        </w:rPr>
        <w:t>”</w:t>
      </w:r>
      <w:r>
        <w:rPr>
          <w:rFonts w:hint="eastAsia"/>
          <w:color w:val="auto"/>
          <w:highlight w:val="none"/>
          <w:lang w:val="en-US" w:eastAsia="zh-CN"/>
        </w:rPr>
        <w:t>指标，预期目标值为降低，实际完成为100%，实际完成率100%。</w:t>
      </w:r>
    </w:p>
    <w:p w14:paraId="308656CA">
      <w:pPr>
        <w:bidi w:val="0"/>
        <w:rPr>
          <w:rFonts w:hint="eastAsia"/>
          <w:color w:val="auto"/>
          <w:highlight w:val="none"/>
          <w:lang w:val="en-US" w:eastAsia="zh-CN"/>
        </w:rPr>
      </w:pPr>
      <w:r>
        <w:rPr>
          <w:rFonts w:hint="eastAsia"/>
          <w:b w:val="0"/>
          <w:bCs w:val="0"/>
          <w:color w:val="auto"/>
          <w:highlight w:val="none"/>
          <w:lang w:val="en-US" w:eastAsia="zh-CN"/>
        </w:rPr>
        <w:t>通过项目的实施，</w:t>
      </w:r>
      <w:r>
        <w:rPr>
          <w:rFonts w:hint="eastAsia"/>
          <w:color w:val="auto"/>
          <w:highlight w:val="none"/>
          <w:lang w:val="en-US" w:eastAsia="zh-CN"/>
        </w:rPr>
        <w:t>有效降低了飞线充电带来的安全隐患，保护居民财产不受损失。充电棚的安装，为辖区居民提供良好的生活环境，更好满足了居民的充电需求，提高了政府形象。</w:t>
      </w:r>
    </w:p>
    <w:p w14:paraId="016B71A1">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14:paraId="64031853">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满足居民电动车充电需求，为辖区居民提供良好的生活环境，促进社会可持续健康发展。</w:t>
      </w:r>
      <w:r>
        <w:rPr>
          <w:rFonts w:hint="eastAsia"/>
          <w:color w:val="auto"/>
          <w:highlight w:val="none"/>
          <w:lang w:eastAsia="zh-CN"/>
        </w:rPr>
        <w:t>”</w:t>
      </w:r>
      <w:r>
        <w:rPr>
          <w:rFonts w:hint="eastAsia"/>
          <w:color w:val="auto"/>
          <w:highlight w:val="none"/>
          <w:lang w:val="en-US" w:eastAsia="zh-CN"/>
        </w:rPr>
        <w:t>指标，预期目标值为长期，实际完成为100%。</w:t>
      </w:r>
    </w:p>
    <w:p w14:paraId="7754E9D4">
      <w:pPr>
        <w:bidi w:val="0"/>
        <w:rPr>
          <w:rFonts w:hint="eastAsia"/>
          <w:color w:val="auto"/>
          <w:highlight w:val="none"/>
          <w:lang w:val="en-US" w:eastAsia="zh-CN"/>
        </w:rPr>
      </w:pPr>
      <w:r>
        <w:rPr>
          <w:rFonts w:hint="eastAsia"/>
          <w:b w:val="0"/>
          <w:bCs w:val="0"/>
          <w:color w:val="auto"/>
          <w:highlight w:val="none"/>
          <w:lang w:val="en-US" w:eastAsia="zh-CN"/>
        </w:rPr>
        <w:t>通过项目的实施，</w:t>
      </w:r>
      <w:r>
        <w:rPr>
          <w:rFonts w:hint="eastAsia"/>
          <w:color w:val="auto"/>
          <w:highlight w:val="none"/>
          <w:lang w:val="en-US" w:eastAsia="zh-CN"/>
        </w:rPr>
        <w:t>满足居民电动车充电需求，解决了居民身边的小事急事，为辖区居民提供良好的生活环境，提升政府形象，提高辖区居民的幸福感、满意度，促进社会可持续健康发展。</w:t>
      </w:r>
    </w:p>
    <w:p w14:paraId="6928C36F">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14:paraId="56936455">
      <w:pPr>
        <w:bidi w:val="0"/>
        <w:outlineLvl w:val="2"/>
        <w:rPr>
          <w:rFonts w:hint="eastAsia"/>
          <w:color w:val="auto"/>
          <w:highlight w:val="none"/>
          <w:lang w:val="en-US" w:eastAsia="zh-CN"/>
        </w:rPr>
      </w:pPr>
      <w:bookmarkStart w:id="77" w:name="_Toc23106"/>
      <w:r>
        <w:rPr>
          <w:rFonts w:hint="eastAsia"/>
          <w:b/>
          <w:bCs/>
          <w:color w:val="auto"/>
          <w:highlight w:val="none"/>
          <w:lang w:val="en-US" w:eastAsia="zh-CN"/>
        </w:rPr>
        <w:t>3.生态效益指标</w:t>
      </w:r>
      <w:bookmarkEnd w:id="77"/>
    </w:p>
    <w:p w14:paraId="6D98FC0D">
      <w:pPr>
        <w:bidi w:val="0"/>
        <w:rPr>
          <w:rFonts w:hint="eastAsia"/>
          <w:color w:val="auto"/>
          <w:highlight w:val="none"/>
          <w:lang w:val="en-US" w:eastAsia="zh-CN"/>
        </w:rPr>
      </w:pPr>
      <w:r>
        <w:rPr>
          <w:rFonts w:hint="eastAsia"/>
          <w:color w:val="auto"/>
          <w:highlight w:val="none"/>
          <w:lang w:eastAsia="zh-CN"/>
        </w:rPr>
        <w:t>本项目不涉及生态效益指标。</w:t>
      </w:r>
    </w:p>
    <w:p w14:paraId="3A3181B3">
      <w:pPr>
        <w:bidi w:val="0"/>
        <w:outlineLvl w:val="2"/>
        <w:rPr>
          <w:rFonts w:hint="eastAsia"/>
          <w:b/>
          <w:bCs/>
          <w:color w:val="auto"/>
          <w:highlight w:val="none"/>
          <w:lang w:val="en-US" w:eastAsia="zh-CN"/>
        </w:rPr>
      </w:pPr>
      <w:bookmarkStart w:id="78" w:name="_Toc3271"/>
      <w:r>
        <w:rPr>
          <w:rFonts w:hint="eastAsia"/>
          <w:b/>
          <w:bCs/>
          <w:color w:val="auto"/>
          <w:highlight w:val="none"/>
          <w:lang w:val="en-US" w:eastAsia="zh-CN"/>
        </w:rPr>
        <w:t>4.满意度指标</w:t>
      </w:r>
      <w:bookmarkEnd w:id="78"/>
    </w:p>
    <w:p w14:paraId="3E913865">
      <w:pPr>
        <w:bidi w:val="0"/>
        <w:rPr>
          <w:rFonts w:hint="default"/>
          <w:b/>
          <w:bCs/>
          <w:color w:val="auto"/>
          <w:highlight w:val="none"/>
          <w:lang w:val="en-US" w:eastAsia="zh-CN"/>
        </w:rPr>
      </w:pPr>
      <w:r>
        <w:rPr>
          <w:rFonts w:hint="eastAsia"/>
          <w:color w:val="auto"/>
          <w:highlight w:val="none"/>
          <w:lang w:eastAsia="zh-CN"/>
        </w:rPr>
        <w:t>“</w:t>
      </w:r>
      <w:r>
        <w:rPr>
          <w:rFonts w:hint="eastAsia"/>
          <w:color w:val="auto"/>
          <w:highlight w:val="none"/>
          <w:lang w:val="en-US" w:eastAsia="zh-CN"/>
        </w:rPr>
        <w:t>准东办事处辖区居民满意率</w:t>
      </w:r>
      <w:r>
        <w:rPr>
          <w:rFonts w:hint="eastAsia"/>
          <w:color w:val="auto"/>
          <w:highlight w:val="none"/>
          <w:lang w:eastAsia="zh-CN"/>
        </w:rPr>
        <w:t>”</w:t>
      </w:r>
      <w:r>
        <w:rPr>
          <w:rFonts w:hint="eastAsia"/>
          <w:color w:val="auto"/>
          <w:highlight w:val="none"/>
          <w:lang w:val="en-US" w:eastAsia="zh-CN"/>
        </w:rPr>
        <w:t>指标，预期目标值为≥95%，实际完成为95%，完成率100%。</w:t>
      </w:r>
    </w:p>
    <w:p w14:paraId="0B83181A">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14:paraId="5A677B72">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14:paraId="47E88B1F">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cs="仿宋_GB2312"/>
          <w:b w:val="0"/>
          <w:bCs w:val="0"/>
          <w:color w:val="auto"/>
          <w:sz w:val="28"/>
          <w:szCs w:val="28"/>
          <w:highlight w:val="none"/>
          <w:lang w:val="en-US" w:eastAsia="zh-CN"/>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w:t>
      </w:r>
      <w:r>
        <w:rPr>
          <w:rFonts w:hint="eastAsia" w:cs="仿宋_GB2312"/>
          <w:b w:val="0"/>
          <w:bCs w:val="0"/>
          <w:color w:val="auto"/>
          <w:sz w:val="28"/>
          <w:szCs w:val="28"/>
          <w:highlight w:val="none"/>
          <w:lang w:eastAsia="zh-CN"/>
        </w:rPr>
        <w:t>总额为</w:t>
      </w:r>
      <w:r>
        <w:rPr>
          <w:rFonts w:hint="eastAsia"/>
          <w:b w:val="0"/>
          <w:bCs w:val="0"/>
          <w:color w:val="auto"/>
          <w:highlight w:val="none"/>
          <w:lang w:val="en-US" w:eastAsia="zh-CN"/>
        </w:rPr>
        <w:t>23</w:t>
      </w:r>
      <w:r>
        <w:rPr>
          <w:rFonts w:hint="eastAsia" w:cs="仿宋_GB2312"/>
          <w:b w:val="0"/>
          <w:bCs w:val="0"/>
          <w:color w:val="auto"/>
          <w:sz w:val="28"/>
          <w:szCs w:val="28"/>
          <w:highlight w:val="none"/>
          <w:lang w:val="en-US" w:eastAsia="zh-CN"/>
        </w:rPr>
        <w:t>万元，全年执行数为</w:t>
      </w:r>
      <w:r>
        <w:rPr>
          <w:rFonts w:hint="eastAsia"/>
          <w:b w:val="0"/>
          <w:bCs w:val="0"/>
          <w:color w:val="auto"/>
          <w:highlight w:val="none"/>
          <w:lang w:val="en-US" w:eastAsia="zh-CN"/>
        </w:rPr>
        <w:t>23</w:t>
      </w:r>
      <w:r>
        <w:rPr>
          <w:rFonts w:hint="eastAsia" w:cs="仿宋_GB2312"/>
          <w:b w:val="0"/>
          <w:bCs w:val="0"/>
          <w:color w:val="auto"/>
          <w:sz w:val="28"/>
          <w:szCs w:val="28"/>
          <w:highlight w:val="none"/>
          <w:lang w:val="en-US" w:eastAsia="zh-CN"/>
        </w:rPr>
        <w:t>万元，预算执行率为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en-US" w:eastAsia="zh-CN"/>
        </w:rPr>
        <w:t>%，</w:t>
      </w:r>
      <w:r>
        <w:rPr>
          <w:rFonts w:hint="eastAsia" w:cs="仿宋_GB2312"/>
          <w:b w:val="0"/>
          <w:bCs w:val="0"/>
          <w:color w:val="auto"/>
          <w:sz w:val="28"/>
          <w:szCs w:val="28"/>
          <w:highlight w:val="none"/>
          <w:lang w:eastAsia="zh-CN"/>
        </w:rPr>
        <w:t>总体完成率为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zh-TW" w:eastAsia="zh-TW"/>
        </w:rPr>
        <w:t>%。</w:t>
      </w:r>
      <w:r>
        <w:rPr>
          <w:rFonts w:hint="eastAsia" w:cs="仿宋_GB2312"/>
          <w:b w:val="0"/>
          <w:bCs w:val="0"/>
          <w:color w:val="auto"/>
          <w:sz w:val="28"/>
          <w:szCs w:val="28"/>
          <w:highlight w:val="none"/>
          <w:lang w:val="en-US" w:eastAsia="zh-CN"/>
        </w:rPr>
        <w:t>预算执行率与总体完成率之间的偏差为</w:t>
      </w:r>
      <w:r>
        <w:rPr>
          <w:rFonts w:hint="eastAsia"/>
          <w:b w:val="0"/>
          <w:bCs w:val="0"/>
          <w:color w:val="auto"/>
          <w:highlight w:val="none"/>
          <w:lang w:val="en-US" w:eastAsia="zh-CN"/>
        </w:rPr>
        <w:t>0</w:t>
      </w:r>
      <w:r>
        <w:rPr>
          <w:rFonts w:hint="eastAsia" w:cs="仿宋_GB2312"/>
          <w:b w:val="0"/>
          <w:bCs w:val="0"/>
          <w:color w:val="auto"/>
          <w:sz w:val="28"/>
          <w:szCs w:val="28"/>
          <w:highlight w:val="none"/>
          <w:lang w:val="en-US" w:eastAsia="zh-CN"/>
        </w:rPr>
        <w:t>%，无</w:t>
      </w:r>
      <w:r>
        <w:rPr>
          <w:rFonts w:hint="eastAsia"/>
          <w:b w:val="0"/>
          <w:bCs w:val="0"/>
          <w:color w:val="auto"/>
          <w:highlight w:val="none"/>
        </w:rPr>
        <w:t>偏差</w:t>
      </w:r>
      <w:r>
        <w:rPr>
          <w:rFonts w:hint="eastAsia" w:ascii="仿宋_GB2312" w:hAnsi="仿宋_GB2312" w:cs="仿宋_GB2312"/>
          <w:b w:val="0"/>
          <w:bCs w:val="0"/>
          <w:color w:val="auto"/>
          <w:sz w:val="28"/>
          <w:szCs w:val="28"/>
          <w:highlight w:val="none"/>
        </w:rPr>
        <w:t>。</w:t>
      </w:r>
    </w:p>
    <w:p w14:paraId="5C2DB258">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14:paraId="7913F852">
      <w:pPr>
        <w:numPr>
          <w:ilvl w:val="0"/>
          <w:numId w:val="0"/>
        </w:numPr>
        <w:bidi w:val="0"/>
        <w:ind w:left="560" w:leftChars="0"/>
        <w:outlineLvl w:val="1"/>
        <w:rPr>
          <w:rFonts w:hint="eastAsia"/>
          <w:b/>
          <w:bCs/>
          <w:color w:val="auto"/>
          <w:highlight w:val="none"/>
          <w:lang w:eastAsia="zh-CN"/>
        </w:rPr>
      </w:pPr>
      <w:bookmarkStart w:id="81" w:name="_Toc13160"/>
      <w:bookmarkStart w:id="82" w:name="_Toc28290"/>
      <w:bookmarkStart w:id="83" w:name="_Toc1921"/>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1"/>
    </w:p>
    <w:p w14:paraId="3A2B3B51">
      <w:pPr>
        <w:bidi w:val="0"/>
        <w:rPr>
          <w:rFonts w:hint="eastAsia"/>
          <w:color w:val="auto"/>
          <w:highlight w:val="none"/>
          <w:lang w:eastAsia="zh-CN"/>
        </w:rPr>
      </w:pPr>
      <w:r>
        <w:rPr>
          <w:rFonts w:hint="eastAsia" w:ascii="宋体" w:hAnsi="宋体" w:eastAsia="宋体" w:cs="宋体"/>
          <w:color w:val="auto"/>
          <w:highlight w:val="none"/>
          <w:shd w:val="clear" w:color="auto" w:fill="auto"/>
          <w:lang w:val="en-US" w:eastAsia="zh-CN"/>
        </w:rPr>
        <w:t>南华路社区新建充电棚</w:t>
      </w:r>
      <w:r>
        <w:rPr>
          <w:rFonts w:hint="eastAsia"/>
          <w:color w:val="auto"/>
          <w:highlight w:val="none"/>
          <w:lang w:val="en-US" w:eastAsia="zh-CN"/>
        </w:rPr>
        <w:t>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23</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23</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14:paraId="6220E3F2">
      <w:pPr>
        <w:bidi w:val="0"/>
        <w:rPr>
          <w:rFonts w:hint="eastAsia"/>
          <w:color w:val="auto"/>
          <w:highlight w:val="none"/>
          <w:lang w:eastAsia="zh-CN"/>
        </w:rPr>
      </w:pPr>
      <w:r>
        <w:rPr>
          <w:rFonts w:hint="eastAsia"/>
          <w:color w:val="auto"/>
          <w:highlight w:val="none"/>
          <w:lang w:val="en-US" w:eastAsia="zh-CN"/>
        </w:rPr>
        <w:t>阜康市人民政府准东办事处</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阜康市人民政府准东办事处</w:t>
      </w:r>
      <w:r>
        <w:rPr>
          <w:rFonts w:hint="eastAsia"/>
          <w:color w:val="auto"/>
          <w:highlight w:val="none"/>
          <w:lang w:eastAsia="zh-CN"/>
        </w:rPr>
        <w:t>事业发展中关系民生与稳定的项目，切实优化资源配置，提高了资金使用的效率和效果。</w:t>
      </w:r>
    </w:p>
    <w:bookmarkEnd w:id="82"/>
    <w:bookmarkEnd w:id="83"/>
    <w:p w14:paraId="1B897A2F">
      <w:pPr>
        <w:bidi w:val="0"/>
        <w:outlineLvl w:val="1"/>
        <w:rPr>
          <w:rFonts w:hint="eastAsia" w:ascii="宋体" w:hAnsi="宋体" w:eastAsia="宋体" w:cs="宋体"/>
          <w:color w:val="auto"/>
          <w:kern w:val="2"/>
          <w:sz w:val="28"/>
          <w:szCs w:val="28"/>
          <w:highlight w:val="none"/>
          <w:lang w:val="en-US" w:eastAsia="zh-CN" w:bidi="ar-SA"/>
        </w:rPr>
      </w:pPr>
      <w:bookmarkStart w:id="84" w:name="_Toc9582"/>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4"/>
    </w:p>
    <w:p w14:paraId="167C232C">
      <w:pPr>
        <w:bidi w:val="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1、项目前期决策不充分，项目事前未经过必要的可行性研究、专家论证、风险评估、绩效评估等。</w:t>
      </w:r>
    </w:p>
    <w:p w14:paraId="7C8E87A3">
      <w:pPr>
        <w:bidi w:val="0"/>
        <w:ind w:left="0" w:leftChars="0" w:firstLine="560" w:firstLineChars="200"/>
        <w:rPr>
          <w:rFonts w:hint="default" w:ascii="宋体" w:hAnsi="宋体" w:eastAsia="宋体" w:cs="宋体"/>
          <w:color w:val="auto"/>
          <w:kern w:val="2"/>
          <w:sz w:val="28"/>
          <w:szCs w:val="28"/>
          <w:highlight w:val="none"/>
          <w:lang w:val="en-US" w:eastAsia="zh-CN" w:bidi="ar-SA"/>
        </w:rPr>
      </w:pPr>
      <w:r>
        <w:rPr>
          <w:rFonts w:hint="eastAsia" w:ascii="宋体" w:hAnsi="宋体" w:eastAsia="宋体" w:cs="宋体"/>
          <w:color w:val="auto"/>
          <w:highlight w:val="none"/>
          <w:lang w:val="en-US" w:eastAsia="zh-CN"/>
        </w:rPr>
        <w:t>2、</w:t>
      </w:r>
      <w:r>
        <w:rPr>
          <w:rFonts w:hint="eastAsia" w:cs="宋体"/>
          <w:color w:val="auto"/>
          <w:highlight w:val="none"/>
          <w:lang w:val="en-US" w:eastAsia="zh-CN"/>
        </w:rPr>
        <w:t>项目</w:t>
      </w:r>
      <w:r>
        <w:rPr>
          <w:rFonts w:hint="eastAsia" w:ascii="宋体" w:hAnsi="宋体" w:eastAsia="宋体" w:cs="宋体"/>
          <w:color w:val="auto"/>
          <w:highlight w:val="none"/>
          <w:lang w:val="en-US" w:eastAsia="zh-CN"/>
        </w:rPr>
        <w:t>相关人员</w:t>
      </w:r>
      <w:r>
        <w:rPr>
          <w:rFonts w:hint="eastAsia" w:cs="宋体"/>
          <w:color w:val="auto"/>
          <w:highlight w:val="none"/>
          <w:lang w:val="en-US" w:eastAsia="zh-CN"/>
        </w:rPr>
        <w:t>对单位</w:t>
      </w:r>
      <w:r>
        <w:rPr>
          <w:rFonts w:hint="eastAsia" w:ascii="宋体" w:hAnsi="宋体" w:eastAsia="宋体" w:cs="宋体"/>
          <w:color w:val="auto"/>
          <w:highlight w:val="none"/>
          <w:lang w:val="en-US" w:eastAsia="zh-CN"/>
        </w:rPr>
        <w:t>项目</w:t>
      </w:r>
      <w:r>
        <w:rPr>
          <w:rFonts w:hint="eastAsia" w:cs="宋体"/>
          <w:color w:val="auto"/>
          <w:highlight w:val="none"/>
          <w:lang w:val="en-US" w:eastAsia="zh-CN"/>
        </w:rPr>
        <w:t>、财务</w:t>
      </w:r>
      <w:r>
        <w:rPr>
          <w:rFonts w:hint="eastAsia" w:ascii="宋体" w:hAnsi="宋体" w:eastAsia="宋体" w:cs="宋体"/>
          <w:color w:val="auto"/>
          <w:highlight w:val="none"/>
          <w:lang w:val="en-US" w:eastAsia="zh-CN"/>
        </w:rPr>
        <w:t>等相关制度</w:t>
      </w:r>
      <w:r>
        <w:rPr>
          <w:rFonts w:hint="eastAsia" w:cs="宋体"/>
          <w:color w:val="auto"/>
          <w:highlight w:val="none"/>
          <w:lang w:val="en-US" w:eastAsia="zh-CN"/>
        </w:rPr>
        <w:t>仅仅只掌握表面，对项目实施全过程了解不够充分，存在项目具体实施内容有不了解不清楚的问题</w:t>
      </w:r>
      <w:r>
        <w:rPr>
          <w:rFonts w:hint="eastAsia" w:ascii="宋体" w:hAnsi="宋体" w:eastAsia="宋体" w:cs="宋体"/>
          <w:color w:val="auto"/>
          <w:highlight w:val="none"/>
          <w:lang w:val="en-US" w:eastAsia="zh-CN"/>
        </w:rPr>
        <w:t>。</w:t>
      </w:r>
    </w:p>
    <w:p w14:paraId="621AB04D">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5" w:name="_Toc5230"/>
      <w:r>
        <w:rPr>
          <w:rFonts w:hint="eastAsia" w:ascii="宋体" w:hAnsi="宋体" w:eastAsia="宋体" w:cs="宋体"/>
          <w:b/>
          <w:bCs/>
          <w:color w:val="auto"/>
          <w:highlight w:val="none"/>
          <w:shd w:val="clear" w:color="auto" w:fill="auto"/>
          <w:lang w:val="en-US" w:eastAsia="zh-CN"/>
        </w:rPr>
        <w:t>七、有关建议</w:t>
      </w:r>
      <w:bookmarkEnd w:id="85"/>
    </w:p>
    <w:p w14:paraId="71911801">
      <w:pPr>
        <w:bidi w:val="0"/>
        <w:rPr>
          <w:rFonts w:hint="eastAsia" w:ascii="宋体" w:hAnsi="宋体" w:eastAsia="宋体" w:cs="宋体"/>
          <w:color w:val="auto"/>
          <w:kern w:val="2"/>
          <w:sz w:val="28"/>
          <w:szCs w:val="28"/>
          <w:highlight w:val="none"/>
          <w:lang w:val="en-US" w:eastAsia="zh-CN" w:bidi="ar-SA"/>
        </w:rPr>
      </w:pPr>
      <w:bookmarkStart w:id="86" w:name="_Toc15618"/>
      <w:r>
        <w:rPr>
          <w:rFonts w:hint="eastAsia" w:cs="宋体"/>
          <w:color w:val="auto"/>
          <w:kern w:val="2"/>
          <w:sz w:val="28"/>
          <w:szCs w:val="28"/>
          <w:highlight w:val="none"/>
          <w:lang w:val="en-US" w:eastAsia="zh-CN" w:bidi="ar-SA"/>
        </w:rPr>
        <w:t>(一)</w:t>
      </w:r>
      <w:r>
        <w:rPr>
          <w:rFonts w:hint="eastAsia" w:ascii="宋体" w:hAnsi="宋体" w:eastAsia="宋体" w:cs="宋体"/>
          <w:color w:val="auto"/>
          <w:kern w:val="2"/>
          <w:sz w:val="28"/>
          <w:szCs w:val="28"/>
          <w:highlight w:val="none"/>
          <w:lang w:val="en-US" w:eastAsia="zh-CN" w:bidi="ar-SA"/>
        </w:rPr>
        <w:t>加强项目事前评估。建议委托第三方对项目前期申报资金进行预算评审，加强项目事前必要的可行性研究、专家论证、风险评估、集体决策，从立项必要性、投入经济性、绩效目标合理性、实施方案可行性等方面对其进行的客观、公正的评估。</w:t>
      </w:r>
    </w:p>
    <w:p w14:paraId="36F0D24C">
      <w:pPr>
        <w:pStyle w:val="19"/>
        <w:snapToGrid w:val="0"/>
        <w:spacing w:line="540" w:lineRule="exact"/>
        <w:ind w:firstLine="560" w:firstLineChars="0"/>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（二）继续完善单位</w:t>
      </w:r>
      <w:r>
        <w:rPr>
          <w:rFonts w:hint="eastAsia" w:cs="宋体"/>
          <w:color w:val="auto"/>
          <w:kern w:val="2"/>
          <w:sz w:val="28"/>
          <w:szCs w:val="28"/>
          <w:highlight w:val="none"/>
          <w:lang w:val="en-US" w:eastAsia="zh-CN" w:bidi="ar-SA"/>
        </w:rPr>
        <w:t>项目</w:t>
      </w:r>
      <w:r>
        <w:rPr>
          <w:rFonts w:hint="eastAsia" w:ascii="宋体" w:hAnsi="宋体" w:eastAsia="宋体" w:cs="宋体"/>
          <w:color w:val="auto"/>
          <w:kern w:val="2"/>
          <w:sz w:val="28"/>
          <w:szCs w:val="28"/>
          <w:highlight w:val="none"/>
          <w:lang w:val="en-US" w:eastAsia="zh-CN" w:bidi="ar-SA"/>
        </w:rPr>
        <w:t>管理相关工作制度，定期对</w:t>
      </w:r>
      <w:r>
        <w:rPr>
          <w:rFonts w:hint="eastAsia" w:cs="宋体"/>
          <w:color w:val="auto"/>
          <w:kern w:val="2"/>
          <w:sz w:val="28"/>
          <w:szCs w:val="28"/>
          <w:highlight w:val="none"/>
          <w:lang w:val="en-US" w:eastAsia="zh-CN" w:bidi="ar-SA"/>
        </w:rPr>
        <w:t>项目相关人员</w:t>
      </w:r>
      <w:r>
        <w:rPr>
          <w:rFonts w:hint="eastAsia" w:ascii="宋体" w:hAnsi="宋体" w:eastAsia="宋体" w:cs="宋体"/>
          <w:color w:val="auto"/>
          <w:kern w:val="2"/>
          <w:sz w:val="28"/>
          <w:szCs w:val="28"/>
          <w:highlight w:val="none"/>
          <w:lang w:val="en-US" w:eastAsia="zh-CN" w:bidi="ar-SA"/>
        </w:rPr>
        <w:t>进行</w:t>
      </w:r>
      <w:r>
        <w:rPr>
          <w:rFonts w:hint="eastAsia" w:cs="宋体"/>
          <w:color w:val="auto"/>
          <w:kern w:val="2"/>
          <w:sz w:val="28"/>
          <w:szCs w:val="28"/>
          <w:highlight w:val="none"/>
          <w:lang w:val="en-US" w:eastAsia="zh-CN" w:bidi="ar-SA"/>
        </w:rPr>
        <w:t>培训</w:t>
      </w:r>
      <w:r>
        <w:rPr>
          <w:rFonts w:hint="eastAsia" w:ascii="宋体" w:hAnsi="宋体" w:eastAsia="宋体" w:cs="宋体"/>
          <w:color w:val="auto"/>
          <w:kern w:val="2"/>
          <w:sz w:val="28"/>
          <w:szCs w:val="28"/>
          <w:highlight w:val="none"/>
          <w:lang w:val="en-US" w:eastAsia="zh-CN" w:bidi="ar-SA"/>
        </w:rPr>
        <w:t>学习，更好的掌握</w:t>
      </w:r>
      <w:r>
        <w:rPr>
          <w:rFonts w:hint="eastAsia" w:cs="宋体"/>
          <w:color w:val="auto"/>
          <w:kern w:val="2"/>
          <w:sz w:val="28"/>
          <w:szCs w:val="28"/>
          <w:highlight w:val="none"/>
          <w:lang w:val="en-US" w:eastAsia="zh-CN" w:bidi="ar-SA"/>
        </w:rPr>
        <w:t>项目</w:t>
      </w:r>
      <w:r>
        <w:rPr>
          <w:rFonts w:hint="eastAsia" w:ascii="宋体" w:hAnsi="宋体" w:eastAsia="宋体" w:cs="宋体"/>
          <w:color w:val="auto"/>
          <w:kern w:val="2"/>
          <w:sz w:val="28"/>
          <w:szCs w:val="28"/>
          <w:highlight w:val="none"/>
          <w:lang w:val="en-US" w:eastAsia="zh-CN" w:bidi="ar-SA"/>
        </w:rPr>
        <w:t>全过程。</w:t>
      </w:r>
    </w:p>
    <w:p w14:paraId="535856CE">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八、其他需要说明的问题</w:t>
      </w:r>
      <w:bookmarkEnd w:id="86"/>
    </w:p>
    <w:p w14:paraId="655294A2">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14:paraId="74131B01">
      <w:pPr>
        <w:ind w:left="0" w:leftChars="0" w:firstLine="0" w:firstLineChars="0"/>
        <w:rPr>
          <w:rFonts w:hint="eastAsia" w:ascii="宋体" w:hAnsi="宋体" w:eastAsia="宋体" w:cs="宋体"/>
          <w:b/>
          <w:bCs/>
          <w:color w:val="auto"/>
          <w:kern w:val="2"/>
          <w:sz w:val="36"/>
          <w:szCs w:val="28"/>
          <w:highlight w:val="none"/>
          <w:lang w:val="en-US" w:eastAsia="zh-CN" w:bidi="ar-SA"/>
        </w:rPr>
      </w:pPr>
    </w:p>
    <w:p w14:paraId="2F82BFCD">
      <w:pPr>
        <w:rPr>
          <w:rFonts w:hint="eastAsia" w:ascii="宋体" w:hAnsi="宋体" w:eastAsia="宋体" w:cs="宋体"/>
          <w:b/>
          <w:bCs/>
          <w:color w:val="auto"/>
          <w:kern w:val="2"/>
          <w:sz w:val="36"/>
          <w:szCs w:val="28"/>
          <w:highlight w:val="none"/>
          <w:lang w:val="en-US" w:eastAsia="zh-CN" w:bidi="ar-SA"/>
        </w:rPr>
        <w:sectPr>
          <w:footerReference r:id="rId5" w:type="default"/>
          <w:pgSz w:w="11906" w:h="16838"/>
          <w:pgMar w:top="1440" w:right="1800" w:bottom="1440" w:left="1800" w:header="737" w:footer="851" w:gutter="0"/>
          <w:pgNumType w:fmt="decimal" w:start="1"/>
          <w:cols w:space="720" w:num="1"/>
          <w:docGrid w:type="lines" w:linePitch="408" w:charSpace="0"/>
        </w:sectPr>
      </w:pPr>
      <w:r>
        <w:rPr>
          <w:rFonts w:hint="eastAsia" w:ascii="宋体" w:hAnsi="宋体" w:eastAsia="宋体" w:cs="宋体"/>
          <w:b/>
          <w:bCs/>
          <w:color w:val="auto"/>
          <w:kern w:val="2"/>
          <w:sz w:val="36"/>
          <w:szCs w:val="28"/>
          <w:highlight w:val="none"/>
          <w:lang w:val="en-US" w:eastAsia="zh-CN" w:bidi="ar-SA"/>
        </w:rPr>
        <w:br w:type="page"/>
      </w:r>
    </w:p>
    <w:p w14:paraId="4457EC34">
      <w:pPr>
        <w:pStyle w:val="3"/>
        <w:pageBreakBefore w:val="0"/>
        <w:numPr>
          <w:ilvl w:val="0"/>
          <w:numId w:val="0"/>
        </w:numPr>
        <w:kinsoku/>
        <w:wordWrap/>
        <w:overflowPunct/>
        <w:topLinePunct w:val="0"/>
        <w:autoSpaceDE/>
        <w:autoSpaceDN/>
        <w:bidi w:val="0"/>
        <w:adjustRightInd/>
        <w:spacing w:beforeLines="0" w:afterLines="0" w:line="360" w:lineRule="auto"/>
        <w:textAlignment w:val="auto"/>
        <w:rPr>
          <w:color w:val="auto"/>
          <w:highlight w:val="none"/>
        </w:rPr>
      </w:pPr>
      <w:bookmarkStart w:id="87" w:name="_Toc11349"/>
      <w:r>
        <w:rPr>
          <w:rFonts w:hint="eastAsia" w:ascii="宋体" w:hAnsi="宋体" w:eastAsia="宋体" w:cs="宋体"/>
          <w:b/>
          <w:bCs/>
          <w:color w:val="auto"/>
          <w:highlight w:val="none"/>
          <w:shd w:val="clear" w:color="auto" w:fill="auto"/>
          <w:lang w:val="en-US" w:eastAsia="zh-CN"/>
        </w:rPr>
        <w:t>附件一、项目支出绩效自评表</w:t>
      </w:r>
      <w:bookmarkEnd w:id="87"/>
    </w:p>
    <w:tbl>
      <w:tblPr>
        <w:tblStyle w:val="12"/>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950"/>
        <w:gridCol w:w="950"/>
        <w:gridCol w:w="950"/>
        <w:gridCol w:w="950"/>
        <w:gridCol w:w="1240"/>
        <w:gridCol w:w="950"/>
        <w:gridCol w:w="950"/>
        <w:gridCol w:w="1047"/>
        <w:gridCol w:w="950"/>
        <w:gridCol w:w="950"/>
        <w:gridCol w:w="1144"/>
        <w:gridCol w:w="1144"/>
        <w:gridCol w:w="1048"/>
        <w:gridCol w:w="951"/>
      </w:tblGrid>
      <w:tr w14:paraId="38DBE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0" w:hRule="atLeast"/>
        </w:trPr>
        <w:tc>
          <w:tcPr>
            <w:tcW w:w="14174" w:type="dxa"/>
            <w:gridSpan w:val="14"/>
            <w:tcBorders>
              <w:top w:val="nil"/>
              <w:left w:val="nil"/>
              <w:bottom w:val="nil"/>
              <w:right w:val="nil"/>
            </w:tcBorders>
            <w:shd w:val="clear" w:color="auto" w:fill="auto"/>
            <w:vAlign w:val="center"/>
          </w:tcPr>
          <w:p w14:paraId="0B627041">
            <w:pPr>
              <w:keepNext w:val="0"/>
              <w:keepLines w:val="0"/>
              <w:widowControl/>
              <w:suppressLineNumbers w:val="0"/>
              <w:ind w:firstLine="643" w:firstLineChars="20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项目支出项目自评表</w:t>
            </w:r>
          </w:p>
        </w:tc>
      </w:tr>
      <w:tr w14:paraId="15145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cBorders>
            <w:shd w:val="clear" w:color="auto" w:fill="auto"/>
            <w:vAlign w:val="center"/>
          </w:tcPr>
          <w:p w14:paraId="3433E124">
            <w:pPr>
              <w:keepNext w:val="0"/>
              <w:keepLines w:val="0"/>
              <w:widowControl/>
              <w:suppressLineNumbers w:val="0"/>
              <w:ind w:firstLine="562" w:firstLineChars="20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（2023年度）</w:t>
            </w:r>
          </w:p>
        </w:tc>
      </w:tr>
      <w:tr w14:paraId="601C3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900" w:type="dxa"/>
            <w:gridSpan w:val="2"/>
            <w:tcBorders>
              <w:top w:val="single" w:color="auto" w:sz="4" w:space="0"/>
            </w:tcBorders>
            <w:shd w:val="clear" w:color="auto" w:fill="auto"/>
            <w:vAlign w:val="center"/>
          </w:tcPr>
          <w:p w14:paraId="689BA1A9">
            <w:pPr>
              <w:keepNext w:val="0"/>
              <w:keepLines w:val="0"/>
              <w:widowControl/>
              <w:suppressLineNumbers w:val="0"/>
              <w:ind w:firstLine="400"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274" w:type="dxa"/>
            <w:gridSpan w:val="12"/>
            <w:tcBorders>
              <w:top w:val="single" w:color="auto" w:sz="4" w:space="0"/>
            </w:tcBorders>
            <w:shd w:val="clear" w:color="auto" w:fill="auto"/>
            <w:vAlign w:val="center"/>
          </w:tcPr>
          <w:p w14:paraId="54FA3FD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新疆阜康市人民政府准东办事处-南华路社区新建充电棚项目工程款</w:t>
            </w:r>
          </w:p>
        </w:tc>
      </w:tr>
      <w:tr w14:paraId="288DE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900" w:type="dxa"/>
            <w:gridSpan w:val="2"/>
            <w:shd w:val="clear" w:color="auto" w:fill="auto"/>
            <w:vAlign w:val="center"/>
          </w:tcPr>
          <w:p w14:paraId="32B3B5A1">
            <w:pPr>
              <w:keepNext w:val="0"/>
              <w:keepLines w:val="0"/>
              <w:widowControl/>
              <w:suppressLineNumbers w:val="0"/>
              <w:ind w:firstLine="400"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040" w:type="dxa"/>
            <w:gridSpan w:val="5"/>
            <w:shd w:val="clear" w:color="auto" w:fill="auto"/>
            <w:vAlign w:val="center"/>
          </w:tcPr>
          <w:p w14:paraId="2AF553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新疆阜康市人民政府准东办事处</w:t>
            </w:r>
          </w:p>
        </w:tc>
        <w:tc>
          <w:tcPr>
            <w:tcW w:w="1997" w:type="dxa"/>
            <w:gridSpan w:val="2"/>
            <w:shd w:val="clear" w:color="auto" w:fill="auto"/>
            <w:vAlign w:val="center"/>
          </w:tcPr>
          <w:p w14:paraId="61288239">
            <w:pPr>
              <w:keepNext w:val="0"/>
              <w:keepLines w:val="0"/>
              <w:widowControl/>
              <w:suppressLineNumbers w:val="0"/>
              <w:ind w:firstLine="400"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237" w:type="dxa"/>
            <w:gridSpan w:val="5"/>
            <w:shd w:val="clear" w:color="auto" w:fill="auto"/>
            <w:vAlign w:val="center"/>
          </w:tcPr>
          <w:p w14:paraId="73F3134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新疆阜康市人民政府准东办事处</w:t>
            </w:r>
          </w:p>
        </w:tc>
      </w:tr>
      <w:tr w14:paraId="51E17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900" w:type="dxa"/>
            <w:gridSpan w:val="2"/>
            <w:vMerge w:val="restart"/>
            <w:shd w:val="clear" w:color="auto" w:fill="auto"/>
            <w:vAlign w:val="center"/>
          </w:tcPr>
          <w:p w14:paraId="071B4DDB">
            <w:pPr>
              <w:keepNext w:val="0"/>
              <w:keepLines w:val="0"/>
              <w:widowControl/>
              <w:suppressLineNumbers w:val="0"/>
              <w:ind w:firstLine="400"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900" w:type="dxa"/>
            <w:gridSpan w:val="2"/>
            <w:shd w:val="clear" w:color="auto" w:fill="auto"/>
            <w:vAlign w:val="center"/>
          </w:tcPr>
          <w:p w14:paraId="173C19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240" w:type="dxa"/>
            <w:shd w:val="clear" w:color="auto" w:fill="auto"/>
            <w:vAlign w:val="center"/>
          </w:tcPr>
          <w:p w14:paraId="78C9DD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900" w:type="dxa"/>
            <w:gridSpan w:val="2"/>
            <w:shd w:val="clear" w:color="auto" w:fill="auto"/>
            <w:vAlign w:val="center"/>
          </w:tcPr>
          <w:p w14:paraId="75F176C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997" w:type="dxa"/>
            <w:gridSpan w:val="2"/>
            <w:shd w:val="clear" w:color="auto" w:fill="auto"/>
            <w:vAlign w:val="center"/>
          </w:tcPr>
          <w:p w14:paraId="1F95236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094" w:type="dxa"/>
            <w:gridSpan w:val="2"/>
            <w:shd w:val="clear" w:color="auto" w:fill="auto"/>
            <w:vAlign w:val="center"/>
          </w:tcPr>
          <w:p w14:paraId="049B38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192" w:type="dxa"/>
            <w:gridSpan w:val="2"/>
            <w:shd w:val="clear" w:color="auto" w:fill="auto"/>
            <w:vAlign w:val="center"/>
          </w:tcPr>
          <w:p w14:paraId="138FD1F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951" w:type="dxa"/>
            <w:shd w:val="clear" w:color="auto" w:fill="auto"/>
            <w:vAlign w:val="center"/>
          </w:tcPr>
          <w:p w14:paraId="3712205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38634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1900" w:type="dxa"/>
            <w:gridSpan w:val="2"/>
            <w:vMerge w:val="continue"/>
            <w:shd w:val="clear" w:color="auto" w:fill="auto"/>
            <w:vAlign w:val="center"/>
          </w:tcPr>
          <w:p w14:paraId="457F8637">
            <w:pPr>
              <w:rPr>
                <w:rFonts w:hint="eastAsia" w:ascii="宋体" w:hAnsi="宋体" w:eastAsia="宋体" w:cs="宋体"/>
                <w:i w:val="0"/>
                <w:iCs w:val="0"/>
                <w:color w:val="000000"/>
                <w:sz w:val="20"/>
                <w:szCs w:val="20"/>
                <w:u w:val="none"/>
              </w:rPr>
            </w:pPr>
          </w:p>
        </w:tc>
        <w:tc>
          <w:tcPr>
            <w:tcW w:w="1900" w:type="dxa"/>
            <w:gridSpan w:val="2"/>
            <w:shd w:val="clear" w:color="auto" w:fill="auto"/>
            <w:vAlign w:val="center"/>
          </w:tcPr>
          <w:p w14:paraId="2EA30D9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240" w:type="dxa"/>
            <w:shd w:val="clear" w:color="auto" w:fill="auto"/>
            <w:vAlign w:val="center"/>
          </w:tcPr>
          <w:p w14:paraId="78FB059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23.00 </w:t>
            </w:r>
          </w:p>
        </w:tc>
        <w:tc>
          <w:tcPr>
            <w:tcW w:w="1900" w:type="dxa"/>
            <w:gridSpan w:val="2"/>
            <w:shd w:val="clear" w:color="auto" w:fill="auto"/>
            <w:vAlign w:val="center"/>
          </w:tcPr>
          <w:p w14:paraId="0344050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23.00 </w:t>
            </w:r>
          </w:p>
        </w:tc>
        <w:tc>
          <w:tcPr>
            <w:tcW w:w="1997" w:type="dxa"/>
            <w:gridSpan w:val="2"/>
            <w:shd w:val="clear" w:color="auto" w:fill="auto"/>
            <w:vAlign w:val="center"/>
          </w:tcPr>
          <w:p w14:paraId="2A1D0F0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23.00 </w:t>
            </w:r>
          </w:p>
        </w:tc>
        <w:tc>
          <w:tcPr>
            <w:tcW w:w="2094" w:type="dxa"/>
            <w:gridSpan w:val="2"/>
            <w:shd w:val="clear" w:color="auto" w:fill="auto"/>
            <w:vAlign w:val="center"/>
          </w:tcPr>
          <w:p w14:paraId="0D9DF4E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192" w:type="dxa"/>
            <w:gridSpan w:val="2"/>
            <w:shd w:val="clear" w:color="auto" w:fill="auto"/>
            <w:vAlign w:val="center"/>
          </w:tcPr>
          <w:p w14:paraId="4931BC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951" w:type="dxa"/>
            <w:shd w:val="clear" w:color="auto" w:fill="auto"/>
            <w:vAlign w:val="center"/>
          </w:tcPr>
          <w:p w14:paraId="5B7B3B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74278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1900" w:type="dxa"/>
            <w:gridSpan w:val="2"/>
            <w:vMerge w:val="continue"/>
            <w:shd w:val="clear" w:color="auto" w:fill="auto"/>
            <w:vAlign w:val="center"/>
          </w:tcPr>
          <w:p w14:paraId="581733A2">
            <w:pPr>
              <w:rPr>
                <w:rFonts w:hint="eastAsia" w:ascii="宋体" w:hAnsi="宋体" w:eastAsia="宋体" w:cs="宋体"/>
                <w:i w:val="0"/>
                <w:iCs w:val="0"/>
                <w:color w:val="000000"/>
                <w:sz w:val="20"/>
                <w:szCs w:val="20"/>
                <w:u w:val="none"/>
              </w:rPr>
            </w:pPr>
          </w:p>
        </w:tc>
        <w:tc>
          <w:tcPr>
            <w:tcW w:w="1900" w:type="dxa"/>
            <w:gridSpan w:val="2"/>
            <w:shd w:val="clear" w:color="auto" w:fill="auto"/>
            <w:vAlign w:val="center"/>
          </w:tcPr>
          <w:p w14:paraId="111C888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240" w:type="dxa"/>
            <w:shd w:val="clear" w:color="auto" w:fill="auto"/>
            <w:vAlign w:val="center"/>
          </w:tcPr>
          <w:p w14:paraId="0483BF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23.00 </w:t>
            </w:r>
          </w:p>
        </w:tc>
        <w:tc>
          <w:tcPr>
            <w:tcW w:w="1900" w:type="dxa"/>
            <w:gridSpan w:val="2"/>
            <w:shd w:val="clear" w:color="auto" w:fill="auto"/>
            <w:vAlign w:val="center"/>
          </w:tcPr>
          <w:p w14:paraId="206C711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23.00 </w:t>
            </w:r>
          </w:p>
        </w:tc>
        <w:tc>
          <w:tcPr>
            <w:tcW w:w="1997" w:type="dxa"/>
            <w:gridSpan w:val="2"/>
            <w:shd w:val="clear" w:color="auto" w:fill="auto"/>
            <w:vAlign w:val="center"/>
          </w:tcPr>
          <w:p w14:paraId="08D7090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23.00 </w:t>
            </w:r>
          </w:p>
        </w:tc>
        <w:tc>
          <w:tcPr>
            <w:tcW w:w="2094" w:type="dxa"/>
            <w:gridSpan w:val="2"/>
            <w:shd w:val="clear" w:color="auto" w:fill="auto"/>
            <w:vAlign w:val="center"/>
          </w:tcPr>
          <w:p w14:paraId="6019D3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192" w:type="dxa"/>
            <w:gridSpan w:val="2"/>
            <w:shd w:val="clear" w:color="auto" w:fill="auto"/>
            <w:vAlign w:val="center"/>
          </w:tcPr>
          <w:p w14:paraId="737E10B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1" w:type="dxa"/>
            <w:shd w:val="clear" w:color="auto" w:fill="auto"/>
            <w:vAlign w:val="center"/>
          </w:tcPr>
          <w:p w14:paraId="52327E6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7F062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900" w:type="dxa"/>
            <w:gridSpan w:val="2"/>
            <w:vMerge w:val="continue"/>
            <w:shd w:val="clear" w:color="auto" w:fill="auto"/>
            <w:vAlign w:val="center"/>
          </w:tcPr>
          <w:p w14:paraId="2B3CAB0F">
            <w:pPr>
              <w:rPr>
                <w:rFonts w:hint="eastAsia" w:ascii="宋体" w:hAnsi="宋体" w:eastAsia="宋体" w:cs="宋体"/>
                <w:i w:val="0"/>
                <w:iCs w:val="0"/>
                <w:color w:val="000000"/>
                <w:sz w:val="20"/>
                <w:szCs w:val="20"/>
                <w:u w:val="none"/>
              </w:rPr>
            </w:pPr>
          </w:p>
        </w:tc>
        <w:tc>
          <w:tcPr>
            <w:tcW w:w="1900" w:type="dxa"/>
            <w:gridSpan w:val="2"/>
            <w:shd w:val="clear" w:color="auto" w:fill="auto"/>
            <w:vAlign w:val="center"/>
          </w:tcPr>
          <w:p w14:paraId="2EAD011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240" w:type="dxa"/>
            <w:shd w:val="clear" w:color="auto" w:fill="auto"/>
            <w:vAlign w:val="center"/>
          </w:tcPr>
          <w:p w14:paraId="67FD440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00" w:type="dxa"/>
            <w:gridSpan w:val="2"/>
            <w:shd w:val="clear" w:color="auto" w:fill="auto"/>
            <w:vAlign w:val="center"/>
          </w:tcPr>
          <w:p w14:paraId="6B4582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97" w:type="dxa"/>
            <w:gridSpan w:val="2"/>
            <w:shd w:val="clear" w:color="auto" w:fill="auto"/>
            <w:vAlign w:val="center"/>
          </w:tcPr>
          <w:p w14:paraId="669CB5A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94" w:type="dxa"/>
            <w:gridSpan w:val="2"/>
            <w:shd w:val="clear" w:color="auto" w:fill="auto"/>
            <w:vAlign w:val="center"/>
          </w:tcPr>
          <w:p w14:paraId="46827D6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192" w:type="dxa"/>
            <w:gridSpan w:val="2"/>
            <w:shd w:val="clear" w:color="auto" w:fill="auto"/>
            <w:vAlign w:val="center"/>
          </w:tcPr>
          <w:p w14:paraId="2EA69E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1" w:type="dxa"/>
            <w:shd w:val="clear" w:color="auto" w:fill="auto"/>
            <w:vAlign w:val="center"/>
          </w:tcPr>
          <w:p w14:paraId="2B63EB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29DE5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950" w:type="dxa"/>
            <w:vMerge w:val="restart"/>
            <w:shd w:val="clear" w:color="auto" w:fill="auto"/>
            <w:vAlign w:val="center"/>
          </w:tcPr>
          <w:p w14:paraId="55FFDF10">
            <w:pPr>
              <w:keepNext w:val="0"/>
              <w:keepLines w:val="0"/>
              <w:widowControl/>
              <w:suppressLineNumbers w:val="0"/>
              <w:ind w:firstLine="400"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987" w:type="dxa"/>
            <w:gridSpan w:val="8"/>
            <w:shd w:val="clear" w:color="auto" w:fill="auto"/>
            <w:vAlign w:val="center"/>
          </w:tcPr>
          <w:p w14:paraId="7C8F27C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237" w:type="dxa"/>
            <w:gridSpan w:val="5"/>
            <w:shd w:val="clear" w:color="auto" w:fill="auto"/>
            <w:vAlign w:val="center"/>
          </w:tcPr>
          <w:p w14:paraId="6A7277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57E4A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20" w:hRule="atLeast"/>
        </w:trPr>
        <w:tc>
          <w:tcPr>
            <w:tcW w:w="950" w:type="dxa"/>
            <w:vMerge w:val="continue"/>
            <w:shd w:val="clear" w:color="auto" w:fill="auto"/>
            <w:vAlign w:val="center"/>
          </w:tcPr>
          <w:p w14:paraId="7D2FDC5E">
            <w:pPr>
              <w:rPr>
                <w:rFonts w:hint="eastAsia" w:ascii="宋体" w:hAnsi="宋体" w:eastAsia="宋体" w:cs="宋体"/>
                <w:i w:val="0"/>
                <w:iCs w:val="0"/>
                <w:color w:val="000000"/>
                <w:sz w:val="20"/>
                <w:szCs w:val="20"/>
                <w:u w:val="none"/>
              </w:rPr>
            </w:pPr>
          </w:p>
        </w:tc>
        <w:tc>
          <w:tcPr>
            <w:tcW w:w="7987" w:type="dxa"/>
            <w:gridSpan w:val="8"/>
            <w:shd w:val="clear" w:color="auto" w:fill="auto"/>
            <w:vAlign w:val="center"/>
          </w:tcPr>
          <w:p w14:paraId="0D1415C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职能：负责居民委员会的管理，指导居民委员会开展基层组织建设、制度建设和其它工作；配合有关部门做好妇幼保健工作；负责辖区内的社会治安综合治理、民事纠纷调解、民兵武装、法制宣传、帮教违法青少年和劳教刑满释放人员；负责辖区内民政、社会福利和救济保障、</w:t>
            </w:r>
            <w:r>
              <w:rPr>
                <w:rFonts w:hint="eastAsia" w:cs="宋体"/>
                <w:i w:val="0"/>
                <w:iCs w:val="0"/>
                <w:color w:val="000000"/>
                <w:kern w:val="0"/>
                <w:sz w:val="20"/>
                <w:szCs w:val="20"/>
                <w:u w:val="none"/>
                <w:lang w:val="en-US" w:eastAsia="zh-CN" w:bidi="ar"/>
              </w:rPr>
              <w:t>拥军优属</w:t>
            </w:r>
            <w:r>
              <w:rPr>
                <w:rFonts w:hint="eastAsia" w:ascii="宋体" w:hAnsi="宋体" w:eastAsia="宋体" w:cs="宋体"/>
                <w:i w:val="0"/>
                <w:iCs w:val="0"/>
                <w:color w:val="000000"/>
                <w:kern w:val="0"/>
                <w:sz w:val="20"/>
                <w:szCs w:val="20"/>
                <w:u w:val="none"/>
                <w:lang w:val="en-US" w:eastAsia="zh-CN" w:bidi="ar"/>
              </w:rPr>
              <w:t>、社区服务工作。2023目标：根据阜财预[2023]0215号文件精神，准东办事处为了</w:t>
            </w:r>
            <w:r>
              <w:rPr>
                <w:rFonts w:hint="eastAsia" w:cs="宋体"/>
                <w:i w:val="0"/>
                <w:iCs w:val="0"/>
                <w:color w:val="000000"/>
                <w:kern w:val="0"/>
                <w:sz w:val="20"/>
                <w:szCs w:val="20"/>
                <w:u w:val="none"/>
                <w:lang w:val="en-US" w:eastAsia="zh-CN" w:bidi="ar"/>
              </w:rPr>
              <w:t>深入贯彻落实习近平新时代中国特色社会主义思想</w:t>
            </w:r>
            <w:r>
              <w:rPr>
                <w:rFonts w:hint="eastAsia" w:ascii="宋体" w:hAnsi="宋体" w:eastAsia="宋体" w:cs="宋体"/>
                <w:i w:val="0"/>
                <w:iCs w:val="0"/>
                <w:color w:val="000000"/>
                <w:kern w:val="0"/>
                <w:sz w:val="20"/>
                <w:szCs w:val="20"/>
                <w:u w:val="none"/>
                <w:lang w:val="en-US" w:eastAsia="zh-CN" w:bidi="ar"/>
              </w:rPr>
              <w:t>，更好的解决群众关心关注的“微实事”，在六号公馆小区、滨河新居小区、有色家园小区安装电动车充电棚。</w:t>
            </w:r>
          </w:p>
        </w:tc>
        <w:tc>
          <w:tcPr>
            <w:tcW w:w="5237" w:type="dxa"/>
            <w:gridSpan w:val="5"/>
            <w:shd w:val="clear" w:color="auto" w:fill="auto"/>
            <w:vAlign w:val="center"/>
          </w:tcPr>
          <w:p w14:paraId="4E8E6FB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新疆阜康市人民政府准东办事处为了</w:t>
            </w:r>
            <w:r>
              <w:rPr>
                <w:rFonts w:hint="eastAsia" w:cs="宋体"/>
                <w:i w:val="0"/>
                <w:iCs w:val="0"/>
                <w:color w:val="000000"/>
                <w:kern w:val="0"/>
                <w:sz w:val="20"/>
                <w:szCs w:val="20"/>
                <w:u w:val="none"/>
                <w:lang w:val="en-US" w:eastAsia="zh-CN" w:bidi="ar"/>
              </w:rPr>
              <w:t>深入贯彻落实习近平新时代中国特色社会主义思想</w:t>
            </w:r>
            <w:r>
              <w:rPr>
                <w:rFonts w:hint="eastAsia" w:ascii="宋体" w:hAnsi="宋体" w:eastAsia="宋体" w:cs="宋体"/>
                <w:i w:val="0"/>
                <w:iCs w:val="0"/>
                <w:color w:val="000000"/>
                <w:kern w:val="0"/>
                <w:sz w:val="20"/>
                <w:szCs w:val="20"/>
                <w:u w:val="none"/>
                <w:lang w:val="en-US" w:eastAsia="zh-CN" w:bidi="ar"/>
              </w:rPr>
              <w:t>，更好的服务群众，解决群众关心关注的“微实事”，单位在六号公馆小区、滨河新居小区、有色家园小区安装电动车充电棚。截止2023年12月31日，完成三个小区充电车棚的安装。该项目于2022年8月开工，10月完工，施工及时率100%。预计投入23万元，实际投入23万元，金额分别是8万元、8.1万元、6.9万元，共计23万元。该项目已完工，验收合格率100%。通过本项目的实施，有效降低了飞线充电带来的安全隐患，充电棚的安装，更好满足了居民的充电需求，群众对充电棚项目的满意度95%。</w:t>
            </w:r>
          </w:p>
        </w:tc>
      </w:tr>
      <w:tr w14:paraId="34B61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40" w:hRule="atLeast"/>
        </w:trPr>
        <w:tc>
          <w:tcPr>
            <w:tcW w:w="950" w:type="dxa"/>
            <w:shd w:val="clear" w:color="auto" w:fill="auto"/>
            <w:vAlign w:val="center"/>
          </w:tcPr>
          <w:p w14:paraId="257F57A8">
            <w:pPr>
              <w:jc w:val="center"/>
              <w:rPr>
                <w:rFonts w:hint="eastAsia" w:ascii="宋体" w:hAnsi="宋体" w:eastAsia="宋体" w:cs="宋体"/>
                <w:i w:val="0"/>
                <w:iCs w:val="0"/>
                <w:color w:val="000000"/>
                <w:sz w:val="20"/>
                <w:szCs w:val="20"/>
                <w:u w:val="none"/>
              </w:rPr>
            </w:pPr>
          </w:p>
        </w:tc>
        <w:tc>
          <w:tcPr>
            <w:tcW w:w="950" w:type="dxa"/>
            <w:shd w:val="clear" w:color="auto" w:fill="auto"/>
            <w:vAlign w:val="center"/>
          </w:tcPr>
          <w:p w14:paraId="1C95A77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50" w:type="dxa"/>
            <w:shd w:val="clear" w:color="auto" w:fill="auto"/>
            <w:vAlign w:val="center"/>
          </w:tcPr>
          <w:p w14:paraId="2448133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950" w:type="dxa"/>
            <w:shd w:val="clear" w:color="auto" w:fill="auto"/>
            <w:vAlign w:val="center"/>
          </w:tcPr>
          <w:p w14:paraId="46A2AE7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240" w:type="dxa"/>
            <w:shd w:val="clear" w:color="auto" w:fill="auto"/>
            <w:vAlign w:val="center"/>
          </w:tcPr>
          <w:p w14:paraId="3939CB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950" w:type="dxa"/>
            <w:shd w:val="clear" w:color="auto" w:fill="auto"/>
            <w:vAlign w:val="center"/>
          </w:tcPr>
          <w:p w14:paraId="6DD909F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950" w:type="dxa"/>
            <w:shd w:val="clear" w:color="auto" w:fill="auto"/>
            <w:vAlign w:val="center"/>
          </w:tcPr>
          <w:p w14:paraId="1B92777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1047" w:type="dxa"/>
            <w:shd w:val="clear" w:color="auto" w:fill="auto"/>
            <w:vAlign w:val="center"/>
          </w:tcPr>
          <w:p w14:paraId="1F75D4A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50" w:type="dxa"/>
            <w:shd w:val="clear" w:color="auto" w:fill="auto"/>
            <w:vAlign w:val="center"/>
          </w:tcPr>
          <w:p w14:paraId="398E000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950" w:type="dxa"/>
            <w:shd w:val="clear" w:color="auto" w:fill="auto"/>
            <w:vAlign w:val="center"/>
          </w:tcPr>
          <w:p w14:paraId="37F2919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144" w:type="dxa"/>
            <w:shd w:val="clear" w:color="auto" w:fill="auto"/>
            <w:vAlign w:val="center"/>
          </w:tcPr>
          <w:p w14:paraId="3B1282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144" w:type="dxa"/>
            <w:shd w:val="clear" w:color="auto" w:fill="auto"/>
            <w:vAlign w:val="center"/>
          </w:tcPr>
          <w:p w14:paraId="48BC31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1048" w:type="dxa"/>
            <w:shd w:val="clear" w:color="auto" w:fill="auto"/>
            <w:vAlign w:val="center"/>
          </w:tcPr>
          <w:p w14:paraId="32EE71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951" w:type="dxa"/>
            <w:shd w:val="clear" w:color="auto" w:fill="auto"/>
            <w:vAlign w:val="center"/>
          </w:tcPr>
          <w:p w14:paraId="23AD9B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3BCC0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950" w:type="dxa"/>
            <w:vMerge w:val="restart"/>
            <w:shd w:val="clear" w:color="auto" w:fill="auto"/>
            <w:vAlign w:val="center"/>
          </w:tcPr>
          <w:p w14:paraId="17AE29E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950" w:type="dxa"/>
            <w:vMerge w:val="restart"/>
            <w:shd w:val="clear" w:color="auto" w:fill="auto"/>
            <w:vAlign w:val="center"/>
          </w:tcPr>
          <w:p w14:paraId="2F3F2BF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50" w:type="dxa"/>
            <w:shd w:val="clear" w:color="auto" w:fill="auto"/>
            <w:vAlign w:val="center"/>
          </w:tcPr>
          <w:p w14:paraId="50874F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950" w:type="dxa"/>
            <w:shd w:val="clear" w:color="auto" w:fill="auto"/>
            <w:vAlign w:val="center"/>
          </w:tcPr>
          <w:p w14:paraId="603372B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充电车棚</w:t>
            </w:r>
          </w:p>
        </w:tc>
        <w:tc>
          <w:tcPr>
            <w:tcW w:w="1240" w:type="dxa"/>
            <w:shd w:val="clear" w:color="auto" w:fill="auto"/>
            <w:vAlign w:val="center"/>
          </w:tcPr>
          <w:p w14:paraId="2B00BF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=3个</w:t>
            </w:r>
          </w:p>
        </w:tc>
        <w:tc>
          <w:tcPr>
            <w:tcW w:w="950" w:type="dxa"/>
            <w:shd w:val="clear" w:color="auto" w:fill="auto"/>
            <w:vAlign w:val="center"/>
          </w:tcPr>
          <w:p w14:paraId="138141A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50" w:type="dxa"/>
            <w:shd w:val="clear" w:color="auto" w:fill="auto"/>
            <w:vAlign w:val="center"/>
          </w:tcPr>
          <w:p w14:paraId="22A6DD8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7" w:type="dxa"/>
            <w:shd w:val="clear" w:color="auto" w:fill="auto"/>
            <w:vAlign w:val="center"/>
          </w:tcPr>
          <w:p w14:paraId="558E41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50" w:type="dxa"/>
            <w:shd w:val="clear" w:color="auto" w:fill="auto"/>
            <w:vAlign w:val="center"/>
          </w:tcPr>
          <w:p w14:paraId="19186F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950" w:type="dxa"/>
            <w:shd w:val="clear" w:color="auto" w:fill="auto"/>
            <w:vAlign w:val="center"/>
          </w:tcPr>
          <w:p w14:paraId="67F4AB2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44" w:type="dxa"/>
            <w:shd w:val="clear" w:color="auto" w:fill="auto"/>
            <w:vAlign w:val="center"/>
          </w:tcPr>
          <w:p w14:paraId="7DE087D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3个</w:t>
            </w:r>
          </w:p>
        </w:tc>
        <w:tc>
          <w:tcPr>
            <w:tcW w:w="1144" w:type="dxa"/>
            <w:shd w:val="clear" w:color="auto" w:fill="auto"/>
            <w:vAlign w:val="center"/>
          </w:tcPr>
          <w:p w14:paraId="2D62641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8" w:type="dxa"/>
            <w:shd w:val="clear" w:color="auto" w:fill="auto"/>
            <w:vAlign w:val="center"/>
          </w:tcPr>
          <w:p w14:paraId="01B383E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51" w:type="dxa"/>
            <w:shd w:val="clear" w:color="auto" w:fill="auto"/>
            <w:vAlign w:val="center"/>
          </w:tcPr>
          <w:p w14:paraId="2C3F24B7">
            <w:pPr>
              <w:jc w:val="center"/>
              <w:rPr>
                <w:rFonts w:hint="eastAsia" w:ascii="宋体" w:hAnsi="宋体" w:eastAsia="宋体" w:cs="宋体"/>
                <w:i w:val="0"/>
                <w:iCs w:val="0"/>
                <w:color w:val="000000"/>
                <w:sz w:val="20"/>
                <w:szCs w:val="20"/>
                <w:u w:val="none"/>
              </w:rPr>
            </w:pPr>
          </w:p>
        </w:tc>
      </w:tr>
      <w:tr w14:paraId="016A3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20" w:hRule="atLeast"/>
        </w:trPr>
        <w:tc>
          <w:tcPr>
            <w:tcW w:w="950" w:type="dxa"/>
            <w:vMerge w:val="continue"/>
            <w:shd w:val="clear" w:color="auto" w:fill="auto"/>
            <w:vAlign w:val="center"/>
          </w:tcPr>
          <w:p w14:paraId="405EBF2D">
            <w:pPr>
              <w:jc w:val="center"/>
              <w:rPr>
                <w:rFonts w:hint="eastAsia" w:ascii="宋体" w:hAnsi="宋体" w:eastAsia="宋体" w:cs="宋体"/>
                <w:i w:val="0"/>
                <w:iCs w:val="0"/>
                <w:color w:val="000000"/>
                <w:sz w:val="20"/>
                <w:szCs w:val="20"/>
                <w:u w:val="none"/>
              </w:rPr>
            </w:pPr>
          </w:p>
        </w:tc>
        <w:tc>
          <w:tcPr>
            <w:tcW w:w="950" w:type="dxa"/>
            <w:vMerge w:val="continue"/>
            <w:shd w:val="clear" w:color="auto" w:fill="auto"/>
            <w:vAlign w:val="center"/>
          </w:tcPr>
          <w:p w14:paraId="6133FA12">
            <w:pPr>
              <w:jc w:val="center"/>
              <w:rPr>
                <w:rFonts w:hint="eastAsia" w:ascii="宋体" w:hAnsi="宋体" w:eastAsia="宋体" w:cs="宋体"/>
                <w:i w:val="0"/>
                <w:iCs w:val="0"/>
                <w:color w:val="000000"/>
                <w:sz w:val="20"/>
                <w:szCs w:val="20"/>
                <w:u w:val="none"/>
              </w:rPr>
            </w:pPr>
          </w:p>
        </w:tc>
        <w:tc>
          <w:tcPr>
            <w:tcW w:w="950" w:type="dxa"/>
            <w:shd w:val="clear" w:color="auto" w:fill="auto"/>
            <w:vAlign w:val="center"/>
          </w:tcPr>
          <w:p w14:paraId="58877BD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950" w:type="dxa"/>
            <w:shd w:val="clear" w:color="auto" w:fill="auto"/>
            <w:vAlign w:val="center"/>
          </w:tcPr>
          <w:p w14:paraId="2E2174B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项目质量验收合格率</w:t>
            </w:r>
          </w:p>
        </w:tc>
        <w:tc>
          <w:tcPr>
            <w:tcW w:w="1240" w:type="dxa"/>
            <w:shd w:val="clear" w:color="auto" w:fill="auto"/>
            <w:vAlign w:val="center"/>
          </w:tcPr>
          <w:p w14:paraId="28C094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50" w:type="dxa"/>
            <w:shd w:val="clear" w:color="auto" w:fill="auto"/>
            <w:vAlign w:val="center"/>
          </w:tcPr>
          <w:p w14:paraId="4C2ED3E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50" w:type="dxa"/>
            <w:shd w:val="clear" w:color="auto" w:fill="auto"/>
            <w:vAlign w:val="center"/>
          </w:tcPr>
          <w:p w14:paraId="4429AE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7" w:type="dxa"/>
            <w:shd w:val="clear" w:color="auto" w:fill="auto"/>
            <w:vAlign w:val="center"/>
          </w:tcPr>
          <w:p w14:paraId="101E295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50" w:type="dxa"/>
            <w:shd w:val="clear" w:color="auto" w:fill="auto"/>
            <w:vAlign w:val="center"/>
          </w:tcPr>
          <w:p w14:paraId="66A6FB2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950" w:type="dxa"/>
            <w:shd w:val="clear" w:color="auto" w:fill="auto"/>
            <w:vAlign w:val="center"/>
          </w:tcPr>
          <w:p w14:paraId="7170FAA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44" w:type="dxa"/>
            <w:shd w:val="clear" w:color="auto" w:fill="auto"/>
            <w:vAlign w:val="center"/>
          </w:tcPr>
          <w:p w14:paraId="419BEBE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44" w:type="dxa"/>
            <w:shd w:val="clear" w:color="auto" w:fill="auto"/>
            <w:vAlign w:val="center"/>
          </w:tcPr>
          <w:p w14:paraId="013420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8" w:type="dxa"/>
            <w:shd w:val="clear" w:color="auto" w:fill="auto"/>
            <w:vAlign w:val="center"/>
          </w:tcPr>
          <w:p w14:paraId="3BBA9C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51" w:type="dxa"/>
            <w:shd w:val="clear" w:color="auto" w:fill="auto"/>
            <w:vAlign w:val="center"/>
          </w:tcPr>
          <w:p w14:paraId="2445099A">
            <w:pPr>
              <w:jc w:val="center"/>
              <w:rPr>
                <w:rFonts w:hint="eastAsia" w:ascii="宋体" w:hAnsi="宋体" w:eastAsia="宋体" w:cs="宋体"/>
                <w:i w:val="0"/>
                <w:iCs w:val="0"/>
                <w:color w:val="000000"/>
                <w:sz w:val="20"/>
                <w:szCs w:val="20"/>
                <w:u w:val="none"/>
              </w:rPr>
            </w:pPr>
          </w:p>
        </w:tc>
      </w:tr>
      <w:tr w14:paraId="3282E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950" w:type="dxa"/>
            <w:vMerge w:val="continue"/>
            <w:shd w:val="clear" w:color="auto" w:fill="auto"/>
            <w:vAlign w:val="center"/>
          </w:tcPr>
          <w:p w14:paraId="2585DE3D">
            <w:pPr>
              <w:jc w:val="center"/>
              <w:rPr>
                <w:rFonts w:hint="eastAsia" w:ascii="宋体" w:hAnsi="宋体" w:eastAsia="宋体" w:cs="宋体"/>
                <w:i w:val="0"/>
                <w:iCs w:val="0"/>
                <w:color w:val="000000"/>
                <w:sz w:val="20"/>
                <w:szCs w:val="20"/>
                <w:u w:val="none"/>
              </w:rPr>
            </w:pPr>
          </w:p>
        </w:tc>
        <w:tc>
          <w:tcPr>
            <w:tcW w:w="950" w:type="dxa"/>
            <w:vMerge w:val="continue"/>
            <w:shd w:val="clear" w:color="auto" w:fill="auto"/>
            <w:vAlign w:val="center"/>
          </w:tcPr>
          <w:p w14:paraId="0B50C517">
            <w:pPr>
              <w:jc w:val="center"/>
              <w:rPr>
                <w:rFonts w:hint="eastAsia" w:ascii="宋体" w:hAnsi="宋体" w:eastAsia="宋体" w:cs="宋体"/>
                <w:i w:val="0"/>
                <w:iCs w:val="0"/>
                <w:color w:val="000000"/>
                <w:sz w:val="20"/>
                <w:szCs w:val="20"/>
                <w:u w:val="none"/>
              </w:rPr>
            </w:pPr>
          </w:p>
        </w:tc>
        <w:tc>
          <w:tcPr>
            <w:tcW w:w="950" w:type="dxa"/>
            <w:vMerge w:val="restart"/>
            <w:shd w:val="clear" w:color="auto" w:fill="auto"/>
            <w:vAlign w:val="center"/>
          </w:tcPr>
          <w:p w14:paraId="7AF415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950" w:type="dxa"/>
            <w:shd w:val="clear" w:color="auto" w:fill="auto"/>
            <w:vAlign w:val="center"/>
          </w:tcPr>
          <w:p w14:paraId="0016953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施工及时率</w:t>
            </w:r>
          </w:p>
        </w:tc>
        <w:tc>
          <w:tcPr>
            <w:tcW w:w="1240" w:type="dxa"/>
            <w:shd w:val="clear" w:color="auto" w:fill="auto"/>
            <w:vAlign w:val="center"/>
          </w:tcPr>
          <w:p w14:paraId="10A0FC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50" w:type="dxa"/>
            <w:shd w:val="clear" w:color="auto" w:fill="auto"/>
            <w:vAlign w:val="center"/>
          </w:tcPr>
          <w:p w14:paraId="60336D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50" w:type="dxa"/>
            <w:shd w:val="clear" w:color="auto" w:fill="auto"/>
            <w:vAlign w:val="center"/>
          </w:tcPr>
          <w:p w14:paraId="179914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7" w:type="dxa"/>
            <w:shd w:val="clear" w:color="auto" w:fill="auto"/>
            <w:vAlign w:val="center"/>
          </w:tcPr>
          <w:p w14:paraId="1385A7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50" w:type="dxa"/>
            <w:shd w:val="clear" w:color="auto" w:fill="auto"/>
            <w:vAlign w:val="center"/>
          </w:tcPr>
          <w:p w14:paraId="7488D5C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950" w:type="dxa"/>
            <w:shd w:val="clear" w:color="auto" w:fill="auto"/>
            <w:vAlign w:val="center"/>
          </w:tcPr>
          <w:p w14:paraId="63490C0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144" w:type="dxa"/>
            <w:shd w:val="clear" w:color="auto" w:fill="auto"/>
            <w:vAlign w:val="center"/>
          </w:tcPr>
          <w:p w14:paraId="586A18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44" w:type="dxa"/>
            <w:shd w:val="clear" w:color="auto" w:fill="auto"/>
            <w:vAlign w:val="center"/>
          </w:tcPr>
          <w:p w14:paraId="5107ABB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8" w:type="dxa"/>
            <w:shd w:val="clear" w:color="auto" w:fill="auto"/>
            <w:vAlign w:val="center"/>
          </w:tcPr>
          <w:p w14:paraId="2B77188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51" w:type="dxa"/>
            <w:shd w:val="clear" w:color="auto" w:fill="auto"/>
            <w:vAlign w:val="center"/>
          </w:tcPr>
          <w:p w14:paraId="499E1EE4">
            <w:pPr>
              <w:jc w:val="center"/>
              <w:rPr>
                <w:rFonts w:hint="eastAsia" w:ascii="宋体" w:hAnsi="宋体" w:eastAsia="宋体" w:cs="宋体"/>
                <w:i w:val="0"/>
                <w:iCs w:val="0"/>
                <w:color w:val="000000"/>
                <w:sz w:val="20"/>
                <w:szCs w:val="20"/>
                <w:u w:val="none"/>
              </w:rPr>
            </w:pPr>
          </w:p>
        </w:tc>
      </w:tr>
      <w:tr w14:paraId="75616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950" w:type="dxa"/>
            <w:vMerge w:val="continue"/>
            <w:shd w:val="clear" w:color="auto" w:fill="auto"/>
            <w:vAlign w:val="center"/>
          </w:tcPr>
          <w:p w14:paraId="07A518A0">
            <w:pPr>
              <w:jc w:val="center"/>
              <w:rPr>
                <w:rFonts w:hint="eastAsia" w:ascii="宋体" w:hAnsi="宋体" w:eastAsia="宋体" w:cs="宋体"/>
                <w:i w:val="0"/>
                <w:iCs w:val="0"/>
                <w:color w:val="000000"/>
                <w:sz w:val="20"/>
                <w:szCs w:val="20"/>
                <w:u w:val="none"/>
              </w:rPr>
            </w:pPr>
          </w:p>
        </w:tc>
        <w:tc>
          <w:tcPr>
            <w:tcW w:w="950" w:type="dxa"/>
            <w:vMerge w:val="continue"/>
            <w:shd w:val="clear" w:color="auto" w:fill="auto"/>
            <w:vAlign w:val="center"/>
          </w:tcPr>
          <w:p w14:paraId="4D746E9D">
            <w:pPr>
              <w:jc w:val="center"/>
              <w:rPr>
                <w:rFonts w:hint="eastAsia" w:ascii="宋体" w:hAnsi="宋体" w:eastAsia="宋体" w:cs="宋体"/>
                <w:i w:val="0"/>
                <w:iCs w:val="0"/>
                <w:color w:val="000000"/>
                <w:sz w:val="20"/>
                <w:szCs w:val="20"/>
                <w:u w:val="none"/>
              </w:rPr>
            </w:pPr>
          </w:p>
        </w:tc>
        <w:tc>
          <w:tcPr>
            <w:tcW w:w="950" w:type="dxa"/>
            <w:vMerge w:val="continue"/>
            <w:shd w:val="clear" w:color="auto" w:fill="auto"/>
            <w:vAlign w:val="center"/>
          </w:tcPr>
          <w:p w14:paraId="17BA23F7">
            <w:pPr>
              <w:jc w:val="center"/>
              <w:rPr>
                <w:rFonts w:hint="eastAsia" w:ascii="宋体" w:hAnsi="宋体" w:eastAsia="宋体" w:cs="宋体"/>
                <w:i w:val="0"/>
                <w:iCs w:val="0"/>
                <w:color w:val="000000"/>
                <w:sz w:val="20"/>
                <w:szCs w:val="20"/>
                <w:u w:val="none"/>
              </w:rPr>
            </w:pPr>
          </w:p>
        </w:tc>
        <w:tc>
          <w:tcPr>
            <w:tcW w:w="950" w:type="dxa"/>
            <w:shd w:val="clear" w:color="auto" w:fill="auto"/>
            <w:vAlign w:val="center"/>
          </w:tcPr>
          <w:p w14:paraId="799155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项目起止时间</w:t>
            </w:r>
          </w:p>
        </w:tc>
        <w:tc>
          <w:tcPr>
            <w:tcW w:w="1240" w:type="dxa"/>
            <w:shd w:val="clear" w:color="auto" w:fill="auto"/>
            <w:vAlign w:val="center"/>
          </w:tcPr>
          <w:p w14:paraId="073754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2022年8月-10月</w:t>
            </w:r>
          </w:p>
        </w:tc>
        <w:tc>
          <w:tcPr>
            <w:tcW w:w="950" w:type="dxa"/>
            <w:shd w:val="clear" w:color="auto" w:fill="auto"/>
            <w:vAlign w:val="center"/>
          </w:tcPr>
          <w:p w14:paraId="4518F0C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50" w:type="dxa"/>
            <w:shd w:val="clear" w:color="auto" w:fill="auto"/>
            <w:vAlign w:val="center"/>
          </w:tcPr>
          <w:p w14:paraId="32C4A5C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7" w:type="dxa"/>
            <w:shd w:val="clear" w:color="auto" w:fill="auto"/>
            <w:vAlign w:val="center"/>
          </w:tcPr>
          <w:p w14:paraId="54D8C2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50" w:type="dxa"/>
            <w:shd w:val="clear" w:color="auto" w:fill="auto"/>
            <w:vAlign w:val="center"/>
          </w:tcPr>
          <w:p w14:paraId="49015B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950" w:type="dxa"/>
            <w:shd w:val="clear" w:color="auto" w:fill="auto"/>
            <w:vAlign w:val="center"/>
          </w:tcPr>
          <w:p w14:paraId="0D7778F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144" w:type="dxa"/>
            <w:shd w:val="clear" w:color="auto" w:fill="auto"/>
            <w:vAlign w:val="center"/>
          </w:tcPr>
          <w:p w14:paraId="56D0760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2022年8月-10月</w:t>
            </w:r>
          </w:p>
        </w:tc>
        <w:tc>
          <w:tcPr>
            <w:tcW w:w="1144" w:type="dxa"/>
            <w:shd w:val="clear" w:color="auto" w:fill="auto"/>
            <w:vAlign w:val="center"/>
          </w:tcPr>
          <w:p w14:paraId="557108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8" w:type="dxa"/>
            <w:shd w:val="clear" w:color="auto" w:fill="auto"/>
            <w:vAlign w:val="center"/>
          </w:tcPr>
          <w:p w14:paraId="48FED83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51" w:type="dxa"/>
            <w:shd w:val="clear" w:color="auto" w:fill="auto"/>
            <w:vAlign w:val="center"/>
          </w:tcPr>
          <w:p w14:paraId="26FCA633">
            <w:pPr>
              <w:jc w:val="center"/>
              <w:rPr>
                <w:rFonts w:hint="eastAsia" w:ascii="宋体" w:hAnsi="宋体" w:eastAsia="宋体" w:cs="宋体"/>
                <w:i w:val="0"/>
                <w:iCs w:val="0"/>
                <w:color w:val="000000"/>
                <w:sz w:val="20"/>
                <w:szCs w:val="20"/>
                <w:u w:val="none"/>
              </w:rPr>
            </w:pPr>
          </w:p>
        </w:tc>
      </w:tr>
      <w:tr w14:paraId="4B284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950" w:type="dxa"/>
            <w:vMerge w:val="continue"/>
            <w:shd w:val="clear" w:color="auto" w:fill="auto"/>
            <w:vAlign w:val="center"/>
          </w:tcPr>
          <w:p w14:paraId="31418BD5">
            <w:pPr>
              <w:jc w:val="center"/>
              <w:rPr>
                <w:rFonts w:hint="eastAsia" w:ascii="宋体" w:hAnsi="宋体" w:eastAsia="宋体" w:cs="宋体"/>
                <w:i w:val="0"/>
                <w:iCs w:val="0"/>
                <w:color w:val="000000"/>
                <w:sz w:val="20"/>
                <w:szCs w:val="20"/>
                <w:u w:val="none"/>
              </w:rPr>
            </w:pPr>
          </w:p>
        </w:tc>
        <w:tc>
          <w:tcPr>
            <w:tcW w:w="950" w:type="dxa"/>
            <w:vMerge w:val="restart"/>
            <w:shd w:val="clear" w:color="auto" w:fill="auto"/>
            <w:vAlign w:val="center"/>
          </w:tcPr>
          <w:p w14:paraId="19B7AB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950" w:type="dxa"/>
            <w:vMerge w:val="restart"/>
            <w:shd w:val="clear" w:color="auto" w:fill="auto"/>
            <w:vAlign w:val="center"/>
          </w:tcPr>
          <w:p w14:paraId="0CDE8E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950" w:type="dxa"/>
            <w:shd w:val="clear" w:color="auto" w:fill="auto"/>
            <w:vAlign w:val="center"/>
          </w:tcPr>
          <w:p w14:paraId="41DCA44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六号公馆小区充电车棚费用</w:t>
            </w:r>
          </w:p>
        </w:tc>
        <w:tc>
          <w:tcPr>
            <w:tcW w:w="1240" w:type="dxa"/>
            <w:shd w:val="clear" w:color="auto" w:fill="auto"/>
            <w:vAlign w:val="center"/>
          </w:tcPr>
          <w:p w14:paraId="45DDB7E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≤8万元</w:t>
            </w:r>
          </w:p>
        </w:tc>
        <w:tc>
          <w:tcPr>
            <w:tcW w:w="950" w:type="dxa"/>
            <w:shd w:val="clear" w:color="auto" w:fill="auto"/>
            <w:vAlign w:val="center"/>
          </w:tcPr>
          <w:p w14:paraId="242ACC2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950" w:type="dxa"/>
            <w:shd w:val="clear" w:color="auto" w:fill="auto"/>
            <w:vAlign w:val="center"/>
          </w:tcPr>
          <w:p w14:paraId="72F968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7" w:type="dxa"/>
            <w:shd w:val="clear" w:color="auto" w:fill="auto"/>
            <w:vAlign w:val="center"/>
          </w:tcPr>
          <w:p w14:paraId="790B246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50" w:type="dxa"/>
            <w:shd w:val="clear" w:color="auto" w:fill="auto"/>
            <w:vAlign w:val="center"/>
          </w:tcPr>
          <w:p w14:paraId="1D3BAD9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950" w:type="dxa"/>
            <w:shd w:val="clear" w:color="auto" w:fill="auto"/>
            <w:vAlign w:val="center"/>
          </w:tcPr>
          <w:p w14:paraId="50A21F2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144" w:type="dxa"/>
            <w:shd w:val="clear" w:color="auto" w:fill="auto"/>
            <w:vAlign w:val="center"/>
          </w:tcPr>
          <w:p w14:paraId="3164D6C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8万元</w:t>
            </w:r>
          </w:p>
        </w:tc>
        <w:tc>
          <w:tcPr>
            <w:tcW w:w="1144" w:type="dxa"/>
            <w:shd w:val="clear" w:color="auto" w:fill="auto"/>
            <w:vAlign w:val="center"/>
          </w:tcPr>
          <w:p w14:paraId="2430BD1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8" w:type="dxa"/>
            <w:shd w:val="clear" w:color="auto" w:fill="auto"/>
            <w:vAlign w:val="center"/>
          </w:tcPr>
          <w:p w14:paraId="792EDD1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51" w:type="dxa"/>
            <w:shd w:val="clear" w:color="auto" w:fill="auto"/>
            <w:vAlign w:val="center"/>
          </w:tcPr>
          <w:p w14:paraId="78EB1B00">
            <w:pPr>
              <w:jc w:val="center"/>
              <w:rPr>
                <w:rFonts w:hint="eastAsia" w:ascii="宋体" w:hAnsi="宋体" w:eastAsia="宋体" w:cs="宋体"/>
                <w:i w:val="0"/>
                <w:iCs w:val="0"/>
                <w:color w:val="000000"/>
                <w:sz w:val="20"/>
                <w:szCs w:val="20"/>
                <w:u w:val="none"/>
              </w:rPr>
            </w:pPr>
          </w:p>
        </w:tc>
      </w:tr>
      <w:tr w14:paraId="6EFDB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950" w:type="dxa"/>
            <w:vMerge w:val="continue"/>
            <w:shd w:val="clear" w:color="auto" w:fill="auto"/>
            <w:vAlign w:val="center"/>
          </w:tcPr>
          <w:p w14:paraId="0B4BB513">
            <w:pPr>
              <w:jc w:val="center"/>
              <w:rPr>
                <w:rFonts w:hint="eastAsia" w:ascii="宋体" w:hAnsi="宋体" w:eastAsia="宋体" w:cs="宋体"/>
                <w:i w:val="0"/>
                <w:iCs w:val="0"/>
                <w:color w:val="000000"/>
                <w:sz w:val="20"/>
                <w:szCs w:val="20"/>
                <w:u w:val="none"/>
              </w:rPr>
            </w:pPr>
          </w:p>
        </w:tc>
        <w:tc>
          <w:tcPr>
            <w:tcW w:w="950" w:type="dxa"/>
            <w:vMerge w:val="continue"/>
            <w:shd w:val="clear" w:color="auto" w:fill="auto"/>
            <w:vAlign w:val="center"/>
          </w:tcPr>
          <w:p w14:paraId="08FEDA74">
            <w:pPr>
              <w:jc w:val="center"/>
              <w:rPr>
                <w:rFonts w:hint="eastAsia" w:ascii="宋体" w:hAnsi="宋体" w:eastAsia="宋体" w:cs="宋体"/>
                <w:i w:val="0"/>
                <w:iCs w:val="0"/>
                <w:color w:val="000000"/>
                <w:sz w:val="20"/>
                <w:szCs w:val="20"/>
                <w:u w:val="none"/>
              </w:rPr>
            </w:pPr>
          </w:p>
        </w:tc>
        <w:tc>
          <w:tcPr>
            <w:tcW w:w="950" w:type="dxa"/>
            <w:vMerge w:val="continue"/>
            <w:shd w:val="clear" w:color="auto" w:fill="auto"/>
            <w:vAlign w:val="center"/>
          </w:tcPr>
          <w:p w14:paraId="3D22649F">
            <w:pPr>
              <w:jc w:val="center"/>
              <w:rPr>
                <w:rFonts w:hint="eastAsia" w:ascii="宋体" w:hAnsi="宋体" w:eastAsia="宋体" w:cs="宋体"/>
                <w:i w:val="0"/>
                <w:iCs w:val="0"/>
                <w:color w:val="000000"/>
                <w:sz w:val="20"/>
                <w:szCs w:val="20"/>
                <w:u w:val="none"/>
              </w:rPr>
            </w:pPr>
          </w:p>
        </w:tc>
        <w:tc>
          <w:tcPr>
            <w:tcW w:w="950" w:type="dxa"/>
            <w:shd w:val="clear" w:color="auto" w:fill="auto"/>
            <w:vAlign w:val="center"/>
          </w:tcPr>
          <w:p w14:paraId="4AE434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滨河新居小区充电车棚费用</w:t>
            </w:r>
          </w:p>
        </w:tc>
        <w:tc>
          <w:tcPr>
            <w:tcW w:w="1240" w:type="dxa"/>
            <w:shd w:val="clear" w:color="auto" w:fill="auto"/>
            <w:vAlign w:val="center"/>
          </w:tcPr>
          <w:p w14:paraId="09EBBD5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≤8.1万元</w:t>
            </w:r>
          </w:p>
        </w:tc>
        <w:tc>
          <w:tcPr>
            <w:tcW w:w="950" w:type="dxa"/>
            <w:shd w:val="clear" w:color="auto" w:fill="auto"/>
            <w:vAlign w:val="center"/>
          </w:tcPr>
          <w:p w14:paraId="50FA30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950" w:type="dxa"/>
            <w:shd w:val="clear" w:color="auto" w:fill="auto"/>
            <w:vAlign w:val="center"/>
          </w:tcPr>
          <w:p w14:paraId="51D7053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7" w:type="dxa"/>
            <w:shd w:val="clear" w:color="auto" w:fill="auto"/>
            <w:vAlign w:val="center"/>
          </w:tcPr>
          <w:p w14:paraId="19200F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50" w:type="dxa"/>
            <w:shd w:val="clear" w:color="auto" w:fill="auto"/>
            <w:vAlign w:val="center"/>
          </w:tcPr>
          <w:p w14:paraId="4D098D2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950" w:type="dxa"/>
            <w:shd w:val="clear" w:color="auto" w:fill="auto"/>
            <w:vAlign w:val="center"/>
          </w:tcPr>
          <w:p w14:paraId="75C640C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144" w:type="dxa"/>
            <w:shd w:val="clear" w:color="auto" w:fill="auto"/>
            <w:vAlign w:val="center"/>
          </w:tcPr>
          <w:p w14:paraId="1A9D77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8.1万元</w:t>
            </w:r>
          </w:p>
        </w:tc>
        <w:tc>
          <w:tcPr>
            <w:tcW w:w="1144" w:type="dxa"/>
            <w:shd w:val="clear" w:color="auto" w:fill="auto"/>
            <w:vAlign w:val="center"/>
          </w:tcPr>
          <w:p w14:paraId="69E7402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8" w:type="dxa"/>
            <w:shd w:val="clear" w:color="auto" w:fill="auto"/>
            <w:vAlign w:val="center"/>
          </w:tcPr>
          <w:p w14:paraId="2AA6FC8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51" w:type="dxa"/>
            <w:shd w:val="clear" w:color="auto" w:fill="auto"/>
            <w:vAlign w:val="center"/>
          </w:tcPr>
          <w:p w14:paraId="57FBB242">
            <w:pPr>
              <w:jc w:val="center"/>
              <w:rPr>
                <w:rFonts w:hint="eastAsia" w:ascii="宋体" w:hAnsi="宋体" w:eastAsia="宋体" w:cs="宋体"/>
                <w:i w:val="0"/>
                <w:iCs w:val="0"/>
                <w:color w:val="000000"/>
                <w:sz w:val="20"/>
                <w:szCs w:val="20"/>
                <w:u w:val="none"/>
              </w:rPr>
            </w:pPr>
          </w:p>
        </w:tc>
      </w:tr>
      <w:tr w14:paraId="15CCE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0" w:hRule="atLeast"/>
        </w:trPr>
        <w:tc>
          <w:tcPr>
            <w:tcW w:w="950" w:type="dxa"/>
            <w:vMerge w:val="continue"/>
            <w:shd w:val="clear" w:color="auto" w:fill="auto"/>
            <w:vAlign w:val="center"/>
          </w:tcPr>
          <w:p w14:paraId="0DCA0B81">
            <w:pPr>
              <w:jc w:val="center"/>
              <w:rPr>
                <w:rFonts w:hint="eastAsia" w:ascii="宋体" w:hAnsi="宋体" w:eastAsia="宋体" w:cs="宋体"/>
                <w:i w:val="0"/>
                <w:iCs w:val="0"/>
                <w:color w:val="000000"/>
                <w:sz w:val="20"/>
                <w:szCs w:val="20"/>
                <w:u w:val="none"/>
              </w:rPr>
            </w:pPr>
          </w:p>
        </w:tc>
        <w:tc>
          <w:tcPr>
            <w:tcW w:w="950" w:type="dxa"/>
            <w:vMerge w:val="continue"/>
            <w:shd w:val="clear" w:color="auto" w:fill="auto"/>
            <w:vAlign w:val="center"/>
          </w:tcPr>
          <w:p w14:paraId="336286C7">
            <w:pPr>
              <w:jc w:val="center"/>
              <w:rPr>
                <w:rFonts w:hint="eastAsia" w:ascii="宋体" w:hAnsi="宋体" w:eastAsia="宋体" w:cs="宋体"/>
                <w:i w:val="0"/>
                <w:iCs w:val="0"/>
                <w:color w:val="000000"/>
                <w:sz w:val="20"/>
                <w:szCs w:val="20"/>
                <w:u w:val="none"/>
              </w:rPr>
            </w:pPr>
          </w:p>
        </w:tc>
        <w:tc>
          <w:tcPr>
            <w:tcW w:w="950" w:type="dxa"/>
            <w:vMerge w:val="continue"/>
            <w:shd w:val="clear" w:color="auto" w:fill="auto"/>
            <w:vAlign w:val="center"/>
          </w:tcPr>
          <w:p w14:paraId="0D25661B">
            <w:pPr>
              <w:jc w:val="center"/>
              <w:rPr>
                <w:rFonts w:hint="eastAsia" w:ascii="宋体" w:hAnsi="宋体" w:eastAsia="宋体" w:cs="宋体"/>
                <w:i w:val="0"/>
                <w:iCs w:val="0"/>
                <w:color w:val="000000"/>
                <w:sz w:val="20"/>
                <w:szCs w:val="20"/>
                <w:u w:val="none"/>
              </w:rPr>
            </w:pPr>
          </w:p>
        </w:tc>
        <w:tc>
          <w:tcPr>
            <w:tcW w:w="950" w:type="dxa"/>
            <w:shd w:val="clear" w:color="auto" w:fill="auto"/>
            <w:vAlign w:val="center"/>
          </w:tcPr>
          <w:p w14:paraId="4C60445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有色家园小区充电车棚费用</w:t>
            </w:r>
          </w:p>
        </w:tc>
        <w:tc>
          <w:tcPr>
            <w:tcW w:w="1240" w:type="dxa"/>
            <w:shd w:val="clear" w:color="auto" w:fill="auto"/>
            <w:vAlign w:val="center"/>
          </w:tcPr>
          <w:p w14:paraId="00583CC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≤6.9万元</w:t>
            </w:r>
          </w:p>
        </w:tc>
        <w:tc>
          <w:tcPr>
            <w:tcW w:w="950" w:type="dxa"/>
            <w:shd w:val="clear" w:color="auto" w:fill="auto"/>
            <w:vAlign w:val="center"/>
          </w:tcPr>
          <w:p w14:paraId="2013C00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950" w:type="dxa"/>
            <w:shd w:val="clear" w:color="auto" w:fill="auto"/>
            <w:vAlign w:val="center"/>
          </w:tcPr>
          <w:p w14:paraId="349AE61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7" w:type="dxa"/>
            <w:shd w:val="clear" w:color="auto" w:fill="auto"/>
            <w:vAlign w:val="center"/>
          </w:tcPr>
          <w:p w14:paraId="42A2766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950" w:type="dxa"/>
            <w:shd w:val="clear" w:color="auto" w:fill="auto"/>
            <w:vAlign w:val="center"/>
          </w:tcPr>
          <w:p w14:paraId="3B07035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950" w:type="dxa"/>
            <w:shd w:val="clear" w:color="auto" w:fill="auto"/>
            <w:vAlign w:val="center"/>
          </w:tcPr>
          <w:p w14:paraId="103BFC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144" w:type="dxa"/>
            <w:shd w:val="clear" w:color="auto" w:fill="auto"/>
            <w:vAlign w:val="center"/>
          </w:tcPr>
          <w:p w14:paraId="615CD26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6.9万元</w:t>
            </w:r>
          </w:p>
        </w:tc>
        <w:tc>
          <w:tcPr>
            <w:tcW w:w="1144" w:type="dxa"/>
            <w:shd w:val="clear" w:color="auto" w:fill="auto"/>
            <w:vAlign w:val="center"/>
          </w:tcPr>
          <w:p w14:paraId="4991B9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8" w:type="dxa"/>
            <w:shd w:val="clear" w:color="auto" w:fill="auto"/>
            <w:vAlign w:val="center"/>
          </w:tcPr>
          <w:p w14:paraId="5DDB650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951" w:type="dxa"/>
            <w:shd w:val="clear" w:color="auto" w:fill="auto"/>
            <w:vAlign w:val="center"/>
          </w:tcPr>
          <w:p w14:paraId="50432055">
            <w:pPr>
              <w:jc w:val="center"/>
              <w:rPr>
                <w:rFonts w:hint="eastAsia" w:ascii="宋体" w:hAnsi="宋体" w:eastAsia="宋体" w:cs="宋体"/>
                <w:i w:val="0"/>
                <w:iCs w:val="0"/>
                <w:color w:val="000000"/>
                <w:sz w:val="20"/>
                <w:szCs w:val="20"/>
                <w:u w:val="none"/>
              </w:rPr>
            </w:pPr>
          </w:p>
        </w:tc>
      </w:tr>
      <w:tr w14:paraId="0DFB4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950" w:type="dxa"/>
            <w:vMerge w:val="continue"/>
            <w:shd w:val="clear" w:color="auto" w:fill="auto"/>
            <w:vAlign w:val="center"/>
          </w:tcPr>
          <w:p w14:paraId="7890C297">
            <w:pPr>
              <w:jc w:val="center"/>
              <w:rPr>
                <w:rFonts w:hint="eastAsia" w:ascii="宋体" w:hAnsi="宋体" w:eastAsia="宋体" w:cs="宋体"/>
                <w:i w:val="0"/>
                <w:iCs w:val="0"/>
                <w:color w:val="000000"/>
                <w:sz w:val="20"/>
                <w:szCs w:val="20"/>
                <w:u w:val="none"/>
              </w:rPr>
            </w:pPr>
          </w:p>
        </w:tc>
        <w:tc>
          <w:tcPr>
            <w:tcW w:w="950" w:type="dxa"/>
            <w:vMerge w:val="continue"/>
            <w:shd w:val="clear" w:color="auto" w:fill="auto"/>
            <w:vAlign w:val="center"/>
          </w:tcPr>
          <w:p w14:paraId="256BAD48">
            <w:pPr>
              <w:jc w:val="center"/>
              <w:rPr>
                <w:rFonts w:hint="eastAsia" w:ascii="宋体" w:hAnsi="宋体" w:eastAsia="宋体" w:cs="宋体"/>
                <w:i w:val="0"/>
                <w:iCs w:val="0"/>
                <w:color w:val="000000"/>
                <w:sz w:val="20"/>
                <w:szCs w:val="20"/>
                <w:u w:val="none"/>
              </w:rPr>
            </w:pPr>
          </w:p>
        </w:tc>
        <w:tc>
          <w:tcPr>
            <w:tcW w:w="950" w:type="dxa"/>
            <w:shd w:val="clear" w:color="auto" w:fill="auto"/>
            <w:vAlign w:val="center"/>
          </w:tcPr>
          <w:p w14:paraId="419D985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950" w:type="dxa"/>
            <w:shd w:val="clear" w:color="auto" w:fill="auto"/>
            <w:vAlign w:val="center"/>
          </w:tcPr>
          <w:p w14:paraId="2483D0F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40" w:type="dxa"/>
            <w:shd w:val="clear" w:color="auto" w:fill="auto"/>
            <w:vAlign w:val="center"/>
          </w:tcPr>
          <w:p w14:paraId="591F16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0" w:type="dxa"/>
            <w:shd w:val="clear" w:color="auto" w:fill="auto"/>
            <w:vAlign w:val="center"/>
          </w:tcPr>
          <w:p w14:paraId="59D2BB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0" w:type="dxa"/>
            <w:shd w:val="clear" w:color="auto" w:fill="auto"/>
            <w:vAlign w:val="center"/>
          </w:tcPr>
          <w:p w14:paraId="040447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7" w:type="dxa"/>
            <w:shd w:val="clear" w:color="auto" w:fill="auto"/>
            <w:vAlign w:val="center"/>
          </w:tcPr>
          <w:p w14:paraId="3FAC14A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0" w:type="dxa"/>
            <w:shd w:val="clear" w:color="auto" w:fill="auto"/>
            <w:vAlign w:val="center"/>
          </w:tcPr>
          <w:p w14:paraId="1C8EED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0" w:type="dxa"/>
            <w:shd w:val="clear" w:color="auto" w:fill="auto"/>
            <w:vAlign w:val="center"/>
          </w:tcPr>
          <w:p w14:paraId="5CC305D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44" w:type="dxa"/>
            <w:shd w:val="clear" w:color="auto" w:fill="auto"/>
            <w:vAlign w:val="center"/>
          </w:tcPr>
          <w:p w14:paraId="4E0905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44" w:type="dxa"/>
            <w:shd w:val="clear" w:color="auto" w:fill="auto"/>
            <w:vAlign w:val="center"/>
          </w:tcPr>
          <w:p w14:paraId="4ED089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8" w:type="dxa"/>
            <w:shd w:val="clear" w:color="auto" w:fill="auto"/>
            <w:vAlign w:val="center"/>
          </w:tcPr>
          <w:p w14:paraId="090F383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1" w:type="dxa"/>
            <w:shd w:val="clear" w:color="auto" w:fill="auto"/>
            <w:vAlign w:val="center"/>
          </w:tcPr>
          <w:p w14:paraId="152936DE">
            <w:pPr>
              <w:jc w:val="center"/>
              <w:rPr>
                <w:rFonts w:hint="eastAsia" w:ascii="宋体" w:hAnsi="宋体" w:eastAsia="宋体" w:cs="宋体"/>
                <w:i w:val="0"/>
                <w:iCs w:val="0"/>
                <w:color w:val="000000"/>
                <w:sz w:val="20"/>
                <w:szCs w:val="20"/>
                <w:u w:val="none"/>
              </w:rPr>
            </w:pPr>
          </w:p>
        </w:tc>
      </w:tr>
      <w:tr w14:paraId="07B57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950" w:type="dxa"/>
            <w:vMerge w:val="continue"/>
            <w:shd w:val="clear" w:color="auto" w:fill="auto"/>
            <w:vAlign w:val="center"/>
          </w:tcPr>
          <w:p w14:paraId="797AD54F">
            <w:pPr>
              <w:jc w:val="center"/>
              <w:rPr>
                <w:rFonts w:hint="eastAsia" w:ascii="宋体" w:hAnsi="宋体" w:eastAsia="宋体" w:cs="宋体"/>
                <w:i w:val="0"/>
                <w:iCs w:val="0"/>
                <w:color w:val="000000"/>
                <w:sz w:val="20"/>
                <w:szCs w:val="20"/>
                <w:u w:val="none"/>
              </w:rPr>
            </w:pPr>
          </w:p>
        </w:tc>
        <w:tc>
          <w:tcPr>
            <w:tcW w:w="950" w:type="dxa"/>
            <w:vMerge w:val="continue"/>
            <w:shd w:val="clear" w:color="auto" w:fill="auto"/>
            <w:vAlign w:val="center"/>
          </w:tcPr>
          <w:p w14:paraId="3D9E422C">
            <w:pPr>
              <w:jc w:val="center"/>
              <w:rPr>
                <w:rFonts w:hint="eastAsia" w:ascii="宋体" w:hAnsi="宋体" w:eastAsia="宋体" w:cs="宋体"/>
                <w:i w:val="0"/>
                <w:iCs w:val="0"/>
                <w:color w:val="000000"/>
                <w:sz w:val="20"/>
                <w:szCs w:val="20"/>
                <w:u w:val="none"/>
              </w:rPr>
            </w:pPr>
          </w:p>
        </w:tc>
        <w:tc>
          <w:tcPr>
            <w:tcW w:w="950" w:type="dxa"/>
            <w:shd w:val="clear" w:color="auto" w:fill="auto"/>
            <w:vAlign w:val="center"/>
          </w:tcPr>
          <w:p w14:paraId="130E9A7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950" w:type="dxa"/>
            <w:shd w:val="clear" w:color="auto" w:fill="auto"/>
            <w:vAlign w:val="center"/>
          </w:tcPr>
          <w:p w14:paraId="48879EF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40" w:type="dxa"/>
            <w:shd w:val="clear" w:color="auto" w:fill="auto"/>
            <w:vAlign w:val="center"/>
          </w:tcPr>
          <w:p w14:paraId="48BC74A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0" w:type="dxa"/>
            <w:shd w:val="clear" w:color="auto" w:fill="auto"/>
            <w:vAlign w:val="center"/>
          </w:tcPr>
          <w:p w14:paraId="34DD0E0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0" w:type="dxa"/>
            <w:shd w:val="clear" w:color="auto" w:fill="auto"/>
            <w:vAlign w:val="center"/>
          </w:tcPr>
          <w:p w14:paraId="62C9C83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7" w:type="dxa"/>
            <w:shd w:val="clear" w:color="auto" w:fill="auto"/>
            <w:vAlign w:val="center"/>
          </w:tcPr>
          <w:p w14:paraId="57622C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0" w:type="dxa"/>
            <w:shd w:val="clear" w:color="auto" w:fill="auto"/>
            <w:vAlign w:val="center"/>
          </w:tcPr>
          <w:p w14:paraId="003992C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0" w:type="dxa"/>
            <w:shd w:val="clear" w:color="auto" w:fill="auto"/>
            <w:vAlign w:val="center"/>
          </w:tcPr>
          <w:p w14:paraId="1814F0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44" w:type="dxa"/>
            <w:shd w:val="clear" w:color="auto" w:fill="auto"/>
            <w:vAlign w:val="center"/>
          </w:tcPr>
          <w:p w14:paraId="172CB12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44" w:type="dxa"/>
            <w:shd w:val="clear" w:color="auto" w:fill="auto"/>
            <w:vAlign w:val="center"/>
          </w:tcPr>
          <w:p w14:paraId="0A5ED00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8" w:type="dxa"/>
            <w:shd w:val="clear" w:color="auto" w:fill="auto"/>
            <w:vAlign w:val="center"/>
          </w:tcPr>
          <w:p w14:paraId="1F2502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1" w:type="dxa"/>
            <w:shd w:val="clear" w:color="auto" w:fill="auto"/>
            <w:vAlign w:val="center"/>
          </w:tcPr>
          <w:p w14:paraId="56D7751A">
            <w:pPr>
              <w:jc w:val="center"/>
              <w:rPr>
                <w:rFonts w:hint="eastAsia" w:ascii="宋体" w:hAnsi="宋体" w:eastAsia="宋体" w:cs="宋体"/>
                <w:i w:val="0"/>
                <w:iCs w:val="0"/>
                <w:color w:val="000000"/>
                <w:sz w:val="20"/>
                <w:szCs w:val="20"/>
                <w:u w:val="none"/>
              </w:rPr>
            </w:pPr>
          </w:p>
        </w:tc>
      </w:tr>
      <w:tr w14:paraId="1F4A7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950" w:type="dxa"/>
            <w:vMerge w:val="continue"/>
            <w:shd w:val="clear" w:color="auto" w:fill="auto"/>
            <w:vAlign w:val="center"/>
          </w:tcPr>
          <w:p w14:paraId="336D4EF3">
            <w:pPr>
              <w:jc w:val="center"/>
              <w:rPr>
                <w:rFonts w:hint="eastAsia" w:ascii="宋体" w:hAnsi="宋体" w:eastAsia="宋体" w:cs="宋体"/>
                <w:i w:val="0"/>
                <w:iCs w:val="0"/>
                <w:color w:val="000000"/>
                <w:sz w:val="20"/>
                <w:szCs w:val="20"/>
                <w:u w:val="none"/>
              </w:rPr>
            </w:pPr>
          </w:p>
        </w:tc>
        <w:tc>
          <w:tcPr>
            <w:tcW w:w="950" w:type="dxa"/>
            <w:vMerge w:val="restart"/>
            <w:shd w:val="clear" w:color="auto" w:fill="auto"/>
            <w:vAlign w:val="center"/>
          </w:tcPr>
          <w:p w14:paraId="783F29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50" w:type="dxa"/>
            <w:shd w:val="clear" w:color="auto" w:fill="auto"/>
            <w:vAlign w:val="center"/>
          </w:tcPr>
          <w:p w14:paraId="6D0F6B5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950" w:type="dxa"/>
            <w:shd w:val="clear" w:color="auto" w:fill="auto"/>
            <w:vAlign w:val="center"/>
          </w:tcPr>
          <w:p w14:paraId="7A8DC4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40" w:type="dxa"/>
            <w:shd w:val="clear" w:color="auto" w:fill="auto"/>
            <w:vAlign w:val="center"/>
          </w:tcPr>
          <w:p w14:paraId="28E420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0" w:type="dxa"/>
            <w:shd w:val="clear" w:color="auto" w:fill="auto"/>
            <w:vAlign w:val="center"/>
          </w:tcPr>
          <w:p w14:paraId="13925A3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0" w:type="dxa"/>
            <w:shd w:val="clear" w:color="auto" w:fill="auto"/>
            <w:vAlign w:val="center"/>
          </w:tcPr>
          <w:p w14:paraId="0B42093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7" w:type="dxa"/>
            <w:shd w:val="clear" w:color="auto" w:fill="auto"/>
            <w:vAlign w:val="center"/>
          </w:tcPr>
          <w:p w14:paraId="3F6224D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0" w:type="dxa"/>
            <w:shd w:val="clear" w:color="auto" w:fill="auto"/>
            <w:vAlign w:val="center"/>
          </w:tcPr>
          <w:p w14:paraId="3BF64F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0" w:type="dxa"/>
            <w:shd w:val="clear" w:color="auto" w:fill="auto"/>
            <w:vAlign w:val="center"/>
          </w:tcPr>
          <w:p w14:paraId="2A1AE5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44" w:type="dxa"/>
            <w:shd w:val="clear" w:color="auto" w:fill="auto"/>
            <w:vAlign w:val="center"/>
          </w:tcPr>
          <w:p w14:paraId="6363D70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44" w:type="dxa"/>
            <w:shd w:val="clear" w:color="auto" w:fill="auto"/>
            <w:vAlign w:val="center"/>
          </w:tcPr>
          <w:p w14:paraId="73BB570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8" w:type="dxa"/>
            <w:shd w:val="clear" w:color="auto" w:fill="auto"/>
            <w:vAlign w:val="center"/>
          </w:tcPr>
          <w:p w14:paraId="585106D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1" w:type="dxa"/>
            <w:shd w:val="clear" w:color="auto" w:fill="auto"/>
            <w:vAlign w:val="center"/>
          </w:tcPr>
          <w:p w14:paraId="15894ECC">
            <w:pPr>
              <w:jc w:val="center"/>
              <w:rPr>
                <w:rFonts w:hint="eastAsia" w:ascii="宋体" w:hAnsi="宋体" w:eastAsia="宋体" w:cs="宋体"/>
                <w:i w:val="0"/>
                <w:iCs w:val="0"/>
                <w:color w:val="000000"/>
                <w:sz w:val="20"/>
                <w:szCs w:val="20"/>
                <w:u w:val="none"/>
              </w:rPr>
            </w:pPr>
          </w:p>
        </w:tc>
      </w:tr>
      <w:tr w14:paraId="692C2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950" w:type="dxa"/>
            <w:vMerge w:val="continue"/>
            <w:shd w:val="clear" w:color="auto" w:fill="auto"/>
            <w:vAlign w:val="center"/>
          </w:tcPr>
          <w:p w14:paraId="550A52BD">
            <w:pPr>
              <w:jc w:val="center"/>
              <w:rPr>
                <w:rFonts w:hint="eastAsia" w:ascii="宋体" w:hAnsi="宋体" w:eastAsia="宋体" w:cs="宋体"/>
                <w:i w:val="0"/>
                <w:iCs w:val="0"/>
                <w:color w:val="000000"/>
                <w:sz w:val="20"/>
                <w:szCs w:val="20"/>
                <w:u w:val="none"/>
              </w:rPr>
            </w:pPr>
          </w:p>
        </w:tc>
        <w:tc>
          <w:tcPr>
            <w:tcW w:w="950" w:type="dxa"/>
            <w:vMerge w:val="continue"/>
            <w:shd w:val="clear" w:color="auto" w:fill="auto"/>
            <w:vAlign w:val="center"/>
          </w:tcPr>
          <w:p w14:paraId="354DB4D3">
            <w:pPr>
              <w:jc w:val="center"/>
              <w:rPr>
                <w:rFonts w:hint="eastAsia" w:ascii="宋体" w:hAnsi="宋体" w:eastAsia="宋体" w:cs="宋体"/>
                <w:i w:val="0"/>
                <w:iCs w:val="0"/>
                <w:color w:val="000000"/>
                <w:sz w:val="20"/>
                <w:szCs w:val="20"/>
                <w:u w:val="none"/>
              </w:rPr>
            </w:pPr>
          </w:p>
        </w:tc>
        <w:tc>
          <w:tcPr>
            <w:tcW w:w="950" w:type="dxa"/>
            <w:vMerge w:val="restart"/>
            <w:shd w:val="clear" w:color="auto" w:fill="auto"/>
            <w:vAlign w:val="center"/>
          </w:tcPr>
          <w:p w14:paraId="135368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950" w:type="dxa"/>
            <w:shd w:val="clear" w:color="auto" w:fill="auto"/>
            <w:vAlign w:val="center"/>
          </w:tcPr>
          <w:p w14:paraId="341A141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降低飞线充电带来的安全隐患</w:t>
            </w:r>
          </w:p>
        </w:tc>
        <w:tc>
          <w:tcPr>
            <w:tcW w:w="1240" w:type="dxa"/>
            <w:shd w:val="clear" w:color="auto" w:fill="auto"/>
            <w:vAlign w:val="center"/>
          </w:tcPr>
          <w:p w14:paraId="756C437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降低</w:t>
            </w:r>
          </w:p>
        </w:tc>
        <w:tc>
          <w:tcPr>
            <w:tcW w:w="950" w:type="dxa"/>
            <w:shd w:val="clear" w:color="auto" w:fill="auto"/>
            <w:vAlign w:val="center"/>
          </w:tcPr>
          <w:p w14:paraId="05E3D75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50" w:type="dxa"/>
            <w:shd w:val="clear" w:color="auto" w:fill="auto"/>
            <w:vAlign w:val="center"/>
          </w:tcPr>
          <w:p w14:paraId="5C3D20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7" w:type="dxa"/>
            <w:shd w:val="clear" w:color="auto" w:fill="auto"/>
            <w:vAlign w:val="center"/>
          </w:tcPr>
          <w:p w14:paraId="33A2DCF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50" w:type="dxa"/>
            <w:shd w:val="clear" w:color="auto" w:fill="auto"/>
            <w:vAlign w:val="center"/>
          </w:tcPr>
          <w:p w14:paraId="6EAC84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950" w:type="dxa"/>
            <w:shd w:val="clear" w:color="auto" w:fill="auto"/>
            <w:vAlign w:val="center"/>
          </w:tcPr>
          <w:p w14:paraId="12D8CF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144" w:type="dxa"/>
            <w:shd w:val="clear" w:color="auto" w:fill="auto"/>
            <w:vAlign w:val="center"/>
          </w:tcPr>
          <w:p w14:paraId="668245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44" w:type="dxa"/>
            <w:shd w:val="clear" w:color="auto" w:fill="auto"/>
            <w:vAlign w:val="center"/>
          </w:tcPr>
          <w:p w14:paraId="6262AF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8" w:type="dxa"/>
            <w:shd w:val="clear" w:color="auto" w:fill="auto"/>
            <w:vAlign w:val="center"/>
          </w:tcPr>
          <w:p w14:paraId="3D04947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51" w:type="dxa"/>
            <w:shd w:val="clear" w:color="auto" w:fill="auto"/>
            <w:vAlign w:val="center"/>
          </w:tcPr>
          <w:p w14:paraId="17A61390">
            <w:pPr>
              <w:jc w:val="center"/>
              <w:rPr>
                <w:rFonts w:hint="eastAsia" w:ascii="宋体" w:hAnsi="宋体" w:eastAsia="宋体" w:cs="宋体"/>
                <w:i w:val="0"/>
                <w:iCs w:val="0"/>
                <w:color w:val="000000"/>
                <w:sz w:val="20"/>
                <w:szCs w:val="20"/>
                <w:u w:val="none"/>
              </w:rPr>
            </w:pPr>
          </w:p>
        </w:tc>
      </w:tr>
      <w:tr w14:paraId="3C491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40" w:hRule="atLeast"/>
        </w:trPr>
        <w:tc>
          <w:tcPr>
            <w:tcW w:w="950" w:type="dxa"/>
            <w:vMerge w:val="continue"/>
            <w:shd w:val="clear" w:color="auto" w:fill="auto"/>
            <w:vAlign w:val="center"/>
          </w:tcPr>
          <w:p w14:paraId="417A6D50">
            <w:pPr>
              <w:jc w:val="center"/>
              <w:rPr>
                <w:rFonts w:hint="eastAsia" w:ascii="宋体" w:hAnsi="宋体" w:eastAsia="宋体" w:cs="宋体"/>
                <w:i w:val="0"/>
                <w:iCs w:val="0"/>
                <w:color w:val="000000"/>
                <w:sz w:val="20"/>
                <w:szCs w:val="20"/>
                <w:u w:val="none"/>
              </w:rPr>
            </w:pPr>
          </w:p>
        </w:tc>
        <w:tc>
          <w:tcPr>
            <w:tcW w:w="950" w:type="dxa"/>
            <w:vMerge w:val="continue"/>
            <w:shd w:val="clear" w:color="auto" w:fill="auto"/>
            <w:vAlign w:val="center"/>
          </w:tcPr>
          <w:p w14:paraId="79564970">
            <w:pPr>
              <w:jc w:val="center"/>
              <w:rPr>
                <w:rFonts w:hint="eastAsia" w:ascii="宋体" w:hAnsi="宋体" w:eastAsia="宋体" w:cs="宋体"/>
                <w:i w:val="0"/>
                <w:iCs w:val="0"/>
                <w:color w:val="000000"/>
                <w:sz w:val="20"/>
                <w:szCs w:val="20"/>
                <w:u w:val="none"/>
              </w:rPr>
            </w:pPr>
          </w:p>
        </w:tc>
        <w:tc>
          <w:tcPr>
            <w:tcW w:w="950" w:type="dxa"/>
            <w:vMerge w:val="continue"/>
            <w:shd w:val="clear" w:color="auto" w:fill="auto"/>
            <w:vAlign w:val="center"/>
          </w:tcPr>
          <w:p w14:paraId="34D20B52">
            <w:pPr>
              <w:jc w:val="center"/>
              <w:rPr>
                <w:rFonts w:hint="eastAsia" w:ascii="宋体" w:hAnsi="宋体" w:eastAsia="宋体" w:cs="宋体"/>
                <w:i w:val="0"/>
                <w:iCs w:val="0"/>
                <w:color w:val="000000"/>
                <w:sz w:val="20"/>
                <w:szCs w:val="20"/>
                <w:u w:val="none"/>
              </w:rPr>
            </w:pPr>
          </w:p>
        </w:tc>
        <w:tc>
          <w:tcPr>
            <w:tcW w:w="950" w:type="dxa"/>
            <w:shd w:val="clear" w:color="auto" w:fill="auto"/>
            <w:vAlign w:val="center"/>
          </w:tcPr>
          <w:p w14:paraId="4D4FF6D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满足居民电动车充电需求，为辖区居民提供良好的生活环境，促进社会可持续健康发展。</w:t>
            </w:r>
          </w:p>
        </w:tc>
        <w:tc>
          <w:tcPr>
            <w:tcW w:w="1240" w:type="dxa"/>
            <w:shd w:val="clear" w:color="auto" w:fill="auto"/>
            <w:vAlign w:val="center"/>
          </w:tcPr>
          <w:p w14:paraId="0DA37F4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w:t>
            </w:r>
          </w:p>
        </w:tc>
        <w:tc>
          <w:tcPr>
            <w:tcW w:w="950" w:type="dxa"/>
            <w:shd w:val="clear" w:color="auto" w:fill="auto"/>
            <w:vAlign w:val="center"/>
          </w:tcPr>
          <w:p w14:paraId="1605E60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50" w:type="dxa"/>
            <w:shd w:val="clear" w:color="auto" w:fill="auto"/>
            <w:vAlign w:val="center"/>
          </w:tcPr>
          <w:p w14:paraId="53D1858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7" w:type="dxa"/>
            <w:shd w:val="clear" w:color="auto" w:fill="auto"/>
            <w:vAlign w:val="center"/>
          </w:tcPr>
          <w:p w14:paraId="639D75D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50" w:type="dxa"/>
            <w:shd w:val="clear" w:color="auto" w:fill="auto"/>
            <w:vAlign w:val="center"/>
          </w:tcPr>
          <w:p w14:paraId="55E77A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950" w:type="dxa"/>
            <w:shd w:val="clear" w:color="auto" w:fill="auto"/>
            <w:vAlign w:val="center"/>
          </w:tcPr>
          <w:p w14:paraId="00A2A2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144" w:type="dxa"/>
            <w:shd w:val="clear" w:color="auto" w:fill="auto"/>
            <w:vAlign w:val="center"/>
          </w:tcPr>
          <w:p w14:paraId="128225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44" w:type="dxa"/>
            <w:shd w:val="clear" w:color="auto" w:fill="auto"/>
            <w:vAlign w:val="center"/>
          </w:tcPr>
          <w:p w14:paraId="617FD98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8" w:type="dxa"/>
            <w:shd w:val="clear" w:color="auto" w:fill="auto"/>
            <w:vAlign w:val="center"/>
          </w:tcPr>
          <w:p w14:paraId="316E014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51" w:type="dxa"/>
            <w:shd w:val="clear" w:color="auto" w:fill="auto"/>
            <w:vAlign w:val="center"/>
          </w:tcPr>
          <w:p w14:paraId="2E6CDF90">
            <w:pPr>
              <w:jc w:val="center"/>
              <w:rPr>
                <w:rFonts w:hint="eastAsia" w:ascii="宋体" w:hAnsi="宋体" w:eastAsia="宋体" w:cs="宋体"/>
                <w:i w:val="0"/>
                <w:iCs w:val="0"/>
                <w:color w:val="000000"/>
                <w:sz w:val="20"/>
                <w:szCs w:val="20"/>
                <w:u w:val="none"/>
              </w:rPr>
            </w:pPr>
          </w:p>
        </w:tc>
      </w:tr>
      <w:tr w14:paraId="7B52D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950" w:type="dxa"/>
            <w:vMerge w:val="continue"/>
            <w:shd w:val="clear" w:color="auto" w:fill="auto"/>
            <w:vAlign w:val="center"/>
          </w:tcPr>
          <w:p w14:paraId="11761CE0">
            <w:pPr>
              <w:jc w:val="center"/>
              <w:rPr>
                <w:rFonts w:hint="eastAsia" w:ascii="宋体" w:hAnsi="宋体" w:eastAsia="宋体" w:cs="宋体"/>
                <w:i w:val="0"/>
                <w:iCs w:val="0"/>
                <w:color w:val="000000"/>
                <w:sz w:val="20"/>
                <w:szCs w:val="20"/>
                <w:u w:val="none"/>
              </w:rPr>
            </w:pPr>
          </w:p>
        </w:tc>
        <w:tc>
          <w:tcPr>
            <w:tcW w:w="950" w:type="dxa"/>
            <w:vMerge w:val="continue"/>
            <w:shd w:val="clear" w:color="auto" w:fill="auto"/>
            <w:vAlign w:val="center"/>
          </w:tcPr>
          <w:p w14:paraId="10F47CBC">
            <w:pPr>
              <w:jc w:val="center"/>
              <w:rPr>
                <w:rFonts w:hint="eastAsia" w:ascii="宋体" w:hAnsi="宋体" w:eastAsia="宋体" w:cs="宋体"/>
                <w:i w:val="0"/>
                <w:iCs w:val="0"/>
                <w:color w:val="000000"/>
                <w:sz w:val="20"/>
                <w:szCs w:val="20"/>
                <w:u w:val="none"/>
              </w:rPr>
            </w:pPr>
          </w:p>
        </w:tc>
        <w:tc>
          <w:tcPr>
            <w:tcW w:w="950" w:type="dxa"/>
            <w:shd w:val="clear" w:color="auto" w:fill="auto"/>
            <w:vAlign w:val="center"/>
          </w:tcPr>
          <w:p w14:paraId="46A4942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950" w:type="dxa"/>
            <w:shd w:val="clear" w:color="auto" w:fill="auto"/>
            <w:vAlign w:val="center"/>
          </w:tcPr>
          <w:p w14:paraId="3E08C9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40" w:type="dxa"/>
            <w:shd w:val="clear" w:color="auto" w:fill="auto"/>
            <w:vAlign w:val="center"/>
          </w:tcPr>
          <w:p w14:paraId="70B714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0" w:type="dxa"/>
            <w:shd w:val="clear" w:color="auto" w:fill="auto"/>
            <w:vAlign w:val="center"/>
          </w:tcPr>
          <w:p w14:paraId="55B29F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0" w:type="dxa"/>
            <w:shd w:val="clear" w:color="auto" w:fill="auto"/>
            <w:vAlign w:val="center"/>
          </w:tcPr>
          <w:p w14:paraId="4BA0EB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7" w:type="dxa"/>
            <w:shd w:val="clear" w:color="auto" w:fill="auto"/>
            <w:vAlign w:val="center"/>
          </w:tcPr>
          <w:p w14:paraId="1F59D86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0" w:type="dxa"/>
            <w:shd w:val="clear" w:color="auto" w:fill="auto"/>
            <w:vAlign w:val="center"/>
          </w:tcPr>
          <w:p w14:paraId="32911E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0" w:type="dxa"/>
            <w:shd w:val="clear" w:color="auto" w:fill="auto"/>
            <w:vAlign w:val="center"/>
          </w:tcPr>
          <w:p w14:paraId="6C03C0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44" w:type="dxa"/>
            <w:shd w:val="clear" w:color="auto" w:fill="auto"/>
            <w:vAlign w:val="center"/>
          </w:tcPr>
          <w:p w14:paraId="705E09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44" w:type="dxa"/>
            <w:shd w:val="clear" w:color="auto" w:fill="auto"/>
            <w:vAlign w:val="center"/>
          </w:tcPr>
          <w:p w14:paraId="35FB8CD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8" w:type="dxa"/>
            <w:shd w:val="clear" w:color="auto" w:fill="auto"/>
            <w:vAlign w:val="center"/>
          </w:tcPr>
          <w:p w14:paraId="66FE653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1" w:type="dxa"/>
            <w:shd w:val="clear" w:color="auto" w:fill="auto"/>
            <w:vAlign w:val="center"/>
          </w:tcPr>
          <w:p w14:paraId="2320547A">
            <w:pPr>
              <w:jc w:val="center"/>
              <w:rPr>
                <w:rFonts w:hint="eastAsia" w:ascii="宋体" w:hAnsi="宋体" w:eastAsia="宋体" w:cs="宋体"/>
                <w:i w:val="0"/>
                <w:iCs w:val="0"/>
                <w:color w:val="000000"/>
                <w:sz w:val="20"/>
                <w:szCs w:val="20"/>
                <w:u w:val="none"/>
              </w:rPr>
            </w:pPr>
          </w:p>
        </w:tc>
      </w:tr>
      <w:tr w14:paraId="641EF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0" w:hRule="atLeast"/>
        </w:trPr>
        <w:tc>
          <w:tcPr>
            <w:tcW w:w="950" w:type="dxa"/>
            <w:vMerge w:val="continue"/>
            <w:shd w:val="clear" w:color="auto" w:fill="auto"/>
            <w:vAlign w:val="center"/>
          </w:tcPr>
          <w:p w14:paraId="241D8C84">
            <w:pPr>
              <w:jc w:val="center"/>
              <w:rPr>
                <w:rFonts w:hint="eastAsia" w:ascii="宋体" w:hAnsi="宋体" w:eastAsia="宋体" w:cs="宋体"/>
                <w:i w:val="0"/>
                <w:iCs w:val="0"/>
                <w:color w:val="000000"/>
                <w:sz w:val="20"/>
                <w:szCs w:val="20"/>
                <w:u w:val="none"/>
              </w:rPr>
            </w:pPr>
          </w:p>
        </w:tc>
        <w:tc>
          <w:tcPr>
            <w:tcW w:w="950" w:type="dxa"/>
            <w:shd w:val="clear" w:color="auto" w:fill="auto"/>
            <w:vAlign w:val="center"/>
          </w:tcPr>
          <w:p w14:paraId="2AC7DF6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950" w:type="dxa"/>
            <w:shd w:val="clear" w:color="auto" w:fill="auto"/>
            <w:vAlign w:val="center"/>
          </w:tcPr>
          <w:p w14:paraId="42C919C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950" w:type="dxa"/>
            <w:shd w:val="clear" w:color="auto" w:fill="auto"/>
            <w:vAlign w:val="center"/>
          </w:tcPr>
          <w:p w14:paraId="27335A6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准东办事处辖区居民满意率</w:t>
            </w:r>
          </w:p>
        </w:tc>
        <w:tc>
          <w:tcPr>
            <w:tcW w:w="1240" w:type="dxa"/>
            <w:shd w:val="clear" w:color="auto" w:fill="auto"/>
            <w:vAlign w:val="center"/>
          </w:tcPr>
          <w:p w14:paraId="17988DB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950" w:type="dxa"/>
            <w:shd w:val="clear" w:color="auto" w:fill="auto"/>
            <w:vAlign w:val="center"/>
          </w:tcPr>
          <w:p w14:paraId="580C305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50" w:type="dxa"/>
            <w:shd w:val="clear" w:color="auto" w:fill="auto"/>
            <w:vAlign w:val="center"/>
          </w:tcPr>
          <w:p w14:paraId="44B337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7" w:type="dxa"/>
            <w:shd w:val="clear" w:color="auto" w:fill="auto"/>
            <w:vAlign w:val="center"/>
          </w:tcPr>
          <w:p w14:paraId="261FE01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50" w:type="dxa"/>
            <w:shd w:val="clear" w:color="auto" w:fill="auto"/>
            <w:vAlign w:val="center"/>
          </w:tcPr>
          <w:p w14:paraId="0014817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950" w:type="dxa"/>
            <w:shd w:val="clear" w:color="auto" w:fill="auto"/>
            <w:vAlign w:val="center"/>
          </w:tcPr>
          <w:p w14:paraId="1509EC2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44" w:type="dxa"/>
            <w:shd w:val="clear" w:color="auto" w:fill="auto"/>
            <w:vAlign w:val="center"/>
          </w:tcPr>
          <w:p w14:paraId="675E386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144" w:type="dxa"/>
            <w:shd w:val="clear" w:color="auto" w:fill="auto"/>
            <w:vAlign w:val="center"/>
          </w:tcPr>
          <w:p w14:paraId="7D6A4B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8" w:type="dxa"/>
            <w:shd w:val="clear" w:color="auto" w:fill="auto"/>
            <w:vAlign w:val="center"/>
          </w:tcPr>
          <w:p w14:paraId="44DBF0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51" w:type="dxa"/>
            <w:shd w:val="clear" w:color="auto" w:fill="auto"/>
            <w:vAlign w:val="center"/>
          </w:tcPr>
          <w:p w14:paraId="2292B9D0">
            <w:pPr>
              <w:jc w:val="center"/>
              <w:rPr>
                <w:rFonts w:hint="eastAsia" w:ascii="宋体" w:hAnsi="宋体" w:eastAsia="宋体" w:cs="宋体"/>
                <w:i w:val="0"/>
                <w:iCs w:val="0"/>
                <w:color w:val="000000"/>
                <w:sz w:val="20"/>
                <w:szCs w:val="20"/>
                <w:u w:val="none"/>
              </w:rPr>
            </w:pPr>
          </w:p>
        </w:tc>
      </w:tr>
      <w:tr w14:paraId="368E7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3800" w:type="dxa"/>
            <w:gridSpan w:val="4"/>
            <w:shd w:val="clear" w:color="auto" w:fill="auto"/>
            <w:vAlign w:val="center"/>
          </w:tcPr>
          <w:p w14:paraId="32F31B6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240" w:type="dxa"/>
            <w:shd w:val="clear" w:color="auto" w:fill="auto"/>
            <w:vAlign w:val="center"/>
          </w:tcPr>
          <w:p w14:paraId="4310ED5B">
            <w:pPr>
              <w:jc w:val="center"/>
              <w:rPr>
                <w:rFonts w:hint="eastAsia" w:ascii="宋体" w:hAnsi="宋体" w:eastAsia="宋体" w:cs="宋体"/>
                <w:i w:val="0"/>
                <w:iCs w:val="0"/>
                <w:color w:val="000000"/>
                <w:sz w:val="20"/>
                <w:szCs w:val="20"/>
                <w:u w:val="none"/>
              </w:rPr>
            </w:pPr>
          </w:p>
        </w:tc>
        <w:tc>
          <w:tcPr>
            <w:tcW w:w="950" w:type="dxa"/>
            <w:shd w:val="clear" w:color="auto" w:fill="auto"/>
            <w:vAlign w:val="center"/>
          </w:tcPr>
          <w:p w14:paraId="14A6B56A">
            <w:pPr>
              <w:jc w:val="center"/>
              <w:rPr>
                <w:rFonts w:hint="eastAsia" w:ascii="宋体" w:hAnsi="宋体" w:eastAsia="宋体" w:cs="宋体"/>
                <w:b/>
                <w:bCs/>
                <w:i w:val="0"/>
                <w:iCs w:val="0"/>
                <w:color w:val="000000"/>
                <w:sz w:val="20"/>
                <w:szCs w:val="20"/>
                <w:u w:val="none"/>
              </w:rPr>
            </w:pPr>
          </w:p>
        </w:tc>
        <w:tc>
          <w:tcPr>
            <w:tcW w:w="950" w:type="dxa"/>
            <w:shd w:val="clear" w:color="auto" w:fill="auto"/>
            <w:vAlign w:val="center"/>
          </w:tcPr>
          <w:p w14:paraId="63FA9F6B">
            <w:pPr>
              <w:jc w:val="center"/>
              <w:rPr>
                <w:rFonts w:hint="eastAsia" w:ascii="宋体" w:hAnsi="宋体" w:eastAsia="宋体" w:cs="宋体"/>
                <w:i w:val="0"/>
                <w:iCs w:val="0"/>
                <w:color w:val="000000"/>
                <w:sz w:val="20"/>
                <w:szCs w:val="20"/>
                <w:u w:val="none"/>
              </w:rPr>
            </w:pPr>
          </w:p>
        </w:tc>
        <w:tc>
          <w:tcPr>
            <w:tcW w:w="1047" w:type="dxa"/>
            <w:shd w:val="clear" w:color="auto" w:fill="auto"/>
            <w:vAlign w:val="center"/>
          </w:tcPr>
          <w:p w14:paraId="6D8AB4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950" w:type="dxa"/>
            <w:shd w:val="clear" w:color="auto" w:fill="auto"/>
            <w:vAlign w:val="center"/>
          </w:tcPr>
          <w:p w14:paraId="467C52F6">
            <w:pPr>
              <w:jc w:val="center"/>
              <w:rPr>
                <w:rFonts w:hint="eastAsia" w:ascii="宋体" w:hAnsi="宋体" w:eastAsia="宋体" w:cs="宋体"/>
                <w:i w:val="0"/>
                <w:iCs w:val="0"/>
                <w:color w:val="000000"/>
                <w:sz w:val="20"/>
                <w:szCs w:val="20"/>
                <w:u w:val="none"/>
              </w:rPr>
            </w:pPr>
          </w:p>
        </w:tc>
        <w:tc>
          <w:tcPr>
            <w:tcW w:w="950" w:type="dxa"/>
            <w:shd w:val="clear" w:color="auto" w:fill="auto"/>
            <w:vAlign w:val="center"/>
          </w:tcPr>
          <w:p w14:paraId="1DD7A0A6">
            <w:pPr>
              <w:jc w:val="center"/>
              <w:rPr>
                <w:rFonts w:hint="eastAsia" w:ascii="宋体" w:hAnsi="宋体" w:eastAsia="宋体" w:cs="宋体"/>
                <w:i w:val="0"/>
                <w:iCs w:val="0"/>
                <w:color w:val="000000"/>
                <w:sz w:val="20"/>
                <w:szCs w:val="20"/>
                <w:u w:val="none"/>
              </w:rPr>
            </w:pPr>
          </w:p>
        </w:tc>
        <w:tc>
          <w:tcPr>
            <w:tcW w:w="1144" w:type="dxa"/>
            <w:shd w:val="clear" w:color="auto" w:fill="auto"/>
            <w:vAlign w:val="center"/>
          </w:tcPr>
          <w:p w14:paraId="7AB91C7D">
            <w:pPr>
              <w:jc w:val="center"/>
              <w:rPr>
                <w:rFonts w:hint="eastAsia" w:ascii="宋体" w:hAnsi="宋体" w:eastAsia="宋体" w:cs="宋体"/>
                <w:i w:val="0"/>
                <w:iCs w:val="0"/>
                <w:color w:val="000000"/>
                <w:sz w:val="20"/>
                <w:szCs w:val="20"/>
                <w:u w:val="none"/>
              </w:rPr>
            </w:pPr>
          </w:p>
        </w:tc>
        <w:tc>
          <w:tcPr>
            <w:tcW w:w="1144" w:type="dxa"/>
            <w:shd w:val="clear" w:color="auto" w:fill="auto"/>
            <w:vAlign w:val="center"/>
          </w:tcPr>
          <w:p w14:paraId="67500195">
            <w:pPr>
              <w:jc w:val="center"/>
              <w:rPr>
                <w:rFonts w:hint="eastAsia" w:ascii="宋体" w:hAnsi="宋体" w:eastAsia="宋体" w:cs="宋体"/>
                <w:i w:val="0"/>
                <w:iCs w:val="0"/>
                <w:color w:val="000000"/>
                <w:sz w:val="20"/>
                <w:szCs w:val="20"/>
                <w:u w:val="none"/>
              </w:rPr>
            </w:pPr>
          </w:p>
        </w:tc>
        <w:tc>
          <w:tcPr>
            <w:tcW w:w="1048" w:type="dxa"/>
            <w:shd w:val="clear" w:color="auto" w:fill="auto"/>
            <w:vAlign w:val="center"/>
          </w:tcPr>
          <w:p w14:paraId="6F4A5F7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51" w:type="dxa"/>
            <w:shd w:val="clear" w:color="auto" w:fill="auto"/>
            <w:vAlign w:val="center"/>
          </w:tcPr>
          <w:p w14:paraId="57AD3763">
            <w:pPr>
              <w:jc w:val="center"/>
              <w:rPr>
                <w:rFonts w:hint="eastAsia" w:ascii="宋体" w:hAnsi="宋体" w:eastAsia="宋体" w:cs="宋体"/>
                <w:i w:val="0"/>
                <w:iCs w:val="0"/>
                <w:color w:val="000000"/>
                <w:sz w:val="20"/>
                <w:szCs w:val="20"/>
                <w:u w:val="none"/>
              </w:rPr>
            </w:pPr>
          </w:p>
        </w:tc>
      </w:tr>
    </w:tbl>
    <w:p w14:paraId="16008449">
      <w:pPr>
        <w:widowControl/>
        <w:spacing w:line="240" w:lineRule="exact"/>
        <w:ind w:firstLine="0" w:firstLineChars="0"/>
        <w:jc w:val="both"/>
        <w:rPr>
          <w:rFonts w:hint="default" w:ascii="宋体" w:hAnsi="宋体" w:eastAsia="宋体" w:cs="宋体"/>
          <w:color w:val="auto"/>
          <w:kern w:val="0"/>
          <w:sz w:val="18"/>
          <w:szCs w:val="18"/>
          <w:highlight w:val="none"/>
          <w:lang w:val="en-US" w:eastAsia="zh-CN"/>
        </w:rPr>
        <w:sectPr>
          <w:pgSz w:w="16838" w:h="11906" w:orient="landscape"/>
          <w:pgMar w:top="1800" w:right="1440" w:bottom="1800" w:left="1440" w:header="737" w:footer="851" w:gutter="0"/>
          <w:pgNumType w:fmt="decimal" w:start="1"/>
          <w:cols w:space="720" w:num="1"/>
          <w:docGrid w:type="lines" w:linePitch="408" w:charSpace="0"/>
        </w:sectPr>
      </w:pPr>
    </w:p>
    <w:p w14:paraId="343C478E">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8"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8"/>
    </w:p>
    <w:tbl>
      <w:tblPr>
        <w:tblStyle w:val="12"/>
        <w:tblW w:w="13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51E65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33CB3168">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14:paraId="748901F0">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14:paraId="7EE1821A">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14:paraId="6D0DEBEA">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14:paraId="43E759DF">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14:paraId="28C17941">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14:paraId="60CCD9D8">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63947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611E019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2B6517E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54C28541">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14:paraId="7F783D1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14:paraId="2766DA6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5128CF8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14:paraId="4A6D92C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14:paraId="0C53ACFB">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F892281">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6917CB85">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6C2177C0">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04957BDA">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6D26A997">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14:paraId="688DF7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5E975A2D">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04F26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47DECBA7">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3322C2DF">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46D6612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305ADD6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14:paraId="45879C2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14:paraId="1F70A75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313BE33">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60A3E74B">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78B0E260">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14:paraId="1B786E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0DB8F3B9">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2.2</w:t>
            </w:r>
          </w:p>
        </w:tc>
      </w:tr>
      <w:tr w14:paraId="0ABF3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6F6B82F8">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65369DA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14:paraId="07DE1B0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4EF1C23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1262BFC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235D7D0D">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F1B1673">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6E3D5524">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51B9AD3C">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61963333">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123B4F4E">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14:paraId="46FCFC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6F0B6997">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2CE94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34C288A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14:paraId="7042F5C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14:paraId="4DCDA44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0FF38BD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14:paraId="69B83A8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14:paraId="73C9015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F717DC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4FA0046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6A52A73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38E6BBED">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14:paraId="367B2C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0D260AD5">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73F62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168E578A">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5F84F18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35B0F6CF">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733088D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49151EF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14:paraId="4B37474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0938160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50FFCB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0B6F6F2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03FE1AA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061392B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14:paraId="726F22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4A69598B">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41B2C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44414486">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6D324263">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79E756B4">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4AF3E18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6B210B4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0C171D1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08D4FF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2D50302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14:paraId="103886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6B7A0AC4">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4F187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32FDE622">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14:paraId="59690F3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223A940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14:paraId="58A0E91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14:paraId="1F4E6D63">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06112BCF">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157B558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14:paraId="345EB5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536B88D7">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68A96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7A7F2C1E">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0EC4757C">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17BF077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14:paraId="7AB051B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14:paraId="2F573F7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38CCAF5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14:paraId="405B89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0EBFF8AB">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6B655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2C22951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5E47B890">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14:paraId="6F936A0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1F235F1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2471325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14:paraId="6807A26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14:paraId="52E80FC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94A1E1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461E147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63E2BEE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41651C9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14:paraId="2E6354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2D03F9B5">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37BE2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6FE6BC40">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50122DD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437052B5">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4467E0D4">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0E0DC24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14:paraId="6B762A2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27B64A4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6E80F4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56CD2C9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14:paraId="67CBB6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795D576F">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45BC5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64FD5A5F">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0207D946">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78D1D8E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049E83A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14:paraId="25BD549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14:paraId="715275E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39F19E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2E03285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17C733F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4504728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14:paraId="0C8482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2846F0CE">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41DB3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4D45ED9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5813E00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820" w:type="dxa"/>
            <w:shd w:val="clear" w:color="auto" w:fill="auto"/>
            <w:noWrap w:val="0"/>
            <w:vAlign w:val="center"/>
          </w:tcPr>
          <w:p w14:paraId="5BB85BA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充电车棚</w:t>
            </w:r>
          </w:p>
        </w:tc>
        <w:tc>
          <w:tcPr>
            <w:tcW w:w="2141" w:type="dxa"/>
            <w:shd w:val="clear" w:color="auto" w:fill="auto"/>
            <w:noWrap w:val="0"/>
            <w:vAlign w:val="center"/>
          </w:tcPr>
          <w:p w14:paraId="04D5300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67BCC54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622CEF2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5F7938A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14C01EAF">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6CBA7860">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4AFD4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14:paraId="5FE39D3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6F1B502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产出质量</w:t>
            </w:r>
          </w:p>
        </w:tc>
        <w:tc>
          <w:tcPr>
            <w:tcW w:w="820" w:type="dxa"/>
            <w:shd w:val="clear" w:color="auto" w:fill="auto"/>
            <w:noWrap w:val="0"/>
            <w:vAlign w:val="center"/>
          </w:tcPr>
          <w:p w14:paraId="755DDB5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项目质量验收合格率</w:t>
            </w:r>
          </w:p>
        </w:tc>
        <w:tc>
          <w:tcPr>
            <w:tcW w:w="2141" w:type="dxa"/>
            <w:shd w:val="clear" w:color="auto" w:fill="auto"/>
            <w:noWrap w:val="0"/>
            <w:vAlign w:val="center"/>
          </w:tcPr>
          <w:p w14:paraId="047CAF6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1CE07610">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49F2384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0226F8F4">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0359CA02">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7A071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103C1B05">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64F234C7">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产出时效</w:t>
            </w:r>
          </w:p>
        </w:tc>
        <w:tc>
          <w:tcPr>
            <w:tcW w:w="820" w:type="dxa"/>
            <w:shd w:val="clear" w:color="auto" w:fill="auto"/>
            <w:noWrap w:val="0"/>
            <w:vAlign w:val="center"/>
          </w:tcPr>
          <w:p w14:paraId="45BA5B3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施工及时率</w:t>
            </w:r>
          </w:p>
        </w:tc>
        <w:tc>
          <w:tcPr>
            <w:tcW w:w="2141" w:type="dxa"/>
            <w:shd w:val="clear" w:color="auto" w:fill="auto"/>
            <w:noWrap w:val="0"/>
            <w:vAlign w:val="center"/>
          </w:tcPr>
          <w:p w14:paraId="18D41C3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19253F9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3CC708A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55757504">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14:paraId="3C2D4FE2">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6F73F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70995313">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74857D58">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产出时效</w:t>
            </w:r>
          </w:p>
        </w:tc>
        <w:tc>
          <w:tcPr>
            <w:tcW w:w="820" w:type="dxa"/>
            <w:shd w:val="clear" w:color="auto" w:fill="auto"/>
            <w:noWrap w:val="0"/>
            <w:vAlign w:val="center"/>
          </w:tcPr>
          <w:p w14:paraId="282520F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项目起止时间</w:t>
            </w:r>
          </w:p>
        </w:tc>
        <w:tc>
          <w:tcPr>
            <w:tcW w:w="2141" w:type="dxa"/>
            <w:shd w:val="clear" w:color="auto" w:fill="auto"/>
            <w:noWrap w:val="0"/>
            <w:vAlign w:val="center"/>
          </w:tcPr>
          <w:p w14:paraId="1EFAD1D7">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74FF2C9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290939A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4D440267">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14:paraId="7D478BBE">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30BE9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30E18539">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2A6CBA1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820" w:type="dxa"/>
            <w:shd w:val="clear" w:color="auto" w:fill="auto"/>
            <w:noWrap w:val="0"/>
            <w:vAlign w:val="center"/>
          </w:tcPr>
          <w:p w14:paraId="5595D6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六号公馆小区充电车棚费用</w:t>
            </w:r>
          </w:p>
        </w:tc>
        <w:tc>
          <w:tcPr>
            <w:tcW w:w="2141" w:type="dxa"/>
            <w:shd w:val="clear" w:color="auto" w:fill="auto"/>
            <w:noWrap w:val="0"/>
            <w:vAlign w:val="center"/>
          </w:tcPr>
          <w:p w14:paraId="4A674CE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71E71EAC">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639C6BA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29C7BDA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6B52EF7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61232A9D">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14:paraId="28BE7386">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56178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4867C942">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57FCA27A">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3271D3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滨河新居小区充电车棚费用</w:t>
            </w:r>
          </w:p>
        </w:tc>
        <w:tc>
          <w:tcPr>
            <w:tcW w:w="2141" w:type="dxa"/>
            <w:shd w:val="clear" w:color="auto" w:fill="auto"/>
            <w:noWrap w:val="0"/>
            <w:vAlign w:val="center"/>
          </w:tcPr>
          <w:p w14:paraId="2A6875CE">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52AC2407">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7C477EB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6F10F23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39C30F68">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3A2A9833">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14:paraId="5A161257">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4E9BA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6C6BB342">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34995C66">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49E4C5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有色家园小区充电车棚费用</w:t>
            </w:r>
          </w:p>
        </w:tc>
        <w:tc>
          <w:tcPr>
            <w:tcW w:w="2141" w:type="dxa"/>
            <w:shd w:val="clear" w:color="auto" w:fill="auto"/>
            <w:noWrap w:val="0"/>
            <w:vAlign w:val="center"/>
          </w:tcPr>
          <w:p w14:paraId="5E94BC7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0798F976">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5F27023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6CB454A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3BD0945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3FDC8254">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14:paraId="4AD04A98">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72216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14:paraId="7AD2918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noWrap w:val="0"/>
            <w:vAlign w:val="center"/>
          </w:tcPr>
          <w:p w14:paraId="5462C0B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项目效益　</w:t>
            </w:r>
          </w:p>
        </w:tc>
        <w:tc>
          <w:tcPr>
            <w:tcW w:w="820" w:type="dxa"/>
            <w:shd w:val="clear" w:color="auto" w:fill="auto"/>
            <w:noWrap w:val="0"/>
            <w:vAlign w:val="center"/>
          </w:tcPr>
          <w:p w14:paraId="6FAF1D9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降低飞线充电带来的安全隐患</w:t>
            </w:r>
          </w:p>
        </w:tc>
        <w:tc>
          <w:tcPr>
            <w:tcW w:w="2141" w:type="dxa"/>
            <w:shd w:val="clear" w:color="auto" w:fill="auto"/>
            <w:noWrap w:val="0"/>
            <w:vAlign w:val="center"/>
          </w:tcPr>
          <w:p w14:paraId="13ECD961">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5761B0F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72B808DF">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17A14B55">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620F0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14:paraId="288B5CA9">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43DB7FFF">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0B56F30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满足居民电动车充电需求，为辖区居民提供良好的生活环境，促进社会可持续健康发展。</w:t>
            </w:r>
          </w:p>
        </w:tc>
        <w:tc>
          <w:tcPr>
            <w:tcW w:w="2141" w:type="dxa"/>
            <w:shd w:val="clear" w:color="auto" w:fill="auto"/>
            <w:noWrap w:val="0"/>
            <w:vAlign w:val="center"/>
          </w:tcPr>
          <w:p w14:paraId="0453A2E4">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2B87DFBD">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58A633B4">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26A77FCE">
            <w:pPr>
              <w:widowControl/>
              <w:spacing w:line="0" w:lineRule="atLeast"/>
              <w:ind w:firstLine="0" w:firstLineChars="0"/>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3B5B9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204AFAE1">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36C84E1D">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7DD9F6C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准东办事处辖区居民满意率</w:t>
            </w:r>
          </w:p>
        </w:tc>
        <w:tc>
          <w:tcPr>
            <w:tcW w:w="2141" w:type="dxa"/>
            <w:shd w:val="clear" w:color="auto" w:fill="auto"/>
            <w:noWrap w:val="0"/>
            <w:vAlign w:val="center"/>
          </w:tcPr>
          <w:p w14:paraId="02273F5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14:paraId="33E7963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31D46AF3">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0A0B99F2">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7A867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2DDFD0ED">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14:paraId="57CA7B55">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14:paraId="019F3B51">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14:paraId="6A5CE1B9">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99.2</w:t>
            </w:r>
          </w:p>
        </w:tc>
      </w:tr>
    </w:tbl>
    <w:p w14:paraId="76B7FD83">
      <w:pPr>
        <w:spacing w:line="240" w:lineRule="auto"/>
        <w:ind w:firstLine="0" w:firstLineChars="0"/>
        <w:rPr>
          <w:rFonts w:ascii="Times New Roman" w:hAnsi="Times New Roman" w:eastAsia="仿宋_GB2312" w:cs="Times New Roman"/>
          <w:color w:val="auto"/>
          <w:sz w:val="30"/>
          <w:szCs w:val="24"/>
          <w:highlight w:val="none"/>
        </w:rPr>
      </w:pPr>
    </w:p>
    <w:p w14:paraId="57542B31">
      <w:pPr>
        <w:rPr>
          <w:rFonts w:hint="default"/>
          <w:color w:val="auto"/>
          <w:highlight w:val="none"/>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94CCF6">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7ABD71">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47ABD71">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68291A1A"/>
    <w:rsid w:val="007D6A04"/>
    <w:rsid w:val="00DF40D7"/>
    <w:rsid w:val="00E23C81"/>
    <w:rsid w:val="01253350"/>
    <w:rsid w:val="01282E62"/>
    <w:rsid w:val="014029CF"/>
    <w:rsid w:val="01470C4C"/>
    <w:rsid w:val="02200440"/>
    <w:rsid w:val="02284B43"/>
    <w:rsid w:val="02B015E2"/>
    <w:rsid w:val="02DC08FA"/>
    <w:rsid w:val="0327473B"/>
    <w:rsid w:val="033B569D"/>
    <w:rsid w:val="039C3BA0"/>
    <w:rsid w:val="03A845BB"/>
    <w:rsid w:val="03B45AD1"/>
    <w:rsid w:val="04D12EE4"/>
    <w:rsid w:val="04D63993"/>
    <w:rsid w:val="07890F4F"/>
    <w:rsid w:val="08892439"/>
    <w:rsid w:val="08EB30F3"/>
    <w:rsid w:val="09237408"/>
    <w:rsid w:val="094A2B76"/>
    <w:rsid w:val="09781BD6"/>
    <w:rsid w:val="09F359DF"/>
    <w:rsid w:val="0A575E65"/>
    <w:rsid w:val="0ACA0AB6"/>
    <w:rsid w:val="0B2E2BC2"/>
    <w:rsid w:val="0C032502"/>
    <w:rsid w:val="0C27698C"/>
    <w:rsid w:val="0D4452F3"/>
    <w:rsid w:val="0F5E5042"/>
    <w:rsid w:val="0F9432ED"/>
    <w:rsid w:val="0FE95707"/>
    <w:rsid w:val="10510571"/>
    <w:rsid w:val="10787A20"/>
    <w:rsid w:val="108672DE"/>
    <w:rsid w:val="108B6475"/>
    <w:rsid w:val="10EC685A"/>
    <w:rsid w:val="11204730"/>
    <w:rsid w:val="11FA6155"/>
    <w:rsid w:val="12CF0947"/>
    <w:rsid w:val="12F1313F"/>
    <w:rsid w:val="13695A19"/>
    <w:rsid w:val="136C678E"/>
    <w:rsid w:val="13EB2FF5"/>
    <w:rsid w:val="158500FF"/>
    <w:rsid w:val="15A46B04"/>
    <w:rsid w:val="1632436B"/>
    <w:rsid w:val="165825BC"/>
    <w:rsid w:val="16BC5D73"/>
    <w:rsid w:val="17406B91"/>
    <w:rsid w:val="176F36D7"/>
    <w:rsid w:val="1795226D"/>
    <w:rsid w:val="18456B1E"/>
    <w:rsid w:val="1C1171C5"/>
    <w:rsid w:val="1D265138"/>
    <w:rsid w:val="1D7B6BCA"/>
    <w:rsid w:val="1DA41A79"/>
    <w:rsid w:val="1DC1395E"/>
    <w:rsid w:val="1DF53469"/>
    <w:rsid w:val="1E2F24F2"/>
    <w:rsid w:val="1E58492F"/>
    <w:rsid w:val="1E5B6757"/>
    <w:rsid w:val="1ED10AC6"/>
    <w:rsid w:val="1F89225F"/>
    <w:rsid w:val="1F900A1F"/>
    <w:rsid w:val="1FB02200"/>
    <w:rsid w:val="1FC0575D"/>
    <w:rsid w:val="206132C7"/>
    <w:rsid w:val="21973EE0"/>
    <w:rsid w:val="21B00C1D"/>
    <w:rsid w:val="23031BEB"/>
    <w:rsid w:val="236478A7"/>
    <w:rsid w:val="23917691"/>
    <w:rsid w:val="23F804B7"/>
    <w:rsid w:val="244D65B8"/>
    <w:rsid w:val="245E1E24"/>
    <w:rsid w:val="25AD5E5D"/>
    <w:rsid w:val="25BE45F7"/>
    <w:rsid w:val="25F65AFE"/>
    <w:rsid w:val="2732478D"/>
    <w:rsid w:val="27661469"/>
    <w:rsid w:val="27900EAD"/>
    <w:rsid w:val="279B538A"/>
    <w:rsid w:val="286F545C"/>
    <w:rsid w:val="28A62FE6"/>
    <w:rsid w:val="29314FBC"/>
    <w:rsid w:val="29BD5297"/>
    <w:rsid w:val="2B9747D7"/>
    <w:rsid w:val="2C024B86"/>
    <w:rsid w:val="2C927671"/>
    <w:rsid w:val="2D7C5CD6"/>
    <w:rsid w:val="2E37066B"/>
    <w:rsid w:val="2E483E7E"/>
    <w:rsid w:val="2E690493"/>
    <w:rsid w:val="2E9854BD"/>
    <w:rsid w:val="2F0D407F"/>
    <w:rsid w:val="2F454B19"/>
    <w:rsid w:val="30677364"/>
    <w:rsid w:val="310224D9"/>
    <w:rsid w:val="31B4621C"/>
    <w:rsid w:val="31E3230A"/>
    <w:rsid w:val="330957E0"/>
    <w:rsid w:val="33356F64"/>
    <w:rsid w:val="33811C23"/>
    <w:rsid w:val="33944516"/>
    <w:rsid w:val="34B62907"/>
    <w:rsid w:val="358F08A1"/>
    <w:rsid w:val="36BD137C"/>
    <w:rsid w:val="374C4F5B"/>
    <w:rsid w:val="385D37E7"/>
    <w:rsid w:val="38782EDD"/>
    <w:rsid w:val="392929FD"/>
    <w:rsid w:val="3B42664A"/>
    <w:rsid w:val="3C4F7E96"/>
    <w:rsid w:val="3D21607D"/>
    <w:rsid w:val="3D836A4E"/>
    <w:rsid w:val="3EA37E97"/>
    <w:rsid w:val="3EC43989"/>
    <w:rsid w:val="3FBE0BC5"/>
    <w:rsid w:val="4048103A"/>
    <w:rsid w:val="40736643"/>
    <w:rsid w:val="40BE6CDD"/>
    <w:rsid w:val="40D24A7A"/>
    <w:rsid w:val="41106E74"/>
    <w:rsid w:val="42621029"/>
    <w:rsid w:val="42D3315A"/>
    <w:rsid w:val="435241E2"/>
    <w:rsid w:val="43975C51"/>
    <w:rsid w:val="439E3FA7"/>
    <w:rsid w:val="43A0670B"/>
    <w:rsid w:val="43D90980"/>
    <w:rsid w:val="44B277B3"/>
    <w:rsid w:val="44B32266"/>
    <w:rsid w:val="44FC64F4"/>
    <w:rsid w:val="45213638"/>
    <w:rsid w:val="467F4585"/>
    <w:rsid w:val="46A23D15"/>
    <w:rsid w:val="46D85EE4"/>
    <w:rsid w:val="470628CB"/>
    <w:rsid w:val="47555BD4"/>
    <w:rsid w:val="47E96399"/>
    <w:rsid w:val="48E12B50"/>
    <w:rsid w:val="499441BE"/>
    <w:rsid w:val="499A6C1C"/>
    <w:rsid w:val="4A2138F0"/>
    <w:rsid w:val="4A583887"/>
    <w:rsid w:val="4ACB4E2F"/>
    <w:rsid w:val="4B9F6E02"/>
    <w:rsid w:val="4C89637B"/>
    <w:rsid w:val="4D2F398D"/>
    <w:rsid w:val="4D4B1B02"/>
    <w:rsid w:val="4E6D06E1"/>
    <w:rsid w:val="4E6E48A8"/>
    <w:rsid w:val="4EEC036B"/>
    <w:rsid w:val="501D2673"/>
    <w:rsid w:val="507B5E8F"/>
    <w:rsid w:val="50C80BF1"/>
    <w:rsid w:val="51852833"/>
    <w:rsid w:val="52F11AC8"/>
    <w:rsid w:val="534F49D9"/>
    <w:rsid w:val="53555F0F"/>
    <w:rsid w:val="535D23D5"/>
    <w:rsid w:val="54684BC5"/>
    <w:rsid w:val="54A57A2E"/>
    <w:rsid w:val="55D143CB"/>
    <w:rsid w:val="5601492D"/>
    <w:rsid w:val="56F4341A"/>
    <w:rsid w:val="575A7321"/>
    <w:rsid w:val="57AE13DA"/>
    <w:rsid w:val="580C3AB9"/>
    <w:rsid w:val="583C7AE0"/>
    <w:rsid w:val="586C1E9A"/>
    <w:rsid w:val="586E0800"/>
    <w:rsid w:val="58FA56CC"/>
    <w:rsid w:val="59216F96"/>
    <w:rsid w:val="598C4145"/>
    <w:rsid w:val="59957D1B"/>
    <w:rsid w:val="59D4294E"/>
    <w:rsid w:val="5A56290D"/>
    <w:rsid w:val="5B133FA7"/>
    <w:rsid w:val="5B634312"/>
    <w:rsid w:val="5B98204E"/>
    <w:rsid w:val="5B9D2CCD"/>
    <w:rsid w:val="5B9E71EA"/>
    <w:rsid w:val="5D066DF1"/>
    <w:rsid w:val="5D9F2D91"/>
    <w:rsid w:val="5DBA716D"/>
    <w:rsid w:val="5E226FBC"/>
    <w:rsid w:val="5FE72BD2"/>
    <w:rsid w:val="60120613"/>
    <w:rsid w:val="618D5292"/>
    <w:rsid w:val="619B6148"/>
    <w:rsid w:val="622E78FA"/>
    <w:rsid w:val="62997D7B"/>
    <w:rsid w:val="63343F70"/>
    <w:rsid w:val="64296E1C"/>
    <w:rsid w:val="649E64A2"/>
    <w:rsid w:val="65293A01"/>
    <w:rsid w:val="65E5270A"/>
    <w:rsid w:val="663D3C54"/>
    <w:rsid w:val="66862C89"/>
    <w:rsid w:val="66BB486D"/>
    <w:rsid w:val="67394C7D"/>
    <w:rsid w:val="677503C1"/>
    <w:rsid w:val="68126B38"/>
    <w:rsid w:val="68291A1A"/>
    <w:rsid w:val="68352BB8"/>
    <w:rsid w:val="691B1594"/>
    <w:rsid w:val="693A016B"/>
    <w:rsid w:val="699C4119"/>
    <w:rsid w:val="6A0A1A5B"/>
    <w:rsid w:val="6A17429C"/>
    <w:rsid w:val="6A567EA3"/>
    <w:rsid w:val="6B4B4368"/>
    <w:rsid w:val="6B5B6BC2"/>
    <w:rsid w:val="6B79100E"/>
    <w:rsid w:val="6C844C00"/>
    <w:rsid w:val="6DFB037C"/>
    <w:rsid w:val="6E025CFE"/>
    <w:rsid w:val="6E10212C"/>
    <w:rsid w:val="6E43561A"/>
    <w:rsid w:val="6E557973"/>
    <w:rsid w:val="6E9568DB"/>
    <w:rsid w:val="6F0D6C22"/>
    <w:rsid w:val="6F47657F"/>
    <w:rsid w:val="6FAF23D9"/>
    <w:rsid w:val="70635CF6"/>
    <w:rsid w:val="70670707"/>
    <w:rsid w:val="70DE7A76"/>
    <w:rsid w:val="70E4322D"/>
    <w:rsid w:val="720E3691"/>
    <w:rsid w:val="72360FF1"/>
    <w:rsid w:val="724E244C"/>
    <w:rsid w:val="72DA6946"/>
    <w:rsid w:val="730062AB"/>
    <w:rsid w:val="732764B3"/>
    <w:rsid w:val="74026044"/>
    <w:rsid w:val="74746410"/>
    <w:rsid w:val="74CD28BC"/>
    <w:rsid w:val="75E5007C"/>
    <w:rsid w:val="75F0676F"/>
    <w:rsid w:val="76463B91"/>
    <w:rsid w:val="77813724"/>
    <w:rsid w:val="77861774"/>
    <w:rsid w:val="77A12826"/>
    <w:rsid w:val="787B178A"/>
    <w:rsid w:val="78F31435"/>
    <w:rsid w:val="79300B45"/>
    <w:rsid w:val="794D3E18"/>
    <w:rsid w:val="79F3729A"/>
    <w:rsid w:val="7A880722"/>
    <w:rsid w:val="7ACB0498"/>
    <w:rsid w:val="7AED0B4D"/>
    <w:rsid w:val="7B120B65"/>
    <w:rsid w:val="7C1E4487"/>
    <w:rsid w:val="7C215E02"/>
    <w:rsid w:val="7CF23764"/>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5"/>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5">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99"/>
    <w:pPr>
      <w:ind w:firstLine="640" w:firstLineChars="200"/>
    </w:pPr>
  </w:style>
  <w:style w:type="paragraph" w:styleId="6">
    <w:name w:val="annotation text"/>
    <w:basedOn w:val="1"/>
    <w:qFormat/>
    <w:uiPriority w:val="0"/>
    <w:pPr>
      <w:jc w:val="left"/>
    </w:pPr>
  </w:style>
  <w:style w:type="paragraph" w:styleId="7">
    <w:name w:val="Body Text"/>
    <w:basedOn w:val="1"/>
    <w:next w:val="8"/>
    <w:qFormat/>
    <w:uiPriority w:val="0"/>
    <w:pPr>
      <w:spacing w:before="240" w:after="240" w:line="360" w:lineRule="auto"/>
      <w:jc w:val="center"/>
    </w:pPr>
    <w:rPr>
      <w:b/>
      <w:sz w:val="44"/>
    </w:rPr>
  </w:style>
  <w:style w:type="paragraph" w:styleId="8">
    <w:name w:val="Body Text 2"/>
    <w:basedOn w:val="1"/>
    <w:qFormat/>
    <w:uiPriority w:val="0"/>
    <w:pPr>
      <w:spacing w:after="120" w:line="480" w:lineRule="auto"/>
    </w:pPr>
    <w:rPr>
      <w:rFonts w:ascii="Times New Roman" w:hAnsi="Times New Roman" w:eastAsia="宋体" w:cs="Times New Roman"/>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4">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4"/>
    <w:qFormat/>
    <w:uiPriority w:val="0"/>
    <w:rPr>
      <w:rFonts w:ascii="Arial" w:hAnsi="Arial" w:eastAsia="楷体"/>
      <w:b/>
      <w:sz w:val="32"/>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 w:type="paragraph" w:customStyle="1" w:styleId="17">
    <w:name w:val="WPSOffice手动目录 2"/>
    <w:qFormat/>
    <w:uiPriority w:val="0"/>
    <w:pPr>
      <w:ind w:leftChars="200"/>
    </w:pPr>
    <w:rPr>
      <w:rFonts w:ascii="Times New Roman" w:hAnsi="Times New Roman" w:eastAsia="宋体" w:cs="Times New Roman"/>
      <w:sz w:val="20"/>
      <w:szCs w:val="20"/>
    </w:rPr>
  </w:style>
  <w:style w:type="paragraph" w:customStyle="1" w:styleId="18">
    <w:name w:val="WPSOffice手动目录 3"/>
    <w:qFormat/>
    <w:uiPriority w:val="0"/>
    <w:pPr>
      <w:ind w:leftChars="400"/>
    </w:pPr>
    <w:rPr>
      <w:rFonts w:ascii="Times New Roman" w:hAnsi="Times New Roman" w:eastAsia="宋体" w:cs="Times New Roman"/>
      <w:sz w:val="20"/>
      <w:szCs w:val="20"/>
    </w:rPr>
  </w:style>
  <w:style w:type="paragraph" w:styleId="1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14470</Words>
  <Characters>15168</Characters>
  <Lines>0</Lines>
  <Paragraphs>0</Paragraphs>
  <TotalTime>1</TotalTime>
  <ScaleCrop>false</ScaleCrop>
  <LinksUpToDate>false</LinksUpToDate>
  <CharactersWithSpaces>15246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2025-05-24T15:52:45Z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1D17C581B7B649E79D2BCA767FA9A472_13</vt:lpwstr>
  </property>
  <property fmtid="{D5CDD505-2E9C-101B-9397-08002B2CF9AE}" pid="4" name="KSOTemplateDocerSaveRecord">
    <vt:lpwstr>eyJoZGlkIjoiYzBmZTlhOTk5YmU4NWU2NmQ2NDUyNmM2ZTEyOGEyZmUifQ==</vt:lpwstr>
  </property>
</Properties>
</file>