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DD0E4">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FDC563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B020F5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3DEA97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bookmarkStart w:id="1" w:name="_Toc22522"/>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老干部三套组织业务费及聘用人员工资项目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bookmarkEnd w:id="1"/>
    </w:p>
    <w:p w14:paraId="78436CC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011D2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0DF28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3C69A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F2C8A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FB515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3942194">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963F0E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项目名称：老干部三套组织业务费及聘用人员工资</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项目</w:t>
      </w:r>
    </w:p>
    <w:p w14:paraId="2EE2D8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中共阜康市委老干部局</w:t>
      </w:r>
    </w:p>
    <w:p w14:paraId="6B372E9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中共阜康市委老干部局</w:t>
      </w:r>
    </w:p>
    <w:p w14:paraId="531AE071">
      <w:pPr>
        <w:pStyle w:val="15"/>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2290DF21">
      <w:pPr>
        <w:rPr>
          <w:rFonts w:hint="eastAsia"/>
          <w:lang w:val="en-US" w:eastAsia="zh-CN"/>
        </w:rPr>
      </w:pPr>
      <w:r>
        <w:rPr>
          <w:rFonts w:hint="eastAsia"/>
          <w:lang w:val="en-US" w:eastAsia="zh-CN"/>
        </w:rPr>
        <w:br w:type="page"/>
      </w:r>
    </w:p>
    <w:p w14:paraId="580C4A67">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30CD122F">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5730880A">
          <w:pPr>
            <w:pStyle w:val="13"/>
            <w:tabs>
              <w:tab w:val="right" w:leader="dot" w:pos="8844"/>
            </w:tabs>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4E4BCD99">
          <w:pPr>
            <w:pStyle w:val="13"/>
            <w:tabs>
              <w:tab w:val="right" w:leader="dot" w:pos="8844"/>
            </w:tabs>
            <w:rPr>
              <w:b/>
              <w:bCs/>
            </w:rPr>
          </w:pPr>
          <w:r>
            <w:rPr>
              <w:rFonts w:hint="eastAsia"/>
              <w:b/>
              <w:bCs/>
              <w:szCs w:val="28"/>
              <w:lang w:val="en-US" w:eastAsia="zh-CN"/>
            </w:rPr>
            <w:fldChar w:fldCharType="begin"/>
          </w:r>
          <w:r>
            <w:rPr>
              <w:rFonts w:hint="eastAsia"/>
              <w:b/>
              <w:bCs/>
              <w:szCs w:val="28"/>
              <w:lang w:val="en-US" w:eastAsia="zh-CN"/>
            </w:rPr>
            <w:instrText xml:space="preserve"> HYPERLINK \l _Toc10813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rPr>
            <w:t>一、基本情况</w:t>
          </w:r>
          <w:r>
            <w:rPr>
              <w:b/>
              <w:bCs/>
            </w:rPr>
            <w:tab/>
          </w:r>
          <w:r>
            <w:rPr>
              <w:b/>
              <w:bCs/>
            </w:rPr>
            <w:fldChar w:fldCharType="begin"/>
          </w:r>
          <w:r>
            <w:rPr>
              <w:b/>
              <w:bCs/>
            </w:rPr>
            <w:instrText xml:space="preserve"> PAGEREF _Toc10813 \h </w:instrText>
          </w:r>
          <w:r>
            <w:rPr>
              <w:b/>
              <w:bCs/>
            </w:rPr>
            <w:fldChar w:fldCharType="separate"/>
          </w:r>
          <w:r>
            <w:rPr>
              <w:b/>
              <w:bCs/>
            </w:rPr>
            <w:t>1</w:t>
          </w:r>
          <w:r>
            <w:rPr>
              <w:b/>
              <w:bCs/>
            </w:rPr>
            <w:fldChar w:fldCharType="end"/>
          </w:r>
          <w:r>
            <w:rPr>
              <w:rFonts w:hint="eastAsia"/>
              <w:b/>
              <w:bCs/>
              <w:szCs w:val="28"/>
              <w:lang w:val="en-US" w:eastAsia="zh-CN"/>
            </w:rPr>
            <w:fldChar w:fldCharType="end"/>
          </w:r>
        </w:p>
        <w:p w14:paraId="5A01DB15">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_Toc25930 </w:instrText>
          </w:r>
          <w:r>
            <w:rPr>
              <w:rFonts w:hint="eastAsia"/>
              <w:szCs w:val="28"/>
              <w:lang w:val="en-US" w:eastAsia="zh-CN"/>
            </w:rPr>
            <w:fldChar w:fldCharType="separate"/>
          </w:r>
          <w:r>
            <w:rPr>
              <w:rFonts w:hint="eastAsia" w:ascii="宋体" w:hAnsi="宋体" w:eastAsia="宋体" w:cs="宋体"/>
              <w:highlight w:val="none"/>
              <w:shd w:val="clear" w:color="auto" w:fill="auto"/>
            </w:rPr>
            <w:t>（一）项目概况</w:t>
          </w:r>
          <w:r>
            <w:tab/>
          </w:r>
          <w:r>
            <w:fldChar w:fldCharType="begin"/>
          </w:r>
          <w:r>
            <w:instrText xml:space="preserve"> PAGEREF _Toc25930 \h </w:instrText>
          </w:r>
          <w:r>
            <w:fldChar w:fldCharType="separate"/>
          </w:r>
          <w:r>
            <w:t>1</w:t>
          </w:r>
          <w:r>
            <w:fldChar w:fldCharType="end"/>
          </w:r>
          <w:r>
            <w:rPr>
              <w:rFonts w:hint="eastAsia"/>
              <w:szCs w:val="28"/>
              <w:lang w:val="en-US" w:eastAsia="zh-CN"/>
            </w:rPr>
            <w:fldChar w:fldCharType="end"/>
          </w:r>
        </w:p>
        <w:p w14:paraId="775A3626">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_Toc21076 </w:instrText>
          </w:r>
          <w:r>
            <w:rPr>
              <w:rFonts w:hint="eastAsia"/>
              <w:szCs w:val="28"/>
              <w:lang w:val="en-US" w:eastAsia="zh-CN"/>
            </w:rPr>
            <w:fldChar w:fldCharType="separate"/>
          </w:r>
          <w:r>
            <w:rPr>
              <w:rFonts w:hint="eastAsia" w:ascii="宋体" w:hAnsi="宋体" w:eastAsia="宋体" w:cs="宋体"/>
              <w:shd w:val="clear" w:fill="auto"/>
            </w:rPr>
            <w:t xml:space="preserve">（二） </w:t>
          </w:r>
          <w:r>
            <w:rPr>
              <w:rFonts w:hint="eastAsia" w:ascii="宋体" w:hAnsi="宋体" w:eastAsia="宋体" w:cs="宋体"/>
              <w:highlight w:val="none"/>
              <w:shd w:val="clear" w:color="auto" w:fill="auto"/>
            </w:rPr>
            <w:t>项目绩效目标</w:t>
          </w:r>
          <w:r>
            <w:tab/>
          </w:r>
          <w:r>
            <w:fldChar w:fldCharType="begin"/>
          </w:r>
          <w:r>
            <w:instrText xml:space="preserve"> PAGEREF _Toc21076 \h </w:instrText>
          </w:r>
          <w:r>
            <w:fldChar w:fldCharType="separate"/>
          </w:r>
          <w:r>
            <w:t>2</w:t>
          </w:r>
          <w:r>
            <w:fldChar w:fldCharType="end"/>
          </w:r>
          <w:r>
            <w:rPr>
              <w:rFonts w:hint="eastAsia"/>
              <w:szCs w:val="28"/>
              <w:lang w:val="en-US" w:eastAsia="zh-CN"/>
            </w:rPr>
            <w:fldChar w:fldCharType="end"/>
          </w:r>
        </w:p>
        <w:p w14:paraId="0E3554B1">
          <w:pPr>
            <w:pStyle w:val="13"/>
            <w:tabs>
              <w:tab w:val="right" w:leader="dot" w:pos="8844"/>
            </w:tabs>
          </w:pPr>
          <w:r>
            <w:rPr>
              <w:rFonts w:hint="eastAsia"/>
              <w:b/>
              <w:bCs/>
              <w:szCs w:val="28"/>
              <w:lang w:val="en-US" w:eastAsia="zh-CN"/>
            </w:rPr>
            <w:fldChar w:fldCharType="begin"/>
          </w:r>
          <w:r>
            <w:rPr>
              <w:rFonts w:hint="eastAsia"/>
              <w:b/>
              <w:bCs/>
              <w:szCs w:val="28"/>
              <w:lang w:val="en-US" w:eastAsia="zh-CN"/>
            </w:rPr>
            <w:instrText xml:space="preserve"> HYPERLINK \l _Toc17323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rPr>
            <w:t>二、绩效评价工作开展情况</w:t>
          </w:r>
          <w:r>
            <w:rPr>
              <w:b/>
              <w:bCs/>
            </w:rPr>
            <w:tab/>
          </w:r>
          <w:r>
            <w:rPr>
              <w:b/>
              <w:bCs/>
            </w:rPr>
            <w:fldChar w:fldCharType="begin"/>
          </w:r>
          <w:r>
            <w:rPr>
              <w:b/>
              <w:bCs/>
            </w:rPr>
            <w:instrText xml:space="preserve"> PAGEREF _Toc17323 \h </w:instrText>
          </w:r>
          <w:r>
            <w:rPr>
              <w:b/>
              <w:bCs/>
            </w:rPr>
            <w:fldChar w:fldCharType="separate"/>
          </w:r>
          <w:r>
            <w:rPr>
              <w:b/>
              <w:bCs/>
            </w:rPr>
            <w:t>4</w:t>
          </w:r>
          <w:r>
            <w:rPr>
              <w:b/>
              <w:bCs/>
            </w:rPr>
            <w:fldChar w:fldCharType="end"/>
          </w:r>
          <w:r>
            <w:rPr>
              <w:rFonts w:hint="eastAsia"/>
              <w:b/>
              <w:bCs/>
              <w:szCs w:val="28"/>
              <w:lang w:val="en-US" w:eastAsia="zh-CN"/>
            </w:rPr>
            <w:fldChar w:fldCharType="end"/>
          </w:r>
        </w:p>
        <w:p w14:paraId="54D1B468">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_Toc17611 </w:instrText>
          </w:r>
          <w:r>
            <w:rPr>
              <w:rFonts w:hint="eastAsia"/>
              <w:szCs w:val="28"/>
              <w:lang w:val="en-US" w:eastAsia="zh-CN"/>
            </w:rPr>
            <w:fldChar w:fldCharType="separate"/>
          </w:r>
          <w:r>
            <w:rPr>
              <w:rFonts w:hint="eastAsia" w:ascii="宋体" w:hAnsi="宋体" w:eastAsia="宋体" w:cs="宋体"/>
              <w:szCs w:val="32"/>
              <w:shd w:val="clear" w:fill="auto"/>
              <w:lang w:eastAsia="zh-CN"/>
            </w:rPr>
            <w:t xml:space="preserve">（一） </w:t>
          </w:r>
          <w:r>
            <w:rPr>
              <w:rFonts w:hint="eastAsia" w:ascii="宋体" w:hAnsi="宋体" w:eastAsia="宋体" w:cs="宋体"/>
              <w:szCs w:val="32"/>
              <w:highlight w:val="none"/>
              <w:shd w:val="clear" w:color="auto" w:fill="auto"/>
              <w:lang w:eastAsia="zh-CN"/>
            </w:rPr>
            <w:t>绩效评价的目的、对象和范围</w:t>
          </w:r>
          <w:r>
            <w:tab/>
          </w:r>
          <w:r>
            <w:fldChar w:fldCharType="begin"/>
          </w:r>
          <w:r>
            <w:instrText xml:space="preserve"> PAGEREF _Toc17611 \h </w:instrText>
          </w:r>
          <w:r>
            <w:fldChar w:fldCharType="separate"/>
          </w:r>
          <w:r>
            <w:t>4</w:t>
          </w:r>
          <w:r>
            <w:fldChar w:fldCharType="end"/>
          </w:r>
          <w:r>
            <w:rPr>
              <w:rFonts w:hint="eastAsia"/>
              <w:szCs w:val="28"/>
              <w:lang w:val="en-US" w:eastAsia="zh-CN"/>
            </w:rPr>
            <w:fldChar w:fldCharType="end"/>
          </w:r>
        </w:p>
        <w:p w14:paraId="317887FC">
          <w:pPr>
            <w:pStyle w:val="14"/>
            <w:tabs>
              <w:tab w:val="right" w:leader="dot" w:pos="8844"/>
            </w:tabs>
            <w:rPr>
              <w:rFonts w:hint="eastAsia"/>
              <w:szCs w:val="28"/>
              <w:lang w:val="en-US" w:eastAsia="zh-CN"/>
            </w:rPr>
          </w:pPr>
          <w:r>
            <w:rPr>
              <w:rFonts w:hint="eastAsia"/>
              <w:szCs w:val="28"/>
              <w:lang w:val="en-US" w:eastAsia="zh-CN"/>
            </w:rPr>
            <w:fldChar w:fldCharType="begin"/>
          </w:r>
          <w:r>
            <w:rPr>
              <w:rFonts w:hint="eastAsia"/>
              <w:szCs w:val="28"/>
              <w:lang w:val="en-US" w:eastAsia="zh-CN"/>
            </w:rPr>
            <w:instrText xml:space="preserve"> HYPERLINK \l _Toc26172 </w:instrText>
          </w:r>
          <w:r>
            <w:rPr>
              <w:rFonts w:hint="eastAsia"/>
              <w:szCs w:val="28"/>
              <w:lang w:val="en-US" w:eastAsia="zh-CN"/>
            </w:rPr>
            <w:fldChar w:fldCharType="separate"/>
          </w:r>
          <w:r>
            <w:rPr>
              <w:rFonts w:hint="eastAsia" w:ascii="宋体" w:hAnsi="宋体" w:eastAsia="宋体" w:cs="宋体"/>
              <w:szCs w:val="32"/>
              <w:shd w:val="clear" w:fill="auto"/>
              <w:lang w:val="en-US" w:eastAsia="zh-CN"/>
            </w:rPr>
            <w:t xml:space="preserve">（二） </w:t>
          </w:r>
          <w:r>
            <w:rPr>
              <w:rFonts w:hint="eastAsia" w:ascii="宋体" w:hAnsi="宋体" w:eastAsia="宋体" w:cs="宋体"/>
              <w:szCs w:val="32"/>
              <w:highlight w:val="none"/>
              <w:shd w:val="clear" w:color="auto" w:fill="auto"/>
              <w:lang w:val="en-US" w:eastAsia="zh-CN"/>
            </w:rPr>
            <w:t>绩效评价原则、评价指标体系（附表说明）、评价方法、评价标准</w:t>
          </w:r>
          <w:r>
            <w:tab/>
          </w:r>
          <w:r>
            <w:fldChar w:fldCharType="begin"/>
          </w:r>
          <w:r>
            <w:instrText xml:space="preserve"> PAGEREF _Toc26172 \h </w:instrText>
          </w:r>
          <w:r>
            <w:fldChar w:fldCharType="separate"/>
          </w:r>
          <w:r>
            <w:t>5</w:t>
          </w:r>
          <w:r>
            <w:fldChar w:fldCharType="end"/>
          </w:r>
          <w:r>
            <w:rPr>
              <w:rFonts w:hint="eastAsia"/>
              <w:szCs w:val="28"/>
              <w:lang w:val="en-US" w:eastAsia="zh-CN"/>
            </w:rPr>
            <w:fldChar w:fldCharType="end"/>
          </w:r>
        </w:p>
        <w:p w14:paraId="3E82D8C2">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_Toc27177 </w:instrText>
          </w:r>
          <w:r>
            <w:rPr>
              <w:rFonts w:hint="eastAsia"/>
              <w:szCs w:val="28"/>
              <w:lang w:val="en-US" w:eastAsia="zh-CN"/>
            </w:rPr>
            <w:fldChar w:fldCharType="separate"/>
          </w:r>
          <w:r>
            <w:rPr>
              <w:rFonts w:hint="eastAsia" w:ascii="宋体" w:hAnsi="宋体" w:eastAsia="宋体" w:cs="宋体"/>
              <w:highlight w:val="none"/>
              <w:shd w:val="clear" w:color="auto" w:fill="auto"/>
              <w:lang w:val="en-US" w:eastAsia="zh-CN"/>
            </w:rPr>
            <w:t>（三）绩效评价工作过程</w:t>
          </w:r>
          <w:r>
            <w:tab/>
          </w:r>
          <w:r>
            <w:fldChar w:fldCharType="begin"/>
          </w:r>
          <w:r>
            <w:instrText xml:space="preserve"> PAGEREF _Toc27177 \h </w:instrText>
          </w:r>
          <w:r>
            <w:fldChar w:fldCharType="separate"/>
          </w:r>
          <w:r>
            <w:t>9</w:t>
          </w:r>
          <w:r>
            <w:fldChar w:fldCharType="end"/>
          </w:r>
          <w:r>
            <w:rPr>
              <w:rFonts w:hint="eastAsia"/>
              <w:szCs w:val="28"/>
              <w:lang w:val="en-US" w:eastAsia="zh-CN"/>
            </w:rPr>
            <w:fldChar w:fldCharType="end"/>
          </w:r>
        </w:p>
        <w:p w14:paraId="20758A4A">
          <w:pPr>
            <w:pStyle w:val="13"/>
            <w:tabs>
              <w:tab w:val="right" w:leader="dot" w:pos="8844"/>
            </w:tabs>
            <w:rPr>
              <w:b/>
              <w:bCs/>
            </w:rPr>
          </w:pPr>
          <w:r>
            <w:rPr>
              <w:rFonts w:hint="eastAsia"/>
              <w:b/>
              <w:bCs/>
              <w:szCs w:val="28"/>
              <w:lang w:val="en-US" w:eastAsia="zh-CN"/>
            </w:rPr>
            <w:fldChar w:fldCharType="begin"/>
          </w:r>
          <w:r>
            <w:rPr>
              <w:rFonts w:hint="eastAsia"/>
              <w:b/>
              <w:bCs/>
              <w:szCs w:val="28"/>
              <w:lang w:val="en-US" w:eastAsia="zh-CN"/>
            </w:rPr>
            <w:instrText xml:space="preserve"> HYPERLINK \l _Toc9491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三、</w:t>
          </w:r>
          <w:r>
            <w:rPr>
              <w:rFonts w:hint="eastAsia" w:ascii="宋体" w:hAnsi="宋体" w:eastAsia="宋体" w:cs="宋体"/>
              <w:b/>
              <w:bCs/>
              <w:highlight w:val="none"/>
              <w:shd w:val="clear" w:color="auto" w:fill="auto"/>
            </w:rPr>
            <w:t>综合评价情况及评价结论</w:t>
          </w:r>
          <w:r>
            <w:rPr>
              <w:b/>
              <w:bCs/>
            </w:rPr>
            <w:tab/>
          </w:r>
          <w:r>
            <w:rPr>
              <w:b/>
              <w:bCs/>
            </w:rPr>
            <w:fldChar w:fldCharType="begin"/>
          </w:r>
          <w:r>
            <w:rPr>
              <w:b/>
              <w:bCs/>
            </w:rPr>
            <w:instrText xml:space="preserve"> PAGEREF _Toc9491 \h </w:instrText>
          </w:r>
          <w:r>
            <w:rPr>
              <w:b/>
              <w:bCs/>
            </w:rPr>
            <w:fldChar w:fldCharType="separate"/>
          </w:r>
          <w:r>
            <w:rPr>
              <w:b/>
              <w:bCs/>
            </w:rPr>
            <w:t>11</w:t>
          </w:r>
          <w:r>
            <w:rPr>
              <w:b/>
              <w:bCs/>
            </w:rPr>
            <w:fldChar w:fldCharType="end"/>
          </w:r>
          <w:r>
            <w:rPr>
              <w:rFonts w:hint="eastAsia"/>
              <w:b/>
              <w:bCs/>
              <w:szCs w:val="28"/>
              <w:lang w:val="en-US" w:eastAsia="zh-CN"/>
            </w:rPr>
            <w:fldChar w:fldCharType="end"/>
          </w:r>
        </w:p>
        <w:p w14:paraId="2E37F6C9">
          <w:pPr>
            <w:pStyle w:val="13"/>
            <w:tabs>
              <w:tab w:val="right" w:leader="dot" w:pos="8844"/>
            </w:tabs>
          </w:pPr>
          <w:r>
            <w:rPr>
              <w:rFonts w:hint="eastAsia"/>
              <w:b/>
              <w:bCs/>
              <w:szCs w:val="28"/>
              <w:lang w:val="en-US" w:eastAsia="zh-CN"/>
            </w:rPr>
            <w:fldChar w:fldCharType="begin"/>
          </w:r>
          <w:r>
            <w:rPr>
              <w:rFonts w:hint="eastAsia"/>
              <w:b/>
              <w:bCs/>
              <w:szCs w:val="28"/>
              <w:lang w:val="en-US" w:eastAsia="zh-CN"/>
            </w:rPr>
            <w:instrText xml:space="preserve"> HYPERLINK \l _Toc30608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四、绩效评价指标分析</w:t>
          </w:r>
          <w:r>
            <w:rPr>
              <w:b/>
              <w:bCs/>
            </w:rPr>
            <w:tab/>
          </w:r>
          <w:r>
            <w:rPr>
              <w:b/>
              <w:bCs/>
            </w:rPr>
            <w:fldChar w:fldCharType="begin"/>
          </w:r>
          <w:r>
            <w:rPr>
              <w:b/>
              <w:bCs/>
            </w:rPr>
            <w:instrText xml:space="preserve"> PAGEREF _Toc30608 \h </w:instrText>
          </w:r>
          <w:r>
            <w:rPr>
              <w:b/>
              <w:bCs/>
            </w:rPr>
            <w:fldChar w:fldCharType="separate"/>
          </w:r>
          <w:r>
            <w:rPr>
              <w:b/>
              <w:bCs/>
            </w:rPr>
            <w:t>11</w:t>
          </w:r>
          <w:r>
            <w:rPr>
              <w:b/>
              <w:bCs/>
            </w:rPr>
            <w:fldChar w:fldCharType="end"/>
          </w:r>
          <w:r>
            <w:rPr>
              <w:rFonts w:hint="eastAsia"/>
              <w:b/>
              <w:bCs/>
              <w:szCs w:val="28"/>
              <w:lang w:val="en-US" w:eastAsia="zh-CN"/>
            </w:rPr>
            <w:fldChar w:fldCharType="end"/>
          </w:r>
        </w:p>
        <w:p w14:paraId="3B9F922F">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_Toc459 </w:instrText>
          </w:r>
          <w:r>
            <w:rPr>
              <w:rFonts w:hint="eastAsia"/>
              <w:szCs w:val="28"/>
              <w:lang w:val="en-US" w:eastAsia="zh-CN"/>
            </w:rPr>
            <w:fldChar w:fldCharType="separate"/>
          </w:r>
          <w:r>
            <w:rPr>
              <w:rFonts w:hint="eastAsia" w:ascii="宋体" w:hAnsi="宋体" w:eastAsia="宋体" w:cs="宋体"/>
              <w:highlight w:val="none"/>
              <w:shd w:val="clear" w:color="auto" w:fill="auto"/>
            </w:rPr>
            <w:t>（一）项目决策情况</w:t>
          </w:r>
          <w:r>
            <w:tab/>
          </w:r>
          <w:r>
            <w:fldChar w:fldCharType="begin"/>
          </w:r>
          <w:r>
            <w:instrText xml:space="preserve"> PAGEREF _Toc459 \h </w:instrText>
          </w:r>
          <w:r>
            <w:fldChar w:fldCharType="separate"/>
          </w:r>
          <w:r>
            <w:t>11</w:t>
          </w:r>
          <w:r>
            <w:fldChar w:fldCharType="end"/>
          </w:r>
          <w:r>
            <w:rPr>
              <w:rFonts w:hint="eastAsia"/>
              <w:szCs w:val="28"/>
              <w:lang w:val="en-US" w:eastAsia="zh-CN"/>
            </w:rPr>
            <w:fldChar w:fldCharType="end"/>
          </w:r>
        </w:p>
        <w:p w14:paraId="7CCE248E">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_Toc21454 </w:instrText>
          </w:r>
          <w:r>
            <w:rPr>
              <w:rFonts w:hint="eastAsia"/>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二</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项目过程情况</w:t>
          </w:r>
          <w:r>
            <w:tab/>
          </w:r>
          <w:r>
            <w:fldChar w:fldCharType="begin"/>
          </w:r>
          <w:r>
            <w:instrText xml:space="preserve"> PAGEREF _Toc21454 \h </w:instrText>
          </w:r>
          <w:r>
            <w:fldChar w:fldCharType="separate"/>
          </w:r>
          <w:r>
            <w:t>14</w:t>
          </w:r>
          <w:r>
            <w:fldChar w:fldCharType="end"/>
          </w:r>
          <w:r>
            <w:rPr>
              <w:rFonts w:hint="eastAsia"/>
              <w:szCs w:val="28"/>
              <w:lang w:val="en-US" w:eastAsia="zh-CN"/>
            </w:rPr>
            <w:fldChar w:fldCharType="end"/>
          </w:r>
        </w:p>
        <w:p w14:paraId="5AE4ECDC">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_Toc20130 </w:instrText>
          </w:r>
          <w:r>
            <w:rPr>
              <w:rFonts w:hint="eastAsia"/>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三</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项目产出情况</w:t>
          </w:r>
          <w:r>
            <w:tab/>
          </w:r>
          <w:r>
            <w:fldChar w:fldCharType="begin"/>
          </w:r>
          <w:r>
            <w:instrText xml:space="preserve"> PAGEREF _Toc20130 \h </w:instrText>
          </w:r>
          <w:r>
            <w:fldChar w:fldCharType="separate"/>
          </w:r>
          <w:r>
            <w:t>15</w:t>
          </w:r>
          <w:r>
            <w:fldChar w:fldCharType="end"/>
          </w:r>
          <w:r>
            <w:rPr>
              <w:rFonts w:hint="eastAsia"/>
              <w:szCs w:val="28"/>
              <w:lang w:val="en-US" w:eastAsia="zh-CN"/>
            </w:rPr>
            <w:fldChar w:fldCharType="end"/>
          </w:r>
        </w:p>
        <w:p w14:paraId="01B47CEB">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_Toc4466 </w:instrText>
          </w:r>
          <w:r>
            <w:rPr>
              <w:rFonts w:hint="eastAsia"/>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四</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项目效益情况</w:t>
          </w:r>
          <w:r>
            <w:tab/>
          </w:r>
          <w:r>
            <w:fldChar w:fldCharType="begin"/>
          </w:r>
          <w:r>
            <w:instrText xml:space="preserve"> PAGEREF _Toc4466 \h </w:instrText>
          </w:r>
          <w:r>
            <w:fldChar w:fldCharType="separate"/>
          </w:r>
          <w:r>
            <w:t>17</w:t>
          </w:r>
          <w:r>
            <w:fldChar w:fldCharType="end"/>
          </w:r>
          <w:r>
            <w:rPr>
              <w:rFonts w:hint="eastAsia"/>
              <w:szCs w:val="28"/>
              <w:lang w:val="en-US" w:eastAsia="zh-CN"/>
            </w:rPr>
            <w:fldChar w:fldCharType="end"/>
          </w:r>
        </w:p>
        <w:p w14:paraId="67428C24">
          <w:pPr>
            <w:pStyle w:val="13"/>
            <w:tabs>
              <w:tab w:val="right" w:leader="dot" w:pos="8844"/>
            </w:tabs>
            <w:rPr>
              <w:b/>
              <w:bCs/>
            </w:rPr>
          </w:pPr>
          <w:r>
            <w:rPr>
              <w:rFonts w:hint="eastAsia"/>
              <w:b/>
              <w:bCs/>
              <w:szCs w:val="28"/>
              <w:lang w:val="en-US" w:eastAsia="zh-CN"/>
            </w:rPr>
            <w:fldChar w:fldCharType="begin"/>
          </w:r>
          <w:r>
            <w:rPr>
              <w:rFonts w:hint="eastAsia"/>
              <w:b/>
              <w:bCs/>
              <w:szCs w:val="28"/>
              <w:lang w:val="en-US" w:eastAsia="zh-CN"/>
            </w:rPr>
            <w:instrText xml:space="preserve"> HYPERLINK \l _Toc23760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五、预算执行进度与指标偏差</w:t>
          </w:r>
          <w:r>
            <w:rPr>
              <w:b/>
              <w:bCs/>
            </w:rPr>
            <w:tab/>
          </w:r>
          <w:r>
            <w:rPr>
              <w:b/>
              <w:bCs/>
            </w:rPr>
            <w:fldChar w:fldCharType="begin"/>
          </w:r>
          <w:r>
            <w:rPr>
              <w:b/>
              <w:bCs/>
            </w:rPr>
            <w:instrText xml:space="preserve"> PAGEREF _Toc23760 \h </w:instrText>
          </w:r>
          <w:r>
            <w:rPr>
              <w:b/>
              <w:bCs/>
            </w:rPr>
            <w:fldChar w:fldCharType="separate"/>
          </w:r>
          <w:r>
            <w:rPr>
              <w:b/>
              <w:bCs/>
            </w:rPr>
            <w:t>18</w:t>
          </w:r>
          <w:r>
            <w:rPr>
              <w:b/>
              <w:bCs/>
            </w:rPr>
            <w:fldChar w:fldCharType="end"/>
          </w:r>
          <w:r>
            <w:rPr>
              <w:rFonts w:hint="eastAsia"/>
              <w:b/>
              <w:bCs/>
              <w:szCs w:val="28"/>
              <w:lang w:val="en-US" w:eastAsia="zh-CN"/>
            </w:rPr>
            <w:fldChar w:fldCharType="end"/>
          </w:r>
        </w:p>
        <w:p w14:paraId="4B4722E4">
          <w:pPr>
            <w:pStyle w:val="13"/>
            <w:tabs>
              <w:tab w:val="right" w:leader="dot" w:pos="8844"/>
            </w:tabs>
          </w:pPr>
          <w:r>
            <w:rPr>
              <w:rFonts w:hint="eastAsia"/>
              <w:b/>
              <w:bCs/>
              <w:szCs w:val="28"/>
              <w:lang w:val="en-US" w:eastAsia="zh-CN"/>
            </w:rPr>
            <w:fldChar w:fldCharType="begin"/>
          </w:r>
          <w:r>
            <w:rPr>
              <w:rFonts w:hint="eastAsia"/>
              <w:b/>
              <w:bCs/>
              <w:szCs w:val="28"/>
              <w:lang w:val="en-US" w:eastAsia="zh-CN"/>
            </w:rPr>
            <w:instrText xml:space="preserve"> HYPERLINK \l _Toc26451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六、主要经验及做法、存在的问题及原因分析</w:t>
          </w:r>
          <w:r>
            <w:rPr>
              <w:b/>
              <w:bCs/>
            </w:rPr>
            <w:tab/>
          </w:r>
          <w:r>
            <w:rPr>
              <w:b/>
              <w:bCs/>
            </w:rPr>
            <w:fldChar w:fldCharType="begin"/>
          </w:r>
          <w:r>
            <w:rPr>
              <w:b/>
              <w:bCs/>
            </w:rPr>
            <w:instrText xml:space="preserve"> PAGEREF _Toc26451 \h </w:instrText>
          </w:r>
          <w:r>
            <w:rPr>
              <w:b/>
              <w:bCs/>
            </w:rPr>
            <w:fldChar w:fldCharType="separate"/>
          </w:r>
          <w:r>
            <w:rPr>
              <w:b/>
              <w:bCs/>
            </w:rPr>
            <w:t>18</w:t>
          </w:r>
          <w:r>
            <w:rPr>
              <w:b/>
              <w:bCs/>
            </w:rPr>
            <w:fldChar w:fldCharType="end"/>
          </w:r>
          <w:r>
            <w:rPr>
              <w:rFonts w:hint="eastAsia"/>
              <w:b/>
              <w:bCs/>
              <w:szCs w:val="28"/>
              <w:lang w:val="en-US" w:eastAsia="zh-CN"/>
            </w:rPr>
            <w:fldChar w:fldCharType="end"/>
          </w:r>
        </w:p>
        <w:p w14:paraId="4191FC02">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_Toc10519 </w:instrText>
          </w:r>
          <w:r>
            <w:rPr>
              <w:rFonts w:hint="eastAsia"/>
              <w:szCs w:val="28"/>
              <w:lang w:val="en-US" w:eastAsia="zh-CN"/>
            </w:rPr>
            <w:fldChar w:fldCharType="separate"/>
          </w:r>
          <w:r>
            <w:rPr>
              <w:rFonts w:hint="eastAsia"/>
              <w:bCs/>
              <w:lang w:eastAsia="zh-CN"/>
            </w:rPr>
            <w:t>（</w:t>
          </w:r>
          <w:r>
            <w:rPr>
              <w:rFonts w:hint="eastAsia"/>
              <w:bCs/>
              <w:lang w:val="en-US" w:eastAsia="zh-CN"/>
            </w:rPr>
            <w:t>一</w:t>
          </w:r>
          <w:r>
            <w:rPr>
              <w:rFonts w:hint="eastAsia"/>
              <w:bCs/>
              <w:lang w:eastAsia="zh-CN"/>
            </w:rPr>
            <w:t>）</w:t>
          </w:r>
          <w:r>
            <w:rPr>
              <w:rFonts w:hint="eastAsia"/>
              <w:bCs/>
            </w:rPr>
            <w:t>主要经验及做法</w:t>
          </w:r>
          <w:r>
            <w:tab/>
          </w:r>
          <w:r>
            <w:fldChar w:fldCharType="begin"/>
          </w:r>
          <w:r>
            <w:instrText xml:space="preserve"> PAGEREF _Toc10519 \h </w:instrText>
          </w:r>
          <w:r>
            <w:fldChar w:fldCharType="separate"/>
          </w:r>
          <w:r>
            <w:t>18</w:t>
          </w:r>
          <w:r>
            <w:fldChar w:fldCharType="end"/>
          </w:r>
          <w:r>
            <w:rPr>
              <w:rFonts w:hint="eastAsia"/>
              <w:szCs w:val="28"/>
              <w:lang w:val="en-US" w:eastAsia="zh-CN"/>
            </w:rPr>
            <w:fldChar w:fldCharType="end"/>
          </w:r>
        </w:p>
        <w:p w14:paraId="6A4A74AC">
          <w:pPr>
            <w:pStyle w:val="14"/>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_Toc1236 </w:instrText>
          </w:r>
          <w:r>
            <w:rPr>
              <w:rFonts w:hint="eastAsia"/>
              <w:szCs w:val="28"/>
              <w:lang w:val="en-US" w:eastAsia="zh-CN"/>
            </w:rPr>
            <w:fldChar w:fldCharType="separate"/>
          </w:r>
          <w:r>
            <w:rPr>
              <w:rFonts w:hint="eastAsia"/>
              <w:bCs/>
              <w:lang w:eastAsia="zh-CN"/>
            </w:rPr>
            <w:t>（</w:t>
          </w:r>
          <w:r>
            <w:rPr>
              <w:rFonts w:hint="eastAsia"/>
              <w:bCs/>
              <w:lang w:val="en-US" w:eastAsia="zh-CN"/>
            </w:rPr>
            <w:t>二</w:t>
          </w:r>
          <w:r>
            <w:rPr>
              <w:rFonts w:hint="eastAsia"/>
              <w:bCs/>
              <w:lang w:eastAsia="zh-CN"/>
            </w:rPr>
            <w:t>）</w:t>
          </w:r>
          <w:r>
            <w:rPr>
              <w:rFonts w:hint="eastAsia"/>
              <w:bCs/>
            </w:rPr>
            <w:t>存在的问题及原因分析</w:t>
          </w:r>
          <w:r>
            <w:tab/>
          </w:r>
          <w:r>
            <w:fldChar w:fldCharType="begin"/>
          </w:r>
          <w:r>
            <w:instrText xml:space="preserve"> PAGEREF _Toc1236 \h </w:instrText>
          </w:r>
          <w:r>
            <w:fldChar w:fldCharType="separate"/>
          </w:r>
          <w:r>
            <w:t>18</w:t>
          </w:r>
          <w:r>
            <w:fldChar w:fldCharType="end"/>
          </w:r>
          <w:r>
            <w:rPr>
              <w:rFonts w:hint="eastAsia"/>
              <w:szCs w:val="28"/>
              <w:lang w:val="en-US" w:eastAsia="zh-CN"/>
            </w:rPr>
            <w:fldChar w:fldCharType="end"/>
          </w:r>
        </w:p>
        <w:p w14:paraId="4004D4F8">
          <w:pPr>
            <w:pStyle w:val="13"/>
            <w:tabs>
              <w:tab w:val="right" w:leader="dot" w:pos="8844"/>
            </w:tabs>
            <w:rPr>
              <w:rFonts w:hint="eastAsia"/>
              <w:b/>
              <w:bCs/>
              <w:szCs w:val="28"/>
              <w:lang w:val="en-US" w:eastAsia="zh-CN"/>
            </w:rPr>
          </w:pPr>
          <w:r>
            <w:rPr>
              <w:rFonts w:hint="eastAsia"/>
              <w:b/>
              <w:bCs/>
              <w:szCs w:val="28"/>
              <w:lang w:val="en-US" w:eastAsia="zh-CN"/>
            </w:rPr>
            <w:fldChar w:fldCharType="begin"/>
          </w:r>
          <w:r>
            <w:rPr>
              <w:rFonts w:hint="eastAsia"/>
              <w:b/>
              <w:bCs/>
              <w:szCs w:val="28"/>
              <w:lang w:val="en-US" w:eastAsia="zh-CN"/>
            </w:rPr>
            <w:instrText xml:space="preserve"> HYPERLINK \l _Toc32687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七、有关建议</w:t>
          </w:r>
          <w:r>
            <w:rPr>
              <w:b/>
              <w:bCs/>
            </w:rPr>
            <w:tab/>
          </w:r>
          <w:r>
            <w:rPr>
              <w:b/>
              <w:bCs/>
            </w:rPr>
            <w:fldChar w:fldCharType="begin"/>
          </w:r>
          <w:r>
            <w:rPr>
              <w:b/>
              <w:bCs/>
            </w:rPr>
            <w:instrText xml:space="preserve"> PAGEREF _Toc32687 \h </w:instrText>
          </w:r>
          <w:r>
            <w:rPr>
              <w:b/>
              <w:bCs/>
            </w:rPr>
            <w:fldChar w:fldCharType="separate"/>
          </w:r>
          <w:r>
            <w:rPr>
              <w:b/>
              <w:bCs/>
            </w:rPr>
            <w:t>19</w:t>
          </w:r>
          <w:r>
            <w:rPr>
              <w:b/>
              <w:bCs/>
            </w:rPr>
            <w:fldChar w:fldCharType="end"/>
          </w:r>
          <w:r>
            <w:rPr>
              <w:rFonts w:hint="eastAsia"/>
              <w:b/>
              <w:bCs/>
              <w:szCs w:val="28"/>
              <w:lang w:val="en-US" w:eastAsia="zh-CN"/>
            </w:rPr>
            <w:fldChar w:fldCharType="end"/>
          </w:r>
        </w:p>
        <w:p w14:paraId="687B34B7">
          <w:pPr>
            <w:pStyle w:val="13"/>
            <w:tabs>
              <w:tab w:val="right" w:leader="dot" w:pos="8844"/>
            </w:tabs>
          </w:pPr>
          <w:r>
            <w:rPr>
              <w:rFonts w:hint="eastAsia"/>
              <w:b/>
              <w:bCs/>
              <w:szCs w:val="28"/>
              <w:lang w:val="en-US" w:eastAsia="zh-CN"/>
            </w:rPr>
            <w:fldChar w:fldCharType="begin"/>
          </w:r>
          <w:r>
            <w:rPr>
              <w:rFonts w:hint="eastAsia"/>
              <w:b/>
              <w:bCs/>
              <w:szCs w:val="28"/>
              <w:lang w:val="en-US" w:eastAsia="zh-CN"/>
            </w:rPr>
            <w:instrText xml:space="preserve"> HYPERLINK \l _Toc4172 </w:instrText>
          </w:r>
          <w:r>
            <w:rPr>
              <w:rFonts w:hint="eastAsia"/>
              <w:b/>
              <w:bCs/>
              <w:szCs w:val="28"/>
              <w:lang w:val="en-US" w:eastAsia="zh-CN"/>
            </w:rPr>
            <w:fldChar w:fldCharType="separate"/>
          </w:r>
          <w:r>
            <w:rPr>
              <w:rFonts w:hint="eastAsia" w:ascii="宋体" w:hAnsi="宋体" w:eastAsia="宋体" w:cs="宋体"/>
              <w:b/>
              <w:bCs/>
              <w:highlight w:val="none"/>
              <w:shd w:val="clear" w:color="auto" w:fill="auto"/>
              <w:lang w:val="en-US" w:eastAsia="zh-CN"/>
            </w:rPr>
            <w:t>八、其他需要说明的问题</w:t>
          </w:r>
          <w:r>
            <w:rPr>
              <w:b/>
              <w:bCs/>
            </w:rPr>
            <w:tab/>
          </w:r>
          <w:r>
            <w:rPr>
              <w:b/>
              <w:bCs/>
            </w:rPr>
            <w:fldChar w:fldCharType="begin"/>
          </w:r>
          <w:r>
            <w:rPr>
              <w:b/>
              <w:bCs/>
            </w:rPr>
            <w:instrText xml:space="preserve"> PAGEREF _Toc4172 \h </w:instrText>
          </w:r>
          <w:r>
            <w:rPr>
              <w:b/>
              <w:bCs/>
            </w:rPr>
            <w:fldChar w:fldCharType="separate"/>
          </w:r>
          <w:r>
            <w:rPr>
              <w:b/>
              <w:bCs/>
            </w:rPr>
            <w:t>19</w:t>
          </w:r>
          <w:r>
            <w:rPr>
              <w:b/>
              <w:bCs/>
            </w:rPr>
            <w:fldChar w:fldCharType="end"/>
          </w:r>
          <w:r>
            <w:rPr>
              <w:rFonts w:hint="eastAsia"/>
              <w:b/>
              <w:bCs/>
              <w:szCs w:val="28"/>
              <w:lang w:val="en-US" w:eastAsia="zh-CN"/>
            </w:rPr>
            <w:fldChar w:fldCharType="end"/>
          </w:r>
        </w:p>
        <w:p w14:paraId="7A04F753">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Cs w:val="28"/>
              <w:lang w:val="en-US" w:eastAsia="zh-CN"/>
            </w:rPr>
            <w:fldChar w:fldCharType="end"/>
          </w:r>
        </w:p>
      </w:sdtContent>
    </w:sdt>
    <w:p w14:paraId="3A037A6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2" w:name="_Toc1194"/>
      <w:bookmarkStart w:id="3" w:name="_Toc422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老干部三套组织业务费及聘用人员工资</w:t>
      </w:r>
      <w:r>
        <w:rPr>
          <w:rFonts w:hint="eastAsia" w:cs="宋体"/>
          <w:b/>
          <w:bCs/>
          <w:color w:val="000000" w:themeColor="text1"/>
          <w:sz w:val="36"/>
          <w:szCs w:val="36"/>
          <w:highlight w:val="none"/>
          <w:shd w:val="clear" w:color="auto" w:fill="auto"/>
          <w:lang w:val="en-US" w:eastAsia="zh-CN"/>
          <w14:textFill>
            <w14:solidFill>
              <w14:schemeClr w14:val="tx1"/>
            </w14:solidFill>
          </w14:textFill>
        </w:rPr>
        <w:t>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2"/>
      <w:bookmarkEnd w:id="3"/>
    </w:p>
    <w:p w14:paraId="123C5FB6">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4" w:name="_Toc10813"/>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4"/>
    </w:p>
    <w:p w14:paraId="62A56053">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5930"/>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5"/>
    </w:p>
    <w:p w14:paraId="0D1A919E">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6" w:name="_Toc5043"/>
      <w:bookmarkStart w:id="7" w:name="_Toc2579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6"/>
      <w:bookmarkEnd w:id="7"/>
    </w:p>
    <w:p w14:paraId="326ED381">
      <w:pPr>
        <w:bidi w:val="0"/>
        <w:rPr>
          <w:rFonts w:hint="default"/>
          <w:lang w:val="en-US" w:eastAsia="zh-CN"/>
        </w:rPr>
      </w:pPr>
      <w:r>
        <w:rPr>
          <w:rFonts w:hint="eastAsia"/>
          <w:lang w:val="en-US" w:eastAsia="zh-CN"/>
        </w:rPr>
        <w:t>响应《关于进一步加强和改进离退休干部工作的意见》（中办发[2016]3号）、《自治区党委办公厅 自治区人民政府办公厅印发&lt;关于进一步加强新时代关心下一代工作委员会工作的实施意见&gt;的通知》（新党厅字[2022]81号）文件精神，为进一步做好离退休干部服务管理工作，发挥老干部三套组织作用，保障阜康市老干部活动中心的正常运转，特设立老干部三套组织业务费及聘用人员工资项目。</w:t>
      </w:r>
    </w:p>
    <w:p w14:paraId="299F693C">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7343"/>
      <w:bookmarkStart w:id="9" w:name="_Toc14355"/>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8"/>
      <w:bookmarkEnd w:id="9"/>
    </w:p>
    <w:p w14:paraId="002D2B6F">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kern w:val="2"/>
          <w:sz w:val="28"/>
          <w:szCs w:val="28"/>
          <w:lang w:val="en-US" w:eastAsia="zh-CN" w:bidi="ar-SA"/>
        </w:rPr>
      </w:pPr>
      <w:bookmarkStart w:id="10" w:name="_Toc16592"/>
      <w:bookmarkStart w:id="11" w:name="_Toc24029"/>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10"/>
      <w:r>
        <w:rPr>
          <w:rFonts w:hint="eastAsia" w:ascii="宋体" w:hAnsi="宋体" w:eastAsia="宋体" w:cs="宋体"/>
          <w:b w:val="0"/>
          <w:bCs w:val="0"/>
          <w:kern w:val="2"/>
          <w:sz w:val="28"/>
          <w:szCs w:val="28"/>
          <w:lang w:val="en-US" w:eastAsia="zh-CN" w:bidi="ar-SA"/>
        </w:rPr>
        <w:t>开展关心下一代工作、老干部党校工作和老干部政治思想建设，指导全市离退休干部政治建设、思想建设和党组织建设，组织引导离退休干部在贯彻以习近平同志为核心的党中央治疆方略、特别是长治久安总目标中发挥作用，为党和人民事业增添正能量，对特殊困难离休干部和遗孀进行困难救助，为老干部活动中心保安、保洁发放人员工资。</w:t>
      </w:r>
      <w:bookmarkEnd w:id="11"/>
    </w:p>
    <w:p w14:paraId="1C1024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仿宋_GB2312" w:hAnsi="仿宋_GB2312" w:eastAsia="仿宋_GB2312" w:cs="宋体"/>
          <w:b/>
          <w:bCs/>
          <w:color w:val="auto"/>
          <w:kern w:val="0"/>
          <w:sz w:val="28"/>
          <w:szCs w:val="32"/>
          <w:highlight w:val="none"/>
          <w:shd w:val="clear" w:color="auto" w:fill="auto"/>
          <w:lang w:val="en-US" w:eastAsia="zh-CN" w:bidi="ar-SA"/>
        </w:rPr>
        <w:t>组织实施：</w:t>
      </w:r>
      <w:r>
        <w:rPr>
          <w:rFonts w:hint="eastAsia" w:cs="宋体"/>
          <w:color w:val="auto"/>
          <w:highlight w:val="none"/>
          <w:shd w:val="clear" w:color="auto" w:fill="auto"/>
          <w:lang w:val="en-US" w:eastAsia="zh-CN"/>
        </w:rPr>
        <w:t>2023年1月10日，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阜康市委老干部局局务会</w:t>
      </w:r>
      <w:r>
        <w:rPr>
          <w:rFonts w:hint="eastAsia" w:ascii="宋体" w:hAnsi="宋体" w:eastAsia="宋体" w:cs="宋体"/>
          <w:color w:val="auto"/>
          <w:highlight w:val="none"/>
          <w:shd w:val="clear" w:color="auto" w:fill="auto"/>
          <w:lang w:val="en-US" w:eastAsia="zh-CN"/>
        </w:rPr>
        <w:t>议</w:t>
      </w:r>
      <w:r>
        <w:rPr>
          <w:rFonts w:hint="eastAsia" w:cs="宋体"/>
          <w:color w:val="auto"/>
          <w:highlight w:val="none"/>
          <w:shd w:val="clear" w:color="auto" w:fill="auto"/>
          <w:lang w:val="en-US" w:eastAsia="zh-CN"/>
        </w:rPr>
        <w:t>研究</w:t>
      </w:r>
      <w:r>
        <w:rPr>
          <w:rFonts w:hint="eastAsia" w:ascii="宋体" w:hAnsi="宋体" w:eastAsia="宋体" w:cs="宋体"/>
          <w:color w:val="auto"/>
          <w:highlight w:val="none"/>
          <w:shd w:val="clear" w:color="auto" w:fill="auto"/>
          <w:lang w:val="en-US" w:eastAsia="zh-CN"/>
        </w:rPr>
        <w:t>，确定了项目领导小组，明确了责任分工：组长为</w:t>
      </w:r>
      <w:r>
        <w:rPr>
          <w:rFonts w:hint="eastAsia" w:cs="宋体"/>
          <w:color w:val="auto"/>
          <w:highlight w:val="none"/>
          <w:shd w:val="clear" w:color="auto" w:fill="auto"/>
          <w:lang w:val="en-US" w:eastAsia="zh-CN"/>
        </w:rPr>
        <w:t>陈建梅</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邱忠镇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项目负责人为丁玲,</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于红秀、郑东勇</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丁玲</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郑东勇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于红秀</w:t>
      </w:r>
      <w:r>
        <w:rPr>
          <w:rFonts w:hint="eastAsia" w:ascii="宋体" w:hAnsi="宋体" w:eastAsia="宋体" w:cs="宋体"/>
          <w:color w:val="auto"/>
          <w:highlight w:val="none"/>
          <w:shd w:val="clear" w:color="auto" w:fill="auto"/>
          <w:lang w:val="en-US" w:eastAsia="zh-CN"/>
        </w:rPr>
        <w:t>负责资金拨付工作。</w:t>
      </w:r>
    </w:p>
    <w:p w14:paraId="0617CF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本项目为20名特殊困难离休干部及</w:t>
      </w:r>
      <w:r>
        <w:rPr>
          <w:rFonts w:hint="eastAsia" w:ascii="宋体" w:hAnsi="宋体" w:eastAsia="宋体" w:cs="宋体"/>
          <w:color w:val="auto"/>
          <w:highlight w:val="none"/>
          <w:shd w:val="clear" w:color="auto" w:fill="auto"/>
          <w:lang w:val="en-US" w:eastAsia="zh-CN"/>
        </w:rPr>
        <w:t>遗孀</w:t>
      </w:r>
      <w:r>
        <w:rPr>
          <w:rFonts w:hint="eastAsia" w:cs="宋体"/>
          <w:color w:val="auto"/>
          <w:highlight w:val="none"/>
          <w:shd w:val="clear" w:color="auto" w:fill="auto"/>
          <w:lang w:val="en-US" w:eastAsia="zh-CN"/>
        </w:rPr>
        <w:t>发放</w:t>
      </w:r>
      <w:r>
        <w:rPr>
          <w:rFonts w:hint="eastAsia" w:ascii="宋体" w:hAnsi="宋体" w:eastAsia="宋体" w:cs="宋体"/>
          <w:color w:val="auto"/>
          <w:highlight w:val="none"/>
          <w:shd w:val="clear" w:color="auto" w:fill="auto"/>
          <w:lang w:val="en-US" w:eastAsia="zh-CN"/>
        </w:rPr>
        <w:t>困难救助金</w:t>
      </w:r>
      <w:r>
        <w:rPr>
          <w:rFonts w:hint="eastAsia" w:cs="宋体"/>
          <w:color w:val="auto"/>
          <w:highlight w:val="none"/>
          <w:shd w:val="clear" w:color="auto" w:fill="auto"/>
          <w:lang w:val="en-US" w:eastAsia="zh-CN"/>
        </w:rPr>
        <w:t>2.5万元，实现</w:t>
      </w:r>
      <w:r>
        <w:rPr>
          <w:rFonts w:hint="eastAsia" w:ascii="宋体" w:hAnsi="宋体" w:eastAsia="宋体" w:cs="宋体"/>
          <w:color w:val="auto"/>
          <w:highlight w:val="none"/>
          <w:shd w:val="clear" w:color="auto" w:fill="auto"/>
          <w:lang w:val="en-US" w:eastAsia="zh-CN"/>
        </w:rPr>
        <w:t>困难救助金放率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发放及时率</w:t>
      </w:r>
      <w:r>
        <w:rPr>
          <w:rFonts w:hint="eastAsia" w:cs="宋体"/>
          <w:color w:val="auto"/>
          <w:highlight w:val="none"/>
          <w:shd w:val="clear" w:color="auto" w:fill="auto"/>
          <w:lang w:val="en-US" w:eastAsia="zh-CN"/>
        </w:rPr>
        <w:t>均达到</w:t>
      </w:r>
      <w:r>
        <w:rPr>
          <w:rFonts w:hint="eastAsia" w:ascii="宋体" w:hAnsi="宋体" w:eastAsia="宋体" w:cs="宋体"/>
          <w:color w:val="auto"/>
          <w:highlight w:val="none"/>
          <w:shd w:val="clear" w:color="auto" w:fill="auto"/>
          <w:lang w:val="en-US" w:eastAsia="zh-CN"/>
        </w:rPr>
        <w:t>100%</w:t>
      </w:r>
      <w:r>
        <w:rPr>
          <w:rFonts w:hint="eastAsia" w:cs="宋体"/>
          <w:color w:val="auto"/>
          <w:highlight w:val="none"/>
          <w:shd w:val="clear" w:color="auto" w:fill="auto"/>
          <w:lang w:val="en-US" w:eastAsia="zh-CN"/>
        </w:rPr>
        <w:t>，支付</w:t>
      </w:r>
      <w:r>
        <w:rPr>
          <w:rFonts w:hint="eastAsia" w:ascii="宋体" w:hAnsi="宋体" w:eastAsia="宋体" w:cs="宋体"/>
          <w:color w:val="auto"/>
          <w:highlight w:val="none"/>
          <w:shd w:val="clear" w:color="auto" w:fill="auto"/>
          <w:lang w:val="en-US" w:eastAsia="zh-CN"/>
        </w:rPr>
        <w:t>老干部三套组织业务费6万元</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聘用人员工资6.5万元</w:t>
      </w:r>
      <w:r>
        <w:rPr>
          <w:rFonts w:hint="eastAsia" w:cs="宋体"/>
          <w:color w:val="auto"/>
          <w:highlight w:val="none"/>
          <w:shd w:val="clear" w:color="auto" w:fill="auto"/>
          <w:lang w:val="en-US" w:eastAsia="zh-CN"/>
        </w:rPr>
        <w:t>，完成了项目工作任务，</w:t>
      </w:r>
      <w:r>
        <w:rPr>
          <w:rFonts w:hint="eastAsia" w:ascii="宋体" w:hAnsi="宋体" w:eastAsia="宋体" w:cs="宋体"/>
          <w:color w:val="auto"/>
          <w:highlight w:val="none"/>
          <w:shd w:val="clear" w:color="auto" w:fill="auto"/>
          <w:lang w:val="en-US" w:eastAsia="zh-CN"/>
        </w:rPr>
        <w:t>让离休干部和遗孀感受党的关心和温暖。</w:t>
      </w:r>
    </w:p>
    <w:p w14:paraId="660AFF81">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2" w:name="_Toc1858"/>
      <w:bookmarkStart w:id="13" w:name="_Toc37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12"/>
      <w:bookmarkEnd w:id="13"/>
    </w:p>
    <w:p w14:paraId="06C580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537E73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老干部三套组织业务费及聘用人员工资预算安排总额为15万元，其中财政资金</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万元，2023年实际收到预算资金</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F2F56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4FC1A51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老干部三套组织业务费及聘用人员工资</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rPr>
        <w:t>实际</w:t>
      </w:r>
      <w:r>
        <w:rPr>
          <w:rFonts w:hint="eastAsia" w:ascii="宋体" w:hAnsi="宋体" w:eastAsia="宋体" w:cs="宋体"/>
          <w:color w:val="auto"/>
          <w:highlight w:val="none"/>
          <w:shd w:val="clear" w:color="auto" w:fill="auto"/>
          <w:lang w:val="en-US" w:eastAsia="zh-CN"/>
        </w:rPr>
        <w:t>支付资金15万元，预算执行率100%。结转结余资金0万元0。项目资金主要用于老干部三套组织业务费、离休干部及遗孀特殊困难救助和老干部活动中心保安保洁工资等方面。</w:t>
      </w:r>
    </w:p>
    <w:p w14:paraId="2057EC2A">
      <w:pPr>
        <w:pStyle w:val="5"/>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4" w:name="_Toc21076"/>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14"/>
    </w:p>
    <w:p w14:paraId="2E6E9CAE">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5" w:name="_Toc4072"/>
      <w:bookmarkStart w:id="16"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15"/>
      <w:bookmarkEnd w:id="16"/>
    </w:p>
    <w:p w14:paraId="0BCB506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老干部三套组织业务费及聘用人员工资</w:t>
      </w:r>
      <w:r>
        <w:rPr>
          <w:rFonts w:hint="eastAsia" w:cs="宋体"/>
          <w:color w:val="auto"/>
          <w:highlight w:val="none"/>
          <w:shd w:val="clear" w:color="auto" w:fill="auto"/>
          <w:lang w:val="en-US" w:eastAsia="zh-CN"/>
        </w:rPr>
        <w:t>项目绩效总体目</w:t>
      </w:r>
      <w:r>
        <w:rPr>
          <w:rFonts w:hint="eastAsia" w:ascii="宋体" w:hAnsi="宋体" w:eastAsia="宋体" w:cs="宋体"/>
          <w:color w:val="auto"/>
          <w:highlight w:val="none"/>
          <w:shd w:val="clear" w:color="auto" w:fill="auto"/>
          <w:lang w:val="en-US" w:eastAsia="zh-CN"/>
        </w:rPr>
        <w:t>标为：负责指导全市离退休干部政治建设、思想建设和党组织建设，组织引导离退休干部在贯彻以习近平同志为核心的党中央治疆方略、特别是长治久安总目标中发挥作用，为党和人民事业增添正能量，中共阜康市委员会老干部局2023年预计完成老干部三套组织业务费6万元，遗孀困难救助金2.5元，聘用人员工资6.5万元按时按点发放，项目的实施预计达到百分百发放，让离休干部和遗孀感受党的关心和温暖。</w:t>
      </w:r>
    </w:p>
    <w:p w14:paraId="303B055C">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7" w:name="_Toc23847"/>
      <w:bookmarkStart w:id="18"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7"/>
      <w:bookmarkEnd w:id="18"/>
    </w:p>
    <w:p w14:paraId="3D953A9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6075BA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73DB0F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1D3460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遗孀困难救助金发放人员</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为&gt;=20人；</w:t>
      </w:r>
    </w:p>
    <w:p w14:paraId="33D292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555CBE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困难救助金放率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3E7D4B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2CABE8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困难救助金发放及时率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118D2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为2023年12月31日；</w:t>
      </w:r>
    </w:p>
    <w:p w14:paraId="7D3AEB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569923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老干部三套组织业务费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&lt;=6万</w:t>
      </w:r>
      <w:r>
        <w:rPr>
          <w:rFonts w:hint="eastAsia" w:ascii="宋体" w:hAnsi="宋体" w:eastAsia="宋体" w:cs="宋体"/>
          <w:color w:val="auto"/>
          <w:highlight w:val="none"/>
          <w:shd w:val="clear" w:color="auto" w:fill="auto"/>
          <w:lang w:val="en-US" w:eastAsia="zh-CN"/>
        </w:rPr>
        <w:t>；</w:t>
      </w:r>
    </w:p>
    <w:p w14:paraId="7F3CCF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遗孀困难救助金</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&lt;=2.50万元</w:t>
      </w:r>
      <w:r>
        <w:rPr>
          <w:rFonts w:hint="eastAsia" w:ascii="宋体" w:hAnsi="宋体" w:eastAsia="宋体" w:cs="宋体"/>
          <w:color w:val="auto"/>
          <w:highlight w:val="none"/>
          <w:shd w:val="clear" w:color="auto" w:fill="auto"/>
          <w:lang w:val="en-US" w:eastAsia="zh-CN"/>
        </w:rPr>
        <w:t>；</w:t>
      </w:r>
    </w:p>
    <w:p w14:paraId="65238C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聘用人员工资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&lt;=6.50万元</w:t>
      </w:r>
      <w:r>
        <w:rPr>
          <w:rFonts w:hint="eastAsia" w:ascii="宋体" w:hAnsi="宋体" w:eastAsia="宋体" w:cs="宋体"/>
          <w:color w:val="auto"/>
          <w:highlight w:val="none"/>
          <w:shd w:val="clear" w:color="auto" w:fill="auto"/>
          <w:lang w:val="en-US" w:eastAsia="zh-CN"/>
        </w:rPr>
        <w:t>；</w:t>
      </w:r>
    </w:p>
    <w:p w14:paraId="1613294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001FF3A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0F195B7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14:paraId="7BEEB75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09F0A22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遗孀生活水平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27EF2E6">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09872A5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r>
        <w:rPr>
          <w:rFonts w:hint="eastAsia" w:ascii="宋体" w:hAnsi="宋体" w:eastAsia="宋体" w:cs="宋体"/>
          <w:color w:val="auto"/>
          <w:highlight w:val="none"/>
          <w:shd w:val="clear" w:color="auto" w:fill="auto"/>
          <w:lang w:val="en-US" w:eastAsia="zh-CN"/>
        </w:rPr>
        <w:t>；</w:t>
      </w:r>
    </w:p>
    <w:p w14:paraId="6783330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1CEAF41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r>
        <w:rPr>
          <w:rFonts w:hint="eastAsia" w:ascii="宋体" w:hAnsi="宋体" w:eastAsia="宋体" w:cs="宋体"/>
          <w:color w:val="auto"/>
          <w:highlight w:val="none"/>
          <w:shd w:val="clear" w:color="auto" w:fill="auto"/>
          <w:lang w:val="en-US" w:eastAsia="zh-CN"/>
        </w:rPr>
        <w:t>；</w:t>
      </w:r>
    </w:p>
    <w:p w14:paraId="7FC9FB5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⑤</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满意度指标</w:t>
      </w:r>
    </w:p>
    <w:p w14:paraId="4B78C768">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遗孀及聘用人员满意度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&gt;=95%。</w:t>
      </w:r>
    </w:p>
    <w:p w14:paraId="751D2BF8">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9" w:name="_Toc17323"/>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9"/>
    </w:p>
    <w:p w14:paraId="39F8930D">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20" w:name="_Toc12868"/>
      <w:bookmarkStart w:id="21" w:name="_Toc26632"/>
      <w:bookmarkStart w:id="22" w:name="_Toc21664"/>
      <w:bookmarkStart w:id="23" w:name="_Toc22169_WPSOffice_Level2"/>
      <w:bookmarkStart w:id="24" w:name="_Toc22922"/>
      <w:bookmarkStart w:id="25" w:name="_Toc5462343"/>
      <w:bookmarkStart w:id="26" w:name="_Toc480473081"/>
      <w:bookmarkStart w:id="27" w:name="_Toc5258"/>
      <w:bookmarkStart w:id="28" w:name="_Toc17611"/>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0"/>
      <w:bookmarkEnd w:id="21"/>
      <w:bookmarkEnd w:id="22"/>
      <w:bookmarkEnd w:id="23"/>
      <w:bookmarkEnd w:id="24"/>
      <w:bookmarkEnd w:id="25"/>
      <w:bookmarkEnd w:id="26"/>
      <w:bookmarkEnd w:id="27"/>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8"/>
    </w:p>
    <w:p w14:paraId="613530DB">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9" w:name="_Toc1300"/>
      <w:bookmarkStart w:id="30"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9"/>
      <w:bookmarkEnd w:id="30"/>
    </w:p>
    <w:p w14:paraId="7F245FB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3AECC799">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5165"/>
      <w:bookmarkStart w:id="3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31"/>
      <w:bookmarkEnd w:id="32"/>
    </w:p>
    <w:p w14:paraId="26448C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ascii="宋体" w:hAnsi="宋体" w:eastAsia="宋体" w:cs="宋体"/>
          <w:color w:val="auto"/>
          <w:highlight w:val="none"/>
          <w:shd w:val="clear" w:color="auto" w:fill="auto"/>
          <w:lang w:val="en-US" w:eastAsia="zh-CN"/>
        </w:rPr>
        <w:t>老干部三套组织业务费及聘用人员工资</w:t>
      </w:r>
      <w:r>
        <w:rPr>
          <w:rFonts w:hint="eastAsia"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开展部门绩效评价。</w:t>
      </w:r>
    </w:p>
    <w:p w14:paraId="23C0C3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5040ED43">
      <w:pPr>
        <w:pStyle w:val="5"/>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33" w:name="_Toc2617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33"/>
    </w:p>
    <w:p w14:paraId="7B8A8709">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4" w:name="_Toc24506"/>
      <w:bookmarkStart w:id="35" w:name="_Toc2571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34"/>
      <w:bookmarkEnd w:id="35"/>
    </w:p>
    <w:p w14:paraId="4AED09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老干部三套组织业务费及聘用人员工资</w:t>
      </w:r>
      <w:r>
        <w:rPr>
          <w:rFonts w:hint="eastAsia"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实际开展情况，运用定量和定性分析相结合的方法，总结经验做法，反思项目实施和管理中的问题，以切实提升财政资金管理的科学化、规范化和精细化水平。</w:t>
      </w:r>
    </w:p>
    <w:p w14:paraId="3226584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48297F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0791B0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57A039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24E04C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44BFFD67">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36" w:name="_Toc1913"/>
      <w:bookmarkStart w:id="37" w:name="_Toc26131"/>
      <w:bookmarkStart w:id="38" w:name="_Toc428278230"/>
      <w:bookmarkStart w:id="39" w:name="_Toc419984722"/>
      <w:bookmarkStart w:id="40" w:name="_Toc30041"/>
      <w:bookmarkStart w:id="41"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36"/>
      <w:bookmarkEnd w:id="37"/>
      <w:bookmarkEnd w:id="38"/>
      <w:bookmarkEnd w:id="3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40"/>
      <w:bookmarkEnd w:id="41"/>
    </w:p>
    <w:p w14:paraId="690F63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34625A7">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7863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9AB4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bookmarkStart w:id="146" w:name="_GoBack"/>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3A27E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3AD593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774D9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41731F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5EFD2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C004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67AA39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00449D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70CC1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0163BA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527FD6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718733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6B465E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44C19B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766531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195DA5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7A6F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6EFE58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6091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CDCDA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16DFB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75F6B5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4939BF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6DBDE5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4056FBD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4DCC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685B0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29A345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4D5C41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30E0C7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1D736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55B213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6C699B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F4A5F1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326C1F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788B82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2F40FB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63E725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443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4D489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6356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B0A75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648642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3B85A1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4348F0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E769A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29A294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02BF62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2CD37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E0FEE4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E36F8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4DECF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2F2307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4972E8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C170E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DE2A3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725755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432DB8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647D57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05A1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F188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77AB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4A7C5D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105B91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6A04E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4C77F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885C2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702CA3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63A66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164D3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698ECE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2E58DF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3BCD9C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69FDEB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01D4F1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01C481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6C53B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FDABD3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6CE522E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1D32E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2A1213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53A36A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0BE874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373D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2274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6C0DF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D7B6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6EB80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0AA410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709829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13811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29AA92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1BC33C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4E279D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40529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818F33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2FCAE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6AD7A3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4D30A7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1CFB9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0A1A33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CC71F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040776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16668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B4BF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E5E0F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6E3F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00296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3C6CA8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3425AC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47FCE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7BE34C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00705B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4F9BF9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0E35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0B0B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52A217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218A7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211802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46227D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52CF92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13AC5E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13A2C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56823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5BE0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4A129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36F4D3E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6D98D1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57C214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AD1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22DF1D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947FE2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41775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415CE1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281D2F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47B96A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50A22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1B1A1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56098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48403D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090E27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089E57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22D950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225FFA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4CD62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160F9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0FDCF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6173F8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0436FB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04531F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16CA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AC86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E27F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65DC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1F0997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016F3EA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bookmarkEnd w:id="146"/>
    </w:tbl>
    <w:p w14:paraId="0D34A7F1">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42" w:name="_Toc9941"/>
      <w:bookmarkStart w:id="43" w:name="_Toc971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42"/>
      <w:bookmarkEnd w:id="43"/>
    </w:p>
    <w:p w14:paraId="6F27ED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ascii="宋体" w:hAnsi="宋体" w:eastAsia="宋体" w:cs="宋体"/>
          <w:color w:val="auto"/>
          <w:highlight w:val="none"/>
          <w:shd w:val="clear" w:color="auto" w:fill="auto"/>
          <w:lang w:val="en-US" w:eastAsia="zh-CN"/>
        </w:rPr>
        <w:t>老干部三套组织业务费及聘用人员工资</w:t>
      </w:r>
      <w:r>
        <w:rPr>
          <w:rFonts w:hint="eastAsia" w:cs="宋体"/>
          <w:color w:val="auto"/>
          <w:highlight w:val="none"/>
          <w:shd w:val="clear" w:color="auto" w:fill="auto"/>
          <w:lang w:val="en-US" w:eastAsia="zh-CN"/>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290078CE">
      <w:pPr>
        <w:pStyle w:val="6"/>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44" w:name="_Toc25391"/>
      <w:bookmarkStart w:id="45" w:name="_Toc622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44"/>
      <w:bookmarkEnd w:id="45"/>
    </w:p>
    <w:p w14:paraId="65C2F0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2D32B9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68D7FC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37ABED97">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2B2CD4B8">
      <w:pPr>
        <w:pStyle w:val="6"/>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46" w:name="_Toc2717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46"/>
    </w:p>
    <w:p w14:paraId="1977A23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47" w:name="_Toc12862"/>
      <w:bookmarkStart w:id="48" w:name="_Toc65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47"/>
      <w:bookmarkEnd w:id="48"/>
    </w:p>
    <w:p w14:paraId="79995FA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687CD1B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669104A2">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1571"/>
      <w:bookmarkStart w:id="50" w:name="_Toc3203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49"/>
      <w:bookmarkEnd w:id="50"/>
    </w:p>
    <w:p w14:paraId="0248D284">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1" w:name="_Toc21240"/>
      <w:bookmarkStart w:id="52" w:name="_Toc667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老干部三套组织业务费及聘用人员工资项目实施内容、目标信息、预算信息以及其他的一些项目基本信息，有了初步了解，为制定绩效评价工作方案做好准备。</w:t>
      </w:r>
      <w:bookmarkEnd w:id="51"/>
      <w:bookmarkEnd w:id="52"/>
    </w:p>
    <w:p w14:paraId="131F124F">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1818"/>
      <w:bookmarkStart w:id="54"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53"/>
      <w:bookmarkEnd w:id="54"/>
    </w:p>
    <w:p w14:paraId="6ADC9334">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5" w:name="_Toc19659"/>
      <w:bookmarkStart w:id="56" w:name="_Toc298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55"/>
      <w:bookmarkEnd w:id="56"/>
    </w:p>
    <w:p w14:paraId="0B20C9A9">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7" w:name="_Toc20436"/>
      <w:bookmarkStart w:id="5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57"/>
      <w:bookmarkEnd w:id="58"/>
    </w:p>
    <w:p w14:paraId="0E92343C">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9" w:name="_Toc14111"/>
      <w:bookmarkStart w:id="60" w:name="_Toc2002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59"/>
      <w:bookmarkEnd w:id="60"/>
    </w:p>
    <w:p w14:paraId="3E7E33F2">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1" w:name="_Toc28524"/>
      <w:bookmarkStart w:id="62" w:name="_Toc1185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61"/>
      <w:bookmarkEnd w:id="62"/>
    </w:p>
    <w:p w14:paraId="7C1B7CFC">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3" w:name="_Toc6620"/>
      <w:bookmarkStart w:id="64"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63"/>
      <w:bookmarkEnd w:id="64"/>
    </w:p>
    <w:p w14:paraId="1FAFAF0E">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5" w:name="_Toc10505"/>
      <w:bookmarkStart w:id="66" w:name="_Toc685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65"/>
      <w:bookmarkEnd w:id="66"/>
    </w:p>
    <w:p w14:paraId="278CC740">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7" w:name="_Toc28365"/>
      <w:bookmarkStart w:id="68" w:name="_Toc2268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67"/>
      <w:bookmarkEnd w:id="68"/>
    </w:p>
    <w:p w14:paraId="7E7F3ED5">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9" w:name="_Toc31690"/>
      <w:bookmarkStart w:id="70"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69"/>
      <w:bookmarkEnd w:id="70"/>
    </w:p>
    <w:p w14:paraId="2B976D2E">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1" w:name="_Toc24798"/>
      <w:bookmarkStart w:id="72"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71"/>
      <w:bookmarkEnd w:id="72"/>
    </w:p>
    <w:p w14:paraId="2DC433F7">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3" w:name="_Toc22462"/>
      <w:bookmarkStart w:id="74"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73"/>
      <w:bookmarkEnd w:id="74"/>
    </w:p>
    <w:p w14:paraId="15ABC686">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5" w:name="_Toc2808"/>
      <w:bookmarkStart w:id="76"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75"/>
      <w:bookmarkEnd w:id="76"/>
    </w:p>
    <w:p w14:paraId="23DE650F">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7" w:name="_Toc167"/>
      <w:bookmarkStart w:id="78" w:name="_Toc1924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77"/>
      <w:bookmarkEnd w:id="78"/>
    </w:p>
    <w:p w14:paraId="702683C9">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9" w:name="_Toc30513"/>
      <w:bookmarkStart w:id="80" w:name="_Toc22682"/>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79"/>
      <w:bookmarkEnd w:id="80"/>
    </w:p>
    <w:p w14:paraId="4566FC32">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81" w:name="_Toc29481"/>
      <w:bookmarkStart w:id="82"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81"/>
      <w:bookmarkEnd w:id="82"/>
    </w:p>
    <w:p w14:paraId="016399B4">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83" w:name="_Toc5142"/>
      <w:bookmarkStart w:id="84"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83"/>
      <w:bookmarkEnd w:id="84"/>
    </w:p>
    <w:p w14:paraId="313EB16E">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85" w:name="_Toc29681"/>
      <w:bookmarkStart w:id="86"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85"/>
      <w:bookmarkEnd w:id="86"/>
    </w:p>
    <w:p w14:paraId="4E2F8C63">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87" w:name="_Toc27759"/>
      <w:bookmarkStart w:id="88" w:name="_Toc388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87"/>
      <w:bookmarkEnd w:id="88"/>
    </w:p>
    <w:p w14:paraId="437CB2A3">
      <w:pPr>
        <w:pStyle w:val="15"/>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89" w:name="_Toc17668"/>
      <w:bookmarkStart w:id="90"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89"/>
      <w:bookmarkEnd w:id="90"/>
    </w:p>
    <w:p w14:paraId="55E4BD16">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91" w:name="_Toc949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91"/>
    </w:p>
    <w:p w14:paraId="714527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zh-TW" w:eastAsia="zh-TW"/>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老干部三套组织业务费及聘用人员工资</w:t>
      </w:r>
      <w:r>
        <w:rPr>
          <w:rFonts w:hint="eastAsia" w:cs="宋体"/>
          <w:color w:val="000000" w:themeColor="text1"/>
          <w:highlight w:val="none"/>
          <w:shd w:val="clear" w:color="auto" w:fill="auto"/>
          <w:lang w:val="en-US" w:eastAsia="zh-CN"/>
          <w14:textFill>
            <w14:solidFill>
              <w14:schemeClr w14:val="tx1"/>
            </w14:solidFill>
          </w14:textFill>
        </w:rPr>
        <w:t>项目</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绩效进行客观评价，最终评分结果：总分为</w:t>
      </w:r>
      <w:r>
        <w:rPr>
          <w:rFonts w:hint="eastAsia" w:cs="宋体"/>
          <w:color w:val="000000" w:themeColor="text1"/>
          <w:highlight w:val="none"/>
          <w:shd w:val="clear" w:color="auto" w:fill="auto"/>
          <w:lang w:val="en-US" w:eastAsia="zh-CN"/>
          <w14:textFill>
            <w14:solidFill>
              <w14:schemeClr w14:val="tx1"/>
            </w14:solidFill>
          </w14:textFill>
        </w:rPr>
        <w:t>98</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分，绩效评级为“</w:t>
      </w:r>
      <w:r>
        <w:rPr>
          <w:rFonts w:hint="eastAsia" w:cs="宋体"/>
          <w:color w:val="000000" w:themeColor="text1"/>
          <w:highlight w:val="none"/>
          <w:shd w:val="clear" w:color="auto" w:fill="auto"/>
          <w:lang w:val="en-US" w:eastAsia="zh-CN"/>
          <w14:textFill>
            <w14:solidFill>
              <w14:schemeClr w14:val="tx1"/>
            </w14:solidFill>
          </w14:textFill>
        </w:rPr>
        <w:t>优秀</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”。各部分权重和绩效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汇总</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所示</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w:t>
      </w:r>
    </w:p>
    <w:tbl>
      <w:tblPr>
        <w:tblStyle w:val="16"/>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77A0543">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2903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表3-1：老干部三套组织业务费及聘用人员工资项目得分表</w:t>
            </w:r>
          </w:p>
        </w:tc>
      </w:tr>
      <w:tr w14:paraId="5D1AE74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B4A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4F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E6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3E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D93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23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016EA62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59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8F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9C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2C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36F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6C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500C4F6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867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85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B15E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E6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31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E85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98</w:t>
            </w:r>
          </w:p>
        </w:tc>
      </w:tr>
      <w:tr w14:paraId="10B657B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1C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DA1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95</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B5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F1CF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CB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D3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98</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r>
    </w:tbl>
    <w:p w14:paraId="70633ACD">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92" w:name="_Toc3060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92"/>
    </w:p>
    <w:p w14:paraId="4466451C">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93" w:name="_Toc459"/>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93"/>
    </w:p>
    <w:p w14:paraId="05A26459">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项目决策由3个二级指标和6个三级指标构成，权重分20分，实际得分19分，</w:t>
      </w:r>
      <w:r>
        <w:rPr>
          <w:rFonts w:hint="eastAsia" w:ascii="宋体" w:hAnsi="宋体" w:eastAsia="宋体" w:cs="宋体"/>
          <w:color w:val="auto"/>
          <w:highlight w:val="none"/>
          <w:shd w:val="clear" w:color="auto" w:fill="auto"/>
          <w:lang w:val="zh-TW" w:eastAsia="zh-TW"/>
        </w:rPr>
        <w:t>各指标业</w:t>
      </w:r>
      <w:r>
        <w:rPr>
          <w:rFonts w:hint="eastAsia" w:ascii="宋体" w:hAnsi="宋体" w:eastAsia="宋体" w:cs="宋体"/>
          <w:color w:val="auto"/>
          <w:kern w:val="2"/>
          <w:highlight w:val="none"/>
          <w:u w:color="000000"/>
          <w:shd w:val="clear" w:color="auto" w:fill="auto"/>
          <w:lang w:val="zh-TW" w:eastAsia="zh-TW"/>
        </w:rPr>
        <w:t>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1A8B363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6"/>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0501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79835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5F3262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0E2D6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5B0AC4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5B700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24B46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741009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1DD8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73237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1D19B1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5BFA92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601F85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2283E0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0DB8C4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6B5ED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2A9A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0E85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48A6F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7DDFCD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2168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12048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48B6C3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235C5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259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2CD3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70983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378C3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672001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10965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27894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11B259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5E8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C5E4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C900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64867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572D9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765F26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605DF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6130B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9D5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C68B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6C7FD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7F2402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08649F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22C7C6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31ACF5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0AB05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7466B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72A3D8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53500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07EB85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517FF6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B31D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21F0F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105844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5F9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57E90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4413A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24BFA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30A5FD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6C7D5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7EFACB8E">
      <w:pPr>
        <w:bidi w:val="0"/>
        <w:outlineLvl w:val="2"/>
        <w:rPr>
          <w:rFonts w:hint="default"/>
          <w:b/>
          <w:bCs/>
          <w:lang w:val="en-US" w:eastAsia="zh-CN"/>
        </w:rPr>
      </w:pPr>
      <w:bookmarkStart w:id="94" w:name="_Toc13522"/>
      <w:bookmarkStart w:id="95" w:name="_Toc4346"/>
      <w:r>
        <w:rPr>
          <w:rFonts w:hint="eastAsia"/>
          <w:b/>
          <w:bCs/>
          <w:lang w:val="en-US" w:eastAsia="zh-CN"/>
        </w:rPr>
        <w:t>1.立项依据充分性</w:t>
      </w:r>
      <w:bookmarkEnd w:id="94"/>
      <w:bookmarkEnd w:id="95"/>
    </w:p>
    <w:p w14:paraId="618FB323">
      <w:pPr>
        <w:bidi w:val="0"/>
        <w:rPr>
          <w:rFonts w:hint="eastAsia"/>
          <w:lang w:eastAsia="zh-CN"/>
        </w:rPr>
      </w:pPr>
      <w:r>
        <w:rPr>
          <w:rFonts w:hint="eastAsia"/>
          <w:lang w:eastAsia="zh-CN"/>
        </w:rPr>
        <w:t>①项目立项符合</w:t>
      </w:r>
      <w:r>
        <w:rPr>
          <w:rFonts w:hint="eastAsia"/>
          <w:lang w:val="en-US" w:eastAsia="zh-CN"/>
        </w:rPr>
        <w:t>《关于进一步加强和改进离退休干部工作的意见》（中办发[2016]3号）文件精神</w:t>
      </w:r>
      <w:r>
        <w:rPr>
          <w:rFonts w:hint="eastAsia"/>
          <w:lang w:eastAsia="zh-CN"/>
        </w:rPr>
        <w:t>；</w:t>
      </w:r>
    </w:p>
    <w:p w14:paraId="79F87872">
      <w:pPr>
        <w:bidi w:val="0"/>
        <w:rPr>
          <w:rFonts w:hint="eastAsia"/>
          <w:lang w:eastAsia="zh-CN"/>
        </w:rPr>
      </w:pPr>
      <w:r>
        <w:rPr>
          <w:rFonts w:hint="eastAsia"/>
          <w:lang w:eastAsia="zh-CN"/>
        </w:rPr>
        <w:t>②项目立项符合《关于进一步加强和改进离退休干部工作的实施意见》（新党办发〔2017〕47号）</w:t>
      </w:r>
      <w:r>
        <w:rPr>
          <w:rFonts w:hint="eastAsia"/>
          <w:lang w:val="en-US" w:eastAsia="zh-CN"/>
        </w:rPr>
        <w:t>文件精神，加强离退休干部思想政治工作，完善和创新离退休干部服务管理工作，加强对离退休干部工作的组织领导，加强离退休干部工作队伍建设政策要求。</w:t>
      </w:r>
    </w:p>
    <w:p w14:paraId="7094B58A">
      <w:pPr>
        <w:bidi w:val="0"/>
        <w:rPr>
          <w:rFonts w:hint="eastAsia"/>
          <w:lang w:eastAsia="zh-CN"/>
        </w:rPr>
      </w:pPr>
      <w:r>
        <w:rPr>
          <w:rFonts w:hint="eastAsia"/>
          <w:lang w:eastAsia="zh-CN"/>
        </w:rPr>
        <w:t>③项目立项与</w:t>
      </w:r>
      <w:r>
        <w:rPr>
          <w:rFonts w:hint="eastAsia"/>
          <w:lang w:val="en-US" w:eastAsia="zh-CN"/>
        </w:rPr>
        <w:t>老干部局</w:t>
      </w:r>
      <w:r>
        <w:rPr>
          <w:rFonts w:hint="eastAsia"/>
          <w:lang w:eastAsia="zh-CN"/>
        </w:rPr>
        <w:t>负责指导全市离退休干部政治建设、思想建设和党组织建设，组织协调开展离退休干部各项活动，指导协调阜康市关心下一代工作委员会办公室、老干部各学会、协会开展工作</w:t>
      </w:r>
      <w:r>
        <w:rPr>
          <w:rFonts w:hint="eastAsia"/>
          <w:lang w:val="en-US" w:eastAsia="zh-CN"/>
        </w:rPr>
        <w:t>的</w:t>
      </w:r>
      <w:r>
        <w:rPr>
          <w:rFonts w:hint="eastAsia"/>
          <w:lang w:eastAsia="zh-CN"/>
        </w:rPr>
        <w:t>部门职责范围相符，属于部门履职所需；</w:t>
      </w:r>
    </w:p>
    <w:p w14:paraId="13AEF9B2">
      <w:pPr>
        <w:bidi w:val="0"/>
        <w:rPr>
          <w:rFonts w:hint="eastAsia"/>
          <w:lang w:eastAsia="zh-CN"/>
        </w:rPr>
      </w:pPr>
      <w:r>
        <w:rPr>
          <w:rFonts w:hint="eastAsia"/>
          <w:lang w:eastAsia="zh-CN"/>
        </w:rPr>
        <w:t>④项目属于公共财政支持范围，符合中央、地方事权支出责任划分原则；</w:t>
      </w:r>
    </w:p>
    <w:p w14:paraId="3E533CD3">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554275A4">
      <w:pPr>
        <w:bidi w:val="0"/>
        <w:rPr>
          <w:rFonts w:hint="default"/>
          <w:b/>
          <w:bCs/>
          <w:lang w:val="en-US" w:eastAsia="zh-CN"/>
        </w:rPr>
      </w:pPr>
      <w:r>
        <w:rPr>
          <w:rFonts w:hint="eastAsia"/>
          <w:b/>
          <w:bCs/>
          <w:lang w:val="en-US" w:eastAsia="zh-CN"/>
        </w:rPr>
        <w:t>综上，该项指标满分2分，得分2分。</w:t>
      </w:r>
    </w:p>
    <w:p w14:paraId="05E9B5BD">
      <w:pPr>
        <w:bidi w:val="0"/>
        <w:outlineLvl w:val="2"/>
        <w:rPr>
          <w:rFonts w:hint="default"/>
          <w:b/>
          <w:bCs/>
          <w:color w:val="auto"/>
          <w:lang w:val="en-US" w:eastAsia="zh-CN"/>
        </w:rPr>
      </w:pPr>
      <w:bookmarkStart w:id="96" w:name="_Toc21976"/>
      <w:bookmarkStart w:id="97" w:name="_Toc252"/>
      <w:r>
        <w:rPr>
          <w:rFonts w:hint="eastAsia"/>
          <w:b/>
          <w:bCs/>
          <w:color w:val="auto"/>
          <w:lang w:val="en-US" w:eastAsia="zh-CN"/>
        </w:rPr>
        <w:t>2.立项程序规范性</w:t>
      </w:r>
      <w:bookmarkEnd w:id="96"/>
      <w:bookmarkEnd w:id="97"/>
    </w:p>
    <w:p w14:paraId="04D4ADAA">
      <w:pPr>
        <w:bidi w:val="0"/>
        <w:rPr>
          <w:rFonts w:hint="eastAsia"/>
          <w:lang w:eastAsia="zh-CN"/>
        </w:rPr>
      </w:pPr>
      <w:r>
        <w:rPr>
          <w:rFonts w:hint="eastAsia"/>
          <w:lang w:eastAsia="zh-CN"/>
        </w:rPr>
        <w:t>①项目按照规定的程序申请设立；</w:t>
      </w:r>
    </w:p>
    <w:p w14:paraId="7A9007B2">
      <w:pPr>
        <w:bidi w:val="0"/>
        <w:rPr>
          <w:rFonts w:hint="eastAsia"/>
          <w:lang w:eastAsia="zh-CN"/>
        </w:rPr>
      </w:pPr>
      <w:r>
        <w:rPr>
          <w:rFonts w:hint="eastAsia"/>
          <w:lang w:eastAsia="zh-CN"/>
        </w:rPr>
        <w:t>②审批文件、材料符合相关要求；</w:t>
      </w:r>
    </w:p>
    <w:p w14:paraId="4BF48CF9">
      <w:pPr>
        <w:bidi w:val="0"/>
        <w:rPr>
          <w:rFonts w:hint="eastAsia"/>
          <w:highlight w:val="none"/>
          <w:u w:val="none"/>
          <w:lang w:eastAsia="zh-CN"/>
        </w:rPr>
      </w:pPr>
      <w:r>
        <w:rPr>
          <w:rFonts w:hint="eastAsia"/>
          <w:highlight w:val="none"/>
          <w:u w:val="none"/>
          <w:lang w:eastAsia="zh-CN"/>
        </w:rPr>
        <w:t>③事前</w:t>
      </w:r>
      <w:r>
        <w:rPr>
          <w:rFonts w:hint="eastAsia"/>
          <w:highlight w:val="none"/>
          <w:u w:val="none"/>
          <w:lang w:val="en-US" w:eastAsia="zh-CN"/>
        </w:rPr>
        <w:t>未</w:t>
      </w:r>
      <w:r>
        <w:rPr>
          <w:rFonts w:hint="eastAsia"/>
          <w:highlight w:val="none"/>
          <w:u w:val="none"/>
          <w:lang w:eastAsia="zh-CN"/>
        </w:rPr>
        <w:t>经过必要的可行性研究、专家论证、风险评估、绩效评估、集体决策，</w:t>
      </w:r>
      <w:r>
        <w:rPr>
          <w:rFonts w:hint="eastAsia"/>
          <w:highlight w:val="none"/>
          <w:u w:val="none"/>
          <w:lang w:val="en-US" w:eastAsia="zh-CN"/>
        </w:rPr>
        <w:t>扣1分</w:t>
      </w:r>
      <w:r>
        <w:rPr>
          <w:rFonts w:hint="eastAsia"/>
          <w:highlight w:val="none"/>
          <w:u w:val="none"/>
          <w:lang w:eastAsia="zh-CN"/>
        </w:rPr>
        <w:t>。</w:t>
      </w:r>
    </w:p>
    <w:p w14:paraId="5E846196">
      <w:pPr>
        <w:bidi w:val="0"/>
        <w:rPr>
          <w:rFonts w:hint="eastAsia"/>
          <w:b/>
          <w:bCs/>
          <w:lang w:val="en-US" w:eastAsia="zh-CN"/>
        </w:rPr>
      </w:pPr>
      <w:r>
        <w:rPr>
          <w:rFonts w:hint="eastAsia"/>
          <w:b/>
          <w:bCs/>
          <w:lang w:val="en-US" w:eastAsia="zh-CN"/>
        </w:rPr>
        <w:t>综上，该项指标满分3分，得分2分。</w:t>
      </w:r>
    </w:p>
    <w:p w14:paraId="7AE948D5">
      <w:pPr>
        <w:bidi w:val="0"/>
        <w:outlineLvl w:val="2"/>
        <w:rPr>
          <w:rFonts w:hint="default"/>
          <w:b/>
          <w:bCs/>
          <w:lang w:val="en-US" w:eastAsia="zh-CN"/>
        </w:rPr>
      </w:pPr>
      <w:bookmarkStart w:id="98" w:name="_Toc8885"/>
      <w:bookmarkStart w:id="99" w:name="_Toc15382"/>
      <w:r>
        <w:rPr>
          <w:rFonts w:hint="eastAsia"/>
          <w:b/>
          <w:bCs/>
          <w:lang w:val="en-US" w:eastAsia="zh-CN"/>
        </w:rPr>
        <w:t>3.绩效目标合理性</w:t>
      </w:r>
      <w:bookmarkEnd w:id="98"/>
      <w:bookmarkEnd w:id="99"/>
    </w:p>
    <w:p w14:paraId="66D89249">
      <w:pPr>
        <w:bidi w:val="0"/>
        <w:rPr>
          <w:rFonts w:hint="eastAsia"/>
          <w:lang w:eastAsia="zh-CN"/>
        </w:rPr>
      </w:pPr>
      <w:r>
        <w:rPr>
          <w:rFonts w:hint="eastAsia"/>
          <w:lang w:eastAsia="zh-CN"/>
        </w:rPr>
        <w:t>①项目有绩效目标；</w:t>
      </w:r>
    </w:p>
    <w:p w14:paraId="6A1612D3">
      <w:pPr>
        <w:bidi w:val="0"/>
        <w:rPr>
          <w:rFonts w:hint="eastAsia"/>
          <w:lang w:eastAsia="zh-CN"/>
        </w:rPr>
      </w:pPr>
      <w:r>
        <w:rPr>
          <w:rFonts w:hint="eastAsia"/>
          <w:lang w:eastAsia="zh-CN"/>
        </w:rPr>
        <w:t>②项目绩效目标与实际工作内容具有相关性；</w:t>
      </w:r>
    </w:p>
    <w:p w14:paraId="7833A5F0">
      <w:pPr>
        <w:bidi w:val="0"/>
        <w:rPr>
          <w:rFonts w:hint="eastAsia"/>
          <w:lang w:eastAsia="zh-CN"/>
        </w:rPr>
      </w:pPr>
      <w:r>
        <w:rPr>
          <w:rFonts w:hint="eastAsia"/>
          <w:lang w:eastAsia="zh-CN"/>
        </w:rPr>
        <w:t>③项目预期产出效益和效果符合正常的业绩水平；</w:t>
      </w:r>
    </w:p>
    <w:p w14:paraId="171B0F3D">
      <w:pPr>
        <w:bidi w:val="0"/>
        <w:rPr>
          <w:rFonts w:hint="eastAsia"/>
          <w:lang w:eastAsia="zh-CN"/>
        </w:rPr>
      </w:pPr>
      <w:r>
        <w:rPr>
          <w:rFonts w:hint="eastAsia"/>
          <w:lang w:eastAsia="zh-CN"/>
        </w:rPr>
        <w:t>④与预算确定的项目投资额或资金量相匹配。</w:t>
      </w:r>
    </w:p>
    <w:p w14:paraId="750987D5">
      <w:pPr>
        <w:bidi w:val="0"/>
        <w:rPr>
          <w:rFonts w:hint="eastAsia"/>
          <w:b/>
          <w:bCs/>
          <w:lang w:val="en-US" w:eastAsia="zh-CN"/>
        </w:rPr>
      </w:pPr>
      <w:r>
        <w:rPr>
          <w:rFonts w:hint="eastAsia"/>
          <w:b/>
          <w:bCs/>
          <w:lang w:val="en-US" w:eastAsia="zh-CN"/>
        </w:rPr>
        <w:t>综上，该项指标满分5分，得分5分。</w:t>
      </w:r>
    </w:p>
    <w:p w14:paraId="1DD7ABE8">
      <w:pPr>
        <w:bidi w:val="0"/>
        <w:outlineLvl w:val="2"/>
        <w:rPr>
          <w:rFonts w:hint="default"/>
          <w:b/>
          <w:bCs/>
          <w:lang w:val="en-US" w:eastAsia="zh-CN"/>
        </w:rPr>
      </w:pPr>
      <w:bookmarkStart w:id="100" w:name="_Toc10650"/>
      <w:bookmarkStart w:id="101" w:name="_Toc18683"/>
      <w:r>
        <w:rPr>
          <w:rFonts w:hint="eastAsia"/>
          <w:b/>
          <w:bCs/>
          <w:lang w:val="en-US" w:eastAsia="zh-CN"/>
        </w:rPr>
        <w:t>4.绩效指标明确性</w:t>
      </w:r>
      <w:bookmarkEnd w:id="100"/>
      <w:bookmarkEnd w:id="101"/>
    </w:p>
    <w:p w14:paraId="0F7AFA90">
      <w:pPr>
        <w:bidi w:val="0"/>
        <w:rPr>
          <w:rFonts w:hint="eastAsia"/>
          <w:highlight w:val="none"/>
          <w:lang w:eastAsia="zh-CN"/>
        </w:rPr>
      </w:pPr>
      <w:r>
        <w:rPr>
          <w:rFonts w:hint="eastAsia"/>
          <w:highlight w:val="none"/>
          <w:lang w:eastAsia="zh-CN"/>
        </w:rPr>
        <w:t>①将项目绩效目标细化分解为具体的绩效指标，</w:t>
      </w:r>
      <w:r>
        <w:rPr>
          <w:rFonts w:hint="eastAsia"/>
          <w:highlight w:val="none"/>
          <w:lang w:val="en-US" w:eastAsia="zh-CN"/>
        </w:rPr>
        <w:t>设置二级指标7个三级指标9条</w:t>
      </w:r>
      <w:r>
        <w:rPr>
          <w:rFonts w:hint="eastAsia"/>
          <w:highlight w:val="none"/>
          <w:lang w:eastAsia="zh-CN"/>
        </w:rPr>
        <w:t>；</w:t>
      </w:r>
    </w:p>
    <w:p w14:paraId="2B747398">
      <w:pPr>
        <w:bidi w:val="0"/>
        <w:rPr>
          <w:rFonts w:hint="eastAsia"/>
          <w:highlight w:val="none"/>
          <w:lang w:eastAsia="zh-CN"/>
        </w:rPr>
      </w:pPr>
      <w:r>
        <w:rPr>
          <w:rFonts w:hint="eastAsia"/>
          <w:highlight w:val="none"/>
          <w:lang w:eastAsia="zh-CN"/>
        </w:rPr>
        <w:t>②通过清晰、可衡量的指标值予以体现，</w:t>
      </w:r>
      <w:r>
        <w:rPr>
          <w:rFonts w:hint="eastAsia"/>
          <w:highlight w:val="none"/>
          <w:lang w:val="en-US" w:eastAsia="zh-CN"/>
        </w:rPr>
        <w:t>指标亮化率为100%</w:t>
      </w:r>
      <w:r>
        <w:rPr>
          <w:rFonts w:hint="eastAsia"/>
          <w:highlight w:val="none"/>
          <w:lang w:eastAsia="zh-CN"/>
        </w:rPr>
        <w:t>；</w:t>
      </w:r>
    </w:p>
    <w:p w14:paraId="3A727CA1">
      <w:pPr>
        <w:bidi w:val="0"/>
        <w:rPr>
          <w:rFonts w:hint="eastAsia"/>
          <w:lang w:eastAsia="zh-CN"/>
        </w:rPr>
      </w:pPr>
      <w:r>
        <w:rPr>
          <w:rFonts w:hint="eastAsia"/>
          <w:lang w:eastAsia="zh-CN"/>
        </w:rPr>
        <w:t>③与项目目标任务数或计划数相对应。</w:t>
      </w:r>
    </w:p>
    <w:p w14:paraId="2AA93D80">
      <w:pPr>
        <w:bidi w:val="0"/>
        <w:rPr>
          <w:rFonts w:hint="eastAsia"/>
          <w:b/>
          <w:bCs/>
          <w:lang w:val="en-US" w:eastAsia="zh-CN"/>
        </w:rPr>
      </w:pPr>
      <w:r>
        <w:rPr>
          <w:rFonts w:hint="eastAsia"/>
          <w:b/>
          <w:bCs/>
          <w:lang w:val="en-US" w:eastAsia="zh-CN"/>
        </w:rPr>
        <w:t>综上，该项指标满分5分，得分5分。</w:t>
      </w:r>
    </w:p>
    <w:p w14:paraId="43188E47">
      <w:pPr>
        <w:bidi w:val="0"/>
        <w:outlineLvl w:val="2"/>
        <w:rPr>
          <w:rFonts w:hint="default"/>
          <w:b/>
          <w:bCs/>
          <w:lang w:val="en-US" w:eastAsia="zh-CN"/>
        </w:rPr>
      </w:pPr>
      <w:bookmarkStart w:id="102" w:name="_Toc20940"/>
      <w:bookmarkStart w:id="103" w:name="_Toc19401"/>
      <w:r>
        <w:rPr>
          <w:rFonts w:hint="eastAsia"/>
          <w:b/>
          <w:bCs/>
          <w:lang w:val="en-US" w:eastAsia="zh-CN"/>
        </w:rPr>
        <w:t>5.预算编制科学性</w:t>
      </w:r>
      <w:bookmarkEnd w:id="102"/>
      <w:bookmarkEnd w:id="103"/>
    </w:p>
    <w:p w14:paraId="067F163D">
      <w:pPr>
        <w:bidi w:val="0"/>
        <w:rPr>
          <w:rFonts w:hint="eastAsia"/>
          <w:lang w:eastAsia="zh-CN"/>
        </w:rPr>
      </w:pPr>
      <w:r>
        <w:rPr>
          <w:rFonts w:hint="eastAsia"/>
          <w:lang w:eastAsia="zh-CN"/>
        </w:rPr>
        <w:t>①预算编制经过科学论证，</w:t>
      </w:r>
      <w:r>
        <w:rPr>
          <w:rFonts w:hint="eastAsia"/>
          <w:lang w:val="en-US" w:eastAsia="zh-CN"/>
        </w:rPr>
        <w:t>但是对离退休干部不断变化的实际情况考虑不够全面，扣1分</w:t>
      </w:r>
      <w:r>
        <w:rPr>
          <w:rFonts w:hint="eastAsia"/>
          <w:lang w:eastAsia="zh-CN"/>
        </w:rPr>
        <w:t>；</w:t>
      </w:r>
    </w:p>
    <w:p w14:paraId="2016CD98">
      <w:pPr>
        <w:bidi w:val="0"/>
        <w:rPr>
          <w:rFonts w:hint="eastAsia"/>
          <w:lang w:eastAsia="zh-CN"/>
        </w:rPr>
      </w:pPr>
      <w:r>
        <w:rPr>
          <w:rFonts w:hint="eastAsia"/>
          <w:lang w:eastAsia="zh-CN"/>
        </w:rPr>
        <w:t>②预算内容与项目内容匹配；</w:t>
      </w:r>
    </w:p>
    <w:p w14:paraId="0CB013B6">
      <w:pPr>
        <w:bidi w:val="0"/>
        <w:rPr>
          <w:rFonts w:hint="eastAsia"/>
          <w:lang w:eastAsia="zh-CN"/>
        </w:rPr>
      </w:pPr>
      <w:r>
        <w:rPr>
          <w:rFonts w:hint="eastAsia"/>
          <w:lang w:eastAsia="zh-CN"/>
        </w:rPr>
        <w:t>③预算额度测算依据充分，按照标准编制；</w:t>
      </w:r>
    </w:p>
    <w:p w14:paraId="04D10865">
      <w:pPr>
        <w:bidi w:val="0"/>
        <w:rPr>
          <w:rFonts w:hint="eastAsia"/>
          <w:lang w:eastAsia="zh-CN"/>
        </w:rPr>
      </w:pPr>
      <w:r>
        <w:rPr>
          <w:rFonts w:hint="eastAsia"/>
          <w:lang w:eastAsia="zh-CN"/>
        </w:rPr>
        <w:t>④预算确定的项目投资额或资金量与工作任务相匹配。</w:t>
      </w:r>
    </w:p>
    <w:p w14:paraId="5B074B8C">
      <w:pPr>
        <w:bidi w:val="0"/>
        <w:rPr>
          <w:rFonts w:hint="eastAsia"/>
          <w:b/>
          <w:bCs/>
          <w:lang w:val="en-US" w:eastAsia="zh-CN"/>
        </w:rPr>
      </w:pPr>
      <w:r>
        <w:rPr>
          <w:rFonts w:hint="eastAsia"/>
          <w:b/>
          <w:bCs/>
          <w:lang w:val="en-US" w:eastAsia="zh-CN"/>
        </w:rPr>
        <w:t>综上，该项指标满分2分，得分1分。</w:t>
      </w:r>
    </w:p>
    <w:p w14:paraId="6141A2F7">
      <w:pPr>
        <w:bidi w:val="0"/>
        <w:outlineLvl w:val="2"/>
        <w:rPr>
          <w:rFonts w:hint="default"/>
          <w:b/>
          <w:bCs/>
          <w:lang w:val="en-US" w:eastAsia="zh-CN"/>
        </w:rPr>
      </w:pPr>
      <w:bookmarkStart w:id="104" w:name="_Toc10909"/>
      <w:bookmarkStart w:id="105" w:name="_Toc697"/>
      <w:r>
        <w:rPr>
          <w:rFonts w:hint="eastAsia"/>
          <w:b/>
          <w:bCs/>
          <w:lang w:val="en-US" w:eastAsia="zh-CN"/>
        </w:rPr>
        <w:t>6.资金分配合理性</w:t>
      </w:r>
      <w:bookmarkEnd w:id="104"/>
      <w:bookmarkEnd w:id="105"/>
    </w:p>
    <w:p w14:paraId="66DA08B4">
      <w:pPr>
        <w:bidi w:val="0"/>
        <w:rPr>
          <w:rFonts w:hint="eastAsia"/>
          <w:lang w:eastAsia="zh-CN"/>
        </w:rPr>
      </w:pPr>
      <w:r>
        <w:rPr>
          <w:rFonts w:hint="eastAsia"/>
          <w:lang w:eastAsia="zh-CN"/>
        </w:rPr>
        <w:t>①预算资金分配依据充分；</w:t>
      </w:r>
    </w:p>
    <w:p w14:paraId="41A98DCF">
      <w:pPr>
        <w:bidi w:val="0"/>
        <w:rPr>
          <w:rFonts w:hint="eastAsia"/>
          <w:lang w:eastAsia="zh-CN"/>
        </w:rPr>
      </w:pPr>
      <w:r>
        <w:rPr>
          <w:rFonts w:hint="eastAsia"/>
          <w:lang w:eastAsia="zh-CN"/>
        </w:rPr>
        <w:t>②资金分配额度合理，与项目单位或地方实际相适应。</w:t>
      </w:r>
    </w:p>
    <w:p w14:paraId="24D4B094">
      <w:pPr>
        <w:bidi w:val="0"/>
        <w:rPr>
          <w:rFonts w:hint="eastAsia"/>
          <w:b/>
          <w:bCs/>
          <w:lang w:val="en-US" w:eastAsia="zh-CN"/>
        </w:rPr>
      </w:pPr>
      <w:r>
        <w:rPr>
          <w:rFonts w:hint="eastAsia"/>
          <w:b/>
          <w:bCs/>
          <w:lang w:val="en-US" w:eastAsia="zh-CN"/>
        </w:rPr>
        <w:t>综上，该项指标满分3分，得分3分。</w:t>
      </w:r>
    </w:p>
    <w:p w14:paraId="7A3EAC8A">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06" w:name="_Toc21454"/>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106"/>
    </w:p>
    <w:p w14:paraId="61AEA87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DBB1DD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7366C9DB">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D5D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D2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D9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1DB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288D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49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F480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4DBC35F">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230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9C7C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6BC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55D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CEF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A1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CA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302843F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EA1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1DD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5352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86F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DEF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844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29D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4164543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6FE1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E3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330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B76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028D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086C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98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FE7576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EC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F505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53C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576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00D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76A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B1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08FAE01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AC2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6CD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DCEE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981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C074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981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088A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03D2CCD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C1BE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749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F7D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3A3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3BBE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754E5B1">
      <w:pPr>
        <w:bidi w:val="0"/>
        <w:outlineLvl w:val="2"/>
        <w:rPr>
          <w:rFonts w:hint="default"/>
          <w:b/>
          <w:bCs/>
          <w:color w:val="000000" w:themeColor="text1"/>
          <w:lang w:val="en-US" w:eastAsia="zh-CN"/>
          <w14:textFill>
            <w14:solidFill>
              <w14:schemeClr w14:val="tx1"/>
            </w14:solidFill>
          </w14:textFill>
        </w:rPr>
      </w:pPr>
      <w:bookmarkStart w:id="107" w:name="_Toc3886"/>
      <w:bookmarkStart w:id="108" w:name="_Toc21763"/>
      <w:r>
        <w:rPr>
          <w:rFonts w:hint="eastAsia"/>
          <w:b/>
          <w:bCs/>
          <w:color w:val="000000" w:themeColor="text1"/>
          <w:lang w:val="en-US" w:eastAsia="zh-CN"/>
          <w14:textFill>
            <w14:solidFill>
              <w14:schemeClr w14:val="tx1"/>
            </w14:solidFill>
          </w14:textFill>
        </w:rPr>
        <w:t>1.资金到位率</w:t>
      </w:r>
      <w:bookmarkEnd w:id="107"/>
      <w:bookmarkEnd w:id="108"/>
    </w:p>
    <w:p w14:paraId="59CA841A">
      <w:pPr>
        <w:bidi w:val="0"/>
        <w:rPr>
          <w:rFonts w:hint="default"/>
          <w:b/>
          <w:bCs/>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资金到位率=（</w:t>
      </w:r>
      <w:r>
        <w:rPr>
          <w:rFonts w:hint="eastAsia"/>
          <w:color w:val="000000" w:themeColor="text1"/>
          <w:lang w:val="en-US" w:eastAsia="zh-CN"/>
          <w14:textFill>
            <w14:solidFill>
              <w14:schemeClr w14:val="tx1"/>
            </w14:solidFill>
          </w14:textFill>
        </w:rPr>
        <w:t>15万元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15万元</w:t>
      </w:r>
      <w:r>
        <w:rPr>
          <w:rFonts w:hint="eastAsia"/>
          <w:color w:val="000000" w:themeColor="text1"/>
          <w:lang w:eastAsia="zh-CN"/>
          <w14:textFill>
            <w14:solidFill>
              <w14:schemeClr w14:val="tx1"/>
            </w14:solidFill>
          </w14:textFill>
        </w:rPr>
        <w:t>）×100%</w:t>
      </w:r>
      <w:r>
        <w:rPr>
          <w:rFonts w:hint="eastAsia"/>
          <w:b/>
          <w:bCs/>
          <w:color w:val="000000" w:themeColor="text1"/>
          <w:lang w:val="en-US" w:eastAsia="zh-CN"/>
          <w14:textFill>
            <w14:solidFill>
              <w14:schemeClr w14:val="tx1"/>
            </w14:solidFill>
          </w14:textFill>
        </w:rPr>
        <w:t>=100%</w:t>
      </w:r>
    </w:p>
    <w:p w14:paraId="3DF284F3">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3089EFF0">
      <w:pPr>
        <w:bidi w:val="0"/>
        <w:outlineLvl w:val="2"/>
        <w:rPr>
          <w:rFonts w:hint="default"/>
          <w:b/>
          <w:bCs/>
          <w:lang w:val="en-US" w:eastAsia="zh-CN"/>
        </w:rPr>
      </w:pPr>
      <w:bookmarkStart w:id="109" w:name="_Toc21494"/>
      <w:bookmarkStart w:id="110" w:name="_Toc9705"/>
      <w:r>
        <w:rPr>
          <w:rFonts w:hint="eastAsia"/>
          <w:b/>
          <w:bCs/>
          <w:lang w:val="en-US" w:eastAsia="zh-CN"/>
        </w:rPr>
        <w:t>2.预算执行率</w:t>
      </w:r>
      <w:bookmarkEnd w:id="109"/>
      <w:bookmarkEnd w:id="110"/>
    </w:p>
    <w:p w14:paraId="2D77848D">
      <w:pPr>
        <w:bidi w:val="0"/>
        <w:rPr>
          <w:rFonts w:hint="default"/>
          <w:b/>
          <w:bCs/>
          <w:color w:val="000000" w:themeColor="text1"/>
          <w:lang w:val="en-US" w:eastAsia="zh-CN"/>
          <w14:textFill>
            <w14:solidFill>
              <w14:schemeClr w14:val="tx1"/>
            </w14:solidFill>
          </w14:textFill>
        </w:rPr>
      </w:pPr>
      <w:r>
        <w:rPr>
          <w:rFonts w:hint="eastAsia"/>
          <w:lang w:eastAsia="zh-CN"/>
        </w:rPr>
        <w:t>预算执行率=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15万元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15万元</w:t>
      </w:r>
      <w:r>
        <w:rPr>
          <w:rFonts w:hint="eastAsia"/>
          <w:color w:val="000000" w:themeColor="text1"/>
          <w:lang w:eastAsia="zh-CN"/>
          <w14:textFill>
            <w14:solidFill>
              <w14:schemeClr w14:val="tx1"/>
            </w14:solidFill>
          </w14:textFill>
        </w:rPr>
        <w:t>）×100%</w:t>
      </w:r>
      <w:r>
        <w:rPr>
          <w:rFonts w:hint="eastAsia"/>
          <w:b/>
          <w:bCs/>
          <w:color w:val="000000" w:themeColor="text1"/>
          <w:lang w:val="en-US" w:eastAsia="zh-CN"/>
          <w14:textFill>
            <w14:solidFill>
              <w14:schemeClr w14:val="tx1"/>
            </w14:solidFill>
          </w14:textFill>
        </w:rPr>
        <w:t>=100%</w:t>
      </w:r>
    </w:p>
    <w:p w14:paraId="3FA6E533">
      <w:pPr>
        <w:bidi w:val="0"/>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64A3DB88">
      <w:pPr>
        <w:bidi w:val="0"/>
        <w:outlineLvl w:val="2"/>
        <w:rPr>
          <w:rFonts w:hint="default"/>
          <w:b/>
          <w:bCs/>
          <w:lang w:val="en-US" w:eastAsia="zh-CN"/>
        </w:rPr>
      </w:pPr>
      <w:bookmarkStart w:id="111" w:name="_Toc9363"/>
      <w:bookmarkStart w:id="112" w:name="_Toc18691"/>
      <w:r>
        <w:rPr>
          <w:rFonts w:hint="eastAsia"/>
          <w:b/>
          <w:bCs/>
          <w:lang w:val="en-US" w:eastAsia="zh-CN"/>
        </w:rPr>
        <w:t>3.资金使用合规性</w:t>
      </w:r>
      <w:bookmarkEnd w:id="111"/>
      <w:bookmarkEnd w:id="112"/>
    </w:p>
    <w:p w14:paraId="5C4C0DCC">
      <w:pPr>
        <w:bidi w:val="0"/>
        <w:rPr>
          <w:rFonts w:hint="eastAsia"/>
          <w:lang w:eastAsia="zh-CN"/>
        </w:rPr>
      </w:pPr>
      <w:r>
        <w:rPr>
          <w:rFonts w:hint="eastAsia"/>
          <w:lang w:eastAsia="zh-CN"/>
        </w:rPr>
        <w:t>①符合国家财经法规和《</w:t>
      </w:r>
      <w:r>
        <w:rPr>
          <w:rFonts w:hint="eastAsia"/>
          <w:lang w:val="en-US" w:eastAsia="zh-CN"/>
        </w:rPr>
        <w:t>老干部局</w:t>
      </w:r>
      <w:r>
        <w:rPr>
          <w:rFonts w:hint="eastAsia"/>
          <w:lang w:eastAsia="zh-CN"/>
        </w:rPr>
        <w:t>财务管理制度》及有关专项资金管理办法的规定；</w:t>
      </w:r>
    </w:p>
    <w:p w14:paraId="15770D3A">
      <w:pPr>
        <w:bidi w:val="0"/>
        <w:rPr>
          <w:rFonts w:hint="eastAsia"/>
          <w:lang w:eastAsia="zh-CN"/>
        </w:rPr>
      </w:pPr>
      <w:r>
        <w:rPr>
          <w:rFonts w:hint="eastAsia"/>
          <w:lang w:eastAsia="zh-CN"/>
        </w:rPr>
        <w:t>②资金的拨付有完整的审批程序和手续；</w:t>
      </w:r>
    </w:p>
    <w:p w14:paraId="6F456942">
      <w:pPr>
        <w:bidi w:val="0"/>
        <w:rPr>
          <w:rFonts w:hint="eastAsia"/>
          <w:lang w:eastAsia="zh-CN"/>
        </w:rPr>
      </w:pPr>
      <w:r>
        <w:rPr>
          <w:rFonts w:hint="eastAsia"/>
          <w:lang w:eastAsia="zh-CN"/>
        </w:rPr>
        <w:t>③符合项目预算批复或合同规定的用途；</w:t>
      </w:r>
    </w:p>
    <w:p w14:paraId="16D59DA1">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7217BC20">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32D5D3FC">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4.管理制度健全性</w:t>
      </w:r>
      <w:r>
        <w:rPr>
          <w:rFonts w:hint="eastAsia"/>
          <w:color w:val="000000" w:themeColor="text1"/>
          <w:highlight w:val="none"/>
          <w:lang w:eastAsia="zh-CN"/>
          <w14:textFill>
            <w14:solidFill>
              <w14:schemeClr w14:val="tx1"/>
            </w14:solidFill>
          </w14:textFill>
        </w:rPr>
        <w:t>①已制定《</w:t>
      </w:r>
      <w:r>
        <w:rPr>
          <w:rFonts w:hint="eastAsia"/>
          <w:color w:val="000000" w:themeColor="text1"/>
          <w:highlight w:val="none"/>
          <w:lang w:val="en-US" w:eastAsia="zh-CN"/>
          <w14:textFill>
            <w14:solidFill>
              <w14:schemeClr w14:val="tx1"/>
            </w14:solidFill>
          </w14:textFill>
        </w:rPr>
        <w:t>老干部局</w:t>
      </w:r>
      <w:r>
        <w:rPr>
          <w:rFonts w:hint="eastAsia"/>
          <w:color w:val="000000" w:themeColor="text1"/>
          <w:highlight w:val="none"/>
          <w:lang w:eastAsia="zh-CN"/>
          <w14:textFill>
            <w14:solidFill>
              <w14:schemeClr w14:val="tx1"/>
            </w14:solidFill>
          </w14:textFill>
        </w:rPr>
        <w:t>财务管理制度》《</w:t>
      </w:r>
      <w:r>
        <w:rPr>
          <w:rFonts w:hint="eastAsia"/>
          <w:color w:val="000000" w:themeColor="text1"/>
          <w:highlight w:val="none"/>
          <w:lang w:val="en-US" w:eastAsia="zh-CN"/>
          <w14:textFill>
            <w14:solidFill>
              <w14:schemeClr w14:val="tx1"/>
            </w14:solidFill>
          </w14:textFill>
        </w:rPr>
        <w:t>老干部局办公用品采购管理办法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市委老干部局资产管理办法</w:t>
      </w:r>
      <w:r>
        <w:rPr>
          <w:rFonts w:hint="eastAsia"/>
          <w:color w:val="000000" w:themeColor="text1"/>
          <w:highlight w:val="none"/>
          <w:lang w:eastAsia="zh-CN"/>
          <w14:textFill>
            <w14:solidFill>
              <w14:schemeClr w14:val="tx1"/>
            </w14:solidFill>
          </w14:textFill>
        </w:rPr>
        <w:t>》等；</w:t>
      </w:r>
    </w:p>
    <w:p w14:paraId="62881A7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②财务和业务管理制度合法、合规、完整。</w:t>
      </w:r>
    </w:p>
    <w:p w14:paraId="5CF44275">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646D2B73">
      <w:pPr>
        <w:bidi w:val="0"/>
        <w:ind w:left="1403" w:leftChars="200" w:hanging="843" w:hangingChars="300"/>
        <w:outlineLvl w:val="2"/>
        <w:rPr>
          <w:rFonts w:hint="eastAsia"/>
          <w:b/>
          <w:bCs/>
          <w:color w:val="000000" w:themeColor="text1"/>
          <w:lang w:val="en-US" w:eastAsia="zh-CN"/>
          <w14:textFill>
            <w14:solidFill>
              <w14:schemeClr w14:val="tx1"/>
            </w14:solidFill>
          </w14:textFill>
        </w:rPr>
      </w:pPr>
      <w:bookmarkStart w:id="113" w:name="_Toc2764"/>
      <w:bookmarkStart w:id="114" w:name="_Toc31684"/>
      <w:r>
        <w:rPr>
          <w:rFonts w:hint="eastAsia"/>
          <w:b/>
          <w:bCs/>
          <w:color w:val="000000" w:themeColor="text1"/>
          <w:lang w:val="en-US" w:eastAsia="zh-CN"/>
          <w14:textFill>
            <w14:solidFill>
              <w14:schemeClr w14:val="tx1"/>
            </w14:solidFill>
          </w14:textFill>
        </w:rPr>
        <w:t>5.制度执行有效性</w:t>
      </w:r>
      <w:bookmarkEnd w:id="113"/>
      <w:bookmarkEnd w:id="114"/>
    </w:p>
    <w:p w14:paraId="18E80756">
      <w:pPr>
        <w:bidi w:val="0"/>
        <w:rPr>
          <w:rFonts w:hint="eastAsia"/>
          <w:lang w:eastAsia="zh-CN"/>
        </w:rPr>
      </w:pPr>
      <w:r>
        <w:rPr>
          <w:rFonts w:hint="eastAsia"/>
          <w:lang w:eastAsia="zh-CN"/>
        </w:rPr>
        <w:t>①遵守相关法律法规和相关管理规定；</w:t>
      </w:r>
    </w:p>
    <w:p w14:paraId="7C56872A">
      <w:pPr>
        <w:bidi w:val="0"/>
        <w:rPr>
          <w:rFonts w:hint="eastAsia"/>
          <w:lang w:eastAsia="zh-CN"/>
        </w:rPr>
      </w:pPr>
      <w:r>
        <w:rPr>
          <w:rFonts w:hint="eastAsia"/>
          <w:lang w:eastAsia="zh-CN"/>
        </w:rPr>
        <w:t>②项目</w:t>
      </w:r>
      <w:r>
        <w:rPr>
          <w:rFonts w:hint="eastAsia"/>
          <w:lang w:val="en-US" w:eastAsia="zh-CN"/>
        </w:rPr>
        <w:t>未进行</w:t>
      </w:r>
      <w:r>
        <w:rPr>
          <w:rFonts w:hint="eastAsia"/>
          <w:lang w:eastAsia="zh-CN"/>
        </w:rPr>
        <w:t>调整；</w:t>
      </w:r>
    </w:p>
    <w:p w14:paraId="0921249F">
      <w:pPr>
        <w:bidi w:val="0"/>
        <w:rPr>
          <w:rFonts w:hint="eastAsia"/>
          <w:lang w:eastAsia="zh-CN"/>
        </w:rPr>
      </w:pPr>
      <w:r>
        <w:rPr>
          <w:rFonts w:hint="eastAsia"/>
          <w:lang w:eastAsia="zh-CN"/>
        </w:rPr>
        <w:t>③《</w:t>
      </w:r>
      <w:r>
        <w:rPr>
          <w:rFonts w:hint="eastAsia"/>
          <w:lang w:val="en-US" w:eastAsia="zh-CN"/>
        </w:rPr>
        <w:t>2023年上半年特殊困难救助金发放表》《聘用人员工资发放表》《办公用品采购合同》《验收单》《国库集中支付凭证》</w:t>
      </w:r>
      <w:r>
        <w:rPr>
          <w:rFonts w:hint="eastAsia"/>
          <w:color w:val="auto"/>
          <w:highlight w:val="none"/>
          <w:lang w:eastAsia="zh-CN"/>
        </w:rPr>
        <w:t>等资</w:t>
      </w:r>
      <w:r>
        <w:rPr>
          <w:rFonts w:hint="eastAsia"/>
          <w:lang w:eastAsia="zh-CN"/>
        </w:rPr>
        <w:t>料齐全并及时归档；</w:t>
      </w:r>
    </w:p>
    <w:p w14:paraId="531F13E6">
      <w:pPr>
        <w:bidi w:val="0"/>
        <w:rPr>
          <w:rFonts w:hint="eastAsia"/>
          <w:b/>
          <w:bCs/>
          <w:lang w:val="en-US" w:eastAsia="zh-CN"/>
        </w:rPr>
      </w:pPr>
      <w:r>
        <w:rPr>
          <w:rFonts w:hint="eastAsia"/>
          <w:b/>
          <w:bCs/>
          <w:lang w:val="en-US" w:eastAsia="zh-CN"/>
        </w:rPr>
        <w:t>综上，该项指标满分4分，得分4分。</w:t>
      </w:r>
    </w:p>
    <w:p w14:paraId="0B62E921">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15" w:name="_Toc20130"/>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115"/>
    </w:p>
    <w:p w14:paraId="7F01D53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highlight w:val="none"/>
          <w:shd w:val="clear" w:color="auto" w:fill="auto"/>
          <w:lang w:val="zh-TW" w:eastAsia="zh-TW"/>
        </w:rPr>
        <w:t>项</w:t>
      </w:r>
      <w:r>
        <w:rPr>
          <w:rFonts w:hint="eastAsia" w:ascii="宋体" w:hAnsi="宋体" w:eastAsia="宋体" w:cs="宋体"/>
          <w:color w:val="auto"/>
          <w:kern w:val="2"/>
          <w:highlight w:val="none"/>
          <w:u w:color="000000"/>
          <w:shd w:val="clear" w:color="auto" w:fill="auto"/>
          <w:lang w:val="zh-TW" w:eastAsia="zh-TW"/>
        </w:rPr>
        <w:t>目</w:t>
      </w:r>
      <w:r>
        <w:rPr>
          <w:rFonts w:hint="eastAsia" w:ascii="宋体" w:hAnsi="宋体" w:eastAsia="宋体" w:cs="宋体"/>
          <w:color w:val="auto"/>
          <w:kern w:val="2"/>
          <w:highlight w:val="none"/>
          <w:u w:color="000000"/>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val="en-US" w:eastAsia="zh-CN"/>
        </w:rPr>
        <w:t>四</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七</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en-US"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7895ED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506" w:type="dxa"/>
        <w:tblInd w:w="0" w:type="dxa"/>
        <w:shd w:val="clear" w:color="auto" w:fill="auto"/>
        <w:tblLayout w:type="fixed"/>
        <w:tblCellMar>
          <w:top w:w="0" w:type="dxa"/>
          <w:left w:w="0" w:type="dxa"/>
          <w:bottom w:w="0" w:type="dxa"/>
          <w:right w:w="0" w:type="dxa"/>
        </w:tblCellMar>
      </w:tblPr>
      <w:tblGrid>
        <w:gridCol w:w="634"/>
        <w:gridCol w:w="928"/>
        <w:gridCol w:w="2353"/>
        <w:gridCol w:w="1680"/>
        <w:gridCol w:w="558"/>
        <w:gridCol w:w="1722"/>
        <w:gridCol w:w="631"/>
      </w:tblGrid>
      <w:tr w14:paraId="5462929B">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8F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40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8D6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F31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62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E8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8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0A0A6193">
        <w:tblPrEx>
          <w:shd w:val="clear" w:color="auto" w:fill="auto"/>
          <w:tblCellMar>
            <w:top w:w="0" w:type="dxa"/>
            <w:left w:w="0" w:type="dxa"/>
            <w:bottom w:w="0" w:type="dxa"/>
            <w:right w:w="0" w:type="dxa"/>
          </w:tblCellMar>
        </w:tblPrEx>
        <w:trPr>
          <w:trHeight w:val="417"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ECC6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ED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96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遗孀困难救助金发放人员</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7B7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&gt;=20人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4B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09E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D8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0729E01">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7A46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9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1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困难救助金放率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30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3C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9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A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A5446FA">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EAAA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5960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D5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困难救助金发放及时率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475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F9B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47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1A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78BFA16">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53C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07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55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项目完成时限</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EC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2023年12月31日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E65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96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2023年12月20日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E2B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3C80D04">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03F3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4E40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958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老干部三套组织业务费</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2CD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&lt;=6万元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0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97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823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65A1A286">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2C40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0678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507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遗孀困难救助金</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622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&lt;=2.50万元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EFF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D60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5C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51BE1FA6">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6D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FA29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FD5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聘用人员工资</w:t>
            </w:r>
          </w:p>
        </w:tc>
        <w:tc>
          <w:tcPr>
            <w:tcW w:w="16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3D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&lt;=6.50万元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029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94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6.5万元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3C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7769FEF1">
        <w:tblPrEx>
          <w:shd w:val="clear" w:color="auto" w:fill="auto"/>
          <w:tblCellMar>
            <w:top w:w="0" w:type="dxa"/>
            <w:left w:w="0" w:type="dxa"/>
            <w:bottom w:w="0" w:type="dxa"/>
            <w:right w:w="0" w:type="dxa"/>
          </w:tblCellMar>
        </w:tblPrEx>
        <w:trPr>
          <w:trHeight w:val="403" w:hRule="atLeast"/>
        </w:trPr>
        <w:tc>
          <w:tcPr>
            <w:tcW w:w="559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1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E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7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56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67B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18D8C6A5">
      <w:pPr>
        <w:bidi w:val="0"/>
        <w:outlineLvl w:val="2"/>
        <w:rPr>
          <w:rFonts w:hint="eastAsia"/>
          <w:b/>
          <w:bCs/>
          <w:lang w:val="en-US" w:eastAsia="zh-CN"/>
        </w:rPr>
      </w:pPr>
      <w:bookmarkStart w:id="116" w:name="_Toc25488"/>
      <w:bookmarkStart w:id="117" w:name="_Toc11067"/>
      <w:r>
        <w:rPr>
          <w:rFonts w:hint="eastAsia"/>
          <w:b/>
          <w:bCs/>
          <w:lang w:val="en-US" w:eastAsia="zh-CN"/>
        </w:rPr>
        <w:t>1.项目完成数量</w:t>
      </w:r>
      <w:bookmarkEnd w:id="116"/>
      <w:bookmarkEnd w:id="117"/>
    </w:p>
    <w:p w14:paraId="36F49EF9">
      <w:pPr>
        <w:bidi w:val="0"/>
        <w:rPr>
          <w:rFonts w:hint="eastAsia"/>
          <w:lang w:val="en-US" w:eastAsia="zh-CN"/>
        </w:rPr>
      </w:pPr>
      <w:r>
        <w:rPr>
          <w:rFonts w:hint="eastAsia"/>
          <w:lang w:val="en-US" w:eastAsia="zh-CN"/>
        </w:rPr>
        <w:t>“遗孀困难救助金发放人员”指标，预期目标值为20人，实际完成为20人。实际完成率=（20人/20人）×100%=100%。</w:t>
      </w:r>
    </w:p>
    <w:p w14:paraId="01E37C63">
      <w:pPr>
        <w:bidi w:val="0"/>
        <w:rPr>
          <w:rFonts w:hint="eastAsia"/>
          <w:b/>
          <w:bCs/>
          <w:lang w:val="en-US" w:eastAsia="zh-CN"/>
        </w:rPr>
      </w:pPr>
      <w:r>
        <w:rPr>
          <w:rFonts w:hint="eastAsia"/>
          <w:b/>
          <w:bCs/>
          <w:lang w:val="en-US" w:eastAsia="zh-CN"/>
        </w:rPr>
        <w:t>综上，该项指标满分4分，得分4分。</w:t>
      </w:r>
    </w:p>
    <w:p w14:paraId="4AB15AE4">
      <w:pPr>
        <w:bidi w:val="0"/>
        <w:outlineLvl w:val="2"/>
        <w:rPr>
          <w:rFonts w:hint="default"/>
          <w:b/>
          <w:bCs/>
          <w:lang w:val="en-US" w:eastAsia="zh-CN"/>
        </w:rPr>
      </w:pPr>
      <w:bookmarkStart w:id="118" w:name="_Toc30633"/>
      <w:bookmarkStart w:id="119" w:name="_Toc31739"/>
      <w:r>
        <w:rPr>
          <w:rFonts w:hint="eastAsia"/>
          <w:b/>
          <w:bCs/>
          <w:lang w:val="en-US" w:eastAsia="zh-CN"/>
        </w:rPr>
        <w:t>2.项目完成质量</w:t>
      </w:r>
      <w:bookmarkEnd w:id="118"/>
      <w:bookmarkEnd w:id="119"/>
    </w:p>
    <w:p w14:paraId="59C3D6C6">
      <w:pPr>
        <w:bidi w:val="0"/>
        <w:rPr>
          <w:rFonts w:hint="eastAsia"/>
          <w:lang w:val="en-US" w:eastAsia="zh-CN"/>
        </w:rPr>
      </w:pPr>
      <w:r>
        <w:rPr>
          <w:rFonts w:hint="eastAsia"/>
          <w:lang w:val="en-US" w:eastAsia="zh-CN"/>
        </w:rPr>
        <w:t>“困难救助金放率”指标，预期目标值为100%，实际完成为100%。</w:t>
      </w:r>
    </w:p>
    <w:p w14:paraId="274D7153">
      <w:pPr>
        <w:bidi w:val="0"/>
        <w:rPr>
          <w:rFonts w:hint="eastAsia"/>
          <w:b/>
          <w:bCs/>
          <w:lang w:val="en-US" w:eastAsia="zh-CN"/>
        </w:rPr>
      </w:pPr>
      <w:r>
        <w:rPr>
          <w:rFonts w:hint="eastAsia"/>
          <w:b/>
          <w:bCs/>
          <w:lang w:val="en-US" w:eastAsia="zh-CN"/>
        </w:rPr>
        <w:t>综上，该项指标满分4分，得分4分。</w:t>
      </w:r>
    </w:p>
    <w:p w14:paraId="7BDA78C3">
      <w:pPr>
        <w:bidi w:val="0"/>
        <w:outlineLvl w:val="2"/>
        <w:rPr>
          <w:rFonts w:hint="default"/>
          <w:b/>
          <w:bCs/>
          <w:lang w:val="en-US" w:eastAsia="zh-CN"/>
        </w:rPr>
      </w:pPr>
      <w:bookmarkStart w:id="120" w:name="_Toc9767"/>
      <w:bookmarkStart w:id="121" w:name="_Toc18307"/>
      <w:r>
        <w:rPr>
          <w:rFonts w:hint="eastAsia"/>
          <w:b/>
          <w:bCs/>
          <w:lang w:val="en-US" w:eastAsia="zh-CN"/>
        </w:rPr>
        <w:t>3.项目完成时效</w:t>
      </w:r>
      <w:bookmarkEnd w:id="120"/>
      <w:bookmarkEnd w:id="121"/>
    </w:p>
    <w:p w14:paraId="1A78AF0F">
      <w:pPr>
        <w:bidi w:val="0"/>
        <w:rPr>
          <w:rFonts w:hint="eastAsia"/>
          <w:lang w:val="en-US" w:eastAsia="zh-CN"/>
        </w:rPr>
      </w:pPr>
      <w:r>
        <w:rPr>
          <w:rFonts w:hint="eastAsia"/>
          <w:lang w:val="en-US" w:eastAsia="zh-CN"/>
        </w:rPr>
        <w:t>“困难救助金发放及时率”指标，预期目标值为100%，实际完成为100%。</w:t>
      </w:r>
    </w:p>
    <w:p w14:paraId="54A8B5C3">
      <w:pPr>
        <w:bidi w:val="0"/>
        <w:rPr>
          <w:rFonts w:hint="eastAsia"/>
          <w:lang w:val="en-US" w:eastAsia="zh-CN"/>
        </w:rPr>
      </w:pPr>
      <w:r>
        <w:rPr>
          <w:rFonts w:hint="eastAsia"/>
          <w:lang w:val="en-US" w:eastAsia="zh-CN"/>
        </w:rPr>
        <w:t>“项目完成时限”指标，预期目标值为2023年12月31日，实际完成为2023年12月20日。</w:t>
      </w:r>
    </w:p>
    <w:p w14:paraId="20D1525C">
      <w:pPr>
        <w:bidi w:val="0"/>
        <w:rPr>
          <w:rFonts w:hint="eastAsia"/>
          <w:b/>
          <w:bCs/>
          <w:lang w:val="en-US" w:eastAsia="zh-CN"/>
        </w:rPr>
      </w:pPr>
      <w:r>
        <w:rPr>
          <w:rFonts w:hint="eastAsia"/>
          <w:b/>
          <w:bCs/>
          <w:lang w:val="en-US" w:eastAsia="zh-CN"/>
        </w:rPr>
        <w:t>综上，该项指标满分8分，得分8分。</w:t>
      </w:r>
    </w:p>
    <w:p w14:paraId="3101CB1F">
      <w:pPr>
        <w:bidi w:val="0"/>
        <w:outlineLvl w:val="2"/>
        <w:rPr>
          <w:rFonts w:hint="default"/>
          <w:b/>
          <w:bCs/>
          <w:lang w:val="en-US" w:eastAsia="zh-CN"/>
        </w:rPr>
      </w:pPr>
      <w:bookmarkStart w:id="122" w:name="_Toc28670"/>
      <w:bookmarkStart w:id="123" w:name="_Toc32765"/>
      <w:r>
        <w:rPr>
          <w:rFonts w:hint="eastAsia"/>
          <w:b/>
          <w:bCs/>
          <w:lang w:val="en-US" w:eastAsia="zh-CN"/>
        </w:rPr>
        <w:t>4.项目完成成本</w:t>
      </w:r>
      <w:bookmarkEnd w:id="122"/>
      <w:bookmarkEnd w:id="123"/>
    </w:p>
    <w:p w14:paraId="51BD0286">
      <w:pPr>
        <w:bidi w:val="0"/>
        <w:rPr>
          <w:rFonts w:hint="eastAsia"/>
          <w:lang w:val="en-US" w:eastAsia="zh-CN"/>
        </w:rPr>
      </w:pPr>
      <w:r>
        <w:rPr>
          <w:rFonts w:hint="eastAsia"/>
          <w:lang w:val="en-US" w:eastAsia="zh-CN"/>
        </w:rPr>
        <w:t>“老干部三套组织业务费”指标，预期目标值为&lt;=6万元，实际完成为6万元。实际完成率=（6万元/6万元）×100%=100%。</w:t>
      </w:r>
    </w:p>
    <w:p w14:paraId="0684B648">
      <w:pPr>
        <w:bidi w:val="0"/>
        <w:rPr>
          <w:rFonts w:hint="eastAsia"/>
          <w:lang w:val="en-US" w:eastAsia="zh-CN"/>
        </w:rPr>
      </w:pPr>
      <w:r>
        <w:rPr>
          <w:rFonts w:hint="eastAsia"/>
          <w:lang w:val="en-US" w:eastAsia="zh-CN"/>
        </w:rPr>
        <w:t>“遗孀困难救助”指标，预期目标值为&lt;=2.5万元，实际完成为2.5万元。实际完成率=（2.5万元/2.5万元）×100%=100%。</w:t>
      </w:r>
    </w:p>
    <w:p w14:paraId="59294F56">
      <w:pPr>
        <w:bidi w:val="0"/>
        <w:rPr>
          <w:rFonts w:hint="eastAsia"/>
          <w:lang w:val="en-US" w:eastAsia="zh-CN"/>
        </w:rPr>
      </w:pPr>
      <w:r>
        <w:rPr>
          <w:rFonts w:hint="eastAsia"/>
          <w:lang w:val="en-US" w:eastAsia="zh-CN"/>
        </w:rPr>
        <w:t>“聘用人员工资”指标，预期目标值为&lt;=6.5万元，实际完成为6.5万元。实际完成率=（6.5万元/6.5万元）×100%=100%。</w:t>
      </w:r>
    </w:p>
    <w:p w14:paraId="1707E70B">
      <w:pPr>
        <w:bidi w:val="0"/>
        <w:rPr>
          <w:rFonts w:hint="eastAsia"/>
          <w:b/>
          <w:bCs/>
          <w:lang w:val="en-US" w:eastAsia="zh-CN"/>
        </w:rPr>
      </w:pPr>
      <w:r>
        <w:rPr>
          <w:rFonts w:hint="eastAsia"/>
          <w:b/>
          <w:bCs/>
          <w:lang w:val="en-US" w:eastAsia="zh-CN"/>
        </w:rPr>
        <w:t>综上，该项指标满分14分，得分14分。</w:t>
      </w:r>
    </w:p>
    <w:p w14:paraId="767118AC">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24" w:name="_Toc446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124"/>
    </w:p>
    <w:p w14:paraId="3717C505">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二</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二</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w:t>
      </w:r>
      <w:r>
        <w:rPr>
          <w:rFonts w:hint="eastAsia" w:ascii="宋体" w:hAnsi="宋体" w:eastAsia="宋体" w:cs="宋体"/>
          <w:color w:val="auto"/>
          <w:kern w:val="2"/>
          <w:highlight w:val="none"/>
          <w:u w:color="000000"/>
          <w:shd w:val="clear" w:color="auto" w:fill="auto"/>
          <w:lang w:val="zh-TW" w:eastAsia="zh-TW"/>
        </w:rPr>
        <w:t>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A9F0BF1">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3AC1D62">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E974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37F0C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F9FE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7AF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AA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1D2C76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B9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3BAE60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AA9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78841E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7E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1FAE1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72DB623F">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434FD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8029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6BD85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D2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AE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61D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D27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57FD160B">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1A7C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D031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C48B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遗孀生活水平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4B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7D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A42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DA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15</w:t>
            </w:r>
          </w:p>
        </w:tc>
      </w:tr>
      <w:tr w14:paraId="2159C28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B8E2D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3867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703F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bidi="ar-SA"/>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C3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bidi="ar-SA"/>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E66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bidi="ar-SA"/>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35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bidi="ar-SA"/>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1C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bidi="ar-SA"/>
                <w14:textFill>
                  <w14:solidFill>
                    <w14:schemeClr w14:val="tx1"/>
                  </w14:solidFill>
                </w14:textFill>
              </w:rPr>
              <w:t>/</w:t>
            </w:r>
          </w:p>
        </w:tc>
      </w:tr>
      <w:tr w14:paraId="4B47E2B5">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2B9B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FACDC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504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6F8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804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B2D7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B9A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7A8AF469">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CCB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0DC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56A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遗孀及聘用人员满意度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E9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&gt;=95%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32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6D5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52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15</w:t>
            </w:r>
          </w:p>
        </w:tc>
      </w:tr>
      <w:tr w14:paraId="4D6EE26A">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8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0C0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5A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37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58A68CEC">
      <w:pPr>
        <w:bidi w:val="0"/>
        <w:outlineLvl w:val="2"/>
        <w:rPr>
          <w:rFonts w:hint="default"/>
          <w:b/>
          <w:bCs/>
          <w:lang w:val="en-US" w:eastAsia="zh-CN"/>
        </w:rPr>
      </w:pPr>
      <w:bookmarkStart w:id="125" w:name="_Toc29537"/>
      <w:bookmarkStart w:id="126" w:name="_Toc8010"/>
      <w:r>
        <w:rPr>
          <w:rFonts w:hint="eastAsia"/>
          <w:b/>
          <w:bCs/>
          <w:lang w:val="en-US" w:eastAsia="zh-CN"/>
        </w:rPr>
        <w:t>1.经济效益指标</w:t>
      </w:r>
      <w:bookmarkEnd w:id="125"/>
      <w:bookmarkEnd w:id="126"/>
    </w:p>
    <w:p w14:paraId="50DC7B2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r>
        <w:rPr>
          <w:rFonts w:hint="eastAsia" w:ascii="宋体" w:hAnsi="宋体" w:eastAsia="宋体" w:cs="宋体"/>
          <w:color w:val="auto"/>
          <w:highlight w:val="none"/>
          <w:shd w:val="clear" w:color="auto" w:fill="auto"/>
          <w:lang w:val="en-US" w:eastAsia="zh-CN"/>
        </w:rPr>
        <w:t>；</w:t>
      </w:r>
    </w:p>
    <w:p w14:paraId="535B87E6">
      <w:pPr>
        <w:bidi w:val="0"/>
        <w:outlineLvl w:val="2"/>
        <w:rPr>
          <w:rFonts w:hint="eastAsia"/>
          <w:b/>
          <w:bCs/>
          <w:lang w:val="en-US" w:eastAsia="zh-CN"/>
        </w:rPr>
      </w:pPr>
      <w:bookmarkStart w:id="127" w:name="_Toc27006"/>
      <w:bookmarkStart w:id="128" w:name="_Toc28963"/>
      <w:r>
        <w:rPr>
          <w:rFonts w:hint="eastAsia"/>
          <w:b/>
          <w:bCs/>
          <w:lang w:val="en-US" w:eastAsia="zh-CN"/>
        </w:rPr>
        <w:t>2.社会效益指标</w:t>
      </w:r>
      <w:bookmarkEnd w:id="127"/>
      <w:bookmarkEnd w:id="128"/>
    </w:p>
    <w:p w14:paraId="7CB426D2">
      <w:pPr>
        <w:bidi w:val="0"/>
        <w:rPr>
          <w:rFonts w:hint="eastAsia"/>
          <w:lang w:val="en-US" w:eastAsia="zh-CN"/>
        </w:rPr>
      </w:pPr>
      <w:r>
        <w:rPr>
          <w:rFonts w:hint="eastAsia"/>
          <w:lang w:val="en-US" w:eastAsia="zh-CN"/>
        </w:rPr>
        <w:t>“遗孀生活水平”指标，预期目标值为=100%，实际完成为100%。</w:t>
      </w:r>
    </w:p>
    <w:p w14:paraId="6CE2933B">
      <w:pPr>
        <w:bidi w:val="0"/>
        <w:rPr>
          <w:rFonts w:hint="eastAsia"/>
          <w:b w:val="0"/>
          <w:bCs w:val="0"/>
          <w:lang w:val="en-US" w:eastAsia="zh-CN"/>
        </w:rPr>
      </w:pPr>
      <w:r>
        <w:rPr>
          <w:rFonts w:hint="eastAsia"/>
          <w:b w:val="0"/>
          <w:bCs w:val="0"/>
          <w:lang w:val="en-US" w:eastAsia="zh-CN"/>
        </w:rPr>
        <w:t>通过项目的实施，遗孀生活水平提升100%，达到了提升遗孀生活水平的社会效益。</w:t>
      </w:r>
    </w:p>
    <w:p w14:paraId="436BA699">
      <w:pPr>
        <w:bidi w:val="0"/>
        <w:rPr>
          <w:rFonts w:hint="eastAsia"/>
          <w:b/>
          <w:bCs/>
          <w:lang w:val="en-US" w:eastAsia="zh-CN"/>
        </w:rPr>
      </w:pPr>
      <w:r>
        <w:rPr>
          <w:rFonts w:hint="eastAsia"/>
          <w:b/>
          <w:bCs/>
          <w:lang w:val="en-US" w:eastAsia="zh-CN"/>
        </w:rPr>
        <w:t>综上，该项指标满分15分，得分15分。</w:t>
      </w:r>
    </w:p>
    <w:p w14:paraId="2D663A08">
      <w:pPr>
        <w:bidi w:val="0"/>
        <w:outlineLvl w:val="2"/>
        <w:rPr>
          <w:rFonts w:hint="eastAsia"/>
          <w:lang w:val="en-US" w:eastAsia="zh-CN"/>
        </w:rPr>
      </w:pPr>
      <w:bookmarkStart w:id="129" w:name="_Toc27101"/>
      <w:bookmarkStart w:id="130" w:name="_Toc23106"/>
      <w:r>
        <w:rPr>
          <w:rFonts w:hint="eastAsia"/>
          <w:b/>
          <w:bCs/>
          <w:lang w:val="en-US" w:eastAsia="zh-CN"/>
        </w:rPr>
        <w:t>3.生态效益指标</w:t>
      </w:r>
      <w:bookmarkEnd w:id="129"/>
      <w:bookmarkEnd w:id="130"/>
    </w:p>
    <w:p w14:paraId="0C489CA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r>
        <w:rPr>
          <w:rFonts w:hint="eastAsia" w:ascii="宋体" w:hAnsi="宋体" w:eastAsia="宋体" w:cs="宋体"/>
          <w:color w:val="auto"/>
          <w:highlight w:val="none"/>
          <w:shd w:val="clear" w:color="auto" w:fill="auto"/>
          <w:lang w:val="en-US" w:eastAsia="zh-CN"/>
        </w:rPr>
        <w:t>；</w:t>
      </w:r>
    </w:p>
    <w:p w14:paraId="66247F56">
      <w:pPr>
        <w:bidi w:val="0"/>
        <w:outlineLvl w:val="2"/>
        <w:rPr>
          <w:rFonts w:hint="eastAsia"/>
          <w:b/>
          <w:bCs/>
          <w:lang w:val="en-US" w:eastAsia="zh-CN"/>
        </w:rPr>
      </w:pPr>
      <w:bookmarkStart w:id="131" w:name="_Toc3271"/>
      <w:bookmarkStart w:id="132" w:name="_Toc21403"/>
      <w:r>
        <w:rPr>
          <w:rFonts w:hint="eastAsia"/>
          <w:b/>
          <w:bCs/>
          <w:lang w:val="en-US" w:eastAsia="zh-CN"/>
        </w:rPr>
        <w:t>4.满意度指标</w:t>
      </w:r>
      <w:bookmarkEnd w:id="131"/>
      <w:bookmarkEnd w:id="132"/>
    </w:p>
    <w:p w14:paraId="2313786E">
      <w:pPr>
        <w:bidi w:val="0"/>
        <w:rPr>
          <w:rFonts w:hint="eastAsia"/>
          <w:lang w:val="en-US" w:eastAsia="zh-CN"/>
        </w:rPr>
      </w:pPr>
      <w:r>
        <w:rPr>
          <w:rFonts w:hint="eastAsia"/>
          <w:lang w:val="en-US" w:eastAsia="zh-CN"/>
        </w:rPr>
        <w:t>“遗孀及聘用人员满意度”指标，预期目标值为&gt;=95%，实际完成为100%。</w:t>
      </w:r>
    </w:p>
    <w:p w14:paraId="6B852DE0">
      <w:pPr>
        <w:bidi w:val="0"/>
        <w:rPr>
          <w:rFonts w:hint="eastAsia"/>
          <w:b/>
          <w:bCs/>
          <w:lang w:val="en-US" w:eastAsia="zh-CN"/>
        </w:rPr>
      </w:pPr>
      <w:r>
        <w:rPr>
          <w:rFonts w:hint="eastAsia"/>
          <w:b/>
          <w:bCs/>
          <w:lang w:val="en-US" w:eastAsia="zh-CN"/>
        </w:rPr>
        <w:t>综上，该项指标满分15分，得分15分。</w:t>
      </w:r>
    </w:p>
    <w:p w14:paraId="2BB6F9AB">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33" w:name="_Toc2376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133"/>
    </w:p>
    <w:p w14:paraId="3E0E3691">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000000" w:themeColor="text1"/>
          <w:sz w:val="28"/>
          <w:szCs w:val="28"/>
          <w14:textFill>
            <w14:solidFill>
              <w14:schemeClr w14:val="tx1"/>
            </w14:solidFill>
          </w14:textFill>
        </w:rPr>
      </w:pPr>
      <w:r>
        <w:rPr>
          <w:rFonts w:hint="eastAsia" w:cs="仿宋_GB2312"/>
          <w:color w:val="000000" w:themeColor="text1"/>
          <w:sz w:val="28"/>
          <w:szCs w:val="28"/>
          <w:lang w:val="en-US" w:eastAsia="zh-CN"/>
          <w14:textFill>
            <w14:solidFill>
              <w14:schemeClr w14:val="tx1"/>
            </w14:solidFill>
          </w14:textFill>
        </w:rPr>
        <w:t>该</w:t>
      </w:r>
      <w:r>
        <w:rPr>
          <w:rFonts w:hint="eastAsia" w:cs="仿宋_GB2312"/>
          <w:color w:val="000000" w:themeColor="text1"/>
          <w:sz w:val="28"/>
          <w:szCs w:val="28"/>
          <w:lang w:eastAsia="zh-CN"/>
          <w14:textFill>
            <w14:solidFill>
              <w14:schemeClr w14:val="tx1"/>
            </w14:solidFill>
          </w14:textFill>
        </w:rPr>
        <w:t>项目预算资金总额为</w:t>
      </w:r>
      <w:r>
        <w:rPr>
          <w:rFonts w:hint="eastAsia"/>
          <w:b/>
          <w:bCs/>
          <w:color w:val="000000" w:themeColor="text1"/>
          <w:lang w:val="en-US" w:eastAsia="zh-CN"/>
          <w14:textFill>
            <w14:solidFill>
              <w14:schemeClr w14:val="tx1"/>
            </w14:solidFill>
          </w14:textFill>
        </w:rPr>
        <w:t>15.00</w:t>
      </w:r>
      <w:r>
        <w:rPr>
          <w:rFonts w:hint="eastAsia" w:cs="仿宋_GB2312"/>
          <w:color w:val="000000" w:themeColor="text1"/>
          <w:sz w:val="28"/>
          <w:szCs w:val="28"/>
          <w:lang w:val="en-US" w:eastAsia="zh-CN"/>
          <w14:textFill>
            <w14:solidFill>
              <w14:schemeClr w14:val="tx1"/>
            </w14:solidFill>
          </w14:textFill>
        </w:rPr>
        <w:t>万元，全年执行数为</w:t>
      </w:r>
      <w:r>
        <w:rPr>
          <w:rFonts w:hint="eastAsia"/>
          <w:b/>
          <w:bCs/>
          <w:color w:val="000000" w:themeColor="text1"/>
          <w:lang w:val="en-US" w:eastAsia="zh-CN"/>
          <w14:textFill>
            <w14:solidFill>
              <w14:schemeClr w14:val="tx1"/>
            </w14:solidFill>
          </w14:textFill>
        </w:rPr>
        <w:t>15.00</w:t>
      </w:r>
      <w:r>
        <w:rPr>
          <w:rFonts w:hint="eastAsia" w:cs="仿宋_GB2312"/>
          <w:color w:val="000000" w:themeColor="text1"/>
          <w:sz w:val="28"/>
          <w:szCs w:val="28"/>
          <w:lang w:val="en-US" w:eastAsia="zh-CN"/>
          <w14:textFill>
            <w14:solidFill>
              <w14:schemeClr w14:val="tx1"/>
            </w14:solidFill>
          </w14:textFill>
        </w:rPr>
        <w:t>万元，预算执行率为</w:t>
      </w:r>
      <w:r>
        <w:rPr>
          <w:rFonts w:hint="eastAsia"/>
          <w:b/>
          <w:bCs/>
          <w:color w:val="000000" w:themeColor="text1"/>
          <w:lang w:val="en-US" w:eastAsia="zh-CN"/>
          <w14:textFill>
            <w14:solidFill>
              <w14:schemeClr w14:val="tx1"/>
            </w14:solidFill>
          </w14:textFill>
        </w:rPr>
        <w:t>100</w:t>
      </w:r>
      <w:r>
        <w:rPr>
          <w:rFonts w:hint="eastAsia" w:cs="仿宋_GB2312"/>
          <w:color w:val="000000" w:themeColor="text1"/>
          <w:sz w:val="28"/>
          <w:szCs w:val="28"/>
          <w:lang w:val="en-US" w:eastAsia="zh-CN"/>
          <w14:textFill>
            <w14:solidFill>
              <w14:schemeClr w14:val="tx1"/>
            </w14:solidFill>
          </w14:textFill>
        </w:rPr>
        <w:t>%，</w:t>
      </w:r>
      <w:r>
        <w:rPr>
          <w:rFonts w:hint="eastAsia" w:cs="仿宋_GB2312"/>
          <w:color w:val="000000" w:themeColor="text1"/>
          <w:sz w:val="28"/>
          <w:szCs w:val="28"/>
          <w:lang w:eastAsia="zh-CN"/>
          <w14:textFill>
            <w14:solidFill>
              <w14:schemeClr w14:val="tx1"/>
            </w14:solidFill>
          </w14:textFill>
        </w:rPr>
        <w:t>总体完成率为</w:t>
      </w:r>
      <w:r>
        <w:rPr>
          <w:rFonts w:hint="eastAsia"/>
          <w:b/>
          <w:bCs/>
          <w:color w:val="000000" w:themeColor="text1"/>
          <w:lang w:val="en-US" w:eastAsia="zh-CN"/>
          <w14:textFill>
            <w14:solidFill>
              <w14:schemeClr w14:val="tx1"/>
            </w14:solidFill>
          </w14:textFill>
        </w:rPr>
        <w:t>100</w:t>
      </w:r>
      <w:r>
        <w:rPr>
          <w:rFonts w:hint="eastAsia" w:cs="仿宋_GB2312"/>
          <w:color w:val="000000" w:themeColor="text1"/>
          <w:sz w:val="28"/>
          <w:szCs w:val="28"/>
          <w:lang w:val="zh-TW" w:eastAsia="zh-TW"/>
          <w14:textFill>
            <w14:solidFill>
              <w14:schemeClr w14:val="tx1"/>
            </w14:solidFill>
          </w14:textFill>
        </w:rPr>
        <w:t>%。</w:t>
      </w:r>
      <w:r>
        <w:rPr>
          <w:rFonts w:hint="eastAsia" w:cs="仿宋_GB2312"/>
          <w:color w:val="000000" w:themeColor="text1"/>
          <w:sz w:val="28"/>
          <w:szCs w:val="28"/>
          <w:lang w:val="en-US" w:eastAsia="zh-CN"/>
          <w14:textFill>
            <w14:solidFill>
              <w14:schemeClr w14:val="tx1"/>
            </w14:solidFill>
          </w14:textFill>
        </w:rPr>
        <w:t>预算执行率与总体完成率之间的偏差为</w:t>
      </w:r>
      <w:r>
        <w:rPr>
          <w:rFonts w:hint="eastAsia"/>
          <w:b/>
          <w:bCs/>
          <w:color w:val="000000" w:themeColor="text1"/>
          <w:lang w:val="en-US" w:eastAsia="zh-CN"/>
          <w14:textFill>
            <w14:solidFill>
              <w14:schemeClr w14:val="tx1"/>
            </w14:solidFill>
          </w14:textFill>
        </w:rPr>
        <w:t>0</w:t>
      </w:r>
      <w:r>
        <w:rPr>
          <w:rFonts w:hint="eastAsia" w:cs="仿宋_GB2312"/>
          <w:color w:val="000000" w:themeColor="text1"/>
          <w:sz w:val="28"/>
          <w:szCs w:val="28"/>
          <w:lang w:val="en-US" w:eastAsia="zh-CN"/>
          <w14:textFill>
            <w14:solidFill>
              <w14:schemeClr w14:val="tx1"/>
            </w14:solidFill>
          </w14:textFill>
        </w:rPr>
        <w:t>%，无</w:t>
      </w:r>
      <w:r>
        <w:rPr>
          <w:rFonts w:hint="eastAsia"/>
          <w:color w:val="000000" w:themeColor="text1"/>
          <w14:textFill>
            <w14:solidFill>
              <w14:schemeClr w14:val="tx1"/>
            </w14:solidFill>
          </w14:textFill>
        </w:rPr>
        <w:t>偏差</w:t>
      </w:r>
      <w:r>
        <w:rPr>
          <w:rFonts w:hint="eastAsia" w:ascii="仿宋_GB2312" w:hAnsi="仿宋_GB2312" w:cs="仿宋_GB2312"/>
          <w:color w:val="000000" w:themeColor="text1"/>
          <w:sz w:val="28"/>
          <w:szCs w:val="28"/>
          <w14:textFill>
            <w14:solidFill>
              <w14:schemeClr w14:val="tx1"/>
            </w14:solidFill>
          </w14:textFill>
        </w:rPr>
        <w:t>。</w:t>
      </w:r>
    </w:p>
    <w:p w14:paraId="0FF82D2E">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34" w:name="_Toc2645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134"/>
    </w:p>
    <w:p w14:paraId="0C1C4BD7">
      <w:pPr>
        <w:numPr>
          <w:ilvl w:val="0"/>
          <w:numId w:val="0"/>
        </w:numPr>
        <w:bidi w:val="0"/>
        <w:ind w:left="560" w:leftChars="0"/>
        <w:outlineLvl w:val="1"/>
        <w:rPr>
          <w:rFonts w:hint="eastAsia"/>
          <w:b/>
          <w:bCs/>
          <w:lang w:eastAsia="zh-CN"/>
        </w:rPr>
      </w:pPr>
      <w:bookmarkStart w:id="135" w:name="_Toc10519"/>
      <w:bookmarkStart w:id="136" w:name="_Toc1921"/>
      <w:bookmarkStart w:id="137"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135"/>
    </w:p>
    <w:p w14:paraId="6F5BFFD2">
      <w:pPr>
        <w:bidi w:val="0"/>
        <w:rPr>
          <w:rFonts w:hint="eastAsia"/>
          <w:lang w:eastAsia="zh-CN"/>
        </w:rPr>
      </w:pPr>
      <w:r>
        <w:rPr>
          <w:rFonts w:hint="eastAsia" w:ascii="宋体" w:hAnsi="宋体" w:eastAsia="宋体" w:cs="宋体"/>
          <w:color w:val="auto"/>
          <w:highlight w:val="none"/>
          <w:shd w:val="clear" w:color="auto" w:fill="auto"/>
          <w:lang w:val="en-US" w:eastAsia="zh-CN"/>
        </w:rPr>
        <w:t>老干部三套</w:t>
      </w:r>
      <w:r>
        <w:rPr>
          <w:rFonts w:hint="eastAsia"/>
          <w:lang w:val="en-US" w:eastAsia="zh-CN"/>
        </w:rPr>
        <w:t>组织业务费及聘用人员工资项目</w:t>
      </w:r>
      <w:r>
        <w:rPr>
          <w:rFonts w:hint="eastAsia"/>
          <w:lang w:eastAsia="zh-CN"/>
        </w:rPr>
        <w:t>20</w:t>
      </w:r>
      <w:r>
        <w:rPr>
          <w:rFonts w:hint="eastAsia"/>
          <w:lang w:val="en-US" w:eastAsia="zh-CN"/>
        </w:rPr>
        <w:t>23</w:t>
      </w:r>
      <w:r>
        <w:rPr>
          <w:rFonts w:hint="eastAsia"/>
          <w:lang w:eastAsia="zh-CN"/>
        </w:rPr>
        <w:t>年预算</w:t>
      </w:r>
      <w:r>
        <w:rPr>
          <w:rFonts w:hint="eastAsia"/>
          <w:lang w:val="en-US" w:eastAsia="zh-CN"/>
        </w:rPr>
        <w:t>数</w:t>
      </w:r>
      <w:r>
        <w:rPr>
          <w:rFonts w:hint="eastAsia"/>
          <w:lang w:eastAsia="zh-CN"/>
        </w:rPr>
        <w:t>为</w:t>
      </w:r>
      <w:r>
        <w:rPr>
          <w:rFonts w:hint="eastAsia"/>
          <w:lang w:val="en-US" w:eastAsia="zh-CN"/>
        </w:rPr>
        <w:t>15</w:t>
      </w:r>
      <w:r>
        <w:rPr>
          <w:rFonts w:hint="eastAsia"/>
          <w:lang w:eastAsia="zh-CN"/>
        </w:rPr>
        <w:t>万元，</w:t>
      </w:r>
      <w:r>
        <w:rPr>
          <w:rFonts w:hint="eastAsia"/>
          <w:lang w:val="en-US" w:eastAsia="zh-CN"/>
        </w:rPr>
        <w:t>截至2023年12月31日共</w:t>
      </w:r>
      <w:r>
        <w:rPr>
          <w:rFonts w:hint="eastAsia"/>
          <w:lang w:eastAsia="zh-CN"/>
        </w:rPr>
        <w:t>支出</w:t>
      </w:r>
      <w:r>
        <w:rPr>
          <w:rFonts w:hint="eastAsia"/>
          <w:lang w:val="en-US" w:eastAsia="zh-CN"/>
        </w:rPr>
        <w:t>15</w:t>
      </w:r>
      <w:r>
        <w:rPr>
          <w:rFonts w:hint="eastAsia"/>
          <w:lang w:eastAsia="zh-CN"/>
        </w:rPr>
        <w:t>万元，预算</w:t>
      </w:r>
      <w:r>
        <w:rPr>
          <w:rFonts w:hint="eastAsia"/>
          <w:lang w:val="en-US" w:eastAsia="zh-CN"/>
        </w:rPr>
        <w:t>执行</w:t>
      </w:r>
      <w:r>
        <w:rPr>
          <w:rFonts w:hint="eastAsia"/>
          <w:lang w:eastAsia="zh-CN"/>
        </w:rPr>
        <w:t>率为</w:t>
      </w:r>
      <w:r>
        <w:rPr>
          <w:rFonts w:hint="eastAsia"/>
          <w:lang w:val="en-US" w:eastAsia="zh-CN"/>
        </w:rPr>
        <w:t>100</w:t>
      </w:r>
      <w:r>
        <w:rPr>
          <w:rFonts w:hint="eastAsia"/>
          <w:lang w:eastAsia="zh-CN"/>
        </w:rPr>
        <w:t>%。</w:t>
      </w:r>
    </w:p>
    <w:p w14:paraId="643ACA48">
      <w:pPr>
        <w:bidi w:val="0"/>
        <w:rPr>
          <w:rFonts w:hint="eastAsia"/>
          <w:lang w:eastAsia="zh-CN"/>
        </w:rPr>
      </w:pPr>
      <w:r>
        <w:rPr>
          <w:rFonts w:hint="eastAsia"/>
          <w:lang w:val="en-US" w:eastAsia="zh-CN"/>
        </w:rPr>
        <w:t>阜康市委老干部局</w:t>
      </w:r>
      <w:r>
        <w:rPr>
          <w:rFonts w:hint="eastAsia"/>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lang w:val="en-US" w:eastAsia="zh-CN"/>
        </w:rPr>
        <w:t>阜康市委老干部局</w:t>
      </w:r>
      <w:r>
        <w:rPr>
          <w:rFonts w:hint="eastAsia"/>
          <w:lang w:eastAsia="zh-CN"/>
        </w:rPr>
        <w:t>事业发展中关系民生与稳定的项目，切实优化资源配置，提高了资金使用的效率和效果。</w:t>
      </w:r>
    </w:p>
    <w:bookmarkEnd w:id="136"/>
    <w:bookmarkEnd w:id="137"/>
    <w:p w14:paraId="3AA8D25C">
      <w:pPr>
        <w:bidi w:val="0"/>
        <w:outlineLvl w:val="1"/>
        <w:rPr>
          <w:rFonts w:hint="eastAsia"/>
          <w:b/>
          <w:bCs/>
          <w:lang w:eastAsia="zh-CN"/>
        </w:rPr>
      </w:pPr>
      <w:bookmarkStart w:id="138" w:name="_Toc1236"/>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138"/>
    </w:p>
    <w:p w14:paraId="3608E709">
      <w:pPr>
        <w:bidi w:val="0"/>
        <w:rPr>
          <w:rFonts w:hint="eastAsia"/>
          <w:lang w:val="en-US" w:eastAsia="zh-CN"/>
        </w:rPr>
      </w:pPr>
      <w:r>
        <w:rPr>
          <w:rFonts w:hint="eastAsia"/>
          <w:lang w:val="en-US" w:eastAsia="zh-CN"/>
        </w:rPr>
        <w:t>1.预算编制不够精准，目标设置不够合理，没有充分犒劳实施过程中可能出现的问题，造成工作完成情况和目标有些许差距，主要是对预算编制和具体工作开展情况的考虑不够全面，没有充分考虑到工作开展过程中可能出现的问题，缺少科学前瞻性。</w:t>
      </w:r>
    </w:p>
    <w:p w14:paraId="4F245506">
      <w:pPr>
        <w:bidi w:val="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w:t>
      </w:r>
      <w:r>
        <w:rPr>
          <w:rFonts w:hint="eastAsia" w:cs="宋体"/>
          <w:kern w:val="2"/>
          <w:sz w:val="28"/>
          <w:szCs w:val="28"/>
          <w:lang w:val="en-US" w:eastAsia="zh-CN" w:bidi="ar-SA"/>
        </w:rPr>
        <w:t>预算编制</w:t>
      </w:r>
      <w:r>
        <w:rPr>
          <w:rFonts w:hint="eastAsia"/>
          <w:highlight w:val="none"/>
          <w:u w:val="none"/>
          <w:lang w:eastAsia="zh-CN"/>
        </w:rPr>
        <w:t>事前</w:t>
      </w:r>
      <w:r>
        <w:rPr>
          <w:rFonts w:hint="eastAsia"/>
          <w:highlight w:val="none"/>
          <w:u w:val="none"/>
          <w:lang w:val="en-US" w:eastAsia="zh-CN"/>
        </w:rPr>
        <w:t>缺少必要的</w:t>
      </w:r>
      <w:r>
        <w:rPr>
          <w:rFonts w:hint="eastAsia"/>
          <w:highlight w:val="none"/>
          <w:u w:val="none"/>
          <w:lang w:eastAsia="zh-CN"/>
        </w:rPr>
        <w:t>可行性研究、专家论证、风险评估、绩效评估，</w:t>
      </w:r>
      <w:r>
        <w:rPr>
          <w:rFonts w:hint="eastAsia"/>
          <w:highlight w:val="none"/>
          <w:u w:val="none"/>
          <w:lang w:val="en-US" w:eastAsia="zh-CN"/>
        </w:rPr>
        <w:t>对工作开展的前瞻性、全局性考虑不够完善，相关</w:t>
      </w:r>
      <w:r>
        <w:rPr>
          <w:rFonts w:hint="eastAsia" w:ascii="宋体" w:hAnsi="宋体" w:eastAsia="宋体" w:cs="宋体"/>
          <w:kern w:val="2"/>
          <w:sz w:val="28"/>
          <w:szCs w:val="28"/>
          <w:lang w:val="en-US" w:eastAsia="zh-CN" w:bidi="ar-SA"/>
        </w:rPr>
        <w:t>工作机制还不够完善，工作程序还不够顺畅，在一定程度上对预算执行产生了影响。</w:t>
      </w:r>
    </w:p>
    <w:p w14:paraId="3FF26762">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39" w:name="_Toc3268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139"/>
    </w:p>
    <w:p w14:paraId="7FDA9D46">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kern w:val="2"/>
          <w:sz w:val="28"/>
          <w:szCs w:val="28"/>
          <w:highlight w:val="none"/>
          <w:lang w:val="en-US" w:eastAsia="zh-CN" w:bidi="ar-SA"/>
        </w:rPr>
      </w:pPr>
      <w:bookmarkStart w:id="140" w:name="_Toc20827"/>
      <w:r>
        <w:rPr>
          <w:rFonts w:hint="eastAsia" w:ascii="宋体" w:hAnsi="宋体" w:eastAsia="宋体" w:cs="宋体"/>
          <w:kern w:val="2"/>
          <w:sz w:val="28"/>
          <w:szCs w:val="28"/>
          <w:highlight w:val="none"/>
          <w:lang w:val="en-US" w:eastAsia="zh-CN" w:bidi="ar-SA"/>
        </w:rPr>
        <w:t>（一）加强对预算编制工作的重视，充分研讨和考虑工作中可能出现的问题，科学精准制定绩效目标，使目标设置更加合理规范。</w:t>
      </w:r>
      <w:bookmarkEnd w:id="140"/>
    </w:p>
    <w:p w14:paraId="2DB44E89">
      <w:pPr>
        <w:rPr>
          <w:rFonts w:hint="default"/>
          <w:lang w:val="en-US" w:eastAsia="zh-CN"/>
        </w:rPr>
      </w:pPr>
      <w:r>
        <w:rPr>
          <w:rFonts w:hint="eastAsia" w:cs="宋体"/>
          <w:kern w:val="2"/>
          <w:sz w:val="28"/>
          <w:szCs w:val="28"/>
          <w:highlight w:val="none"/>
          <w:lang w:val="en-US" w:eastAsia="zh-CN" w:bidi="ar-SA"/>
        </w:rPr>
        <w:t>（二）加强绩效管理制度建设，完善工作机制，强化预算工作全过程管理，不仅强化预算执行工作，更要对全过程，特别是事前</w:t>
      </w:r>
      <w:r>
        <w:rPr>
          <w:rFonts w:hint="eastAsia"/>
          <w:highlight w:val="none"/>
          <w:u w:val="none"/>
          <w:lang w:eastAsia="zh-CN"/>
        </w:rPr>
        <w:t>可行性研究、专家论证、风险评估、绩效评估</w:t>
      </w:r>
      <w:r>
        <w:rPr>
          <w:rFonts w:hint="eastAsia"/>
          <w:highlight w:val="none"/>
          <w:u w:val="none"/>
          <w:lang w:val="en-US" w:eastAsia="zh-CN"/>
        </w:rPr>
        <w:t>等工作的重视，</w:t>
      </w:r>
      <w:r>
        <w:rPr>
          <w:rFonts w:hint="eastAsia" w:cs="宋体"/>
          <w:kern w:val="2"/>
          <w:sz w:val="28"/>
          <w:szCs w:val="28"/>
          <w:lang w:val="en-US" w:eastAsia="zh-CN" w:bidi="ar-SA"/>
        </w:rPr>
        <w:t>增强绩效全过程管理理念。</w:t>
      </w:r>
    </w:p>
    <w:p w14:paraId="1FCA985A">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41" w:name="_Toc417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141"/>
    </w:p>
    <w:p w14:paraId="7E1B4C62">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14:paraId="582FC300">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14:paraId="5047ECDF">
      <w:pPr>
        <w:rPr>
          <w:rFonts w:hint="eastAsia" w:ascii="宋体" w:hAnsi="宋体" w:eastAsia="宋体" w:cs="宋体"/>
          <w:b/>
          <w:bCs/>
          <w:color w:val="000000"/>
          <w:kern w:val="2"/>
          <w:sz w:val="36"/>
          <w:szCs w:val="28"/>
          <w:lang w:val="en-US" w:eastAsia="zh-CN" w:bidi="ar-SA"/>
        </w:rPr>
      </w:pPr>
      <w:r>
        <w:rPr>
          <w:rFonts w:hint="eastAsia" w:ascii="宋体" w:hAnsi="宋体" w:eastAsia="宋体" w:cs="宋体"/>
          <w:b/>
          <w:bCs/>
          <w:color w:val="000000"/>
          <w:kern w:val="2"/>
          <w:sz w:val="36"/>
          <w:szCs w:val="28"/>
          <w:lang w:val="en-US" w:eastAsia="zh-CN" w:bidi="ar-SA"/>
        </w:rPr>
        <w:br w:type="page"/>
      </w:r>
    </w:p>
    <w:p w14:paraId="375905B1">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142" w:name="_Toc11349"/>
    </w:p>
    <w:p w14:paraId="76F14E4C">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43" w:name="_Toc1936"/>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142"/>
      <w:bookmarkEnd w:id="143"/>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43"/>
        <w:gridCol w:w="944"/>
        <w:gridCol w:w="944"/>
        <w:gridCol w:w="944"/>
        <w:gridCol w:w="1327"/>
        <w:gridCol w:w="944"/>
        <w:gridCol w:w="944"/>
        <w:gridCol w:w="1040"/>
        <w:gridCol w:w="944"/>
        <w:gridCol w:w="944"/>
        <w:gridCol w:w="1136"/>
        <w:gridCol w:w="1136"/>
        <w:gridCol w:w="1040"/>
        <w:gridCol w:w="944"/>
      </w:tblGrid>
      <w:tr w14:paraId="2F09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F0048EB">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6DED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76BE30FB">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29F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44" w:type="dxa"/>
            <w:gridSpan w:val="2"/>
            <w:tcBorders>
              <w:top w:val="single" w:color="auto" w:sz="4" w:space="0"/>
            </w:tcBorders>
            <w:shd w:val="clear" w:color="auto" w:fill="auto"/>
            <w:vAlign w:val="center"/>
          </w:tcPr>
          <w:p w14:paraId="7AF34A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30" w:type="dxa"/>
            <w:gridSpan w:val="12"/>
            <w:tcBorders>
              <w:top w:val="single" w:color="auto" w:sz="4" w:space="0"/>
            </w:tcBorders>
            <w:shd w:val="clear" w:color="auto" w:fill="auto"/>
            <w:vAlign w:val="center"/>
          </w:tcPr>
          <w:p w14:paraId="30330B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老干部三套组织业务费及聘用人员工资项目</w:t>
            </w:r>
          </w:p>
        </w:tc>
      </w:tr>
      <w:tr w14:paraId="4395F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44" w:type="dxa"/>
            <w:gridSpan w:val="2"/>
            <w:shd w:val="clear" w:color="auto" w:fill="auto"/>
            <w:vAlign w:val="center"/>
          </w:tcPr>
          <w:p w14:paraId="1819F8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15" w:type="dxa"/>
            <w:gridSpan w:val="5"/>
            <w:shd w:val="clear" w:color="auto" w:fill="auto"/>
            <w:vAlign w:val="center"/>
          </w:tcPr>
          <w:p w14:paraId="755A94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中共阜康市委员会老干部局</w:t>
            </w:r>
          </w:p>
        </w:tc>
        <w:tc>
          <w:tcPr>
            <w:tcW w:w="1920" w:type="dxa"/>
            <w:gridSpan w:val="2"/>
            <w:shd w:val="clear" w:color="auto" w:fill="auto"/>
            <w:vAlign w:val="center"/>
          </w:tcPr>
          <w:p w14:paraId="2333AC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095" w:type="dxa"/>
            <w:gridSpan w:val="5"/>
            <w:shd w:val="clear" w:color="auto" w:fill="auto"/>
            <w:vAlign w:val="center"/>
          </w:tcPr>
          <w:p w14:paraId="241BB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中共阜康市委员会老干部局</w:t>
            </w:r>
          </w:p>
        </w:tc>
      </w:tr>
      <w:tr w14:paraId="36CC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44" w:type="dxa"/>
            <w:gridSpan w:val="2"/>
            <w:vMerge w:val="restart"/>
            <w:shd w:val="clear" w:color="auto" w:fill="auto"/>
            <w:vAlign w:val="center"/>
          </w:tcPr>
          <w:p w14:paraId="488339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33" w:type="dxa"/>
            <w:gridSpan w:val="2"/>
            <w:shd w:val="clear" w:color="auto" w:fill="auto"/>
            <w:vAlign w:val="center"/>
          </w:tcPr>
          <w:p w14:paraId="0CAF51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28" w:type="dxa"/>
            <w:shd w:val="clear" w:color="auto" w:fill="auto"/>
            <w:vAlign w:val="center"/>
          </w:tcPr>
          <w:p w14:paraId="6535E0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54" w:type="dxa"/>
            <w:gridSpan w:val="2"/>
            <w:shd w:val="clear" w:color="auto" w:fill="auto"/>
            <w:vAlign w:val="center"/>
          </w:tcPr>
          <w:p w14:paraId="5A04F5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0" w:type="dxa"/>
            <w:gridSpan w:val="2"/>
            <w:shd w:val="clear" w:color="auto" w:fill="auto"/>
            <w:vAlign w:val="center"/>
          </w:tcPr>
          <w:p w14:paraId="7D3122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61" w:type="dxa"/>
            <w:gridSpan w:val="2"/>
            <w:shd w:val="clear" w:color="auto" w:fill="auto"/>
            <w:vAlign w:val="center"/>
          </w:tcPr>
          <w:p w14:paraId="593DBC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12" w:type="dxa"/>
            <w:gridSpan w:val="2"/>
            <w:shd w:val="clear" w:color="auto" w:fill="auto"/>
            <w:vAlign w:val="center"/>
          </w:tcPr>
          <w:p w14:paraId="5FE00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22" w:type="dxa"/>
            <w:shd w:val="clear" w:color="auto" w:fill="auto"/>
            <w:vAlign w:val="center"/>
          </w:tcPr>
          <w:p w14:paraId="6AB5CC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2E2B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44" w:type="dxa"/>
            <w:gridSpan w:val="2"/>
            <w:vMerge w:val="continue"/>
            <w:shd w:val="clear" w:color="auto" w:fill="auto"/>
            <w:vAlign w:val="center"/>
          </w:tcPr>
          <w:p w14:paraId="4F8E5083">
            <w:pPr>
              <w:jc w:val="center"/>
              <w:rPr>
                <w:rFonts w:hint="eastAsia" w:ascii="宋体" w:hAnsi="宋体" w:eastAsia="宋体" w:cs="宋体"/>
                <w:i w:val="0"/>
                <w:iCs w:val="0"/>
                <w:color w:val="000000"/>
                <w:sz w:val="20"/>
                <w:szCs w:val="20"/>
                <w:u w:val="none"/>
              </w:rPr>
            </w:pPr>
          </w:p>
        </w:tc>
        <w:tc>
          <w:tcPr>
            <w:tcW w:w="1833" w:type="dxa"/>
            <w:gridSpan w:val="2"/>
            <w:shd w:val="clear" w:color="auto" w:fill="auto"/>
            <w:vAlign w:val="center"/>
          </w:tcPr>
          <w:p w14:paraId="083667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28" w:type="dxa"/>
            <w:shd w:val="clear" w:color="auto" w:fill="auto"/>
            <w:vAlign w:val="center"/>
          </w:tcPr>
          <w:p w14:paraId="2D7304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854" w:type="dxa"/>
            <w:gridSpan w:val="2"/>
            <w:shd w:val="clear" w:color="auto" w:fill="auto"/>
            <w:vAlign w:val="center"/>
          </w:tcPr>
          <w:p w14:paraId="3DF38B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920" w:type="dxa"/>
            <w:gridSpan w:val="2"/>
            <w:shd w:val="clear" w:color="auto" w:fill="auto"/>
            <w:vAlign w:val="center"/>
          </w:tcPr>
          <w:p w14:paraId="333B83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161" w:type="dxa"/>
            <w:gridSpan w:val="2"/>
            <w:shd w:val="clear" w:color="auto" w:fill="auto"/>
            <w:vAlign w:val="center"/>
          </w:tcPr>
          <w:p w14:paraId="79477D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12" w:type="dxa"/>
            <w:gridSpan w:val="2"/>
            <w:shd w:val="clear" w:color="auto" w:fill="auto"/>
            <w:vAlign w:val="center"/>
          </w:tcPr>
          <w:p w14:paraId="61E65C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922" w:type="dxa"/>
            <w:shd w:val="clear" w:color="auto" w:fill="auto"/>
            <w:vAlign w:val="center"/>
          </w:tcPr>
          <w:p w14:paraId="00458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8E4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44" w:type="dxa"/>
            <w:gridSpan w:val="2"/>
            <w:vMerge w:val="continue"/>
            <w:shd w:val="clear" w:color="auto" w:fill="auto"/>
            <w:vAlign w:val="center"/>
          </w:tcPr>
          <w:p w14:paraId="023EC2D0">
            <w:pPr>
              <w:jc w:val="center"/>
              <w:rPr>
                <w:rFonts w:hint="eastAsia" w:ascii="宋体" w:hAnsi="宋体" w:eastAsia="宋体" w:cs="宋体"/>
                <w:i w:val="0"/>
                <w:iCs w:val="0"/>
                <w:color w:val="000000"/>
                <w:sz w:val="20"/>
                <w:szCs w:val="20"/>
                <w:u w:val="none"/>
              </w:rPr>
            </w:pPr>
          </w:p>
        </w:tc>
        <w:tc>
          <w:tcPr>
            <w:tcW w:w="1833" w:type="dxa"/>
            <w:gridSpan w:val="2"/>
            <w:shd w:val="clear" w:color="auto" w:fill="auto"/>
            <w:vAlign w:val="center"/>
          </w:tcPr>
          <w:p w14:paraId="182B17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28" w:type="dxa"/>
            <w:shd w:val="clear" w:color="auto" w:fill="auto"/>
            <w:vAlign w:val="center"/>
          </w:tcPr>
          <w:p w14:paraId="5F7AD5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854" w:type="dxa"/>
            <w:gridSpan w:val="2"/>
            <w:shd w:val="clear" w:color="auto" w:fill="auto"/>
            <w:vAlign w:val="center"/>
          </w:tcPr>
          <w:p w14:paraId="6C561C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920" w:type="dxa"/>
            <w:gridSpan w:val="2"/>
            <w:shd w:val="clear" w:color="auto" w:fill="auto"/>
            <w:vAlign w:val="center"/>
          </w:tcPr>
          <w:p w14:paraId="241FC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161" w:type="dxa"/>
            <w:gridSpan w:val="2"/>
            <w:shd w:val="clear" w:color="auto" w:fill="auto"/>
            <w:vAlign w:val="center"/>
          </w:tcPr>
          <w:p w14:paraId="750989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2" w:type="dxa"/>
            <w:gridSpan w:val="2"/>
            <w:shd w:val="clear" w:color="auto" w:fill="auto"/>
            <w:vAlign w:val="center"/>
          </w:tcPr>
          <w:p w14:paraId="198E43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22" w:type="dxa"/>
            <w:shd w:val="clear" w:color="auto" w:fill="auto"/>
            <w:vAlign w:val="center"/>
          </w:tcPr>
          <w:p w14:paraId="203E1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DB32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1344" w:type="dxa"/>
            <w:gridSpan w:val="2"/>
            <w:vMerge w:val="continue"/>
            <w:shd w:val="clear" w:color="auto" w:fill="auto"/>
            <w:vAlign w:val="center"/>
          </w:tcPr>
          <w:p w14:paraId="5D821320">
            <w:pPr>
              <w:jc w:val="center"/>
              <w:rPr>
                <w:rFonts w:hint="eastAsia" w:ascii="宋体" w:hAnsi="宋体" w:eastAsia="宋体" w:cs="宋体"/>
                <w:i w:val="0"/>
                <w:iCs w:val="0"/>
                <w:color w:val="000000"/>
                <w:sz w:val="20"/>
                <w:szCs w:val="20"/>
                <w:u w:val="none"/>
              </w:rPr>
            </w:pPr>
          </w:p>
        </w:tc>
        <w:tc>
          <w:tcPr>
            <w:tcW w:w="1833" w:type="dxa"/>
            <w:gridSpan w:val="2"/>
            <w:shd w:val="clear" w:color="auto" w:fill="auto"/>
            <w:vAlign w:val="center"/>
          </w:tcPr>
          <w:p w14:paraId="2BC349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28" w:type="dxa"/>
            <w:shd w:val="clear" w:color="auto" w:fill="auto"/>
            <w:vAlign w:val="center"/>
          </w:tcPr>
          <w:p w14:paraId="2BBD3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54" w:type="dxa"/>
            <w:gridSpan w:val="2"/>
            <w:shd w:val="clear" w:color="auto" w:fill="auto"/>
            <w:vAlign w:val="center"/>
          </w:tcPr>
          <w:p w14:paraId="10EA0C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0" w:type="dxa"/>
            <w:gridSpan w:val="2"/>
            <w:shd w:val="clear" w:color="auto" w:fill="auto"/>
            <w:vAlign w:val="center"/>
          </w:tcPr>
          <w:p w14:paraId="44CAE3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61" w:type="dxa"/>
            <w:gridSpan w:val="2"/>
            <w:shd w:val="clear" w:color="auto" w:fill="auto"/>
            <w:vAlign w:val="center"/>
          </w:tcPr>
          <w:p w14:paraId="21023F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2" w:type="dxa"/>
            <w:gridSpan w:val="2"/>
            <w:shd w:val="clear" w:color="auto" w:fill="auto"/>
            <w:vAlign w:val="center"/>
          </w:tcPr>
          <w:p w14:paraId="600FE7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22" w:type="dxa"/>
            <w:shd w:val="clear" w:color="auto" w:fill="auto"/>
            <w:vAlign w:val="center"/>
          </w:tcPr>
          <w:p w14:paraId="013AAE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916B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672" w:type="dxa"/>
            <w:vMerge w:val="restart"/>
            <w:shd w:val="clear" w:color="auto" w:fill="auto"/>
            <w:vAlign w:val="center"/>
          </w:tcPr>
          <w:p w14:paraId="7624FB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07" w:type="dxa"/>
            <w:gridSpan w:val="8"/>
            <w:shd w:val="clear" w:color="auto" w:fill="auto"/>
            <w:vAlign w:val="center"/>
          </w:tcPr>
          <w:p w14:paraId="6AF89F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95" w:type="dxa"/>
            <w:gridSpan w:val="5"/>
            <w:shd w:val="clear" w:color="auto" w:fill="auto"/>
            <w:vAlign w:val="center"/>
          </w:tcPr>
          <w:p w14:paraId="0037D8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BCEC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72" w:type="dxa"/>
            <w:vMerge w:val="continue"/>
            <w:shd w:val="clear" w:color="auto" w:fill="auto"/>
            <w:vAlign w:val="center"/>
          </w:tcPr>
          <w:p w14:paraId="5CD19A6A">
            <w:pPr>
              <w:jc w:val="center"/>
              <w:rPr>
                <w:rFonts w:hint="eastAsia" w:ascii="宋体" w:hAnsi="宋体" w:eastAsia="宋体" w:cs="宋体"/>
                <w:i w:val="0"/>
                <w:iCs w:val="0"/>
                <w:color w:val="000000"/>
                <w:sz w:val="20"/>
                <w:szCs w:val="20"/>
                <w:u w:val="none"/>
              </w:rPr>
            </w:pPr>
          </w:p>
        </w:tc>
        <w:tc>
          <w:tcPr>
            <w:tcW w:w="7407" w:type="dxa"/>
            <w:gridSpan w:val="8"/>
            <w:shd w:val="clear" w:color="auto" w:fill="auto"/>
            <w:vAlign w:val="center"/>
          </w:tcPr>
          <w:p w14:paraId="0D059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负责指导全市离退休干部政治建设、思想建设和党组织建设，组织引导离退休干部在贯彻以习近平同志为核心的党中央治疆方略、特别是社会稳定和长治久安总目标中发挥作用，为党和人民事业增添正能量，中共阜康市委员会老干部局2023年预计完成老干部三套组织业务费6万元，遗孀困难救助金2.5元，聘用人员工资6.5万元按时按点发放，项目的实施预计达到百分百发放，让离休干部和遗孀感受党的关心和温暖。</w:t>
            </w:r>
          </w:p>
        </w:tc>
        <w:tc>
          <w:tcPr>
            <w:tcW w:w="6095" w:type="dxa"/>
            <w:gridSpan w:val="5"/>
            <w:shd w:val="clear" w:color="auto" w:fill="auto"/>
            <w:vAlign w:val="center"/>
          </w:tcPr>
          <w:p w14:paraId="2E145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遗孀困难救助金发放20人，困难救助金放率，困难救助金发放及时率100%完成，老干部三套组织业务费，遗孀困难救助金，聘用人员工资都已完成。遗孀生活水平提升100%，达到了提升遗孀生活水平的社会效益，遗孀及聘用人员满意度都达到100%。</w:t>
            </w:r>
          </w:p>
        </w:tc>
      </w:tr>
      <w:tr w14:paraId="01D1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72" w:type="dxa"/>
            <w:shd w:val="clear" w:color="auto" w:fill="auto"/>
            <w:vAlign w:val="center"/>
          </w:tcPr>
          <w:p w14:paraId="0CE59DBE">
            <w:pPr>
              <w:jc w:val="center"/>
              <w:rPr>
                <w:rFonts w:hint="eastAsia" w:ascii="宋体" w:hAnsi="宋体" w:eastAsia="宋体" w:cs="宋体"/>
                <w:i w:val="0"/>
                <w:iCs w:val="0"/>
                <w:color w:val="000000"/>
                <w:sz w:val="20"/>
                <w:szCs w:val="20"/>
                <w:u w:val="none"/>
              </w:rPr>
            </w:pPr>
          </w:p>
        </w:tc>
        <w:tc>
          <w:tcPr>
            <w:tcW w:w="672" w:type="dxa"/>
            <w:shd w:val="clear" w:color="auto" w:fill="auto"/>
            <w:vAlign w:val="center"/>
          </w:tcPr>
          <w:p w14:paraId="2DC418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0" w:type="dxa"/>
            <w:shd w:val="clear" w:color="auto" w:fill="auto"/>
            <w:vAlign w:val="center"/>
          </w:tcPr>
          <w:p w14:paraId="530C45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63" w:type="dxa"/>
            <w:shd w:val="clear" w:color="auto" w:fill="auto"/>
            <w:vAlign w:val="center"/>
          </w:tcPr>
          <w:p w14:paraId="38B9E8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28" w:type="dxa"/>
            <w:shd w:val="clear" w:color="auto" w:fill="auto"/>
            <w:vAlign w:val="center"/>
          </w:tcPr>
          <w:p w14:paraId="5F25AD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69" w:type="dxa"/>
            <w:shd w:val="clear" w:color="auto" w:fill="auto"/>
            <w:vAlign w:val="center"/>
          </w:tcPr>
          <w:p w14:paraId="60F19E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5" w:type="dxa"/>
            <w:shd w:val="clear" w:color="auto" w:fill="auto"/>
            <w:vAlign w:val="center"/>
          </w:tcPr>
          <w:p w14:paraId="01E9E3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60" w:type="dxa"/>
            <w:shd w:val="clear" w:color="auto" w:fill="auto"/>
            <w:vAlign w:val="center"/>
          </w:tcPr>
          <w:p w14:paraId="4D80E2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60" w:type="dxa"/>
            <w:shd w:val="clear" w:color="auto" w:fill="auto"/>
            <w:vAlign w:val="center"/>
          </w:tcPr>
          <w:p w14:paraId="639B5D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70" w:type="dxa"/>
            <w:shd w:val="clear" w:color="auto" w:fill="auto"/>
            <w:vAlign w:val="center"/>
          </w:tcPr>
          <w:p w14:paraId="3952A2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91" w:type="dxa"/>
            <w:shd w:val="clear" w:color="auto" w:fill="auto"/>
            <w:vAlign w:val="center"/>
          </w:tcPr>
          <w:p w14:paraId="19796D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21" w:type="dxa"/>
            <w:shd w:val="clear" w:color="auto" w:fill="auto"/>
            <w:vAlign w:val="center"/>
          </w:tcPr>
          <w:p w14:paraId="212177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91" w:type="dxa"/>
            <w:shd w:val="clear" w:color="auto" w:fill="auto"/>
            <w:vAlign w:val="center"/>
          </w:tcPr>
          <w:p w14:paraId="4FA1B8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922" w:type="dxa"/>
            <w:shd w:val="clear" w:color="auto" w:fill="auto"/>
            <w:vAlign w:val="center"/>
          </w:tcPr>
          <w:p w14:paraId="678136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D88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672" w:type="dxa"/>
            <w:vMerge w:val="restart"/>
            <w:shd w:val="clear" w:color="auto" w:fill="auto"/>
            <w:vAlign w:val="center"/>
          </w:tcPr>
          <w:p w14:paraId="1EACE2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2" w:type="dxa"/>
            <w:vMerge w:val="restart"/>
            <w:shd w:val="clear" w:color="auto" w:fill="auto"/>
            <w:vAlign w:val="center"/>
          </w:tcPr>
          <w:p w14:paraId="4D4FCB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70" w:type="dxa"/>
            <w:shd w:val="clear" w:color="auto" w:fill="auto"/>
            <w:vAlign w:val="center"/>
          </w:tcPr>
          <w:p w14:paraId="373A1E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63" w:type="dxa"/>
            <w:shd w:val="clear" w:color="auto" w:fill="auto"/>
            <w:vAlign w:val="center"/>
          </w:tcPr>
          <w:p w14:paraId="67038C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遗孀困难救助金发放人员</w:t>
            </w:r>
          </w:p>
        </w:tc>
        <w:tc>
          <w:tcPr>
            <w:tcW w:w="1128" w:type="dxa"/>
            <w:shd w:val="clear" w:color="auto" w:fill="auto"/>
            <w:vAlign w:val="center"/>
          </w:tcPr>
          <w:p w14:paraId="40981B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&gt;=20人</w:t>
            </w:r>
          </w:p>
        </w:tc>
        <w:tc>
          <w:tcPr>
            <w:tcW w:w="969" w:type="dxa"/>
            <w:shd w:val="clear" w:color="auto" w:fill="auto"/>
            <w:vAlign w:val="center"/>
          </w:tcPr>
          <w:p w14:paraId="7D2D6B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1AE28B95">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54A49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4580F0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24F509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7423E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20人</w:t>
            </w:r>
          </w:p>
        </w:tc>
        <w:tc>
          <w:tcPr>
            <w:tcW w:w="921" w:type="dxa"/>
            <w:shd w:val="clear" w:color="auto" w:fill="auto"/>
            <w:vAlign w:val="center"/>
          </w:tcPr>
          <w:p w14:paraId="6C30E2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01BC9F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67250162">
            <w:pPr>
              <w:jc w:val="center"/>
              <w:rPr>
                <w:rFonts w:hint="eastAsia" w:ascii="宋体" w:hAnsi="宋体" w:eastAsia="宋体" w:cs="宋体"/>
                <w:i w:val="0"/>
                <w:iCs w:val="0"/>
                <w:color w:val="000000"/>
                <w:sz w:val="20"/>
                <w:szCs w:val="20"/>
                <w:u w:val="none"/>
              </w:rPr>
            </w:pPr>
          </w:p>
        </w:tc>
      </w:tr>
      <w:tr w14:paraId="07C7A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672" w:type="dxa"/>
            <w:vMerge w:val="continue"/>
            <w:shd w:val="clear" w:color="auto" w:fill="auto"/>
            <w:vAlign w:val="center"/>
          </w:tcPr>
          <w:p w14:paraId="5DDAC61A">
            <w:pPr>
              <w:jc w:val="center"/>
              <w:rPr>
                <w:rFonts w:hint="eastAsia" w:ascii="宋体" w:hAnsi="宋体" w:eastAsia="宋体" w:cs="宋体"/>
                <w:i w:val="0"/>
                <w:iCs w:val="0"/>
                <w:color w:val="000000"/>
                <w:sz w:val="20"/>
                <w:szCs w:val="20"/>
                <w:u w:val="none"/>
              </w:rPr>
            </w:pPr>
          </w:p>
        </w:tc>
        <w:tc>
          <w:tcPr>
            <w:tcW w:w="672" w:type="dxa"/>
            <w:vMerge w:val="continue"/>
            <w:shd w:val="clear" w:color="auto" w:fill="auto"/>
            <w:vAlign w:val="center"/>
          </w:tcPr>
          <w:p w14:paraId="073836D0">
            <w:pPr>
              <w:jc w:val="center"/>
              <w:rPr>
                <w:rFonts w:hint="eastAsia" w:ascii="宋体" w:hAnsi="宋体" w:eastAsia="宋体" w:cs="宋体"/>
                <w:i w:val="0"/>
                <w:iCs w:val="0"/>
                <w:color w:val="000000"/>
                <w:sz w:val="20"/>
                <w:szCs w:val="20"/>
                <w:u w:val="none"/>
              </w:rPr>
            </w:pPr>
          </w:p>
        </w:tc>
        <w:tc>
          <w:tcPr>
            <w:tcW w:w="770" w:type="dxa"/>
            <w:shd w:val="clear" w:color="auto" w:fill="auto"/>
            <w:vAlign w:val="center"/>
          </w:tcPr>
          <w:p w14:paraId="4E3B42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63" w:type="dxa"/>
            <w:shd w:val="clear" w:color="auto" w:fill="auto"/>
            <w:vAlign w:val="center"/>
          </w:tcPr>
          <w:p w14:paraId="0855D7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困难救助金放率</w:t>
            </w:r>
          </w:p>
        </w:tc>
        <w:tc>
          <w:tcPr>
            <w:tcW w:w="1128" w:type="dxa"/>
            <w:shd w:val="clear" w:color="auto" w:fill="auto"/>
            <w:vAlign w:val="center"/>
          </w:tcPr>
          <w:p w14:paraId="095FBD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9" w:type="dxa"/>
            <w:shd w:val="clear" w:color="auto" w:fill="auto"/>
            <w:vAlign w:val="center"/>
          </w:tcPr>
          <w:p w14:paraId="494EC6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5E1DC537">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22750A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6BC9BA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647240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3EED15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shd w:val="clear" w:color="auto" w:fill="auto"/>
            <w:vAlign w:val="center"/>
          </w:tcPr>
          <w:p w14:paraId="14A978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75ABA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73010499">
            <w:pPr>
              <w:jc w:val="center"/>
              <w:rPr>
                <w:rFonts w:hint="eastAsia" w:ascii="宋体" w:hAnsi="宋体" w:eastAsia="宋体" w:cs="宋体"/>
                <w:i w:val="0"/>
                <w:iCs w:val="0"/>
                <w:color w:val="000000"/>
                <w:sz w:val="20"/>
                <w:szCs w:val="20"/>
                <w:u w:val="none"/>
              </w:rPr>
            </w:pPr>
          </w:p>
        </w:tc>
      </w:tr>
      <w:tr w14:paraId="3DACF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672" w:type="dxa"/>
            <w:vMerge w:val="continue"/>
            <w:shd w:val="clear" w:color="auto" w:fill="auto"/>
            <w:vAlign w:val="center"/>
          </w:tcPr>
          <w:p w14:paraId="7267FA1B">
            <w:pPr>
              <w:jc w:val="center"/>
              <w:rPr>
                <w:rFonts w:hint="eastAsia" w:ascii="宋体" w:hAnsi="宋体" w:eastAsia="宋体" w:cs="宋体"/>
                <w:i w:val="0"/>
                <w:iCs w:val="0"/>
                <w:color w:val="000000"/>
                <w:sz w:val="20"/>
                <w:szCs w:val="20"/>
                <w:u w:val="none"/>
              </w:rPr>
            </w:pPr>
          </w:p>
        </w:tc>
        <w:tc>
          <w:tcPr>
            <w:tcW w:w="672" w:type="dxa"/>
            <w:vMerge w:val="continue"/>
            <w:shd w:val="clear" w:color="auto" w:fill="auto"/>
            <w:vAlign w:val="center"/>
          </w:tcPr>
          <w:p w14:paraId="36D24D52">
            <w:pPr>
              <w:jc w:val="center"/>
              <w:rPr>
                <w:rFonts w:hint="eastAsia" w:ascii="宋体" w:hAnsi="宋体" w:eastAsia="宋体" w:cs="宋体"/>
                <w:i w:val="0"/>
                <w:iCs w:val="0"/>
                <w:color w:val="000000"/>
                <w:sz w:val="20"/>
                <w:szCs w:val="20"/>
                <w:u w:val="none"/>
              </w:rPr>
            </w:pPr>
          </w:p>
        </w:tc>
        <w:tc>
          <w:tcPr>
            <w:tcW w:w="770" w:type="dxa"/>
            <w:shd w:val="clear" w:color="auto" w:fill="auto"/>
            <w:vAlign w:val="center"/>
          </w:tcPr>
          <w:p w14:paraId="5EE7CC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63" w:type="dxa"/>
            <w:shd w:val="clear" w:color="auto" w:fill="auto"/>
            <w:vAlign w:val="center"/>
          </w:tcPr>
          <w:p w14:paraId="4D72E1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困难救助金发放及时率</w:t>
            </w:r>
          </w:p>
        </w:tc>
        <w:tc>
          <w:tcPr>
            <w:tcW w:w="1128" w:type="dxa"/>
            <w:shd w:val="clear" w:color="auto" w:fill="auto"/>
            <w:vAlign w:val="center"/>
          </w:tcPr>
          <w:p w14:paraId="297B7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9" w:type="dxa"/>
            <w:shd w:val="clear" w:color="auto" w:fill="auto"/>
            <w:vAlign w:val="center"/>
          </w:tcPr>
          <w:p w14:paraId="53522D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64BEEAA5">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3D5D5B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0B83BF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6AB3BC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1F12FB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shd w:val="clear" w:color="auto" w:fill="auto"/>
            <w:vAlign w:val="center"/>
          </w:tcPr>
          <w:p w14:paraId="539C95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054A4C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0FFC8644">
            <w:pPr>
              <w:jc w:val="center"/>
              <w:rPr>
                <w:rFonts w:hint="eastAsia" w:ascii="宋体" w:hAnsi="宋体" w:eastAsia="宋体" w:cs="宋体"/>
                <w:i w:val="0"/>
                <w:iCs w:val="0"/>
                <w:color w:val="000000"/>
                <w:sz w:val="20"/>
                <w:szCs w:val="20"/>
                <w:u w:val="none"/>
              </w:rPr>
            </w:pPr>
          </w:p>
        </w:tc>
      </w:tr>
      <w:tr w14:paraId="5304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672" w:type="dxa"/>
            <w:vMerge w:val="continue"/>
            <w:shd w:val="clear" w:color="auto" w:fill="auto"/>
            <w:vAlign w:val="center"/>
          </w:tcPr>
          <w:p w14:paraId="0A6A8D6A">
            <w:pPr>
              <w:jc w:val="center"/>
              <w:rPr>
                <w:rFonts w:hint="eastAsia" w:ascii="宋体" w:hAnsi="宋体" w:eastAsia="宋体" w:cs="宋体"/>
                <w:i w:val="0"/>
                <w:iCs w:val="0"/>
                <w:color w:val="000000"/>
                <w:sz w:val="20"/>
                <w:szCs w:val="20"/>
                <w:u w:val="none"/>
              </w:rPr>
            </w:pPr>
          </w:p>
        </w:tc>
        <w:tc>
          <w:tcPr>
            <w:tcW w:w="672" w:type="dxa"/>
            <w:vMerge w:val="continue"/>
            <w:shd w:val="clear" w:color="auto" w:fill="auto"/>
            <w:vAlign w:val="center"/>
          </w:tcPr>
          <w:p w14:paraId="699BE8EC">
            <w:pPr>
              <w:jc w:val="center"/>
              <w:rPr>
                <w:rFonts w:hint="eastAsia" w:ascii="宋体" w:hAnsi="宋体" w:eastAsia="宋体" w:cs="宋体"/>
                <w:i w:val="0"/>
                <w:iCs w:val="0"/>
                <w:color w:val="000000"/>
                <w:sz w:val="20"/>
                <w:szCs w:val="20"/>
                <w:u w:val="none"/>
              </w:rPr>
            </w:pPr>
          </w:p>
        </w:tc>
        <w:tc>
          <w:tcPr>
            <w:tcW w:w="770" w:type="dxa"/>
            <w:shd w:val="clear" w:color="auto" w:fill="auto"/>
            <w:vAlign w:val="center"/>
          </w:tcPr>
          <w:p w14:paraId="0E4C72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63" w:type="dxa"/>
            <w:shd w:val="clear" w:color="auto" w:fill="auto"/>
            <w:vAlign w:val="center"/>
          </w:tcPr>
          <w:p w14:paraId="4E6B61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1128" w:type="dxa"/>
            <w:shd w:val="clear" w:color="auto" w:fill="auto"/>
            <w:vAlign w:val="center"/>
          </w:tcPr>
          <w:p w14:paraId="26EC50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969" w:type="dxa"/>
            <w:shd w:val="clear" w:color="auto" w:fill="auto"/>
            <w:vAlign w:val="center"/>
          </w:tcPr>
          <w:p w14:paraId="606C0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4604AFF5">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4BA3D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4F64E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547481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1D3E76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2023年12月20日</w:t>
            </w:r>
          </w:p>
        </w:tc>
        <w:tc>
          <w:tcPr>
            <w:tcW w:w="921" w:type="dxa"/>
            <w:shd w:val="clear" w:color="auto" w:fill="auto"/>
            <w:vAlign w:val="center"/>
          </w:tcPr>
          <w:p w14:paraId="3914B5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3ECBBD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07123731">
            <w:pPr>
              <w:jc w:val="center"/>
              <w:rPr>
                <w:rFonts w:hint="eastAsia" w:ascii="宋体" w:hAnsi="宋体" w:eastAsia="宋体" w:cs="宋体"/>
                <w:b/>
                <w:bCs/>
                <w:i w:val="0"/>
                <w:iCs w:val="0"/>
                <w:color w:val="000000"/>
                <w:sz w:val="20"/>
                <w:szCs w:val="20"/>
                <w:u w:val="none"/>
              </w:rPr>
            </w:pPr>
          </w:p>
        </w:tc>
      </w:tr>
      <w:tr w14:paraId="08E3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72" w:type="dxa"/>
            <w:vMerge w:val="continue"/>
            <w:shd w:val="clear" w:color="auto" w:fill="auto"/>
            <w:vAlign w:val="center"/>
          </w:tcPr>
          <w:p w14:paraId="274B8D81">
            <w:pPr>
              <w:jc w:val="center"/>
              <w:rPr>
                <w:rFonts w:hint="eastAsia" w:ascii="宋体" w:hAnsi="宋体" w:eastAsia="宋体" w:cs="宋体"/>
                <w:i w:val="0"/>
                <w:iCs w:val="0"/>
                <w:color w:val="000000"/>
                <w:sz w:val="20"/>
                <w:szCs w:val="20"/>
                <w:u w:val="none"/>
              </w:rPr>
            </w:pPr>
          </w:p>
        </w:tc>
        <w:tc>
          <w:tcPr>
            <w:tcW w:w="672" w:type="dxa"/>
            <w:vMerge w:val="restart"/>
            <w:shd w:val="clear" w:color="auto" w:fill="auto"/>
            <w:vAlign w:val="center"/>
          </w:tcPr>
          <w:p w14:paraId="6306D1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70" w:type="dxa"/>
            <w:shd w:val="clear" w:color="auto" w:fill="auto"/>
            <w:vAlign w:val="center"/>
          </w:tcPr>
          <w:p w14:paraId="443183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63" w:type="dxa"/>
            <w:shd w:val="clear" w:color="auto" w:fill="auto"/>
            <w:vAlign w:val="center"/>
          </w:tcPr>
          <w:p w14:paraId="3A644F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老干部三套组织业务费</w:t>
            </w:r>
          </w:p>
        </w:tc>
        <w:tc>
          <w:tcPr>
            <w:tcW w:w="1128" w:type="dxa"/>
            <w:shd w:val="clear" w:color="auto" w:fill="auto"/>
            <w:vAlign w:val="center"/>
          </w:tcPr>
          <w:p w14:paraId="1A45B7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&lt;=6万元</w:t>
            </w:r>
          </w:p>
        </w:tc>
        <w:tc>
          <w:tcPr>
            <w:tcW w:w="969" w:type="dxa"/>
            <w:shd w:val="clear" w:color="auto" w:fill="auto"/>
            <w:vAlign w:val="center"/>
          </w:tcPr>
          <w:p w14:paraId="1453F1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6CDDBAAA">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6333C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12A40C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261324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79A35C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6万元</w:t>
            </w:r>
          </w:p>
        </w:tc>
        <w:tc>
          <w:tcPr>
            <w:tcW w:w="921" w:type="dxa"/>
            <w:shd w:val="clear" w:color="auto" w:fill="auto"/>
            <w:vAlign w:val="center"/>
          </w:tcPr>
          <w:p w14:paraId="7D94AB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7BF015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2060E8CE">
            <w:pPr>
              <w:jc w:val="center"/>
              <w:rPr>
                <w:rFonts w:hint="eastAsia" w:ascii="宋体" w:hAnsi="宋体" w:eastAsia="宋体" w:cs="宋体"/>
                <w:i w:val="0"/>
                <w:iCs w:val="0"/>
                <w:color w:val="000000"/>
                <w:sz w:val="20"/>
                <w:szCs w:val="20"/>
                <w:u w:val="none"/>
              </w:rPr>
            </w:pPr>
          </w:p>
        </w:tc>
      </w:tr>
      <w:tr w14:paraId="6F66C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72" w:type="dxa"/>
            <w:vMerge w:val="continue"/>
            <w:shd w:val="clear" w:color="auto" w:fill="auto"/>
            <w:vAlign w:val="center"/>
          </w:tcPr>
          <w:p w14:paraId="55A71B37">
            <w:pPr>
              <w:jc w:val="center"/>
              <w:rPr>
                <w:rFonts w:hint="eastAsia" w:ascii="宋体" w:hAnsi="宋体" w:eastAsia="宋体" w:cs="宋体"/>
                <w:i w:val="0"/>
                <w:iCs w:val="0"/>
                <w:color w:val="000000"/>
                <w:sz w:val="20"/>
                <w:szCs w:val="20"/>
                <w:u w:val="none"/>
              </w:rPr>
            </w:pPr>
          </w:p>
        </w:tc>
        <w:tc>
          <w:tcPr>
            <w:tcW w:w="672" w:type="dxa"/>
            <w:vMerge w:val="continue"/>
            <w:shd w:val="clear" w:color="auto" w:fill="auto"/>
            <w:vAlign w:val="center"/>
          </w:tcPr>
          <w:p w14:paraId="1171E6DA">
            <w:pPr>
              <w:jc w:val="center"/>
              <w:rPr>
                <w:rFonts w:hint="eastAsia" w:ascii="宋体" w:hAnsi="宋体" w:eastAsia="宋体" w:cs="宋体"/>
                <w:i w:val="0"/>
                <w:iCs w:val="0"/>
                <w:color w:val="000000"/>
                <w:sz w:val="20"/>
                <w:szCs w:val="20"/>
                <w:u w:val="none"/>
              </w:rPr>
            </w:pPr>
          </w:p>
        </w:tc>
        <w:tc>
          <w:tcPr>
            <w:tcW w:w="770" w:type="dxa"/>
            <w:shd w:val="clear" w:color="auto" w:fill="auto"/>
            <w:vAlign w:val="center"/>
          </w:tcPr>
          <w:p w14:paraId="631A4B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63" w:type="dxa"/>
            <w:shd w:val="clear" w:color="auto" w:fill="auto"/>
            <w:vAlign w:val="center"/>
          </w:tcPr>
          <w:p w14:paraId="343FE1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遗孀困难救助金</w:t>
            </w:r>
          </w:p>
        </w:tc>
        <w:tc>
          <w:tcPr>
            <w:tcW w:w="1128" w:type="dxa"/>
            <w:shd w:val="clear" w:color="auto" w:fill="auto"/>
            <w:vAlign w:val="center"/>
          </w:tcPr>
          <w:p w14:paraId="30CEB4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&lt;=2.50万元</w:t>
            </w:r>
          </w:p>
        </w:tc>
        <w:tc>
          <w:tcPr>
            <w:tcW w:w="969" w:type="dxa"/>
            <w:shd w:val="clear" w:color="auto" w:fill="auto"/>
            <w:vAlign w:val="center"/>
          </w:tcPr>
          <w:p w14:paraId="2CFA7D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12CC7950">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2B887E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0" w:type="dxa"/>
            <w:shd w:val="clear" w:color="auto" w:fill="auto"/>
            <w:vAlign w:val="center"/>
          </w:tcPr>
          <w:p w14:paraId="57F466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0E8EAB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59478A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2.5万元</w:t>
            </w:r>
          </w:p>
        </w:tc>
        <w:tc>
          <w:tcPr>
            <w:tcW w:w="921" w:type="dxa"/>
            <w:shd w:val="clear" w:color="auto" w:fill="auto"/>
            <w:vAlign w:val="center"/>
          </w:tcPr>
          <w:p w14:paraId="540A29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51F101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22" w:type="dxa"/>
            <w:shd w:val="clear" w:color="auto" w:fill="auto"/>
            <w:vAlign w:val="center"/>
          </w:tcPr>
          <w:p w14:paraId="0DE63D2C">
            <w:pPr>
              <w:jc w:val="center"/>
              <w:rPr>
                <w:rFonts w:hint="eastAsia" w:ascii="宋体" w:hAnsi="宋体" w:eastAsia="宋体" w:cs="宋体"/>
                <w:i w:val="0"/>
                <w:iCs w:val="0"/>
                <w:color w:val="000000"/>
                <w:sz w:val="20"/>
                <w:szCs w:val="20"/>
                <w:u w:val="none"/>
              </w:rPr>
            </w:pPr>
          </w:p>
        </w:tc>
      </w:tr>
      <w:tr w14:paraId="51BE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672" w:type="dxa"/>
            <w:vMerge w:val="continue"/>
            <w:shd w:val="clear" w:color="auto" w:fill="auto"/>
            <w:vAlign w:val="center"/>
          </w:tcPr>
          <w:p w14:paraId="1382DEF2">
            <w:pPr>
              <w:jc w:val="center"/>
              <w:rPr>
                <w:rFonts w:hint="eastAsia" w:ascii="宋体" w:hAnsi="宋体" w:eastAsia="宋体" w:cs="宋体"/>
                <w:i w:val="0"/>
                <w:iCs w:val="0"/>
                <w:color w:val="000000"/>
                <w:sz w:val="20"/>
                <w:szCs w:val="20"/>
                <w:u w:val="none"/>
              </w:rPr>
            </w:pPr>
          </w:p>
        </w:tc>
        <w:tc>
          <w:tcPr>
            <w:tcW w:w="672" w:type="dxa"/>
            <w:vMerge w:val="continue"/>
            <w:shd w:val="clear" w:color="auto" w:fill="auto"/>
            <w:vAlign w:val="center"/>
          </w:tcPr>
          <w:p w14:paraId="27186244">
            <w:pPr>
              <w:jc w:val="center"/>
              <w:rPr>
                <w:rFonts w:hint="eastAsia" w:ascii="宋体" w:hAnsi="宋体" w:eastAsia="宋体" w:cs="宋体"/>
                <w:i w:val="0"/>
                <w:iCs w:val="0"/>
                <w:color w:val="000000"/>
                <w:sz w:val="20"/>
                <w:szCs w:val="20"/>
                <w:u w:val="none"/>
              </w:rPr>
            </w:pPr>
          </w:p>
        </w:tc>
        <w:tc>
          <w:tcPr>
            <w:tcW w:w="770" w:type="dxa"/>
            <w:shd w:val="clear" w:color="auto" w:fill="auto"/>
            <w:vAlign w:val="center"/>
          </w:tcPr>
          <w:p w14:paraId="4F3AC4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63" w:type="dxa"/>
            <w:shd w:val="clear" w:color="auto" w:fill="auto"/>
            <w:vAlign w:val="center"/>
          </w:tcPr>
          <w:p w14:paraId="11C47E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聘用人员工资</w:t>
            </w:r>
          </w:p>
        </w:tc>
        <w:tc>
          <w:tcPr>
            <w:tcW w:w="1128" w:type="dxa"/>
            <w:shd w:val="clear" w:color="auto" w:fill="auto"/>
            <w:vAlign w:val="center"/>
          </w:tcPr>
          <w:p w14:paraId="4A1ABD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&lt;=6.50万元</w:t>
            </w:r>
          </w:p>
        </w:tc>
        <w:tc>
          <w:tcPr>
            <w:tcW w:w="969" w:type="dxa"/>
            <w:shd w:val="clear" w:color="auto" w:fill="auto"/>
            <w:vAlign w:val="center"/>
          </w:tcPr>
          <w:p w14:paraId="7941AE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3B1711AA">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573F51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0" w:type="dxa"/>
            <w:shd w:val="clear" w:color="auto" w:fill="auto"/>
            <w:vAlign w:val="center"/>
          </w:tcPr>
          <w:p w14:paraId="62365F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70" w:type="dxa"/>
            <w:shd w:val="clear" w:color="auto" w:fill="auto"/>
            <w:vAlign w:val="center"/>
          </w:tcPr>
          <w:p w14:paraId="2F9DB8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50EFB9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6.5万元</w:t>
            </w:r>
          </w:p>
        </w:tc>
        <w:tc>
          <w:tcPr>
            <w:tcW w:w="921" w:type="dxa"/>
            <w:shd w:val="clear" w:color="auto" w:fill="auto"/>
            <w:vAlign w:val="center"/>
          </w:tcPr>
          <w:p w14:paraId="5AE885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573093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22" w:type="dxa"/>
            <w:shd w:val="clear" w:color="auto" w:fill="auto"/>
            <w:vAlign w:val="center"/>
          </w:tcPr>
          <w:p w14:paraId="2265A63B">
            <w:pPr>
              <w:jc w:val="center"/>
              <w:rPr>
                <w:rFonts w:hint="eastAsia" w:ascii="宋体" w:hAnsi="宋体" w:eastAsia="宋体" w:cs="宋体"/>
                <w:i w:val="0"/>
                <w:iCs w:val="0"/>
                <w:color w:val="000000"/>
                <w:sz w:val="20"/>
                <w:szCs w:val="20"/>
                <w:u w:val="none"/>
              </w:rPr>
            </w:pPr>
          </w:p>
        </w:tc>
      </w:tr>
      <w:tr w14:paraId="58DC3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0" w:hRule="atLeast"/>
        </w:trPr>
        <w:tc>
          <w:tcPr>
            <w:tcW w:w="672" w:type="dxa"/>
            <w:vMerge w:val="continue"/>
            <w:shd w:val="clear" w:color="auto" w:fill="auto"/>
            <w:vAlign w:val="center"/>
          </w:tcPr>
          <w:p w14:paraId="6949AF1D">
            <w:pPr>
              <w:jc w:val="center"/>
              <w:rPr>
                <w:rFonts w:hint="eastAsia" w:ascii="宋体" w:hAnsi="宋体" w:eastAsia="宋体" w:cs="宋体"/>
                <w:i w:val="0"/>
                <w:iCs w:val="0"/>
                <w:color w:val="000000"/>
                <w:sz w:val="20"/>
                <w:szCs w:val="20"/>
                <w:u w:val="none"/>
              </w:rPr>
            </w:pPr>
          </w:p>
        </w:tc>
        <w:tc>
          <w:tcPr>
            <w:tcW w:w="672" w:type="dxa"/>
            <w:shd w:val="clear" w:color="auto" w:fill="auto"/>
            <w:vAlign w:val="center"/>
          </w:tcPr>
          <w:p w14:paraId="42F7C3F9">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70" w:type="dxa"/>
            <w:shd w:val="clear" w:color="auto" w:fill="auto"/>
            <w:vAlign w:val="center"/>
          </w:tcPr>
          <w:p w14:paraId="4EFE74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63" w:type="dxa"/>
            <w:shd w:val="clear" w:color="auto" w:fill="auto"/>
            <w:vAlign w:val="center"/>
          </w:tcPr>
          <w:p w14:paraId="6931FE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遗孀生活水平</w:t>
            </w:r>
          </w:p>
        </w:tc>
        <w:tc>
          <w:tcPr>
            <w:tcW w:w="1128" w:type="dxa"/>
            <w:shd w:val="clear" w:color="auto" w:fill="auto"/>
            <w:vAlign w:val="center"/>
          </w:tcPr>
          <w:p w14:paraId="605283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9" w:type="dxa"/>
            <w:shd w:val="clear" w:color="auto" w:fill="auto"/>
            <w:vAlign w:val="center"/>
          </w:tcPr>
          <w:p w14:paraId="05350A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23F7C554">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20D54D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60" w:type="dxa"/>
            <w:shd w:val="clear" w:color="auto" w:fill="auto"/>
            <w:vAlign w:val="center"/>
          </w:tcPr>
          <w:p w14:paraId="651C36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70" w:type="dxa"/>
            <w:shd w:val="clear" w:color="auto" w:fill="auto"/>
            <w:vAlign w:val="center"/>
          </w:tcPr>
          <w:p w14:paraId="16D064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0930F7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shd w:val="clear" w:color="auto" w:fill="auto"/>
            <w:vAlign w:val="center"/>
          </w:tcPr>
          <w:p w14:paraId="046CD3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10F51C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22" w:type="dxa"/>
            <w:shd w:val="clear" w:color="auto" w:fill="auto"/>
            <w:vAlign w:val="center"/>
          </w:tcPr>
          <w:p w14:paraId="23FC668A">
            <w:pPr>
              <w:jc w:val="center"/>
              <w:rPr>
                <w:rFonts w:hint="eastAsia" w:ascii="宋体" w:hAnsi="宋体" w:eastAsia="宋体" w:cs="宋体"/>
                <w:i w:val="0"/>
                <w:iCs w:val="0"/>
                <w:color w:val="000000"/>
                <w:sz w:val="20"/>
                <w:szCs w:val="20"/>
                <w:u w:val="none"/>
              </w:rPr>
            </w:pPr>
          </w:p>
        </w:tc>
      </w:tr>
      <w:tr w14:paraId="7B530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trPr>
        <w:tc>
          <w:tcPr>
            <w:tcW w:w="672" w:type="dxa"/>
            <w:vMerge w:val="continue"/>
            <w:shd w:val="clear" w:color="auto" w:fill="auto"/>
            <w:vAlign w:val="center"/>
          </w:tcPr>
          <w:p w14:paraId="5C9B2D03">
            <w:pPr>
              <w:jc w:val="center"/>
              <w:rPr>
                <w:rFonts w:hint="eastAsia" w:ascii="宋体" w:hAnsi="宋体" w:eastAsia="宋体" w:cs="宋体"/>
                <w:i w:val="0"/>
                <w:iCs w:val="0"/>
                <w:color w:val="000000"/>
                <w:sz w:val="20"/>
                <w:szCs w:val="20"/>
                <w:u w:val="none"/>
              </w:rPr>
            </w:pPr>
          </w:p>
        </w:tc>
        <w:tc>
          <w:tcPr>
            <w:tcW w:w="672" w:type="dxa"/>
            <w:shd w:val="clear" w:color="auto" w:fill="auto"/>
            <w:vAlign w:val="center"/>
          </w:tcPr>
          <w:p w14:paraId="457550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0" w:type="dxa"/>
            <w:shd w:val="clear" w:color="auto" w:fill="auto"/>
            <w:vAlign w:val="center"/>
          </w:tcPr>
          <w:p w14:paraId="3E41C6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63" w:type="dxa"/>
            <w:shd w:val="clear" w:color="auto" w:fill="auto"/>
            <w:vAlign w:val="center"/>
          </w:tcPr>
          <w:p w14:paraId="279CD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遗孀及聘用人员满意度</w:t>
            </w:r>
          </w:p>
        </w:tc>
        <w:tc>
          <w:tcPr>
            <w:tcW w:w="1128" w:type="dxa"/>
            <w:shd w:val="clear" w:color="auto" w:fill="auto"/>
            <w:vAlign w:val="center"/>
          </w:tcPr>
          <w:p w14:paraId="170E2B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969" w:type="dxa"/>
            <w:shd w:val="clear" w:color="auto" w:fill="auto"/>
            <w:vAlign w:val="center"/>
          </w:tcPr>
          <w:p w14:paraId="0DF814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5" w:type="dxa"/>
            <w:shd w:val="clear" w:color="auto" w:fill="auto"/>
            <w:vAlign w:val="center"/>
          </w:tcPr>
          <w:p w14:paraId="02A196D8">
            <w:pPr>
              <w:keepNext w:val="0"/>
              <w:keepLines w:val="0"/>
              <w:widowControl/>
              <w:suppressLineNumbers w:val="0"/>
              <w:ind w:firstLine="400" w:firstLineChars="20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shd w:val="clear" w:color="auto" w:fill="auto"/>
            <w:vAlign w:val="center"/>
          </w:tcPr>
          <w:p w14:paraId="3599D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0" w:type="dxa"/>
            <w:shd w:val="clear" w:color="auto" w:fill="auto"/>
            <w:vAlign w:val="center"/>
          </w:tcPr>
          <w:p w14:paraId="42D7A6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70" w:type="dxa"/>
            <w:shd w:val="clear" w:color="auto" w:fill="auto"/>
            <w:vAlign w:val="center"/>
          </w:tcPr>
          <w:p w14:paraId="7163A8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91" w:type="dxa"/>
            <w:shd w:val="clear" w:color="auto" w:fill="auto"/>
            <w:vAlign w:val="center"/>
          </w:tcPr>
          <w:p w14:paraId="2317C4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shd w:val="clear" w:color="auto" w:fill="auto"/>
            <w:vAlign w:val="center"/>
          </w:tcPr>
          <w:p w14:paraId="4D9A01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1" w:type="dxa"/>
            <w:shd w:val="clear" w:color="auto" w:fill="auto"/>
            <w:vAlign w:val="center"/>
          </w:tcPr>
          <w:p w14:paraId="663ED1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22" w:type="dxa"/>
            <w:shd w:val="clear" w:color="auto" w:fill="auto"/>
            <w:vAlign w:val="center"/>
          </w:tcPr>
          <w:p w14:paraId="20F977FE">
            <w:pPr>
              <w:jc w:val="center"/>
              <w:rPr>
                <w:rFonts w:hint="eastAsia" w:ascii="宋体" w:hAnsi="宋体" w:eastAsia="宋体" w:cs="宋体"/>
                <w:i w:val="0"/>
                <w:iCs w:val="0"/>
                <w:color w:val="000000"/>
                <w:sz w:val="20"/>
                <w:szCs w:val="20"/>
                <w:u w:val="none"/>
              </w:rPr>
            </w:pPr>
          </w:p>
        </w:tc>
      </w:tr>
      <w:tr w14:paraId="01C1A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177" w:type="dxa"/>
            <w:gridSpan w:val="4"/>
            <w:shd w:val="clear" w:color="auto" w:fill="auto"/>
            <w:vAlign w:val="center"/>
          </w:tcPr>
          <w:p w14:paraId="7BC46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28" w:type="dxa"/>
            <w:shd w:val="clear" w:color="auto" w:fill="auto"/>
            <w:vAlign w:val="center"/>
          </w:tcPr>
          <w:p w14:paraId="10FC9F08">
            <w:pPr>
              <w:jc w:val="center"/>
              <w:rPr>
                <w:rFonts w:hint="eastAsia" w:ascii="宋体" w:hAnsi="宋体" w:eastAsia="宋体" w:cs="宋体"/>
                <w:i w:val="0"/>
                <w:iCs w:val="0"/>
                <w:color w:val="000000"/>
                <w:sz w:val="20"/>
                <w:szCs w:val="20"/>
                <w:u w:val="none"/>
              </w:rPr>
            </w:pPr>
          </w:p>
        </w:tc>
        <w:tc>
          <w:tcPr>
            <w:tcW w:w="969" w:type="dxa"/>
            <w:shd w:val="clear" w:color="auto" w:fill="auto"/>
            <w:vAlign w:val="center"/>
          </w:tcPr>
          <w:p w14:paraId="24DFA9AC">
            <w:pPr>
              <w:rPr>
                <w:rFonts w:hint="eastAsia" w:ascii="宋体" w:hAnsi="宋体" w:eastAsia="宋体" w:cs="宋体"/>
                <w:b/>
                <w:bCs/>
                <w:i w:val="0"/>
                <w:iCs w:val="0"/>
                <w:color w:val="000000"/>
                <w:sz w:val="20"/>
                <w:szCs w:val="20"/>
                <w:u w:val="none"/>
              </w:rPr>
            </w:pPr>
          </w:p>
        </w:tc>
        <w:tc>
          <w:tcPr>
            <w:tcW w:w="885" w:type="dxa"/>
            <w:shd w:val="clear" w:color="auto" w:fill="auto"/>
            <w:vAlign w:val="center"/>
          </w:tcPr>
          <w:p w14:paraId="5B07BE7C">
            <w:pPr>
              <w:jc w:val="center"/>
              <w:rPr>
                <w:rFonts w:hint="eastAsia" w:ascii="宋体" w:hAnsi="宋体" w:eastAsia="宋体" w:cs="宋体"/>
                <w:i w:val="0"/>
                <w:iCs w:val="0"/>
                <w:color w:val="000000"/>
                <w:sz w:val="20"/>
                <w:szCs w:val="20"/>
                <w:u w:val="none"/>
              </w:rPr>
            </w:pPr>
          </w:p>
        </w:tc>
        <w:tc>
          <w:tcPr>
            <w:tcW w:w="960" w:type="dxa"/>
            <w:shd w:val="clear" w:color="auto" w:fill="auto"/>
            <w:vAlign w:val="center"/>
          </w:tcPr>
          <w:p w14:paraId="4AD1A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60" w:type="dxa"/>
            <w:shd w:val="clear" w:color="auto" w:fill="auto"/>
            <w:vAlign w:val="center"/>
          </w:tcPr>
          <w:p w14:paraId="37CBB663">
            <w:pPr>
              <w:jc w:val="center"/>
              <w:rPr>
                <w:rFonts w:hint="eastAsia" w:ascii="宋体" w:hAnsi="宋体" w:eastAsia="宋体" w:cs="宋体"/>
                <w:i w:val="0"/>
                <w:iCs w:val="0"/>
                <w:color w:val="000000"/>
                <w:sz w:val="20"/>
                <w:szCs w:val="20"/>
                <w:u w:val="none"/>
              </w:rPr>
            </w:pPr>
          </w:p>
        </w:tc>
        <w:tc>
          <w:tcPr>
            <w:tcW w:w="1070" w:type="dxa"/>
            <w:shd w:val="clear" w:color="auto" w:fill="auto"/>
            <w:vAlign w:val="center"/>
          </w:tcPr>
          <w:p w14:paraId="71862CD6">
            <w:pPr>
              <w:rPr>
                <w:rFonts w:hint="eastAsia" w:ascii="宋体" w:hAnsi="宋体" w:eastAsia="宋体" w:cs="宋体"/>
                <w:i w:val="0"/>
                <w:iCs w:val="0"/>
                <w:color w:val="000000"/>
                <w:sz w:val="20"/>
                <w:szCs w:val="20"/>
                <w:u w:val="none"/>
              </w:rPr>
            </w:pPr>
          </w:p>
        </w:tc>
        <w:tc>
          <w:tcPr>
            <w:tcW w:w="1091" w:type="dxa"/>
            <w:shd w:val="clear" w:color="auto" w:fill="auto"/>
            <w:vAlign w:val="center"/>
          </w:tcPr>
          <w:p w14:paraId="381D6EEA">
            <w:pPr>
              <w:rPr>
                <w:rFonts w:hint="eastAsia" w:ascii="宋体" w:hAnsi="宋体" w:eastAsia="宋体" w:cs="宋体"/>
                <w:i w:val="0"/>
                <w:iCs w:val="0"/>
                <w:color w:val="000000"/>
                <w:sz w:val="20"/>
                <w:szCs w:val="20"/>
                <w:u w:val="none"/>
              </w:rPr>
            </w:pPr>
          </w:p>
        </w:tc>
        <w:tc>
          <w:tcPr>
            <w:tcW w:w="921" w:type="dxa"/>
            <w:shd w:val="clear" w:color="auto" w:fill="auto"/>
            <w:vAlign w:val="center"/>
          </w:tcPr>
          <w:p w14:paraId="76E53BB8">
            <w:pPr>
              <w:rPr>
                <w:rFonts w:hint="eastAsia" w:ascii="宋体" w:hAnsi="宋体" w:eastAsia="宋体" w:cs="宋体"/>
                <w:i w:val="0"/>
                <w:iCs w:val="0"/>
                <w:color w:val="000000"/>
                <w:sz w:val="20"/>
                <w:szCs w:val="20"/>
                <w:u w:val="none"/>
              </w:rPr>
            </w:pPr>
          </w:p>
        </w:tc>
        <w:tc>
          <w:tcPr>
            <w:tcW w:w="1091" w:type="dxa"/>
            <w:shd w:val="clear" w:color="auto" w:fill="auto"/>
            <w:vAlign w:val="center"/>
          </w:tcPr>
          <w:p w14:paraId="7BBF90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922" w:type="dxa"/>
            <w:shd w:val="clear" w:color="auto" w:fill="auto"/>
            <w:vAlign w:val="center"/>
          </w:tcPr>
          <w:p w14:paraId="5635359D">
            <w:pPr>
              <w:rPr>
                <w:rFonts w:hint="eastAsia" w:ascii="宋体" w:hAnsi="宋体" w:eastAsia="宋体" w:cs="宋体"/>
                <w:i w:val="0"/>
                <w:iCs w:val="0"/>
                <w:color w:val="000000"/>
                <w:sz w:val="20"/>
                <w:szCs w:val="20"/>
                <w:u w:val="none"/>
              </w:rPr>
            </w:pPr>
          </w:p>
        </w:tc>
      </w:tr>
    </w:tbl>
    <w:p w14:paraId="1029DC4A">
      <w:pPr>
        <w:pStyle w:val="2"/>
        <w:rPr>
          <w:rFonts w:hint="default"/>
          <w:lang w:val="en-US" w:eastAsia="zh-CN"/>
        </w:rPr>
        <w:sectPr>
          <w:pgSz w:w="16838" w:h="11906" w:orient="landscape"/>
          <w:pgMar w:top="1803" w:right="1440" w:bottom="1803" w:left="1440" w:header="737" w:footer="850" w:gutter="0"/>
          <w:pgNumType w:fmt="decimal" w:start="1"/>
          <w:cols w:space="0" w:num="1"/>
          <w:rtlGutter w:val="0"/>
          <w:docGrid w:type="lines" w:linePitch="415" w:charSpace="0"/>
        </w:sectPr>
      </w:pPr>
    </w:p>
    <w:p w14:paraId="441AD215">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44" w:name="_Toc15067"/>
      <w:bookmarkStart w:id="145" w:name="_Toc21936"/>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144"/>
      <w:bookmarkEnd w:id="145"/>
    </w:p>
    <w:tbl>
      <w:tblPr>
        <w:tblStyle w:val="16"/>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2272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5CE875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0644CC0A">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14:paraId="062B182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14:paraId="37AF786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6FF15C8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72193522">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0FF4B97A">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6F5F0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95B98D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6733ECC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E03F5E7">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7D86328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noWrap w:val="0"/>
            <w:vAlign w:val="center"/>
          </w:tcPr>
          <w:p w14:paraId="3915D93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A5915B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noWrap w:val="0"/>
            <w:vAlign w:val="center"/>
          </w:tcPr>
          <w:p w14:paraId="5A5AB00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75CE15E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453AF0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0CF1C1F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0BB3267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2562951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4D4C554A">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2854B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4E8E672">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49B6D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5EA3AC0F">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62C8F132">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32B8548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0EEB9FE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noWrap w:val="0"/>
            <w:vAlign w:val="center"/>
          </w:tcPr>
          <w:p w14:paraId="3F73702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noWrap w:val="0"/>
            <w:vAlign w:val="center"/>
          </w:tcPr>
          <w:p w14:paraId="70EAB47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FDD4ED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4310A3D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0330E708">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14:paraId="4464F4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8471A05">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32F3E8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B4ACBF8">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49D818C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14:paraId="6139E8E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6B5523A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69A3C54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F2512C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7F4B18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721F7E8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0B9B5C3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5E2DFD77">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009A569F">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5ACBBF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346DEC7">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A5D8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200CDD5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3FAA7C2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14:paraId="4B2F9C7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137164E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14:paraId="0E76CE6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68E1823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33FE31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27A76EE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48191B6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081C7A6D">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18DA8A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74B4712">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BEDB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7CD7856">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669094A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71A0E39E">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5F54C2F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8AF29A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noWrap w:val="0"/>
            <w:vAlign w:val="center"/>
          </w:tcPr>
          <w:p w14:paraId="7C9A53C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55EDD38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3CBD97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2373230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5D7F0DB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3AABC80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6FBC1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0C501EF">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w:t>
            </w:r>
          </w:p>
        </w:tc>
      </w:tr>
      <w:tr w14:paraId="5AD65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3D3ED2F">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288B0648">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51CEDCD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2DE428C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540B7B9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B5B4F7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E24BF8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165A327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7AAED4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C953865">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366FE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43B7BEF">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0F4F200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074076F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14:paraId="755B3A3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6180A59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569DE44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7AB22DF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135B07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4CADF7B">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96F4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3A30C7BE">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38B58640">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14:paraId="40C69DC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14:paraId="540D41A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480749E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41DC9EB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2057D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DA6062B">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6F87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14:paraId="482F245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A0669EA">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598A22B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2510ECE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14C4F93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noWrap w:val="0"/>
            <w:vAlign w:val="center"/>
          </w:tcPr>
          <w:p w14:paraId="3F47A79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4B962B9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411ADE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69F500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2C68F9D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1C86102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1333E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D4F11C9">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1D66C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8939951">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2C9CB9A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256E904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6FA6EF9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08D8B26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noWrap w:val="0"/>
            <w:vAlign w:val="center"/>
          </w:tcPr>
          <w:p w14:paraId="363D230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F6FBBA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0ACB01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30ACE67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39E2A6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508115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4CD9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21572BB">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2AF193C7">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537ED89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6816257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noWrap w:val="0"/>
            <w:vAlign w:val="center"/>
          </w:tcPr>
          <w:p w14:paraId="22007A9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5D41765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79A687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5E62E62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61430CD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37E814B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2369D9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7A6E394">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5E814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93" w:hRule="atLeast"/>
          <w:jc w:val="center"/>
        </w:trPr>
        <w:tc>
          <w:tcPr>
            <w:tcW w:w="861" w:type="dxa"/>
            <w:shd w:val="clear" w:color="auto" w:fill="auto"/>
            <w:noWrap w:val="0"/>
            <w:vAlign w:val="center"/>
          </w:tcPr>
          <w:p w14:paraId="2FAA0929">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w:t>
            </w:r>
          </w:p>
        </w:tc>
        <w:tc>
          <w:tcPr>
            <w:tcW w:w="727" w:type="dxa"/>
            <w:shd w:val="clear" w:color="auto" w:fill="auto"/>
            <w:noWrap w:val="0"/>
            <w:vAlign w:val="center"/>
          </w:tcPr>
          <w:p w14:paraId="6090C38F">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产出数量</w:t>
            </w:r>
          </w:p>
        </w:tc>
        <w:tc>
          <w:tcPr>
            <w:tcW w:w="820" w:type="dxa"/>
            <w:shd w:val="clear" w:color="auto" w:fill="auto"/>
            <w:noWrap w:val="0"/>
            <w:vAlign w:val="center"/>
          </w:tcPr>
          <w:p w14:paraId="692B3FDF">
            <w:pPr>
              <w:widowControl/>
              <w:spacing w:line="0" w:lineRule="atLeast"/>
              <w:ind w:firstLine="0" w:firstLineChars="0"/>
              <w:jc w:val="both"/>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遗孀困难救助金发放人员</w:t>
            </w:r>
          </w:p>
        </w:tc>
        <w:tc>
          <w:tcPr>
            <w:tcW w:w="2141" w:type="dxa"/>
            <w:shd w:val="clear" w:color="auto" w:fill="auto"/>
            <w:noWrap w:val="0"/>
            <w:vAlign w:val="center"/>
          </w:tcPr>
          <w:p w14:paraId="2099AB8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shd w:val="clear" w:color="auto" w:fill="auto"/>
            <w:noWrap w:val="0"/>
            <w:vAlign w:val="center"/>
          </w:tcPr>
          <w:p w14:paraId="1499B89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E3B264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F2755F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14:paraId="6BB5770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748D525E">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57A94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B9DBD77">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w:t>
            </w:r>
          </w:p>
        </w:tc>
        <w:tc>
          <w:tcPr>
            <w:tcW w:w="727" w:type="dxa"/>
            <w:shd w:val="clear" w:color="auto" w:fill="auto"/>
            <w:noWrap w:val="0"/>
            <w:vAlign w:val="center"/>
          </w:tcPr>
          <w:p w14:paraId="3B201BB2">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产出质量</w:t>
            </w:r>
          </w:p>
        </w:tc>
        <w:tc>
          <w:tcPr>
            <w:tcW w:w="820" w:type="dxa"/>
            <w:shd w:val="clear" w:color="auto" w:fill="auto"/>
            <w:noWrap w:val="0"/>
            <w:vAlign w:val="center"/>
          </w:tcPr>
          <w:p w14:paraId="5B92646A">
            <w:pPr>
              <w:widowControl/>
              <w:spacing w:line="0" w:lineRule="atLeast"/>
              <w:ind w:firstLine="0" w:firstLineChars="0"/>
              <w:jc w:val="both"/>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困难救助金放率</w:t>
            </w:r>
          </w:p>
        </w:tc>
        <w:tc>
          <w:tcPr>
            <w:tcW w:w="2141" w:type="dxa"/>
            <w:shd w:val="clear" w:color="auto" w:fill="auto"/>
            <w:noWrap w:val="0"/>
            <w:vAlign w:val="center"/>
          </w:tcPr>
          <w:p w14:paraId="5381B53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shd w:val="clear" w:color="auto" w:fill="auto"/>
            <w:noWrap w:val="0"/>
            <w:vAlign w:val="center"/>
          </w:tcPr>
          <w:p w14:paraId="4E5574B1">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40137A0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1975526">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177AC583">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115D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BC211E0">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6FF1091E">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产出时效</w:t>
            </w:r>
          </w:p>
        </w:tc>
        <w:tc>
          <w:tcPr>
            <w:tcW w:w="820" w:type="dxa"/>
            <w:shd w:val="clear" w:color="auto" w:fill="auto"/>
            <w:noWrap w:val="0"/>
            <w:vAlign w:val="center"/>
          </w:tcPr>
          <w:p w14:paraId="44DDAF03">
            <w:pPr>
              <w:widowControl/>
              <w:spacing w:line="0" w:lineRule="atLeast"/>
              <w:ind w:firstLine="0" w:firstLineChars="0"/>
              <w:jc w:val="both"/>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困难救助金发放及时率</w:t>
            </w:r>
          </w:p>
        </w:tc>
        <w:tc>
          <w:tcPr>
            <w:tcW w:w="2141" w:type="dxa"/>
            <w:shd w:val="clear" w:color="auto" w:fill="auto"/>
            <w:noWrap w:val="0"/>
            <w:vAlign w:val="center"/>
          </w:tcPr>
          <w:p w14:paraId="7A903EE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2EEE4A0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5209BA2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053AB68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4BE8EF8E">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5F2E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EDE0908">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372988ED">
            <w:pPr>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产出时效</w:t>
            </w:r>
          </w:p>
        </w:tc>
        <w:tc>
          <w:tcPr>
            <w:tcW w:w="820" w:type="dxa"/>
            <w:shd w:val="clear" w:color="auto" w:fill="auto"/>
            <w:noWrap w:val="0"/>
            <w:vAlign w:val="center"/>
          </w:tcPr>
          <w:p w14:paraId="0DE8B802">
            <w:pPr>
              <w:keepNext w:val="0"/>
              <w:keepLines w:val="0"/>
              <w:widowControl/>
              <w:suppressLineNumbers w:val="0"/>
              <w:ind w:left="0" w:leftChars="0" w:firstLine="0" w:firstLineChars="0"/>
              <w:jc w:val="left"/>
              <w:textAlignment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项目完成时限</w:t>
            </w:r>
          </w:p>
        </w:tc>
        <w:tc>
          <w:tcPr>
            <w:tcW w:w="2141" w:type="dxa"/>
            <w:shd w:val="clear" w:color="auto" w:fill="auto"/>
            <w:noWrap w:val="0"/>
            <w:vAlign w:val="center"/>
          </w:tcPr>
          <w:p w14:paraId="5CD6078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shd w:val="clear" w:color="auto" w:fill="auto"/>
            <w:noWrap w:val="0"/>
            <w:vAlign w:val="center"/>
          </w:tcPr>
          <w:p w14:paraId="775D38B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6D1D3E7E">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14:paraId="6773599C">
            <w:pPr>
              <w:widowControl/>
              <w:spacing w:line="0" w:lineRule="atLeast"/>
              <w:ind w:firstLine="0" w:firstLineChars="0"/>
              <w:jc w:val="center"/>
              <w:rPr>
                <w:rFonts w:hint="eastAsia"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5F397D71">
            <w:pPr>
              <w:widowControl/>
              <w:spacing w:line="0" w:lineRule="atLeast"/>
              <w:ind w:firstLine="0" w:firstLineChars="0"/>
              <w:jc w:val="center"/>
              <w:rPr>
                <w:rFonts w:hint="eastAsia" w:cs="宋体"/>
                <w:color w:val="000000"/>
                <w:kern w:val="0"/>
                <w:sz w:val="22"/>
                <w:szCs w:val="22"/>
                <w:lang w:val="en-US" w:eastAsia="zh-CN"/>
              </w:rPr>
            </w:pPr>
            <w:r>
              <w:rPr>
                <w:rFonts w:hint="eastAsia" w:cs="宋体"/>
                <w:color w:val="000000"/>
                <w:kern w:val="0"/>
                <w:sz w:val="22"/>
                <w:szCs w:val="22"/>
                <w:lang w:val="en-US" w:eastAsia="zh-CN"/>
              </w:rPr>
              <w:t>4</w:t>
            </w:r>
          </w:p>
        </w:tc>
      </w:tr>
      <w:tr w14:paraId="79FD1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24" w:hRule="atLeast"/>
          <w:jc w:val="center"/>
        </w:trPr>
        <w:tc>
          <w:tcPr>
            <w:tcW w:w="861" w:type="dxa"/>
            <w:vMerge w:val="continue"/>
            <w:shd w:val="clear" w:color="auto" w:fill="auto"/>
            <w:noWrap w:val="0"/>
            <w:vAlign w:val="center"/>
          </w:tcPr>
          <w:p w14:paraId="29ABE2D6">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266DED0E">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产出成本</w:t>
            </w:r>
          </w:p>
        </w:tc>
        <w:tc>
          <w:tcPr>
            <w:tcW w:w="820" w:type="dxa"/>
            <w:shd w:val="clear" w:color="auto" w:fill="auto"/>
            <w:noWrap w:val="0"/>
            <w:vAlign w:val="center"/>
          </w:tcPr>
          <w:p w14:paraId="1BF46E70">
            <w:pPr>
              <w:keepNext w:val="0"/>
              <w:keepLines w:val="0"/>
              <w:pageBreakBefore w:val="0"/>
              <w:widowControl/>
              <w:kinsoku/>
              <w:wordWrap/>
              <w:overflowPunct/>
              <w:topLinePunct w:val="0"/>
              <w:autoSpaceDE/>
              <w:autoSpaceDN/>
              <w:bidi w:val="0"/>
              <w:adjustRightInd/>
              <w:snapToGrid/>
              <w:spacing w:line="340" w:lineRule="exact"/>
              <w:ind w:firstLine="0" w:firstLineChars="0"/>
              <w:jc w:val="both"/>
              <w:rPr>
                <w:rFonts w:hint="eastAsia"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老干部三套组织业务费</w:t>
            </w:r>
          </w:p>
        </w:tc>
        <w:tc>
          <w:tcPr>
            <w:tcW w:w="2141" w:type="dxa"/>
            <w:shd w:val="clear" w:color="auto" w:fill="auto"/>
            <w:noWrap w:val="0"/>
            <w:vAlign w:val="center"/>
          </w:tcPr>
          <w:p w14:paraId="27C348A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14276216">
            <w:pPr>
              <w:widowControl/>
              <w:spacing w:line="0" w:lineRule="atLeast"/>
              <w:ind w:firstLine="0" w:firstLineChars="0"/>
              <w:rPr>
                <w:rFonts w:hint="eastAsia" w:ascii="宋体" w:hAnsi="宋体" w:eastAsia="宋体" w:cs="宋体"/>
                <w:color w:val="000000"/>
                <w:kern w:val="0"/>
                <w:sz w:val="22"/>
                <w:szCs w:val="22"/>
                <w:lang w:eastAsia="zh-CN"/>
              </w:rPr>
            </w:pPr>
          </w:p>
          <w:p w14:paraId="3A41ADA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4308B3F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2FCEA12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52282B95">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7DD63F15">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0195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64" w:hRule="atLeast"/>
          <w:jc w:val="center"/>
        </w:trPr>
        <w:tc>
          <w:tcPr>
            <w:tcW w:w="861" w:type="dxa"/>
            <w:shd w:val="clear" w:color="auto" w:fill="auto"/>
            <w:noWrap w:val="0"/>
            <w:vAlign w:val="center"/>
          </w:tcPr>
          <w:p w14:paraId="5517FB2C">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6D0E3E7B">
            <w:pPr>
              <w:widowControl/>
              <w:spacing w:line="0" w:lineRule="atLeast"/>
              <w:ind w:left="0" w:leftChars="0" w:firstLine="0" w:firstLineChars="0"/>
              <w:jc w:val="both"/>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产出成本</w:t>
            </w:r>
          </w:p>
        </w:tc>
        <w:tc>
          <w:tcPr>
            <w:tcW w:w="820" w:type="dxa"/>
            <w:shd w:val="clear" w:color="auto" w:fill="auto"/>
            <w:noWrap w:val="0"/>
            <w:vAlign w:val="center"/>
          </w:tcPr>
          <w:p w14:paraId="726E7248">
            <w:pPr>
              <w:keepNext w:val="0"/>
              <w:keepLines w:val="0"/>
              <w:pageBreakBefore w:val="0"/>
              <w:widowControl/>
              <w:kinsoku/>
              <w:wordWrap/>
              <w:overflowPunct/>
              <w:topLinePunct w:val="0"/>
              <w:autoSpaceDE/>
              <w:autoSpaceDN/>
              <w:bidi w:val="0"/>
              <w:adjustRightInd/>
              <w:snapToGrid/>
              <w:spacing w:line="340" w:lineRule="exact"/>
              <w:ind w:firstLine="0" w:firstLineChars="0"/>
              <w:jc w:val="both"/>
              <w:rPr>
                <w:rFonts w:hint="eastAsia"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遗孀困难救助金</w:t>
            </w:r>
          </w:p>
        </w:tc>
        <w:tc>
          <w:tcPr>
            <w:tcW w:w="2141" w:type="dxa"/>
            <w:shd w:val="clear" w:color="auto" w:fill="auto"/>
            <w:noWrap w:val="0"/>
            <w:vAlign w:val="center"/>
          </w:tcPr>
          <w:p w14:paraId="40021A55">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02334F89">
            <w:pPr>
              <w:widowControl/>
              <w:spacing w:line="0" w:lineRule="atLeast"/>
              <w:ind w:firstLine="0" w:firstLineChars="0"/>
              <w:rPr>
                <w:rFonts w:hint="eastAsia" w:ascii="宋体" w:hAnsi="宋体" w:eastAsia="宋体" w:cs="宋体"/>
                <w:color w:val="000000"/>
                <w:kern w:val="0"/>
                <w:sz w:val="22"/>
                <w:szCs w:val="22"/>
                <w:lang w:eastAsia="zh-CN"/>
              </w:rPr>
            </w:pPr>
          </w:p>
          <w:p w14:paraId="7CD2390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6E371C7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0AEB398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6A7973B2">
            <w:pPr>
              <w:widowControl/>
              <w:spacing w:line="0" w:lineRule="atLeast"/>
              <w:ind w:firstLine="0" w:firstLineChars="0"/>
              <w:jc w:val="center"/>
              <w:rPr>
                <w:rFonts w:hint="default"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34E020A0">
            <w:pPr>
              <w:widowControl/>
              <w:spacing w:line="0" w:lineRule="atLeast"/>
              <w:ind w:firstLine="0" w:firstLineChars="0"/>
              <w:jc w:val="center"/>
              <w:rPr>
                <w:rFonts w:hint="default" w:cs="宋体"/>
                <w:color w:val="000000"/>
                <w:kern w:val="0"/>
                <w:sz w:val="22"/>
                <w:szCs w:val="22"/>
                <w:lang w:val="en-US" w:eastAsia="zh-CN"/>
              </w:rPr>
            </w:pPr>
            <w:r>
              <w:rPr>
                <w:rFonts w:hint="eastAsia" w:cs="宋体"/>
                <w:color w:val="000000"/>
                <w:kern w:val="0"/>
                <w:sz w:val="22"/>
                <w:szCs w:val="22"/>
                <w:lang w:val="en-US" w:eastAsia="zh-CN"/>
              </w:rPr>
              <w:t>5</w:t>
            </w:r>
          </w:p>
        </w:tc>
      </w:tr>
      <w:tr w14:paraId="53B0B0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28" w:hRule="atLeast"/>
          <w:jc w:val="center"/>
        </w:trPr>
        <w:tc>
          <w:tcPr>
            <w:tcW w:w="861" w:type="dxa"/>
            <w:shd w:val="clear" w:color="auto" w:fill="auto"/>
            <w:noWrap w:val="0"/>
            <w:vAlign w:val="center"/>
          </w:tcPr>
          <w:p w14:paraId="52F0B72A">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78F5B40D">
            <w:pPr>
              <w:widowControl/>
              <w:spacing w:line="0" w:lineRule="atLeast"/>
              <w:ind w:left="0" w:leftChars="0" w:firstLine="0" w:firstLineChars="0"/>
              <w:jc w:val="both"/>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产出成本</w:t>
            </w:r>
          </w:p>
        </w:tc>
        <w:tc>
          <w:tcPr>
            <w:tcW w:w="820" w:type="dxa"/>
            <w:shd w:val="clear" w:color="auto" w:fill="auto"/>
            <w:noWrap w:val="0"/>
            <w:vAlign w:val="center"/>
          </w:tcPr>
          <w:p w14:paraId="2F9890AC">
            <w:pPr>
              <w:keepNext w:val="0"/>
              <w:keepLines w:val="0"/>
              <w:pageBreakBefore w:val="0"/>
              <w:widowControl/>
              <w:kinsoku/>
              <w:wordWrap/>
              <w:overflowPunct/>
              <w:topLinePunct w:val="0"/>
              <w:autoSpaceDE/>
              <w:autoSpaceDN/>
              <w:bidi w:val="0"/>
              <w:adjustRightInd/>
              <w:snapToGrid/>
              <w:spacing w:line="340" w:lineRule="exact"/>
              <w:ind w:firstLine="0" w:firstLineChars="0"/>
              <w:jc w:val="both"/>
              <w:rPr>
                <w:rFonts w:hint="eastAsia"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聘用人员工资</w:t>
            </w:r>
          </w:p>
        </w:tc>
        <w:tc>
          <w:tcPr>
            <w:tcW w:w="2141" w:type="dxa"/>
            <w:shd w:val="clear" w:color="auto" w:fill="auto"/>
            <w:noWrap w:val="0"/>
            <w:vAlign w:val="center"/>
          </w:tcPr>
          <w:p w14:paraId="6832C5C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shd w:val="clear" w:color="auto" w:fill="auto"/>
            <w:noWrap w:val="0"/>
            <w:vAlign w:val="center"/>
          </w:tcPr>
          <w:p w14:paraId="32AE70C6">
            <w:pPr>
              <w:widowControl/>
              <w:spacing w:line="0" w:lineRule="atLeast"/>
              <w:ind w:firstLine="0" w:firstLineChars="0"/>
              <w:rPr>
                <w:rFonts w:hint="eastAsia" w:ascii="宋体" w:hAnsi="宋体" w:eastAsia="宋体" w:cs="宋体"/>
                <w:color w:val="000000"/>
                <w:kern w:val="0"/>
                <w:sz w:val="22"/>
                <w:szCs w:val="22"/>
                <w:lang w:eastAsia="zh-CN"/>
              </w:rPr>
            </w:pPr>
          </w:p>
          <w:p w14:paraId="05F7BCE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51F4114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462B5EFB">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14:paraId="51C9E65B">
            <w:pPr>
              <w:widowControl/>
              <w:spacing w:line="0" w:lineRule="atLeast"/>
              <w:ind w:firstLine="0" w:firstLineChars="0"/>
              <w:jc w:val="center"/>
              <w:rPr>
                <w:rFonts w:hint="default"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13E1ED77">
            <w:pPr>
              <w:widowControl/>
              <w:spacing w:line="0" w:lineRule="atLeast"/>
              <w:ind w:firstLine="0" w:firstLineChars="0"/>
              <w:jc w:val="center"/>
              <w:rPr>
                <w:rFonts w:hint="default" w:cs="宋体"/>
                <w:color w:val="000000"/>
                <w:kern w:val="0"/>
                <w:sz w:val="22"/>
                <w:szCs w:val="22"/>
                <w:lang w:val="en-US" w:eastAsia="zh-CN"/>
              </w:rPr>
            </w:pPr>
            <w:r>
              <w:rPr>
                <w:rFonts w:hint="eastAsia" w:cs="宋体"/>
                <w:color w:val="000000"/>
                <w:kern w:val="0"/>
                <w:sz w:val="22"/>
                <w:szCs w:val="22"/>
                <w:lang w:val="en-US" w:eastAsia="zh-CN"/>
              </w:rPr>
              <w:t>5</w:t>
            </w:r>
          </w:p>
        </w:tc>
      </w:tr>
      <w:tr w14:paraId="322BD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56" w:hRule="atLeast"/>
          <w:jc w:val="center"/>
        </w:trPr>
        <w:tc>
          <w:tcPr>
            <w:tcW w:w="861" w:type="dxa"/>
            <w:vMerge w:val="restart"/>
            <w:shd w:val="clear" w:color="auto" w:fill="auto"/>
            <w:noWrap w:val="0"/>
            <w:vAlign w:val="center"/>
          </w:tcPr>
          <w:p w14:paraId="7FF20CF0">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效益　</w:t>
            </w:r>
          </w:p>
        </w:tc>
        <w:tc>
          <w:tcPr>
            <w:tcW w:w="727" w:type="dxa"/>
            <w:vMerge w:val="restart"/>
            <w:shd w:val="clear" w:color="auto" w:fill="auto"/>
            <w:noWrap w:val="0"/>
            <w:vAlign w:val="center"/>
          </w:tcPr>
          <w:p w14:paraId="1D7FAD29">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项目效益　</w:t>
            </w:r>
          </w:p>
        </w:tc>
        <w:tc>
          <w:tcPr>
            <w:tcW w:w="820" w:type="dxa"/>
            <w:shd w:val="clear" w:color="auto" w:fill="auto"/>
            <w:noWrap w:val="0"/>
            <w:vAlign w:val="center"/>
          </w:tcPr>
          <w:p w14:paraId="56F5C7F0">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0" w:firstLineChars="0"/>
              <w:jc w:val="left"/>
              <w:textAlignment w:val="cente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遗孀生活水平</w:t>
            </w:r>
          </w:p>
        </w:tc>
        <w:tc>
          <w:tcPr>
            <w:tcW w:w="2141" w:type="dxa"/>
            <w:shd w:val="clear" w:color="auto" w:fill="auto"/>
            <w:noWrap w:val="0"/>
            <w:vAlign w:val="center"/>
          </w:tcPr>
          <w:p w14:paraId="449C449E">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shd w:val="clear" w:color="auto" w:fill="auto"/>
            <w:noWrap w:val="0"/>
            <w:vAlign w:val="center"/>
          </w:tcPr>
          <w:p w14:paraId="7182A0F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14:paraId="058D84C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14:paraId="21BD556A">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14:paraId="144C9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33AE0F5D">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vMerge w:val="continue"/>
            <w:shd w:val="clear" w:color="auto" w:fill="auto"/>
            <w:noWrap w:val="0"/>
            <w:vAlign w:val="center"/>
          </w:tcPr>
          <w:p w14:paraId="03E9CBA5">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820" w:type="dxa"/>
            <w:shd w:val="clear" w:color="auto" w:fill="auto"/>
            <w:noWrap w:val="0"/>
            <w:vAlign w:val="center"/>
          </w:tcPr>
          <w:p w14:paraId="66B78331">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firstLine="0" w:firstLineChars="0"/>
              <w:jc w:val="left"/>
              <w:textAlignment w:val="cente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遗孀及聘用人员满意度</w:t>
            </w:r>
          </w:p>
        </w:tc>
        <w:tc>
          <w:tcPr>
            <w:tcW w:w="2141" w:type="dxa"/>
            <w:shd w:val="clear" w:color="auto" w:fill="auto"/>
            <w:noWrap w:val="0"/>
            <w:vAlign w:val="center"/>
          </w:tcPr>
          <w:p w14:paraId="2354698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shd w:val="clear" w:color="auto" w:fill="auto"/>
            <w:noWrap w:val="0"/>
            <w:vAlign w:val="center"/>
          </w:tcPr>
          <w:p w14:paraId="0A5DE89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56A3602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14:paraId="6D37967E">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14:paraId="5910B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787BD85">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14:paraId="7F5FD3A2">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14:paraId="7E52CE78">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14:paraId="185444D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98</w:t>
            </w:r>
          </w:p>
        </w:tc>
      </w:tr>
    </w:tbl>
    <w:p w14:paraId="7E344516">
      <w:pPr>
        <w:spacing w:line="240" w:lineRule="auto"/>
        <w:ind w:firstLine="0" w:firstLineChars="0"/>
        <w:rPr>
          <w:rFonts w:ascii="Times New Roman" w:hAnsi="Times New Roman" w:eastAsia="仿宋_GB2312" w:cs="Times New Roman"/>
          <w:sz w:val="30"/>
          <w:szCs w:val="24"/>
        </w:rPr>
      </w:pPr>
    </w:p>
    <w:p w14:paraId="15D9F2AE">
      <w:pPr>
        <w:rPr>
          <w:rFonts w:hint="default"/>
          <w:lang w:val="en-US" w:eastAsia="zh-CN"/>
        </w:rPr>
      </w:pPr>
    </w:p>
    <w:p w14:paraId="5D3DDD06">
      <w:pPr>
        <w:bidi w:val="0"/>
        <w:rPr>
          <w:rFonts w:hint="default" w:ascii="宋体" w:hAnsi="宋体" w:eastAsia="宋体" w:cs="宋体"/>
          <w:kern w:val="2"/>
          <w:sz w:val="28"/>
          <w:szCs w:val="28"/>
          <w:lang w:val="en-US" w:eastAsia="zh-CN" w:bidi="ar-SA"/>
        </w:rPr>
      </w:pPr>
    </w:p>
    <w:p w14:paraId="4420AF17">
      <w:pPr>
        <w:bidi w:val="0"/>
        <w:rPr>
          <w:rFonts w:hint="default"/>
          <w:lang w:val="en-US" w:eastAsia="zh-CN"/>
        </w:rPr>
      </w:pPr>
    </w:p>
    <w:p w14:paraId="4DC99A7B">
      <w:pPr>
        <w:bidi w:val="0"/>
        <w:rPr>
          <w:rFonts w:hint="default"/>
          <w:lang w:val="en-US" w:eastAsia="zh-CN"/>
        </w:rPr>
      </w:pPr>
    </w:p>
    <w:p w14:paraId="34DC1054">
      <w:pPr>
        <w:bidi w:val="0"/>
        <w:rPr>
          <w:rFonts w:hint="default"/>
          <w:lang w:val="en-US" w:eastAsia="zh-CN"/>
        </w:rPr>
      </w:pPr>
    </w:p>
    <w:p w14:paraId="6A79A046">
      <w:pPr>
        <w:bidi w:val="0"/>
        <w:rPr>
          <w:rFonts w:hint="default"/>
          <w:lang w:val="en-US" w:eastAsia="zh-CN"/>
        </w:rPr>
      </w:pPr>
    </w:p>
    <w:p w14:paraId="523FE43B">
      <w:pPr>
        <w:tabs>
          <w:tab w:val="left" w:pos="13330"/>
        </w:tabs>
        <w:bidi w:val="0"/>
        <w:jc w:val="left"/>
        <w:rPr>
          <w:rFonts w:hint="default"/>
          <w:lang w:val="en-US" w:eastAsia="zh-CN"/>
        </w:rPr>
      </w:pPr>
      <w:r>
        <w:rPr>
          <w:rFonts w:hint="eastAsia"/>
          <w:lang w:val="en-US" w:eastAsia="zh-CN"/>
        </w:rPr>
        <w:tab/>
      </w:r>
    </w:p>
    <w:sectPr>
      <w:pgSz w:w="16838" w:h="11906" w:orient="landscape"/>
      <w:pgMar w:top="1803" w:right="1440" w:bottom="1803" w:left="1440" w:header="737" w:footer="850" w:gutter="0"/>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2382">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591E5D">
                          <w:pPr>
                            <w:pStyle w:val="1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591E5D">
                    <w:pPr>
                      <w:pStyle w:val="11"/>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1663A8"/>
    <w:rsid w:val="01253350"/>
    <w:rsid w:val="01282E62"/>
    <w:rsid w:val="014029CF"/>
    <w:rsid w:val="01470C4C"/>
    <w:rsid w:val="01FB260A"/>
    <w:rsid w:val="02200440"/>
    <w:rsid w:val="02284B43"/>
    <w:rsid w:val="028C795F"/>
    <w:rsid w:val="02B015E2"/>
    <w:rsid w:val="02DC08FA"/>
    <w:rsid w:val="033B569D"/>
    <w:rsid w:val="039C3BA0"/>
    <w:rsid w:val="03A845BB"/>
    <w:rsid w:val="03B45AD1"/>
    <w:rsid w:val="041844F7"/>
    <w:rsid w:val="04D12EE4"/>
    <w:rsid w:val="04D63993"/>
    <w:rsid w:val="05EE25B4"/>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206B4A"/>
    <w:rsid w:val="11FA6155"/>
    <w:rsid w:val="12CF0947"/>
    <w:rsid w:val="12F1313F"/>
    <w:rsid w:val="136C678E"/>
    <w:rsid w:val="13EB2FF5"/>
    <w:rsid w:val="15A46B04"/>
    <w:rsid w:val="165825BC"/>
    <w:rsid w:val="16BC5D73"/>
    <w:rsid w:val="176F36D7"/>
    <w:rsid w:val="1795226D"/>
    <w:rsid w:val="18456B1E"/>
    <w:rsid w:val="1C1171C5"/>
    <w:rsid w:val="1C7723C1"/>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DA65C52"/>
    <w:rsid w:val="2DB41456"/>
    <w:rsid w:val="2E483E7E"/>
    <w:rsid w:val="2E690493"/>
    <w:rsid w:val="2E9854BD"/>
    <w:rsid w:val="2EDA00DE"/>
    <w:rsid w:val="2F0D407F"/>
    <w:rsid w:val="2F454B19"/>
    <w:rsid w:val="310224D9"/>
    <w:rsid w:val="31B4621C"/>
    <w:rsid w:val="31E3230A"/>
    <w:rsid w:val="330957E0"/>
    <w:rsid w:val="33356F64"/>
    <w:rsid w:val="33944516"/>
    <w:rsid w:val="34B62907"/>
    <w:rsid w:val="36BD137C"/>
    <w:rsid w:val="385D37E7"/>
    <w:rsid w:val="38782EDD"/>
    <w:rsid w:val="3B42664A"/>
    <w:rsid w:val="3D836A4E"/>
    <w:rsid w:val="3EA37E97"/>
    <w:rsid w:val="3FBE0BC5"/>
    <w:rsid w:val="4048103A"/>
    <w:rsid w:val="40736643"/>
    <w:rsid w:val="40D24A7A"/>
    <w:rsid w:val="411B6445"/>
    <w:rsid w:val="42621029"/>
    <w:rsid w:val="42BE088D"/>
    <w:rsid w:val="435241E2"/>
    <w:rsid w:val="43975C51"/>
    <w:rsid w:val="439E3FA7"/>
    <w:rsid w:val="43AE3B95"/>
    <w:rsid w:val="44B32266"/>
    <w:rsid w:val="44FC64F4"/>
    <w:rsid w:val="467F4585"/>
    <w:rsid w:val="46F8008E"/>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E226FBC"/>
    <w:rsid w:val="5FB809F2"/>
    <w:rsid w:val="5FE72BD2"/>
    <w:rsid w:val="60120613"/>
    <w:rsid w:val="618D5292"/>
    <w:rsid w:val="62141753"/>
    <w:rsid w:val="622E78FA"/>
    <w:rsid w:val="63343F70"/>
    <w:rsid w:val="64296E1C"/>
    <w:rsid w:val="649E64A2"/>
    <w:rsid w:val="65E5270A"/>
    <w:rsid w:val="663D3C54"/>
    <w:rsid w:val="66862C89"/>
    <w:rsid w:val="66BB486D"/>
    <w:rsid w:val="67394C7D"/>
    <w:rsid w:val="676034DA"/>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3F72285"/>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CF428D0"/>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5">
    <w:name w:val="heading 2"/>
    <w:basedOn w:val="1"/>
    <w:next w:val="1"/>
    <w:link w:val="19"/>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6">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200" w:leftChars="200"/>
    </w:pPr>
  </w:style>
  <w:style w:type="paragraph" w:styleId="7">
    <w:name w:val="annotation text"/>
    <w:basedOn w:val="1"/>
    <w:autoRedefine/>
    <w:qFormat/>
    <w:uiPriority w:val="0"/>
    <w:pPr>
      <w:jc w:val="left"/>
    </w:pPr>
  </w:style>
  <w:style w:type="paragraph" w:styleId="8">
    <w:name w:val="Body Text"/>
    <w:basedOn w:val="1"/>
    <w:next w:val="9"/>
    <w:autoRedefine/>
    <w:qFormat/>
    <w:uiPriority w:val="0"/>
    <w:pPr>
      <w:spacing w:before="240" w:after="240" w:line="360" w:lineRule="auto"/>
      <w:jc w:val="center"/>
    </w:pPr>
    <w:rPr>
      <w:b/>
      <w:sz w:val="44"/>
    </w:rPr>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toc 3"/>
    <w:basedOn w:val="1"/>
    <w:next w:val="1"/>
    <w:autoRedefine/>
    <w:qFormat/>
    <w:uiPriority w:val="0"/>
    <w:pPr>
      <w:ind w:left="840" w:leftChars="400"/>
    </w:pPr>
  </w:style>
  <w:style w:type="paragraph" w:styleId="11">
    <w:name w:val="footer"/>
    <w:basedOn w:val="1"/>
    <w:autoRedefine/>
    <w:qFormat/>
    <w:uiPriority w:val="0"/>
    <w:pPr>
      <w:tabs>
        <w:tab w:val="center" w:pos="4153"/>
        <w:tab w:val="right" w:pos="8306"/>
      </w:tabs>
      <w:snapToGrid w:val="0"/>
      <w:jc w:val="left"/>
    </w:pPr>
    <w:rPr>
      <w:sz w:val="18"/>
    </w:rPr>
  </w:style>
  <w:style w:type="paragraph" w:styleId="1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autoRedefine/>
    <w:qFormat/>
    <w:uiPriority w:val="0"/>
  </w:style>
  <w:style w:type="paragraph" w:styleId="14">
    <w:name w:val="toc 2"/>
    <w:basedOn w:val="1"/>
    <w:next w:val="1"/>
    <w:qFormat/>
    <w:uiPriority w:val="0"/>
    <w:pPr>
      <w:ind w:left="420" w:leftChars="200"/>
    </w:pPr>
  </w:style>
  <w:style w:type="paragraph" w:styleId="15">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8">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标题 2 Char"/>
    <w:link w:val="5"/>
    <w:autoRedefine/>
    <w:qFormat/>
    <w:uiPriority w:val="0"/>
    <w:rPr>
      <w:rFonts w:ascii="Arial" w:hAnsi="Arial" w:eastAsia="楷体"/>
      <w:b/>
      <w:sz w:val="32"/>
    </w:rPr>
  </w:style>
  <w:style w:type="paragraph" w:customStyle="1" w:styleId="20">
    <w:name w:val="WPSOffice手动目录 1"/>
    <w:autoRedefine/>
    <w:qFormat/>
    <w:uiPriority w:val="0"/>
    <w:pPr>
      <w:ind w:leftChars="0"/>
    </w:pPr>
    <w:rPr>
      <w:rFonts w:ascii="Times New Roman" w:hAnsi="Times New Roman" w:eastAsia="宋体" w:cs="Times New Roman"/>
      <w:sz w:val="20"/>
      <w:szCs w:val="20"/>
    </w:rPr>
  </w:style>
  <w:style w:type="paragraph" w:customStyle="1" w:styleId="21">
    <w:name w:val="WPSOffice手动目录 2"/>
    <w:autoRedefine/>
    <w:qFormat/>
    <w:uiPriority w:val="0"/>
    <w:pPr>
      <w:ind w:leftChars="200"/>
    </w:pPr>
    <w:rPr>
      <w:rFonts w:ascii="Times New Roman" w:hAnsi="Times New Roman" w:eastAsia="宋体" w:cs="Times New Roman"/>
      <w:sz w:val="20"/>
      <w:szCs w:val="20"/>
    </w:rPr>
  </w:style>
  <w:style w:type="paragraph" w:customStyle="1" w:styleId="22">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4873</Words>
  <Characters>5019</Characters>
  <Lines>0</Lines>
  <Paragraphs>0</Paragraphs>
  <TotalTime>2</TotalTime>
  <ScaleCrop>false</ScaleCrop>
  <LinksUpToDate>false</LinksUpToDate>
  <CharactersWithSpaces>5042</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2024-10-10T08:22:25Z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26CF42EB1B9341E7B882F1523835CEC6</vt:lpwstr>
  </property>
</Properties>
</file>