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09528">
      <w:pPr>
        <w:pageBreakBefore w:val="0"/>
        <w:kinsoku/>
        <w:wordWrap/>
        <w:overflowPunct/>
        <w:topLinePunct w:val="0"/>
        <w:autoSpaceDE/>
        <w:autoSpaceDN/>
        <w:bidi w:val="0"/>
        <w:adjustRightInd/>
        <w:spacing w:line="360" w:lineRule="auto"/>
        <w:ind w:firstLine="1015" w:firstLineChars="316"/>
        <w:jc w:val="center"/>
        <w:textAlignment w:val="auto"/>
        <w:rPr>
          <w:rFonts w:hint="eastAsia" w:ascii="宋体" w:hAnsi="宋体" w:eastAsia="宋体" w:cs="宋体"/>
          <w:b/>
          <w:bCs/>
          <w:color w:val="auto"/>
          <w:sz w:val="32"/>
          <w:szCs w:val="32"/>
          <w:highlight w:val="none"/>
          <w:shd w:val="clear" w:color="auto" w:fill="auto"/>
        </w:rPr>
      </w:pPr>
    </w:p>
    <w:p w14:paraId="4448B83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3AC165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42F7FC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cs="宋体"/>
          <w:b/>
          <w:bCs/>
          <w:color w:val="auto"/>
          <w:sz w:val="40"/>
          <w:szCs w:val="40"/>
          <w:highlight w:val="none"/>
          <w:shd w:val="clear" w:color="auto" w:fill="auto"/>
          <w:lang w:val="en-US" w:eastAsia="zh-CN"/>
        </w:rPr>
        <w:t>天池管委会2023年还本付息</w:t>
      </w:r>
      <w:r>
        <w:rPr>
          <w:rFonts w:hint="eastAsia" w:ascii="宋体" w:hAnsi="宋体" w:eastAsia="宋体" w:cs="宋体"/>
          <w:b/>
          <w:bCs/>
          <w:color w:val="auto"/>
          <w:sz w:val="40"/>
          <w:szCs w:val="40"/>
          <w:highlight w:val="none"/>
          <w:shd w:val="clear" w:color="auto" w:fill="auto"/>
          <w:lang w:val="en-US" w:eastAsia="zh-CN"/>
        </w:rPr>
        <w:t>项目</w:t>
      </w:r>
    </w:p>
    <w:p w14:paraId="531780F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支出绩效评价报告</w:t>
      </w:r>
      <w:bookmarkEnd w:id="0"/>
    </w:p>
    <w:p w14:paraId="50EB366B">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F66DD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60870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3C7BE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BC5292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F7E6DB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100E507">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6063A5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2023年天池管委会还本付息支出</w:t>
      </w:r>
    </w:p>
    <w:p w14:paraId="696E787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新疆天池管理委员会</w:t>
      </w:r>
    </w:p>
    <w:p w14:paraId="02D6782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新疆天池管理委员会</w:t>
      </w:r>
    </w:p>
    <w:p w14:paraId="55DBDC6B">
      <w:pPr>
        <w:pStyle w:val="11"/>
        <w:outlineLvl w:val="9"/>
        <w:rPr>
          <w:rFonts w:hint="eastAsia" w:ascii="宋体" w:hAnsi="宋体" w:eastAsia="宋体" w:cs="宋体"/>
          <w:b/>
          <w:color w:val="auto"/>
          <w:kern w:val="2"/>
          <w:sz w:val="28"/>
          <w:szCs w:val="28"/>
          <w:highlight w:val="none"/>
          <w:shd w:val="clear" w:color="auto" w:fill="auto"/>
          <w:lang w:val="en-US" w:eastAsia="zh-CN"/>
        </w:rPr>
      </w:pPr>
    </w:p>
    <w:p w14:paraId="2782244D">
      <w:pPr>
        <w:rPr>
          <w:rFonts w:hint="eastAsia"/>
          <w:color w:val="auto"/>
          <w:highlight w:val="none"/>
          <w:lang w:val="en-US" w:eastAsia="zh-CN"/>
        </w:rPr>
      </w:pPr>
      <w:r>
        <w:rPr>
          <w:rFonts w:hint="eastAsia"/>
          <w:color w:val="auto"/>
          <w:highlight w:val="none"/>
          <w:lang w:val="en-US" w:eastAsia="zh-CN"/>
        </w:rPr>
        <w:br w:type="page"/>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0A5880A3">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1BEA8DE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3A2CDC2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A69DB0D">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52BA747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6B889F9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64354E9">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6F0AFA60">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6ECF0924">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rFonts w:hint="eastAsia"/>
              <w:color w:val="auto"/>
              <w:sz w:val="28"/>
              <w:szCs w:val="28"/>
              <w:highlight w:val="none"/>
              <w:lang w:val="en-US" w:eastAsia="zh-CN"/>
            </w:rPr>
            <w:fldChar w:fldCharType="end"/>
          </w:r>
        </w:p>
        <w:p w14:paraId="3338104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4BB634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056BD1C">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472CCD37">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0680047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77DEFC9B">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4E8A3C4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16</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8966E3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32834C3">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70EA1FB4">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19B532A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305017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29B94F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74483E51">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0344D9A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outlineLvl w:val="9"/>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天池管委会2023年还本付息项目</w:t>
      </w:r>
      <w:r>
        <w:rPr>
          <w:rFonts w:hint="eastAsia" w:ascii="宋体" w:hAnsi="宋体" w:eastAsia="宋体" w:cs="宋体"/>
          <w:b/>
          <w:bCs/>
          <w:color w:val="auto"/>
          <w:sz w:val="36"/>
          <w:szCs w:val="36"/>
          <w:highlight w:val="none"/>
          <w:shd w:val="clear" w:color="auto" w:fill="auto"/>
        </w:rPr>
        <w:t>支出绩效评价报告</w:t>
      </w:r>
      <w:bookmarkEnd w:id="1"/>
      <w:bookmarkStart w:id="2" w:name="_Toc17540"/>
      <w:r>
        <w:rPr>
          <w:rFonts w:hint="eastAsia" w:ascii="宋体" w:hAnsi="宋体" w:eastAsia="宋体" w:cs="宋体"/>
          <w:b/>
          <w:bCs/>
          <w:color w:val="auto"/>
          <w:highlight w:val="none"/>
          <w:shd w:val="clear" w:color="auto" w:fill="auto"/>
        </w:rPr>
        <w:t>一、基本情况</w:t>
      </w:r>
      <w:bookmarkEnd w:id="2"/>
      <w:bookmarkStart w:id="3" w:name="_Toc18966"/>
    </w:p>
    <w:p w14:paraId="18D60E2D">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left="0" w:leftChars="0" w:firstLine="0" w:firstLineChars="0"/>
        <w:textAlignment w:val="auto"/>
        <w:outlineLvl w:val="9"/>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项目概况</w:t>
      </w:r>
      <w:bookmarkEnd w:id="3"/>
      <w:bookmarkStart w:id="4" w:name="_Toc5043"/>
    </w:p>
    <w:p w14:paraId="388DA20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Chars="0" w:firstLine="562" w:firstLineChars="200"/>
        <w:textAlignment w:val="auto"/>
        <w:outlineLvl w:val="9"/>
        <w:rPr>
          <w:rFonts w:hint="eastAsia" w:ascii="宋体" w:hAnsi="宋体" w:eastAsia="宋体" w:cs="宋体"/>
          <w:b/>
          <w:bCs/>
          <w:color w:val="auto"/>
          <w:highlight w:val="none"/>
          <w:shd w:val="clear" w:color="auto" w:fill="auto"/>
          <w:lang w:eastAsia="zh-CN"/>
        </w:rPr>
      </w:pPr>
      <w:r>
        <w:rPr>
          <w:rFonts w:hint="eastAsia" w:ascii="宋体" w:hAnsi="宋体" w:eastAsia="宋体" w:cs="宋体"/>
          <w:b/>
          <w:bCs/>
          <w:color w:val="auto"/>
          <w:highlight w:val="none"/>
          <w:shd w:val="clear" w:color="auto" w:fill="auto"/>
          <w:lang w:val="en-US" w:eastAsia="zh-CN"/>
        </w:rPr>
        <w:t>1.</w:t>
      </w:r>
      <w:r>
        <w:rPr>
          <w:rFonts w:hint="eastAsia" w:ascii="宋体" w:hAnsi="宋体" w:eastAsia="宋体" w:cs="宋体"/>
          <w:b/>
          <w:bCs/>
          <w:color w:val="auto"/>
          <w:highlight w:val="none"/>
          <w:shd w:val="clear" w:color="auto" w:fill="auto"/>
        </w:rPr>
        <w:t>项目背景</w:t>
      </w:r>
      <w:bookmarkEnd w:id="4"/>
    </w:p>
    <w:p w14:paraId="099F8A2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rPr>
        <w:t>项目背景</w:t>
      </w:r>
      <w:r>
        <w:rPr>
          <w:rFonts w:hint="eastAsia" w:ascii="仿宋_GB2312" w:hAnsi="仿宋_GB2312" w:eastAsia="仿宋_GB2312" w:cs="仿宋_GB2312"/>
          <w:color w:val="auto"/>
          <w:highlight w:val="none"/>
          <w:lang w:val="en-US" w:eastAsia="zh-CN"/>
        </w:rPr>
        <w:t>2014年经过阜康市第五届人大常委会第25次会议审议，同意向中国工商银行股份有限公司阜康支行办理贷款19600万元，贷款期限10年，贷款用途为景区基础设施维修维护等。</w:t>
      </w:r>
      <w:bookmarkStart w:id="5" w:name="_Toc27343"/>
    </w:p>
    <w:p w14:paraId="42B05C9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color w:val="auto"/>
          <w:highlight w:val="none"/>
          <w:shd w:val="clear" w:color="auto" w:fill="auto"/>
          <w:lang w:eastAsia="zh-CN"/>
        </w:rPr>
      </w:pPr>
      <w:r>
        <w:rPr>
          <w:rFonts w:hint="eastAsia" w:ascii="仿宋_GB2312" w:hAnsi="仿宋_GB2312" w:eastAsia="仿宋_GB2312" w:cs="仿宋_GB2312"/>
          <w:b/>
          <w:bCs/>
          <w:color w:val="auto"/>
          <w:highlight w:val="none"/>
          <w:shd w:val="clear" w:color="auto" w:fill="auto"/>
          <w:lang w:val="en-US" w:eastAsia="zh-CN"/>
        </w:rPr>
        <w:t>2.</w:t>
      </w:r>
      <w:r>
        <w:rPr>
          <w:rFonts w:hint="eastAsia" w:ascii="仿宋_GB2312" w:hAnsi="仿宋_GB2312" w:eastAsia="仿宋_GB2312" w:cs="仿宋_GB2312"/>
          <w:b/>
          <w:bCs/>
          <w:color w:val="auto"/>
          <w:highlight w:val="none"/>
          <w:shd w:val="clear" w:color="auto" w:fill="auto"/>
        </w:rPr>
        <w:t>主要内容及实施情况</w:t>
      </w:r>
      <w:bookmarkEnd w:id="5"/>
      <w:bookmarkStart w:id="6" w:name="_Toc16592"/>
    </w:p>
    <w:p w14:paraId="46D151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highlight w:val="none"/>
          <w:shd w:val="clear" w:color="auto" w:fill="auto"/>
          <w:lang w:eastAsia="zh-CN"/>
        </w:rPr>
      </w:pPr>
      <w:r>
        <w:rPr>
          <w:rFonts w:hint="eastAsia" w:ascii="仿宋_GB2312" w:hAnsi="仿宋_GB2312" w:eastAsia="仿宋_GB2312" w:cs="仿宋_GB2312"/>
          <w:color w:val="auto"/>
          <w:highlight w:val="none"/>
          <w:shd w:val="clear" w:color="auto" w:fill="auto"/>
          <w:lang w:val="en-US" w:eastAsia="zh-CN"/>
        </w:rPr>
        <w:t>主要内容：</w:t>
      </w:r>
      <w:bookmarkEnd w:id="6"/>
      <w:r>
        <w:rPr>
          <w:rFonts w:hint="eastAsia" w:ascii="仿宋_GB2312" w:hAnsi="仿宋_GB2312" w:eastAsia="仿宋_GB2312" w:cs="仿宋_GB2312"/>
          <w:color w:val="auto"/>
          <w:highlight w:val="none"/>
          <w:shd w:val="clear" w:color="auto" w:fill="auto"/>
          <w:lang w:val="en-US" w:eastAsia="zh-CN"/>
        </w:rPr>
        <w:t>按照我单位与中国工商银行股份有限公司阜康支行签订的《固定资产支持融资借款合同》及补充合同（0300400006-2014年（阜康）字0041号），2023年归还中国工商银行贷款本金5202万元，归还利息435.93万元。</w:t>
      </w:r>
    </w:p>
    <w:p w14:paraId="4180AA30">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组织实施：本项目自2014年经过阜康市第五届人大常委会第25次会议审议，依据与中国工商银行签订的贷款合同，确定了项目领导小组，明确了责任分工：组长为王琪，副组长为马峥，项目负责人为于慧芳，组员为王艺璇、王玉丽，其中马峥负责监管工作，王艺璇负责项目档案资料，王玉丽负责资金拨付工作。我单位于2023年7月10日归还贷款本金5202万元，于2023年3月20日归还贷款利息130.54万元、6月20日归还130.54万元，9月归还104.15万元，12月归还70.7万元。</w:t>
      </w:r>
      <w:bookmarkStart w:id="7" w:name="_Toc1858"/>
    </w:p>
    <w:p w14:paraId="3D11443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highlight w:val="none"/>
          <w:shd w:val="clear" w:color="auto" w:fill="auto"/>
          <w:lang w:val="en-US" w:eastAsia="zh-CN"/>
        </w:rPr>
      </w:pPr>
      <w:r>
        <w:rPr>
          <w:rFonts w:hint="eastAsia" w:ascii="仿宋_GB2312" w:hAnsi="仿宋_GB2312" w:eastAsia="仿宋_GB2312" w:cs="仿宋_GB2312"/>
          <w:b/>
          <w:bCs/>
          <w:color w:val="auto"/>
          <w:highlight w:val="none"/>
          <w:shd w:val="clear" w:color="auto" w:fill="auto"/>
          <w:lang w:val="en-US" w:eastAsia="zh-CN"/>
        </w:rPr>
        <w:t>3.资金投入和使用情况</w:t>
      </w:r>
      <w:bookmarkEnd w:id="7"/>
    </w:p>
    <w:p w14:paraId="7878A38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rPr>
      </w:pPr>
      <w:r>
        <w:rPr>
          <w:rFonts w:hint="eastAsia" w:ascii="仿宋_GB2312" w:hAnsi="仿宋_GB2312" w:eastAsia="仿宋_GB2312" w:cs="仿宋_GB2312"/>
          <w:color w:val="auto"/>
          <w:highlight w:val="none"/>
          <w:shd w:val="clear" w:color="auto" w:fill="auto"/>
          <w:lang w:val="en-US" w:eastAsia="zh-CN"/>
        </w:rPr>
        <w:t>（1）</w:t>
      </w:r>
      <w:r>
        <w:rPr>
          <w:rFonts w:hint="eastAsia" w:ascii="仿宋_GB2312" w:hAnsi="仿宋_GB2312" w:eastAsia="仿宋_GB2312" w:cs="仿宋_GB2312"/>
          <w:color w:val="auto"/>
          <w:highlight w:val="none"/>
          <w:shd w:val="clear" w:color="auto" w:fill="auto"/>
        </w:rPr>
        <w:t>项目资金安排落实、总投入等情况分析</w:t>
      </w:r>
    </w:p>
    <w:p w14:paraId="08FA75F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天池管委会2023年归还贷款本息项目预算安排总额为5637.93万元，其中财政资金5637.93万元，其他资金0万元，2023年实际收到预算资金5637.93万元，预算资金到位率为100%。</w:t>
      </w:r>
    </w:p>
    <w:p w14:paraId="4B18BF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44" w:firstLineChars="200"/>
        <w:textAlignment w:val="auto"/>
        <w:rPr>
          <w:rFonts w:hint="eastAsia" w:ascii="仿宋_GB2312" w:hAnsi="仿宋_GB2312" w:eastAsia="仿宋_GB2312" w:cs="仿宋_GB2312"/>
          <w:bCs/>
          <w:color w:val="auto"/>
          <w:spacing w:val="-4"/>
          <w:highlight w:val="none"/>
          <w:shd w:val="clear" w:color="auto" w:fill="auto"/>
        </w:rPr>
      </w:pPr>
      <w:r>
        <w:rPr>
          <w:rFonts w:hint="eastAsia" w:ascii="仿宋_GB2312" w:hAnsi="仿宋_GB2312" w:eastAsia="仿宋_GB2312" w:cs="仿宋_GB2312"/>
          <w:bCs/>
          <w:color w:val="auto"/>
          <w:spacing w:val="-4"/>
          <w:highlight w:val="none"/>
          <w:shd w:val="clear" w:color="auto" w:fill="auto"/>
          <w:lang w:eastAsia="zh-CN"/>
        </w:rPr>
        <w:t>（</w:t>
      </w:r>
      <w:r>
        <w:rPr>
          <w:rFonts w:hint="eastAsia" w:ascii="仿宋_GB2312" w:hAnsi="仿宋_GB2312" w:eastAsia="仿宋_GB2312" w:cs="仿宋_GB2312"/>
          <w:bCs/>
          <w:color w:val="auto"/>
          <w:spacing w:val="-4"/>
          <w:highlight w:val="none"/>
          <w:shd w:val="clear" w:color="auto" w:fill="auto"/>
          <w:lang w:val="en-US" w:eastAsia="zh-CN"/>
        </w:rPr>
        <w:t>2</w:t>
      </w:r>
      <w:r>
        <w:rPr>
          <w:rFonts w:hint="eastAsia" w:ascii="仿宋_GB2312" w:hAnsi="仿宋_GB2312" w:eastAsia="仿宋_GB2312" w:cs="仿宋_GB2312"/>
          <w:bCs/>
          <w:color w:val="auto"/>
          <w:spacing w:val="-4"/>
          <w:highlight w:val="none"/>
          <w:shd w:val="clear" w:color="auto" w:fill="auto"/>
          <w:lang w:eastAsia="zh-CN"/>
        </w:rPr>
        <w:t>）</w:t>
      </w:r>
      <w:r>
        <w:rPr>
          <w:rFonts w:hint="eastAsia" w:ascii="仿宋_GB2312" w:hAnsi="仿宋_GB2312" w:eastAsia="仿宋_GB2312" w:cs="仿宋_GB2312"/>
          <w:bCs/>
          <w:color w:val="auto"/>
          <w:spacing w:val="-4"/>
          <w:highlight w:val="none"/>
          <w:shd w:val="clear" w:color="auto" w:fill="auto"/>
        </w:rPr>
        <w:t>项目资金实际使用情况分析</w:t>
      </w:r>
    </w:p>
    <w:p w14:paraId="00FE40B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bookmarkStart w:id="8" w:name="_Toc2879"/>
      <w:r>
        <w:rPr>
          <w:rFonts w:hint="eastAsia" w:ascii="仿宋_GB2312" w:hAnsi="仿宋_GB2312" w:eastAsia="仿宋_GB2312" w:cs="仿宋_GB2312"/>
          <w:color w:val="auto"/>
          <w:highlight w:val="none"/>
          <w:shd w:val="clear" w:color="auto" w:fill="auto"/>
          <w:lang w:val="en-US" w:eastAsia="zh-CN"/>
        </w:rPr>
        <w:t>按照我单位与中国工商银行股份有限公司阜康支行签订的《固定资产支持融资借款合同》及补充合同（0300400006-2014年（阜康）字0041号），2023年归还中国工商银行贷款本金5202万元，归还利息435.93万元。截止2023年12月31日，天池管委会2023年归还贷款本息项目</w:t>
      </w:r>
      <w:r>
        <w:rPr>
          <w:rFonts w:hint="eastAsia" w:ascii="仿宋_GB2312" w:hAnsi="仿宋_GB2312" w:eastAsia="仿宋_GB2312" w:cs="仿宋_GB2312"/>
          <w:color w:val="auto"/>
          <w:highlight w:val="none"/>
          <w:shd w:val="clear" w:color="auto" w:fill="auto"/>
        </w:rPr>
        <w:t>实际支付资金</w:t>
      </w:r>
      <w:r>
        <w:rPr>
          <w:rFonts w:hint="eastAsia" w:ascii="仿宋_GB2312" w:hAnsi="仿宋_GB2312" w:eastAsia="仿宋_GB2312" w:cs="仿宋_GB2312"/>
          <w:color w:val="auto"/>
          <w:highlight w:val="none"/>
          <w:shd w:val="clear" w:color="auto" w:fill="auto"/>
          <w:lang w:val="en-US" w:eastAsia="zh-CN"/>
        </w:rPr>
        <w:t>5637.93</w:t>
      </w:r>
      <w:r>
        <w:rPr>
          <w:rFonts w:hint="eastAsia" w:ascii="仿宋_GB2312" w:hAnsi="仿宋_GB2312" w:eastAsia="仿宋_GB2312" w:cs="仿宋_GB2312"/>
          <w:color w:val="auto"/>
          <w:highlight w:val="none"/>
          <w:shd w:val="clear" w:color="auto" w:fill="auto"/>
        </w:rPr>
        <w:t>万元，</w:t>
      </w:r>
      <w:r>
        <w:rPr>
          <w:rFonts w:hint="eastAsia" w:ascii="仿宋_GB2312" w:hAnsi="仿宋_GB2312" w:eastAsia="仿宋_GB2312" w:cs="仿宋_GB2312"/>
          <w:color w:val="auto"/>
          <w:highlight w:val="none"/>
          <w:shd w:val="clear" w:color="auto" w:fill="auto"/>
          <w:lang w:val="en-US" w:eastAsia="zh-CN"/>
        </w:rPr>
        <w:t>其中本金归还5202万元，</w:t>
      </w:r>
      <w:r>
        <w:rPr>
          <w:rFonts w:hint="eastAsia" w:ascii="仿宋_GB2312" w:hAnsi="仿宋_GB2312" w:eastAsia="仿宋_GB2312" w:cs="仿宋_GB2312"/>
          <w:color w:val="auto"/>
          <w:highlight w:val="none"/>
          <w:lang w:val="en-US" w:eastAsia="zh-CN"/>
        </w:rPr>
        <w:t>分4次向工商银行按季度支付贷款利息435.93万元，</w:t>
      </w:r>
      <w:r>
        <w:rPr>
          <w:rFonts w:hint="eastAsia" w:ascii="仿宋_GB2312" w:hAnsi="仿宋_GB2312" w:eastAsia="仿宋_GB2312" w:cs="仿宋_GB2312"/>
          <w:color w:val="auto"/>
          <w:highlight w:val="none"/>
          <w:shd w:val="clear" w:color="auto" w:fill="auto"/>
          <w:lang w:val="en-US" w:eastAsia="zh-CN"/>
        </w:rPr>
        <w:t>本金</w:t>
      </w:r>
      <w:r>
        <w:rPr>
          <w:rFonts w:hint="eastAsia" w:ascii="仿宋_GB2312" w:hAnsi="仿宋_GB2312" w:eastAsia="仿宋_GB2312" w:cs="仿宋_GB2312"/>
          <w:color w:val="auto"/>
          <w:highlight w:val="none"/>
          <w:shd w:val="clear" w:color="auto" w:fill="auto"/>
        </w:rPr>
        <w:t>预算执行率</w:t>
      </w:r>
      <w:r>
        <w:rPr>
          <w:rFonts w:hint="eastAsia" w:ascii="仿宋_GB2312" w:hAnsi="仿宋_GB2312" w:eastAsia="仿宋_GB2312" w:cs="仿宋_GB2312"/>
          <w:color w:val="auto"/>
          <w:highlight w:val="none"/>
          <w:shd w:val="clear" w:color="auto" w:fill="auto"/>
          <w:lang w:val="en-US" w:eastAsia="zh-CN"/>
        </w:rPr>
        <w:t>100</w:t>
      </w:r>
      <w:r>
        <w:rPr>
          <w:rFonts w:hint="eastAsia" w:ascii="仿宋_GB2312" w:hAnsi="仿宋_GB2312" w:eastAsia="仿宋_GB2312" w:cs="仿宋_GB2312"/>
          <w:color w:val="auto"/>
          <w:highlight w:val="none"/>
          <w:shd w:val="clear" w:color="auto" w:fill="auto"/>
        </w:rPr>
        <w:t>%</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rPr>
        <w:t>结</w:t>
      </w:r>
      <w:r>
        <w:rPr>
          <w:rFonts w:hint="eastAsia" w:ascii="仿宋_GB2312" w:hAnsi="仿宋_GB2312" w:eastAsia="仿宋_GB2312" w:cs="仿宋_GB2312"/>
          <w:color w:val="auto"/>
          <w:highlight w:val="none"/>
          <w:shd w:val="clear" w:color="auto" w:fill="auto"/>
          <w:lang w:val="en-US" w:eastAsia="zh-CN"/>
        </w:rPr>
        <w:t>转</w:t>
      </w:r>
      <w:r>
        <w:rPr>
          <w:rFonts w:hint="eastAsia" w:ascii="仿宋_GB2312" w:hAnsi="仿宋_GB2312" w:eastAsia="仿宋_GB2312" w:cs="仿宋_GB2312"/>
          <w:color w:val="auto"/>
          <w:highlight w:val="none"/>
          <w:shd w:val="clear" w:color="auto" w:fill="auto"/>
          <w:lang w:eastAsia="zh-CN"/>
        </w:rPr>
        <w:t>结余资金</w:t>
      </w:r>
      <w:r>
        <w:rPr>
          <w:rFonts w:hint="eastAsia" w:ascii="仿宋_GB2312" w:hAnsi="仿宋_GB2312" w:eastAsia="仿宋_GB2312" w:cs="仿宋_GB2312"/>
          <w:color w:val="auto"/>
          <w:highlight w:val="none"/>
          <w:shd w:val="clear" w:color="auto" w:fill="auto"/>
          <w:lang w:val="en-US" w:eastAsia="zh-CN"/>
        </w:rPr>
        <w:t>0万元，已上缴国库。</w:t>
      </w:r>
    </w:p>
    <w:p w14:paraId="6B8402DF">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left="0" w:leftChars="0" w:firstLine="562" w:firstLineChars="200"/>
        <w:textAlignment w:val="auto"/>
        <w:outlineLvl w:val="9"/>
        <w:rPr>
          <w:rFonts w:hint="eastAsia" w:ascii="仿宋_GB2312" w:hAnsi="仿宋_GB2312" w:eastAsia="仿宋_GB2312" w:cs="仿宋_GB2312"/>
          <w:b/>
          <w:bCs/>
          <w:color w:val="auto"/>
          <w:highlight w:val="none"/>
          <w:shd w:val="clear" w:color="auto" w:fill="auto"/>
        </w:rPr>
      </w:pPr>
      <w:r>
        <w:rPr>
          <w:rFonts w:hint="eastAsia" w:ascii="仿宋_GB2312" w:hAnsi="仿宋_GB2312" w:eastAsia="仿宋_GB2312" w:cs="仿宋_GB2312"/>
          <w:b/>
          <w:bCs/>
          <w:color w:val="auto"/>
          <w:highlight w:val="none"/>
          <w:shd w:val="clear" w:color="auto" w:fill="auto"/>
        </w:rPr>
        <w:t>项目绩效目标</w:t>
      </w:r>
      <w:bookmarkEnd w:id="8"/>
    </w:p>
    <w:p w14:paraId="0419C4B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highlight w:val="none"/>
          <w:lang w:val="en-US" w:eastAsia="zh-CN"/>
        </w:rPr>
      </w:pPr>
      <w:bookmarkStart w:id="9" w:name="_Toc10047"/>
      <w:r>
        <w:rPr>
          <w:rFonts w:hint="eastAsia" w:ascii="仿宋_GB2312" w:hAnsi="仿宋_GB2312" w:eastAsia="仿宋_GB2312" w:cs="仿宋_GB2312"/>
          <w:b/>
          <w:bCs/>
          <w:color w:val="auto"/>
          <w:highlight w:val="none"/>
          <w:lang w:val="en-US" w:eastAsia="zh-CN"/>
        </w:rPr>
        <w:t>1.总体目标</w:t>
      </w:r>
      <w:bookmarkEnd w:id="9"/>
    </w:p>
    <w:p w14:paraId="62AD769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lang w:val="en-US" w:eastAsia="zh-CN"/>
        </w:rPr>
      </w:pPr>
      <w:bookmarkStart w:id="10" w:name="_Toc4487"/>
      <w:r>
        <w:rPr>
          <w:rFonts w:hint="eastAsia" w:ascii="仿宋_GB2312" w:hAnsi="仿宋_GB2312" w:eastAsia="仿宋_GB2312" w:cs="仿宋_GB2312"/>
          <w:color w:val="auto"/>
          <w:highlight w:val="none"/>
          <w:lang w:val="en-US" w:eastAsia="zh-CN"/>
        </w:rPr>
        <w:t>天池管委会2023年归还贷款本息项目绩效总体目标为：景区部分基础设施建设不足，为进一步提升景区高质量发展，2014年从工商银行取得19600万元贷款，拟定此项目的年度预算5637.93万元，负责向财政申请资金并支付给工商银行，2022年计划向工商银行分1次支付贷款本金5202万元，分4次向工商银行按季度支付贷款利息435.93万元，取得银行贷款后有效解决天池景区基础设施建设资金不足问题，对景区的提升改造起到了关键的作用。</w:t>
      </w:r>
    </w:p>
    <w:p w14:paraId="6B443DE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2.阶段性目标</w:t>
      </w:r>
      <w:bookmarkEnd w:id="10"/>
    </w:p>
    <w:p w14:paraId="4D27F6A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Cs/>
          <w:color w:val="auto"/>
          <w:highlight w:val="none"/>
          <w:shd w:val="clear" w:color="auto" w:fill="auto"/>
          <w:lang w:eastAsia="zh-CN"/>
        </w:rPr>
      </w:pPr>
      <w:r>
        <w:rPr>
          <w:rFonts w:hint="eastAsia" w:ascii="仿宋_GB2312" w:hAnsi="仿宋_GB2312" w:eastAsia="仿宋_GB2312" w:cs="仿宋_GB2312"/>
          <w:bCs/>
          <w:color w:val="auto"/>
          <w:highlight w:val="none"/>
          <w:shd w:val="clear" w:color="auto" w:fill="auto"/>
          <w:lang w:eastAsia="zh-CN"/>
        </w:rPr>
        <w:t>根据《预算法》《财政支出绩效评价管理暂行办法》（财预〔20</w:t>
      </w:r>
      <w:r>
        <w:rPr>
          <w:rFonts w:hint="eastAsia" w:ascii="仿宋_GB2312" w:hAnsi="仿宋_GB2312" w:eastAsia="仿宋_GB2312" w:cs="仿宋_GB2312"/>
          <w:bCs/>
          <w:color w:val="auto"/>
          <w:highlight w:val="none"/>
          <w:shd w:val="clear" w:color="auto" w:fill="auto"/>
          <w:lang w:val="en-US" w:eastAsia="zh-CN"/>
        </w:rPr>
        <w:t>20</w:t>
      </w:r>
      <w:r>
        <w:rPr>
          <w:rFonts w:hint="eastAsia" w:ascii="仿宋_GB2312" w:hAnsi="仿宋_GB2312" w:eastAsia="仿宋_GB2312" w:cs="仿宋_GB2312"/>
          <w:bCs/>
          <w:color w:val="auto"/>
          <w:highlight w:val="none"/>
          <w:shd w:val="clear" w:color="auto" w:fill="auto"/>
          <w:lang w:eastAsia="zh-CN"/>
        </w:rPr>
        <w:t>〕</w:t>
      </w:r>
      <w:r>
        <w:rPr>
          <w:rFonts w:hint="eastAsia" w:ascii="仿宋_GB2312" w:hAnsi="仿宋_GB2312" w:eastAsia="仿宋_GB2312" w:cs="仿宋_GB2312"/>
          <w:bCs/>
          <w:color w:val="auto"/>
          <w:highlight w:val="none"/>
          <w:shd w:val="clear" w:color="auto" w:fill="auto"/>
          <w:lang w:val="en-US" w:eastAsia="zh-CN"/>
        </w:rPr>
        <w:t>10</w:t>
      </w:r>
      <w:r>
        <w:rPr>
          <w:rFonts w:hint="eastAsia" w:ascii="仿宋_GB2312" w:hAnsi="仿宋_GB2312" w:eastAsia="仿宋_GB2312" w:cs="仿宋_GB2312"/>
          <w:bCs/>
          <w:color w:val="auto"/>
          <w:highlight w:val="none"/>
          <w:shd w:val="clear" w:color="auto" w:fill="auto"/>
          <w:lang w:eastAsia="zh-CN"/>
        </w:rPr>
        <w:t>号）、《自治区党委自治区人民政府关于全面实施预算绩效管理的实施意见》（新党发〔2018〕30号）、</w:t>
      </w:r>
      <w:r>
        <w:rPr>
          <w:rFonts w:hint="eastAsia" w:ascii="仿宋_GB2312" w:hAnsi="仿宋_GB2312" w:eastAsia="仿宋_GB2312" w:cs="仿宋_GB2312"/>
          <w:color w:val="auto"/>
          <w:highlight w:val="none"/>
          <w:shd w:val="clear" w:color="auto" w:fill="auto"/>
        </w:rPr>
        <w:t>《自治区财政支出绩效评价管理暂行办法》</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rPr>
        <w:t>新财预〔2018〕189号</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等文件</w:t>
      </w:r>
      <w:r>
        <w:rPr>
          <w:rFonts w:hint="eastAsia" w:ascii="仿宋_GB2312" w:hAnsi="仿宋_GB2312" w:eastAsia="仿宋_GB2312" w:cs="仿宋_GB2312"/>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仿宋_GB2312" w:hAnsi="仿宋_GB2312" w:eastAsia="仿宋_GB2312" w:cs="仿宋_GB2312"/>
          <w:bCs/>
          <w:color w:val="auto"/>
          <w:highlight w:val="none"/>
          <w:shd w:val="clear" w:color="auto" w:fill="auto"/>
          <w:lang w:val="en-US" w:eastAsia="zh-CN"/>
        </w:rPr>
        <w:t>后</w:t>
      </w:r>
      <w:r>
        <w:rPr>
          <w:rFonts w:hint="eastAsia" w:ascii="仿宋_GB2312" w:hAnsi="仿宋_GB2312" w:eastAsia="仿宋_GB2312" w:cs="仿宋_GB2312"/>
          <w:bCs/>
          <w:color w:val="auto"/>
          <w:highlight w:val="none"/>
          <w:shd w:val="clear" w:color="auto" w:fill="auto"/>
          <w:lang w:eastAsia="zh-CN"/>
        </w:rPr>
        <w:t>绩效目标如下：</w:t>
      </w:r>
    </w:p>
    <w:p w14:paraId="22B8B29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1</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rPr>
        <w:t>项目产出</w:t>
      </w:r>
      <w:r>
        <w:rPr>
          <w:rFonts w:hint="eastAsia" w:ascii="仿宋_GB2312" w:hAnsi="仿宋_GB2312" w:eastAsia="仿宋_GB2312" w:cs="仿宋_GB2312"/>
          <w:color w:val="auto"/>
          <w:highlight w:val="none"/>
          <w:shd w:val="clear" w:color="auto" w:fill="auto"/>
          <w:lang w:val="en-US" w:eastAsia="zh-CN"/>
        </w:rPr>
        <w:t>目标</w:t>
      </w:r>
    </w:p>
    <w:p w14:paraId="4383B22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①数量指标</w:t>
      </w:r>
    </w:p>
    <w:p w14:paraId="6992257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本金归还次数</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指标，预期指标值为2次；</w:t>
      </w:r>
    </w:p>
    <w:p w14:paraId="3297178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利息归还次数</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指标，预期指标值为4次；</w:t>
      </w:r>
    </w:p>
    <w:p w14:paraId="278492E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②质量指标</w:t>
      </w:r>
    </w:p>
    <w:p w14:paraId="698DAC6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本金按期归还率</w:t>
      </w:r>
      <w:r>
        <w:rPr>
          <w:rFonts w:hint="eastAsia" w:ascii="仿宋_GB2312" w:hAnsi="仿宋_GB2312" w:eastAsia="仿宋_GB2312" w:cs="仿宋_GB2312"/>
          <w:color w:val="auto"/>
          <w:highlight w:val="none"/>
          <w:shd w:val="clear" w:color="auto" w:fill="auto"/>
          <w:lang w:val="en-US" w:eastAsia="zh-CN"/>
        </w:rPr>
        <w:tab/>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指标，预期指标值为100%；</w:t>
      </w:r>
    </w:p>
    <w:p w14:paraId="2D62B69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利息按期归还率</w:t>
      </w:r>
      <w:r>
        <w:rPr>
          <w:rFonts w:hint="eastAsia" w:ascii="仿宋_GB2312" w:hAnsi="仿宋_GB2312" w:eastAsia="仿宋_GB2312" w:cs="仿宋_GB2312"/>
          <w:color w:val="auto"/>
          <w:highlight w:val="none"/>
          <w:shd w:val="clear" w:color="auto" w:fill="auto"/>
          <w:lang w:val="en-US" w:eastAsia="zh-CN"/>
        </w:rPr>
        <w:tab/>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指标，预期指标值为100%；</w:t>
      </w:r>
    </w:p>
    <w:p w14:paraId="3D0119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③时效指标</w:t>
      </w:r>
    </w:p>
    <w:p w14:paraId="2ECBB8B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按期归还本金及时率</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指标，预期指标值为100%；</w:t>
      </w:r>
    </w:p>
    <w:p w14:paraId="3EB9034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按季度归还利息及时率</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指标，预期指标值为100%；</w:t>
      </w:r>
    </w:p>
    <w:p w14:paraId="71F40DE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（2）成本指标</w:t>
      </w:r>
    </w:p>
    <w:p w14:paraId="2A9A34F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归还本金总额</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指标，预期指标值为</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5202</w:t>
      </w:r>
      <w:r>
        <w:rPr>
          <w:rFonts w:hint="eastAsia" w:ascii="仿宋_GB2312" w:hAnsi="仿宋_GB2312" w:eastAsia="仿宋_GB2312" w:cs="仿宋_GB2312"/>
          <w:color w:val="auto"/>
          <w:highlight w:val="none"/>
          <w:shd w:val="clear" w:color="auto" w:fill="auto"/>
          <w:lang w:val="en-US" w:eastAsia="zh-CN"/>
        </w:rPr>
        <w:t>万元；</w:t>
      </w:r>
    </w:p>
    <w:p w14:paraId="4CBFBCE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归还利息总额</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指标，预期指标值为</w:t>
      </w:r>
      <w:r>
        <w:rPr>
          <w:rFonts w:hint="eastAsia" w:ascii="仿宋_GB2312" w:hAnsi="仿宋_GB2312" w:eastAsia="仿宋_GB2312" w:cs="仿宋_GB2312"/>
          <w:i w:val="0"/>
          <w:iCs w:val="0"/>
          <w:color w:val="auto"/>
          <w:kern w:val="0"/>
          <w:sz w:val="21"/>
          <w:szCs w:val="21"/>
          <w:highlight w:val="none"/>
          <w:u w:val="none"/>
          <w:lang w:val="en-US" w:eastAsia="zh-CN" w:bidi="ar"/>
        </w:rPr>
        <w:t>≤</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550</w:t>
      </w:r>
      <w:r>
        <w:rPr>
          <w:rFonts w:hint="eastAsia" w:ascii="仿宋_GB2312" w:hAnsi="仿宋_GB2312" w:eastAsia="仿宋_GB2312" w:cs="仿宋_GB2312"/>
          <w:color w:val="auto"/>
          <w:highlight w:val="none"/>
          <w:shd w:val="clear" w:color="auto" w:fill="auto"/>
          <w:lang w:val="en-US" w:eastAsia="zh-CN"/>
        </w:rPr>
        <w:t>万元；</w:t>
      </w:r>
    </w:p>
    <w:p w14:paraId="1DFCA0F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eastAsia="zh-CN"/>
        </w:rPr>
      </w:pPr>
      <w:r>
        <w:rPr>
          <w:rFonts w:hint="eastAsia" w:ascii="仿宋_GB2312" w:hAnsi="仿宋_GB2312" w:eastAsia="仿宋_GB2312" w:cs="仿宋_GB2312"/>
          <w:color w:val="auto"/>
          <w:highlight w:val="none"/>
          <w:shd w:val="clear" w:color="auto" w:fill="auto"/>
        </w:rPr>
        <w:t>（</w:t>
      </w:r>
      <w:r>
        <w:rPr>
          <w:rFonts w:hint="eastAsia" w:ascii="仿宋_GB2312" w:hAnsi="仿宋_GB2312" w:eastAsia="仿宋_GB2312" w:cs="仿宋_GB2312"/>
          <w:color w:val="auto"/>
          <w:highlight w:val="none"/>
          <w:shd w:val="clear" w:color="auto" w:fill="auto"/>
          <w:lang w:val="en-US" w:eastAsia="zh-CN"/>
        </w:rPr>
        <w:t>3</w:t>
      </w:r>
      <w:r>
        <w:rPr>
          <w:rFonts w:hint="eastAsia" w:ascii="仿宋_GB2312" w:hAnsi="仿宋_GB2312" w:eastAsia="仿宋_GB2312" w:cs="仿宋_GB2312"/>
          <w:color w:val="auto"/>
          <w:highlight w:val="none"/>
          <w:shd w:val="clear" w:color="auto" w:fill="auto"/>
        </w:rPr>
        <w:t>）项目效益</w:t>
      </w:r>
      <w:r>
        <w:rPr>
          <w:rFonts w:hint="eastAsia" w:ascii="仿宋_GB2312" w:hAnsi="仿宋_GB2312" w:eastAsia="仿宋_GB2312" w:cs="仿宋_GB2312"/>
          <w:color w:val="auto"/>
          <w:highlight w:val="none"/>
          <w:shd w:val="clear" w:color="auto" w:fill="auto"/>
          <w:lang w:val="en-US" w:eastAsia="zh-CN"/>
        </w:rPr>
        <w:t>目标</w:t>
      </w:r>
    </w:p>
    <w:p w14:paraId="5556EE1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①经济效益指标</w:t>
      </w:r>
    </w:p>
    <w:p w14:paraId="7A7DAE0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有效解决天池景区基础设施建设资金不足问题</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指标，预期指标值为有效解决；</w:t>
      </w:r>
    </w:p>
    <w:p w14:paraId="4E12598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②社会效益指标</w:t>
      </w:r>
    </w:p>
    <w:p w14:paraId="108DD66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无社会效益</w:t>
      </w:r>
    </w:p>
    <w:p w14:paraId="6E925B3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③生态效益指标</w:t>
      </w:r>
    </w:p>
    <w:p w14:paraId="6D94BAE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提升景区绿化生态品质和旅游品质</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指标，预期指标值为提升；</w:t>
      </w:r>
    </w:p>
    <w:p w14:paraId="25322E0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④可持续影响</w:t>
      </w:r>
    </w:p>
    <w:p w14:paraId="73988C9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无可持续影响；</w:t>
      </w:r>
    </w:p>
    <w:p w14:paraId="192CD28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⑤满意度指标</w:t>
      </w:r>
    </w:p>
    <w:p w14:paraId="238B9A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bookmarkStart w:id="11" w:name="_Toc2549"/>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工商满意度</w:t>
      </w: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指标，预期指标值为</w:t>
      </w:r>
      <w:r>
        <w:rPr>
          <w:rFonts w:hint="eastAsia" w:ascii="仿宋_GB2312" w:hAnsi="仿宋_GB2312" w:eastAsia="仿宋_GB2312" w:cs="仿宋_GB2312"/>
          <w:i w:val="0"/>
          <w:color w:val="auto"/>
          <w:kern w:val="0"/>
          <w:sz w:val="20"/>
          <w:szCs w:val="20"/>
          <w:highlight w:val="none"/>
          <w:u w:val="none"/>
          <w:lang w:val="en-US" w:eastAsia="zh-CN" w:bidi="ar"/>
        </w:rPr>
        <w:t>≥</w:t>
      </w:r>
      <w:r>
        <w:rPr>
          <w:rFonts w:hint="eastAsia" w:ascii="仿宋_GB2312" w:hAnsi="仿宋_GB2312" w:eastAsia="仿宋_GB2312" w:cs="仿宋_GB2312"/>
          <w:color w:val="auto"/>
          <w:highlight w:val="none"/>
          <w:shd w:val="clear" w:color="auto" w:fill="auto"/>
          <w:lang w:val="en-US" w:eastAsia="zh-CN"/>
        </w:rPr>
        <w:t>95%。</w:t>
      </w:r>
    </w:p>
    <w:p w14:paraId="5D0E9F1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rPr>
        <w:t>二、绩效评价工作开展情况</w:t>
      </w:r>
      <w:bookmarkEnd w:id="11"/>
    </w:p>
    <w:p w14:paraId="03420C49">
      <w:pPr>
        <w:keepNext w:val="0"/>
        <w:keepLines w:val="0"/>
        <w:pageBreakBefore w:val="0"/>
        <w:widowControl w:val="0"/>
        <w:numPr>
          <w:ilvl w:val="0"/>
          <w:numId w:val="2"/>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highlight w:val="none"/>
          <w:lang w:eastAsia="zh-CN"/>
        </w:rPr>
      </w:pPr>
      <w:bookmarkStart w:id="12" w:name="_Toc480473081"/>
      <w:bookmarkStart w:id="13" w:name="_Toc12868"/>
      <w:bookmarkStart w:id="14" w:name="_Toc22922"/>
      <w:bookmarkStart w:id="15" w:name="_Toc22169_WPSOffice_Level2"/>
      <w:bookmarkStart w:id="16" w:name="_Toc21664"/>
      <w:bookmarkStart w:id="17" w:name="_Toc5462343"/>
      <w:bookmarkStart w:id="18" w:name="_Toc5258"/>
      <w:bookmarkStart w:id="19" w:name="_Toc26632"/>
      <w:bookmarkStart w:id="20" w:name="_Toc21778"/>
      <w:r>
        <w:rPr>
          <w:rFonts w:hint="eastAsia" w:ascii="仿宋_GB2312" w:hAnsi="仿宋_GB2312" w:eastAsia="仿宋_GB2312" w:cs="仿宋_GB2312"/>
          <w:b/>
          <w:bCs/>
          <w:color w:val="auto"/>
          <w:highlight w:val="none"/>
          <w:lang w:eastAsia="zh-CN"/>
        </w:rPr>
        <w:t>绩效评价的目的</w:t>
      </w:r>
      <w:bookmarkEnd w:id="12"/>
      <w:bookmarkEnd w:id="13"/>
      <w:bookmarkEnd w:id="14"/>
      <w:bookmarkEnd w:id="15"/>
      <w:bookmarkEnd w:id="16"/>
      <w:bookmarkEnd w:id="17"/>
      <w:bookmarkEnd w:id="18"/>
      <w:bookmarkEnd w:id="19"/>
      <w:r>
        <w:rPr>
          <w:rFonts w:hint="eastAsia" w:ascii="仿宋_GB2312" w:hAnsi="仿宋_GB2312" w:eastAsia="仿宋_GB2312" w:cs="仿宋_GB2312"/>
          <w:b/>
          <w:bCs/>
          <w:color w:val="auto"/>
          <w:highlight w:val="none"/>
          <w:lang w:eastAsia="zh-CN"/>
        </w:rPr>
        <w:t>、对象和范围</w:t>
      </w:r>
      <w:bookmarkEnd w:id="20"/>
    </w:p>
    <w:p w14:paraId="60889B0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lang w:val="en-US" w:eastAsia="zh-CN"/>
        </w:rPr>
      </w:pPr>
      <w:bookmarkStart w:id="21" w:name="_Toc15732"/>
      <w:r>
        <w:rPr>
          <w:rFonts w:hint="eastAsia" w:ascii="仿宋_GB2312" w:hAnsi="仿宋_GB2312" w:eastAsia="仿宋_GB2312" w:cs="仿宋_GB2312"/>
          <w:color w:val="auto"/>
          <w:highlight w:val="none"/>
          <w:lang w:val="en-US" w:eastAsia="zh-CN"/>
        </w:rPr>
        <w:t>1.绩效评价的目的</w:t>
      </w:r>
      <w:bookmarkEnd w:id="21"/>
    </w:p>
    <w:p w14:paraId="18032B0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highlight w:val="none"/>
          <w:shd w:val="clear" w:color="auto" w:fill="auto"/>
          <w:lang w:eastAsia="zh-CN"/>
        </w:rPr>
      </w:pPr>
      <w:r>
        <w:rPr>
          <w:rFonts w:hint="eastAsia" w:ascii="仿宋_GB2312" w:hAnsi="仿宋_GB2312" w:eastAsia="仿宋_GB2312" w:cs="仿宋_GB2312"/>
          <w:color w:val="auto"/>
          <w:highlight w:val="none"/>
          <w:shd w:val="clear" w:color="auto" w:fill="auto"/>
          <w:lang w:eastAsia="zh-CN"/>
        </w:rPr>
        <w:t>为全面了解</w:t>
      </w:r>
      <w:r>
        <w:rPr>
          <w:rFonts w:hint="eastAsia" w:ascii="仿宋_GB2312" w:hAnsi="仿宋_GB2312" w:eastAsia="仿宋_GB2312" w:cs="仿宋_GB2312"/>
          <w:color w:val="auto"/>
          <w:highlight w:val="none"/>
          <w:shd w:val="clear" w:color="auto" w:fill="auto"/>
          <w:lang w:val="en-US" w:eastAsia="zh-CN"/>
        </w:rPr>
        <w:t>该</w:t>
      </w:r>
      <w:r>
        <w:rPr>
          <w:rFonts w:hint="eastAsia" w:ascii="仿宋_GB2312" w:hAnsi="仿宋_GB2312" w:eastAsia="仿宋_GB2312" w:cs="仿宋_GB2312"/>
          <w:color w:val="auto"/>
          <w:highlight w:val="none"/>
          <w:shd w:val="clear" w:color="auto" w:fill="auto"/>
          <w:lang w:eastAsia="zh-CN"/>
        </w:rPr>
        <w:t>项目预算编制合理性、资金使用合规性、项目管理的规范性、</w:t>
      </w:r>
      <w:r>
        <w:rPr>
          <w:rFonts w:hint="eastAsia" w:ascii="仿宋_GB2312" w:hAnsi="仿宋_GB2312" w:eastAsia="仿宋_GB2312" w:cs="仿宋_GB2312"/>
          <w:color w:val="auto"/>
          <w:highlight w:val="none"/>
          <w:shd w:val="clear" w:color="auto" w:fill="auto"/>
          <w:lang w:val="en-US" w:eastAsia="zh-CN"/>
        </w:rPr>
        <w:t>绩效</w:t>
      </w:r>
      <w:r>
        <w:rPr>
          <w:rFonts w:hint="eastAsia" w:ascii="仿宋_GB2312" w:hAnsi="仿宋_GB2312" w:eastAsia="仿宋_GB2312" w:cs="仿宋_GB2312"/>
          <w:color w:val="auto"/>
          <w:highlight w:val="none"/>
          <w:shd w:val="clear" w:color="auto" w:fill="auto"/>
          <w:lang w:eastAsia="zh-CN"/>
        </w:rPr>
        <w:t>目标的实现情况、服务对象的满意度等，通过本次</w:t>
      </w:r>
      <w:r>
        <w:rPr>
          <w:rFonts w:hint="eastAsia" w:ascii="仿宋_GB2312" w:hAnsi="仿宋_GB2312" w:eastAsia="仿宋_GB2312" w:cs="仿宋_GB2312"/>
          <w:color w:val="auto"/>
          <w:highlight w:val="none"/>
          <w:shd w:val="clear" w:color="auto" w:fill="auto"/>
          <w:lang w:val="en-US" w:eastAsia="zh-CN"/>
        </w:rPr>
        <w:t>部门</w:t>
      </w:r>
      <w:r>
        <w:rPr>
          <w:rFonts w:hint="eastAsia" w:ascii="仿宋_GB2312" w:hAnsi="仿宋_GB2312" w:eastAsia="仿宋_GB2312" w:cs="仿宋_GB2312"/>
          <w:color w:val="auto"/>
          <w:highlight w:val="none"/>
          <w:shd w:val="clear" w:color="auto" w:fill="auto"/>
          <w:lang w:eastAsia="zh-CN"/>
        </w:rPr>
        <w:t>绩效评价来总结经验和教训，促进项目成果转化和应用，为今后类似项目的长效管理，提供可行性参考建议。</w:t>
      </w:r>
    </w:p>
    <w:p w14:paraId="4E0757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lang w:val="en-US" w:eastAsia="zh-CN"/>
        </w:rPr>
      </w:pPr>
      <w:bookmarkStart w:id="22" w:name="_Toc30609"/>
      <w:r>
        <w:rPr>
          <w:rFonts w:hint="eastAsia" w:ascii="仿宋_GB2312" w:hAnsi="仿宋_GB2312" w:eastAsia="仿宋_GB2312" w:cs="仿宋_GB2312"/>
          <w:color w:val="auto"/>
          <w:highlight w:val="none"/>
          <w:lang w:val="en-US" w:eastAsia="zh-CN"/>
        </w:rPr>
        <w:t>2.绩效评价的对象和范围</w:t>
      </w:r>
      <w:bookmarkEnd w:id="22"/>
    </w:p>
    <w:p w14:paraId="1F8EA2E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此次我单位根据</w:t>
      </w:r>
      <w:r>
        <w:rPr>
          <w:rFonts w:hint="eastAsia" w:ascii="仿宋_GB2312" w:hAnsi="仿宋_GB2312" w:eastAsia="仿宋_GB2312" w:cs="仿宋_GB2312"/>
          <w:color w:val="auto"/>
          <w:highlight w:val="none"/>
          <w:shd w:val="clear" w:color="auto" w:fill="auto"/>
        </w:rPr>
        <w:t>《财政支出绩效评价管理暂行办法》（</w:t>
      </w:r>
      <w:r>
        <w:rPr>
          <w:rFonts w:hint="eastAsia" w:ascii="仿宋_GB2312" w:hAnsi="仿宋_GB2312" w:eastAsia="仿宋_GB2312" w:cs="仿宋_GB2312"/>
          <w:color w:val="auto"/>
          <w:highlight w:val="none"/>
          <w:shd w:val="clear" w:color="auto" w:fill="auto"/>
          <w:lang w:eastAsia="zh-CN"/>
        </w:rPr>
        <w:t>财预〔2020〕10号</w:t>
      </w:r>
      <w:r>
        <w:rPr>
          <w:rFonts w:hint="eastAsia" w:ascii="仿宋_GB2312" w:hAnsi="仿宋_GB2312" w:eastAsia="仿宋_GB2312" w:cs="仿宋_GB2312"/>
          <w:color w:val="auto"/>
          <w:highlight w:val="none"/>
          <w:shd w:val="clear" w:color="auto" w:fill="auto"/>
        </w:rPr>
        <w:t>）</w:t>
      </w:r>
      <w:r>
        <w:rPr>
          <w:rFonts w:hint="eastAsia" w:ascii="仿宋_GB2312" w:hAnsi="仿宋_GB2312" w:eastAsia="仿宋_GB2312" w:cs="仿宋_GB2312"/>
          <w:color w:val="auto"/>
          <w:highlight w:val="none"/>
          <w:shd w:val="clear" w:color="auto" w:fill="auto"/>
          <w:lang w:val="en-US" w:eastAsia="zh-CN"/>
        </w:rPr>
        <w:t>文件要求对2023年度我单位实施的2023年天池管委会还本付息支出项目开展部门绩效评价。</w:t>
      </w:r>
    </w:p>
    <w:p w14:paraId="4A4EC6B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28D56EF0">
      <w:pPr>
        <w:keepNext w:val="0"/>
        <w:keepLines w:val="0"/>
        <w:pageBreakBefore w:val="0"/>
        <w:widowControl w:val="0"/>
        <w:numPr>
          <w:ilvl w:val="0"/>
          <w:numId w:val="2"/>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lang w:val="en-US" w:eastAsia="zh-CN"/>
        </w:rPr>
      </w:pPr>
      <w:bookmarkStart w:id="23" w:name="_Toc15902"/>
      <w:r>
        <w:rPr>
          <w:rFonts w:hint="eastAsia" w:ascii="仿宋_GB2312" w:hAnsi="仿宋_GB2312" w:eastAsia="仿宋_GB2312" w:cs="仿宋_GB2312"/>
          <w:color w:val="auto"/>
          <w:highlight w:val="none"/>
          <w:lang w:val="en-US" w:eastAsia="zh-CN"/>
        </w:rPr>
        <w:t>绩效评价原则、评价指标体系（附表说明）、评价方法、评价标准</w:t>
      </w:r>
      <w:bookmarkEnd w:id="23"/>
    </w:p>
    <w:p w14:paraId="4BB469B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rPr>
      </w:pPr>
      <w:bookmarkStart w:id="24" w:name="_Toc24506"/>
      <w:r>
        <w:rPr>
          <w:rFonts w:hint="eastAsia" w:ascii="仿宋_GB2312" w:hAnsi="仿宋_GB2312" w:eastAsia="仿宋_GB2312" w:cs="仿宋_GB2312"/>
          <w:color w:val="auto"/>
          <w:highlight w:val="none"/>
          <w:lang w:val="en-US" w:eastAsia="zh-CN"/>
        </w:rPr>
        <w:t>1.</w:t>
      </w:r>
      <w:r>
        <w:rPr>
          <w:rFonts w:hint="eastAsia" w:ascii="仿宋_GB2312" w:hAnsi="仿宋_GB2312" w:eastAsia="仿宋_GB2312" w:cs="仿宋_GB2312"/>
          <w:color w:val="auto"/>
          <w:highlight w:val="none"/>
        </w:rPr>
        <w:t>绩效评价原则</w:t>
      </w:r>
      <w:bookmarkEnd w:id="24"/>
    </w:p>
    <w:p w14:paraId="3377F9F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highlight w:val="none"/>
          <w:shd w:val="clear" w:color="auto" w:fill="auto"/>
          <w:lang w:eastAsia="zh-CN"/>
        </w:rPr>
      </w:pPr>
      <w:r>
        <w:rPr>
          <w:rFonts w:hint="eastAsia" w:ascii="仿宋_GB2312" w:hAnsi="仿宋_GB2312" w:eastAsia="仿宋_GB2312" w:cs="仿宋_GB2312"/>
          <w:color w:val="auto"/>
          <w:highlight w:val="none"/>
          <w:shd w:val="clear" w:color="auto" w:fill="auto"/>
          <w:lang w:eastAsia="zh-CN"/>
        </w:rPr>
        <w:t>依据</w:t>
      </w:r>
      <w:r>
        <w:rPr>
          <w:rFonts w:hint="eastAsia" w:ascii="仿宋_GB2312" w:hAnsi="仿宋_GB2312" w:eastAsia="仿宋_GB2312" w:cs="仿宋_GB2312"/>
          <w:bCs/>
          <w:color w:val="auto"/>
          <w:highlight w:val="none"/>
          <w:shd w:val="clear" w:color="auto" w:fill="auto"/>
          <w:lang w:eastAsia="zh-CN"/>
        </w:rPr>
        <w:t>《财政支出绩效评价管理暂行办法》（财预〔20</w:t>
      </w:r>
      <w:r>
        <w:rPr>
          <w:rFonts w:hint="eastAsia" w:ascii="仿宋_GB2312" w:hAnsi="仿宋_GB2312" w:eastAsia="仿宋_GB2312" w:cs="仿宋_GB2312"/>
          <w:bCs/>
          <w:color w:val="auto"/>
          <w:highlight w:val="none"/>
          <w:shd w:val="clear" w:color="auto" w:fill="auto"/>
          <w:lang w:val="en-US" w:eastAsia="zh-CN"/>
        </w:rPr>
        <w:t>20</w:t>
      </w:r>
      <w:r>
        <w:rPr>
          <w:rFonts w:hint="eastAsia" w:ascii="仿宋_GB2312" w:hAnsi="仿宋_GB2312" w:eastAsia="仿宋_GB2312" w:cs="仿宋_GB2312"/>
          <w:bCs/>
          <w:color w:val="auto"/>
          <w:highlight w:val="none"/>
          <w:shd w:val="clear" w:color="auto" w:fill="auto"/>
          <w:lang w:eastAsia="zh-CN"/>
        </w:rPr>
        <w:t>〕</w:t>
      </w:r>
      <w:r>
        <w:rPr>
          <w:rFonts w:hint="eastAsia" w:ascii="仿宋_GB2312" w:hAnsi="仿宋_GB2312" w:eastAsia="仿宋_GB2312" w:cs="仿宋_GB2312"/>
          <w:bCs/>
          <w:color w:val="auto"/>
          <w:highlight w:val="none"/>
          <w:shd w:val="clear" w:color="auto" w:fill="auto"/>
          <w:lang w:val="en-US" w:eastAsia="zh-CN"/>
        </w:rPr>
        <w:t>10</w:t>
      </w:r>
      <w:r>
        <w:rPr>
          <w:rFonts w:hint="eastAsia" w:ascii="仿宋_GB2312" w:hAnsi="仿宋_GB2312" w:eastAsia="仿宋_GB2312" w:cs="仿宋_GB2312"/>
          <w:bCs/>
          <w:color w:val="auto"/>
          <w:highlight w:val="none"/>
          <w:shd w:val="clear" w:color="auto" w:fill="auto"/>
          <w:lang w:eastAsia="zh-CN"/>
        </w:rPr>
        <w:t>号）</w:t>
      </w:r>
      <w:r>
        <w:rPr>
          <w:rFonts w:hint="eastAsia" w:ascii="仿宋_GB2312" w:hAnsi="仿宋_GB2312" w:eastAsia="仿宋_GB2312" w:cs="仿宋_GB2312"/>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仿宋_GB2312" w:hAnsi="仿宋_GB2312" w:eastAsia="仿宋_GB2312" w:cs="仿宋_GB2312"/>
          <w:color w:val="auto"/>
          <w:highlight w:val="none"/>
          <w:shd w:val="clear" w:color="auto" w:fill="auto"/>
          <w:lang w:val="en-US" w:eastAsia="zh-CN"/>
        </w:rPr>
        <w:t>2023年天池管委会还本付息支出</w:t>
      </w:r>
      <w:r>
        <w:rPr>
          <w:rFonts w:hint="eastAsia" w:ascii="仿宋_GB2312" w:hAnsi="仿宋_GB2312" w:eastAsia="仿宋_GB2312" w:cs="仿宋_GB2312"/>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3E0567B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highlight w:val="none"/>
          <w:shd w:val="clear" w:color="auto" w:fill="auto"/>
          <w:lang w:eastAsia="zh-CN"/>
        </w:rPr>
      </w:pPr>
      <w:r>
        <w:rPr>
          <w:rFonts w:hint="eastAsia" w:ascii="仿宋_GB2312" w:hAnsi="仿宋_GB2312" w:eastAsia="仿宋_GB2312" w:cs="仿宋_GB2312"/>
          <w:color w:val="auto"/>
          <w:highlight w:val="none"/>
          <w:shd w:val="clear" w:color="auto" w:fill="auto"/>
          <w:lang w:eastAsia="zh-CN"/>
        </w:rPr>
        <w:t>根据以上原则，绩效评价应遵循如下要求：</w:t>
      </w:r>
    </w:p>
    <w:p w14:paraId="6453E88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highlight w:val="none"/>
          <w:shd w:val="clear" w:color="auto" w:fill="auto"/>
          <w:lang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1</w:t>
      </w:r>
      <w:r>
        <w:rPr>
          <w:rFonts w:hint="eastAsia" w:ascii="仿宋_GB2312" w:hAnsi="仿宋_GB2312" w:eastAsia="仿宋_GB2312" w:cs="仿宋_GB2312"/>
          <w:color w:val="auto"/>
          <w:highlight w:val="none"/>
          <w:shd w:val="clear" w:color="auto" w:fill="auto"/>
          <w:lang w:eastAsia="zh-CN"/>
        </w:rPr>
        <w:t>）科学公正。绩效评价应当运用科学合理的方法，按照规范的程序，对项目绩效进行客观、公正的反映。</w:t>
      </w:r>
    </w:p>
    <w:p w14:paraId="63DDA15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highlight w:val="none"/>
          <w:shd w:val="clear" w:color="auto" w:fill="auto"/>
          <w:lang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2</w:t>
      </w:r>
      <w:r>
        <w:rPr>
          <w:rFonts w:hint="eastAsia" w:ascii="仿宋_GB2312" w:hAnsi="仿宋_GB2312" w:eastAsia="仿宋_GB2312" w:cs="仿宋_GB2312"/>
          <w:color w:val="auto"/>
          <w:highlight w:val="none"/>
          <w:shd w:val="clear" w:color="auto" w:fill="auto"/>
          <w:lang w:eastAsia="zh-CN"/>
        </w:rPr>
        <w:t>）统筹兼顾。单位自评、部门评价和财政评价应职责明确，各有侧重，相互衔接。单位自评应由项目单位自主实施，即“谁支出、谁自评”。</w:t>
      </w:r>
    </w:p>
    <w:p w14:paraId="5F50482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highlight w:val="none"/>
          <w:shd w:val="clear" w:color="auto" w:fill="auto"/>
          <w:lang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3</w:t>
      </w:r>
      <w:r>
        <w:rPr>
          <w:rFonts w:hint="eastAsia" w:ascii="仿宋_GB2312" w:hAnsi="仿宋_GB2312" w:eastAsia="仿宋_GB2312" w:cs="仿宋_GB2312"/>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1C52612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highlight w:val="none"/>
          <w:shd w:val="clear" w:color="auto" w:fill="auto"/>
          <w:lang w:eastAsia="zh-CN"/>
        </w:rPr>
      </w:pPr>
      <w:r>
        <w:rPr>
          <w:rFonts w:hint="eastAsia" w:ascii="仿宋_GB2312" w:hAnsi="仿宋_GB2312" w:eastAsia="仿宋_GB2312" w:cs="仿宋_GB2312"/>
          <w:color w:val="auto"/>
          <w:highlight w:val="none"/>
          <w:shd w:val="clear" w:color="auto" w:fill="auto"/>
          <w:lang w:eastAsia="zh-CN"/>
        </w:rPr>
        <w:t>（</w:t>
      </w:r>
      <w:r>
        <w:rPr>
          <w:rFonts w:hint="eastAsia" w:ascii="仿宋_GB2312" w:hAnsi="仿宋_GB2312" w:eastAsia="仿宋_GB2312" w:cs="仿宋_GB2312"/>
          <w:color w:val="auto"/>
          <w:highlight w:val="none"/>
          <w:shd w:val="clear" w:color="auto" w:fill="auto"/>
          <w:lang w:val="en-US" w:eastAsia="zh-CN"/>
        </w:rPr>
        <w:t>4</w:t>
      </w:r>
      <w:r>
        <w:rPr>
          <w:rFonts w:hint="eastAsia" w:ascii="仿宋_GB2312" w:hAnsi="仿宋_GB2312" w:eastAsia="仿宋_GB2312" w:cs="仿宋_GB2312"/>
          <w:color w:val="auto"/>
          <w:highlight w:val="none"/>
          <w:shd w:val="clear" w:color="auto" w:fill="auto"/>
          <w:lang w:eastAsia="zh-CN"/>
        </w:rPr>
        <w:t>）公开透明。绩效评价结果应依法依规公开，并自觉接受社会监督。</w:t>
      </w:r>
    </w:p>
    <w:p w14:paraId="17529F3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lang w:eastAsia="zh-CN"/>
        </w:rPr>
      </w:pPr>
      <w:bookmarkStart w:id="25" w:name="_Toc428278230"/>
      <w:bookmarkStart w:id="26" w:name="_Toc1913"/>
      <w:bookmarkStart w:id="27" w:name="_Toc26131"/>
      <w:bookmarkStart w:id="28" w:name="_Toc419984722"/>
      <w:bookmarkStart w:id="29" w:name="_Toc24396"/>
      <w:r>
        <w:rPr>
          <w:rFonts w:hint="eastAsia" w:ascii="仿宋_GB2312" w:hAnsi="仿宋_GB2312" w:eastAsia="仿宋_GB2312" w:cs="仿宋_GB2312"/>
          <w:color w:val="auto"/>
          <w:highlight w:val="none"/>
          <w:lang w:val="en-US" w:eastAsia="zh-CN"/>
        </w:rPr>
        <w:t>2.</w:t>
      </w:r>
      <w:r>
        <w:rPr>
          <w:rFonts w:hint="eastAsia" w:ascii="仿宋_GB2312" w:hAnsi="仿宋_GB2312" w:eastAsia="仿宋_GB2312" w:cs="仿宋_GB2312"/>
          <w:color w:val="auto"/>
          <w:highlight w:val="none"/>
          <w:lang w:eastAsia="zh-CN"/>
        </w:rPr>
        <w:t>绩效评价指标体系及绩效评价</w:t>
      </w:r>
      <w:bookmarkEnd w:id="25"/>
      <w:bookmarkEnd w:id="26"/>
      <w:bookmarkEnd w:id="27"/>
      <w:bookmarkEnd w:id="28"/>
      <w:r>
        <w:rPr>
          <w:rFonts w:hint="eastAsia" w:ascii="仿宋_GB2312" w:hAnsi="仿宋_GB2312" w:eastAsia="仿宋_GB2312" w:cs="仿宋_GB2312"/>
          <w:color w:val="auto"/>
          <w:highlight w:val="none"/>
          <w:lang w:val="en-US" w:eastAsia="zh-CN"/>
        </w:rPr>
        <w:t>标准</w:t>
      </w:r>
      <w:bookmarkEnd w:id="29"/>
    </w:p>
    <w:p w14:paraId="7B827C9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我单位</w:t>
      </w:r>
      <w:r>
        <w:rPr>
          <w:rFonts w:hint="eastAsia" w:ascii="仿宋_GB2312" w:hAnsi="仿宋_GB2312" w:eastAsia="仿宋_GB2312" w:cs="仿宋_GB2312"/>
          <w:color w:val="auto"/>
          <w:highlight w:val="none"/>
          <w:shd w:val="clear" w:color="auto" w:fill="auto"/>
          <w:lang w:val="zh-TW" w:eastAsia="zh-TW"/>
        </w:rPr>
        <w:t>根据项目的</w:t>
      </w:r>
      <w:r>
        <w:rPr>
          <w:rFonts w:hint="eastAsia" w:ascii="仿宋_GB2312" w:hAnsi="仿宋_GB2312" w:eastAsia="仿宋_GB2312" w:cs="仿宋_GB2312"/>
          <w:color w:val="auto"/>
          <w:highlight w:val="none"/>
          <w:shd w:val="clear" w:color="auto" w:fill="auto"/>
          <w:lang w:val="en-US" w:eastAsia="zh-CN"/>
        </w:rPr>
        <w:t>实施</w:t>
      </w:r>
      <w:r>
        <w:rPr>
          <w:rFonts w:hint="eastAsia" w:ascii="仿宋_GB2312" w:hAnsi="仿宋_GB2312" w:eastAsia="仿宋_GB2312" w:cs="仿宋_GB2312"/>
          <w:color w:val="auto"/>
          <w:highlight w:val="none"/>
          <w:shd w:val="clear" w:color="auto" w:fill="auto"/>
          <w:lang w:val="zh-TW" w:eastAsia="zh-TW"/>
        </w:rPr>
        <w:t>资料研读及前期调研，结合项目的实际开展情况，最终形成了项目绩效评价指标体系</w:t>
      </w:r>
      <w:r>
        <w:rPr>
          <w:rFonts w:hint="eastAsia" w:ascii="仿宋_GB2312" w:hAnsi="仿宋_GB2312" w:eastAsia="仿宋_GB2312" w:cs="仿宋_GB2312"/>
          <w:color w:val="auto"/>
          <w:highlight w:val="none"/>
          <w:shd w:val="clear" w:color="auto" w:fill="auto"/>
          <w:lang w:val="zh-TW" w:eastAsia="zh-CN"/>
        </w:rPr>
        <w:t>，</w:t>
      </w:r>
      <w:r>
        <w:rPr>
          <w:rFonts w:hint="eastAsia" w:ascii="仿宋_GB2312" w:hAnsi="仿宋_GB2312" w:eastAsia="仿宋_GB2312" w:cs="仿宋_GB2312"/>
          <w:color w:val="auto"/>
          <w:highlight w:val="none"/>
          <w:shd w:val="clear" w:color="auto" w:fill="auto"/>
          <w:lang w:val="en-US" w:eastAsia="zh-CN"/>
        </w:rPr>
        <w:t>指标体系结构如下</w:t>
      </w:r>
      <w:r>
        <w:rPr>
          <w:rFonts w:hint="eastAsia" w:ascii="仿宋_GB2312" w:hAnsi="仿宋_GB2312" w:eastAsia="仿宋_GB2312" w:cs="仿宋_GB2312"/>
          <w:b/>
          <w:bCs/>
          <w:color w:val="auto"/>
          <w:highlight w:val="none"/>
          <w:shd w:val="clear" w:color="auto" w:fill="auto"/>
          <w:lang w:val="en-US" w:eastAsia="zh-CN"/>
        </w:rPr>
        <w:t>（详见上传的附件）</w:t>
      </w:r>
      <w:r>
        <w:rPr>
          <w:rFonts w:hint="eastAsia" w:ascii="仿宋_GB2312" w:hAnsi="仿宋_GB2312" w:eastAsia="仿宋_GB2312" w:cs="仿宋_GB2312"/>
          <w:color w:val="auto"/>
          <w:highlight w:val="none"/>
          <w:shd w:val="clear" w:color="auto" w:fill="auto"/>
          <w:lang w:val="en-US" w:eastAsia="zh-CN"/>
        </w:rPr>
        <w:t>：</w:t>
      </w:r>
    </w:p>
    <w:p w14:paraId="650EB7BB">
      <w:pPr>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zh-TW" w:eastAsia="zh-TW"/>
        </w:rPr>
        <w:t>项目绩效评价指标体系</w:t>
      </w:r>
    </w:p>
    <w:tbl>
      <w:tblPr>
        <w:tblStyle w:val="12"/>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358799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PrEx>
        <w:trPr>
          <w:trHeight w:val="570" w:hRule="atLeast"/>
          <w:tblHeader/>
          <w:jc w:val="center"/>
        </w:trPr>
        <w:tc>
          <w:tcPr>
            <w:tcW w:w="642" w:type="dxa"/>
            <w:shd w:val="clear" w:color="auto" w:fill="auto"/>
            <w:vAlign w:val="center"/>
          </w:tcPr>
          <w:p w14:paraId="0017DF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rPr>
            </w:pPr>
            <w:r>
              <w:rPr>
                <w:rFonts w:hint="eastAsia" w:ascii="仿宋_GB2312" w:hAnsi="仿宋_GB2312" w:eastAsia="仿宋_GB2312" w:cs="仿宋_GB2312"/>
                <w:b/>
                <w:bCs/>
                <w:color w:val="auto"/>
                <w:kern w:val="0"/>
                <w:sz w:val="20"/>
                <w:szCs w:val="20"/>
                <w:highlight w:val="none"/>
                <w:shd w:val="clear" w:color="auto" w:fill="auto"/>
              </w:rPr>
              <w:t>一级指标</w:t>
            </w:r>
          </w:p>
        </w:tc>
        <w:tc>
          <w:tcPr>
            <w:tcW w:w="1196" w:type="dxa"/>
            <w:shd w:val="clear" w:color="auto" w:fill="auto"/>
            <w:vAlign w:val="center"/>
          </w:tcPr>
          <w:p w14:paraId="7710A0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rPr>
            </w:pPr>
            <w:r>
              <w:rPr>
                <w:rFonts w:hint="eastAsia" w:ascii="仿宋_GB2312" w:hAnsi="仿宋_GB2312" w:eastAsia="仿宋_GB2312" w:cs="仿宋_GB2312"/>
                <w:b/>
                <w:bCs/>
                <w:color w:val="auto"/>
                <w:kern w:val="0"/>
                <w:sz w:val="20"/>
                <w:szCs w:val="20"/>
                <w:highlight w:val="none"/>
                <w:shd w:val="clear" w:color="auto" w:fill="auto"/>
              </w:rPr>
              <w:t>二级指标</w:t>
            </w:r>
          </w:p>
        </w:tc>
        <w:tc>
          <w:tcPr>
            <w:tcW w:w="1050" w:type="dxa"/>
            <w:shd w:val="clear" w:color="auto" w:fill="auto"/>
            <w:vAlign w:val="center"/>
          </w:tcPr>
          <w:p w14:paraId="579F33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rPr>
            </w:pPr>
            <w:r>
              <w:rPr>
                <w:rFonts w:hint="eastAsia" w:ascii="仿宋_GB2312" w:hAnsi="仿宋_GB2312" w:eastAsia="仿宋_GB2312" w:cs="仿宋_GB2312"/>
                <w:b/>
                <w:bCs/>
                <w:color w:val="auto"/>
                <w:kern w:val="0"/>
                <w:sz w:val="20"/>
                <w:szCs w:val="20"/>
                <w:highlight w:val="none"/>
                <w:shd w:val="clear" w:color="auto" w:fill="auto"/>
              </w:rPr>
              <w:t>三级指标</w:t>
            </w:r>
          </w:p>
        </w:tc>
        <w:tc>
          <w:tcPr>
            <w:tcW w:w="1996" w:type="dxa"/>
            <w:shd w:val="clear" w:color="auto" w:fill="auto"/>
            <w:vAlign w:val="center"/>
          </w:tcPr>
          <w:p w14:paraId="700B32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rPr>
            </w:pPr>
            <w:r>
              <w:rPr>
                <w:rFonts w:hint="eastAsia" w:ascii="仿宋_GB2312" w:hAnsi="仿宋_GB2312" w:eastAsia="仿宋_GB2312" w:cs="仿宋_GB2312"/>
                <w:b/>
                <w:bCs/>
                <w:color w:val="auto"/>
                <w:kern w:val="0"/>
                <w:sz w:val="20"/>
                <w:szCs w:val="20"/>
                <w:highlight w:val="none"/>
                <w:shd w:val="clear" w:color="auto" w:fill="auto"/>
              </w:rPr>
              <w:t>指标解释</w:t>
            </w:r>
          </w:p>
        </w:tc>
        <w:tc>
          <w:tcPr>
            <w:tcW w:w="3793" w:type="dxa"/>
            <w:shd w:val="clear" w:color="auto" w:fill="auto"/>
            <w:vAlign w:val="center"/>
          </w:tcPr>
          <w:p w14:paraId="244954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rPr>
            </w:pPr>
            <w:r>
              <w:rPr>
                <w:rFonts w:hint="eastAsia" w:ascii="仿宋_GB2312" w:hAnsi="仿宋_GB2312" w:eastAsia="仿宋_GB2312" w:cs="仿宋_GB2312"/>
                <w:b/>
                <w:bCs/>
                <w:color w:val="auto"/>
                <w:kern w:val="0"/>
                <w:sz w:val="20"/>
                <w:szCs w:val="20"/>
                <w:highlight w:val="none"/>
                <w:shd w:val="clear" w:color="auto" w:fill="auto"/>
              </w:rPr>
              <w:t>指标说明</w:t>
            </w:r>
          </w:p>
        </w:tc>
      </w:tr>
      <w:tr w14:paraId="4D78C8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03C680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决策</w:t>
            </w:r>
          </w:p>
        </w:tc>
        <w:tc>
          <w:tcPr>
            <w:tcW w:w="1196" w:type="dxa"/>
            <w:vMerge w:val="restart"/>
            <w:shd w:val="clear" w:color="auto" w:fill="auto"/>
            <w:vAlign w:val="center"/>
          </w:tcPr>
          <w:p w14:paraId="424EB4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项目立项</w:t>
            </w:r>
          </w:p>
        </w:tc>
        <w:tc>
          <w:tcPr>
            <w:tcW w:w="1050" w:type="dxa"/>
            <w:shd w:val="clear" w:color="auto" w:fill="auto"/>
            <w:vAlign w:val="center"/>
          </w:tcPr>
          <w:p w14:paraId="6FAA7C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立项依据</w:t>
            </w:r>
          </w:p>
          <w:p w14:paraId="0D5C5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充分性</w:t>
            </w:r>
          </w:p>
        </w:tc>
        <w:tc>
          <w:tcPr>
            <w:tcW w:w="1996" w:type="dxa"/>
            <w:shd w:val="clear" w:color="auto" w:fill="auto"/>
            <w:vAlign w:val="center"/>
          </w:tcPr>
          <w:p w14:paraId="4D6E70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37103DD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lang w:eastAsia="zh-CN"/>
              </w:rPr>
              <w:t>评价标准</w:t>
            </w:r>
            <w:r>
              <w:rPr>
                <w:rFonts w:hint="eastAsia" w:ascii="仿宋_GB2312" w:hAnsi="仿宋_GB2312" w:eastAsia="仿宋_GB2312" w:cs="仿宋_GB2312"/>
                <w:color w:val="auto"/>
                <w:kern w:val="0"/>
                <w:sz w:val="20"/>
                <w:szCs w:val="20"/>
                <w:highlight w:val="none"/>
                <w:shd w:val="clear" w:color="auto" w:fill="auto"/>
              </w:rPr>
              <w:t>：</w:t>
            </w:r>
          </w:p>
          <w:p w14:paraId="11EE8F4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①项目立项是否符合国家法律法规、国民经济发展规划和相关政策；</w:t>
            </w:r>
          </w:p>
          <w:p w14:paraId="495BA3B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②项目立项是否符合行业发展规划和政策要求；</w:t>
            </w:r>
          </w:p>
          <w:p w14:paraId="2FDEE9D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③项目立项是否与部门职责范围相符，属于部门履职所需；</w:t>
            </w:r>
          </w:p>
          <w:p w14:paraId="4865A94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④项目是否属于公共财政支持范围，是否符合中央、地方事权支出责任划分原则；</w:t>
            </w:r>
          </w:p>
          <w:p w14:paraId="249A2A1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⑤项目是否与相关部门同类项目或部门内部相关项目重复。</w:t>
            </w:r>
          </w:p>
        </w:tc>
      </w:tr>
      <w:tr w14:paraId="36E4A8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3AD9D50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vMerge w:val="continue"/>
            <w:shd w:val="clear" w:color="auto" w:fill="auto"/>
            <w:vAlign w:val="center"/>
          </w:tcPr>
          <w:p w14:paraId="1D6761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050" w:type="dxa"/>
            <w:shd w:val="clear" w:color="auto" w:fill="auto"/>
            <w:vAlign w:val="center"/>
          </w:tcPr>
          <w:p w14:paraId="4F2364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立项程序</w:t>
            </w:r>
          </w:p>
          <w:p w14:paraId="42FF3E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规范性</w:t>
            </w:r>
          </w:p>
        </w:tc>
        <w:tc>
          <w:tcPr>
            <w:tcW w:w="1996" w:type="dxa"/>
            <w:shd w:val="clear" w:color="auto" w:fill="auto"/>
            <w:vAlign w:val="center"/>
          </w:tcPr>
          <w:p w14:paraId="12F8AA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386A9E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lang w:eastAsia="zh-CN"/>
              </w:rPr>
              <w:t>评价标准</w:t>
            </w:r>
            <w:r>
              <w:rPr>
                <w:rFonts w:hint="eastAsia" w:ascii="仿宋_GB2312" w:hAnsi="仿宋_GB2312" w:eastAsia="仿宋_GB2312" w:cs="仿宋_GB2312"/>
                <w:color w:val="auto"/>
                <w:kern w:val="0"/>
                <w:sz w:val="20"/>
                <w:szCs w:val="20"/>
                <w:highlight w:val="none"/>
                <w:shd w:val="clear" w:color="auto" w:fill="auto"/>
              </w:rPr>
              <w:t>：</w:t>
            </w:r>
          </w:p>
          <w:p w14:paraId="246F9BF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①项目是否按照规定的程序申请设立；</w:t>
            </w:r>
          </w:p>
          <w:p w14:paraId="42EE714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②审批文件、材料是否符合相关要求；</w:t>
            </w:r>
          </w:p>
          <w:p w14:paraId="2134967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③事前是否已经过必要的可行性研究、专家论证、风险评估、绩效评估、集体决策。</w:t>
            </w:r>
          </w:p>
        </w:tc>
      </w:tr>
      <w:tr w14:paraId="22FADB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663CA08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vMerge w:val="restart"/>
            <w:shd w:val="clear" w:color="auto" w:fill="auto"/>
            <w:vAlign w:val="center"/>
          </w:tcPr>
          <w:p w14:paraId="247696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绩效目标</w:t>
            </w:r>
          </w:p>
        </w:tc>
        <w:tc>
          <w:tcPr>
            <w:tcW w:w="1050" w:type="dxa"/>
            <w:shd w:val="clear" w:color="auto" w:fill="auto"/>
            <w:vAlign w:val="center"/>
          </w:tcPr>
          <w:p w14:paraId="6A3FBF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绩效目标</w:t>
            </w:r>
          </w:p>
          <w:p w14:paraId="221A6C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合理性</w:t>
            </w:r>
          </w:p>
        </w:tc>
        <w:tc>
          <w:tcPr>
            <w:tcW w:w="1996" w:type="dxa"/>
            <w:shd w:val="clear" w:color="auto" w:fill="auto"/>
            <w:vAlign w:val="center"/>
          </w:tcPr>
          <w:p w14:paraId="2BB565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471FB93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lang w:eastAsia="zh-CN"/>
              </w:rPr>
              <w:t>评价标准</w:t>
            </w:r>
            <w:r>
              <w:rPr>
                <w:rFonts w:hint="eastAsia" w:ascii="仿宋_GB2312" w:hAnsi="仿宋_GB2312" w:eastAsia="仿宋_GB2312" w:cs="仿宋_GB2312"/>
                <w:color w:val="auto"/>
                <w:kern w:val="0"/>
                <w:sz w:val="20"/>
                <w:szCs w:val="20"/>
                <w:highlight w:val="none"/>
                <w:shd w:val="clear" w:color="auto" w:fill="auto"/>
              </w:rPr>
              <w:t>：</w:t>
            </w:r>
          </w:p>
          <w:p w14:paraId="32A4485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（如未设定预算绩效目标，也可考核其他工作任务目标）</w:t>
            </w:r>
          </w:p>
          <w:p w14:paraId="7FE4689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①项目是否有绩效目标；</w:t>
            </w:r>
          </w:p>
          <w:p w14:paraId="395A80D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②项目绩效目标与实际工作内容是否具有相关性；</w:t>
            </w:r>
          </w:p>
          <w:p w14:paraId="52E3042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③项目预期产出效益和效果是否符合正常的业绩水平；</w:t>
            </w:r>
          </w:p>
          <w:p w14:paraId="6B0E059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④是否与预算确定的项目投资额或资金量相匹配。</w:t>
            </w:r>
          </w:p>
        </w:tc>
      </w:tr>
      <w:tr w14:paraId="1F892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33951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vMerge w:val="continue"/>
            <w:shd w:val="clear" w:color="auto" w:fill="auto"/>
            <w:vAlign w:val="center"/>
          </w:tcPr>
          <w:p w14:paraId="00733F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050" w:type="dxa"/>
            <w:shd w:val="clear" w:color="auto" w:fill="auto"/>
            <w:vAlign w:val="center"/>
          </w:tcPr>
          <w:p w14:paraId="6C8618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绩效指标</w:t>
            </w:r>
          </w:p>
          <w:p w14:paraId="236609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明确性</w:t>
            </w:r>
          </w:p>
        </w:tc>
        <w:tc>
          <w:tcPr>
            <w:tcW w:w="1996" w:type="dxa"/>
            <w:shd w:val="clear" w:color="auto" w:fill="auto"/>
            <w:vAlign w:val="center"/>
          </w:tcPr>
          <w:p w14:paraId="3FD947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2101C5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lang w:eastAsia="zh-CN"/>
              </w:rPr>
              <w:t>评价标准</w:t>
            </w:r>
            <w:r>
              <w:rPr>
                <w:rFonts w:hint="eastAsia" w:ascii="仿宋_GB2312" w:hAnsi="仿宋_GB2312" w:eastAsia="仿宋_GB2312" w:cs="仿宋_GB2312"/>
                <w:color w:val="auto"/>
                <w:kern w:val="0"/>
                <w:sz w:val="20"/>
                <w:szCs w:val="20"/>
                <w:highlight w:val="none"/>
                <w:shd w:val="clear" w:color="auto" w:fill="auto"/>
              </w:rPr>
              <w:t>：</w:t>
            </w:r>
          </w:p>
          <w:p w14:paraId="3812E1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①是否将项目绩效目标细化分解为具体的绩效指标；</w:t>
            </w:r>
          </w:p>
          <w:p w14:paraId="39FEC8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②是否通过清晰、可衡量的指标值予以体现；</w:t>
            </w:r>
          </w:p>
          <w:p w14:paraId="30592E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③是否与项目目标任务数或计划数相对应。</w:t>
            </w:r>
          </w:p>
        </w:tc>
      </w:tr>
      <w:tr w14:paraId="449E44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CC1C43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vMerge w:val="restart"/>
            <w:shd w:val="clear" w:color="auto" w:fill="auto"/>
            <w:vAlign w:val="center"/>
          </w:tcPr>
          <w:p w14:paraId="109BE0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资金投入</w:t>
            </w:r>
          </w:p>
        </w:tc>
        <w:tc>
          <w:tcPr>
            <w:tcW w:w="1050" w:type="dxa"/>
            <w:shd w:val="clear" w:color="auto" w:fill="auto"/>
            <w:vAlign w:val="center"/>
          </w:tcPr>
          <w:p w14:paraId="4C5239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预算编制</w:t>
            </w:r>
          </w:p>
          <w:p w14:paraId="4A9CA1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科学性</w:t>
            </w:r>
          </w:p>
        </w:tc>
        <w:tc>
          <w:tcPr>
            <w:tcW w:w="1996" w:type="dxa"/>
            <w:shd w:val="clear" w:color="auto" w:fill="auto"/>
            <w:vAlign w:val="center"/>
          </w:tcPr>
          <w:p w14:paraId="3D53C0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5D4C1C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lang w:eastAsia="zh-CN"/>
              </w:rPr>
              <w:t>评价标准</w:t>
            </w:r>
            <w:r>
              <w:rPr>
                <w:rFonts w:hint="eastAsia" w:ascii="仿宋_GB2312" w:hAnsi="仿宋_GB2312" w:eastAsia="仿宋_GB2312" w:cs="仿宋_GB2312"/>
                <w:color w:val="auto"/>
                <w:kern w:val="0"/>
                <w:sz w:val="20"/>
                <w:szCs w:val="20"/>
                <w:highlight w:val="none"/>
                <w:shd w:val="clear" w:color="auto" w:fill="auto"/>
              </w:rPr>
              <w:t>：</w:t>
            </w:r>
          </w:p>
          <w:p w14:paraId="10CF5A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①预算编制是否经过科学论证；</w:t>
            </w:r>
          </w:p>
          <w:p w14:paraId="3132D4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②预算内容与项目内容是否匹配；</w:t>
            </w:r>
          </w:p>
          <w:p w14:paraId="0E41AC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③预算额度测算依据是否充分，是否按照标准编制；</w:t>
            </w:r>
          </w:p>
          <w:p w14:paraId="4B1A64F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④预算确定的项目投资额或资金量是否与工作任务相匹配。</w:t>
            </w:r>
          </w:p>
        </w:tc>
      </w:tr>
      <w:tr w14:paraId="4BCF61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53FCD5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vMerge w:val="continue"/>
            <w:shd w:val="clear" w:color="auto" w:fill="auto"/>
            <w:vAlign w:val="center"/>
          </w:tcPr>
          <w:p w14:paraId="6F99A4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050" w:type="dxa"/>
            <w:shd w:val="clear" w:color="auto" w:fill="auto"/>
            <w:vAlign w:val="center"/>
          </w:tcPr>
          <w:p w14:paraId="25F1D1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资金分配</w:t>
            </w:r>
          </w:p>
          <w:p w14:paraId="7657DB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合理性</w:t>
            </w:r>
          </w:p>
        </w:tc>
        <w:tc>
          <w:tcPr>
            <w:tcW w:w="1996" w:type="dxa"/>
            <w:shd w:val="clear" w:color="auto" w:fill="auto"/>
            <w:vAlign w:val="center"/>
          </w:tcPr>
          <w:p w14:paraId="768D57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07263A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lang w:eastAsia="zh-CN"/>
              </w:rPr>
              <w:t>评价标准</w:t>
            </w:r>
            <w:r>
              <w:rPr>
                <w:rFonts w:hint="eastAsia" w:ascii="仿宋_GB2312" w:hAnsi="仿宋_GB2312" w:eastAsia="仿宋_GB2312" w:cs="仿宋_GB2312"/>
                <w:color w:val="auto"/>
                <w:kern w:val="0"/>
                <w:sz w:val="20"/>
                <w:szCs w:val="20"/>
                <w:highlight w:val="none"/>
                <w:shd w:val="clear" w:color="auto" w:fill="auto"/>
              </w:rPr>
              <w:t>：</w:t>
            </w:r>
          </w:p>
          <w:p w14:paraId="686F92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①预算资金分配依据是否充分；</w:t>
            </w:r>
          </w:p>
          <w:p w14:paraId="06B288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②资金分配额度是否合理，与项目单位或地方实际是否相适应。</w:t>
            </w:r>
          </w:p>
        </w:tc>
      </w:tr>
      <w:tr w14:paraId="1544EC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7FB153E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过程</w:t>
            </w:r>
          </w:p>
        </w:tc>
        <w:tc>
          <w:tcPr>
            <w:tcW w:w="1196" w:type="dxa"/>
            <w:vMerge w:val="restart"/>
            <w:shd w:val="clear" w:color="auto" w:fill="auto"/>
            <w:vAlign w:val="center"/>
          </w:tcPr>
          <w:p w14:paraId="6EAEE6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资金管理</w:t>
            </w:r>
          </w:p>
        </w:tc>
        <w:tc>
          <w:tcPr>
            <w:tcW w:w="1050" w:type="dxa"/>
            <w:shd w:val="clear" w:color="auto" w:fill="auto"/>
            <w:vAlign w:val="center"/>
          </w:tcPr>
          <w:p w14:paraId="411C8D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资金到位率</w:t>
            </w:r>
          </w:p>
        </w:tc>
        <w:tc>
          <w:tcPr>
            <w:tcW w:w="1996" w:type="dxa"/>
            <w:shd w:val="clear" w:color="auto" w:fill="auto"/>
            <w:vAlign w:val="center"/>
          </w:tcPr>
          <w:p w14:paraId="02B72D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3350D5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资金到位率=（实际到位资金/预算资金）×100%。</w:t>
            </w:r>
          </w:p>
          <w:p w14:paraId="04DBE1E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实际到位资金：一定时期（本年度或项目期）内落实到具体项目的资金。</w:t>
            </w:r>
          </w:p>
          <w:p w14:paraId="44840D6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预算资金：一定时期（本年度或项目期）内预算安排到具体项目的资金。</w:t>
            </w:r>
          </w:p>
        </w:tc>
      </w:tr>
      <w:tr w14:paraId="4FAFFA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4994D3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vMerge w:val="continue"/>
            <w:shd w:val="clear" w:color="auto" w:fill="auto"/>
            <w:vAlign w:val="center"/>
          </w:tcPr>
          <w:p w14:paraId="799DF44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050" w:type="dxa"/>
            <w:shd w:val="clear" w:color="auto" w:fill="auto"/>
            <w:vAlign w:val="center"/>
          </w:tcPr>
          <w:p w14:paraId="0E51F7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预算执行率</w:t>
            </w:r>
          </w:p>
        </w:tc>
        <w:tc>
          <w:tcPr>
            <w:tcW w:w="1996" w:type="dxa"/>
            <w:shd w:val="clear" w:color="auto" w:fill="auto"/>
            <w:vAlign w:val="center"/>
          </w:tcPr>
          <w:p w14:paraId="09D5FE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662077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预算执行率=（实际支出资金/实际到位资金）×100%。</w:t>
            </w:r>
          </w:p>
          <w:p w14:paraId="3CF75C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实际支出资金：一定时期（本年度或项目期）内项目实际拨付的资金。</w:t>
            </w:r>
          </w:p>
        </w:tc>
      </w:tr>
      <w:tr w14:paraId="520B41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40BB0F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vMerge w:val="continue"/>
            <w:shd w:val="clear" w:color="auto" w:fill="auto"/>
            <w:vAlign w:val="center"/>
          </w:tcPr>
          <w:p w14:paraId="74909C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050" w:type="dxa"/>
            <w:shd w:val="clear" w:color="auto" w:fill="auto"/>
            <w:vAlign w:val="center"/>
          </w:tcPr>
          <w:p w14:paraId="346CEE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资金使用</w:t>
            </w:r>
          </w:p>
          <w:p w14:paraId="3ADACB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合规性</w:t>
            </w:r>
          </w:p>
        </w:tc>
        <w:tc>
          <w:tcPr>
            <w:tcW w:w="1996" w:type="dxa"/>
            <w:shd w:val="clear" w:color="auto" w:fill="auto"/>
            <w:vAlign w:val="center"/>
          </w:tcPr>
          <w:p w14:paraId="36A425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70ADC4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lang w:eastAsia="zh-CN"/>
              </w:rPr>
              <w:t>评价标准</w:t>
            </w:r>
            <w:r>
              <w:rPr>
                <w:rFonts w:hint="eastAsia" w:ascii="仿宋_GB2312" w:hAnsi="仿宋_GB2312" w:eastAsia="仿宋_GB2312" w:cs="仿宋_GB2312"/>
                <w:color w:val="auto"/>
                <w:kern w:val="0"/>
                <w:sz w:val="20"/>
                <w:szCs w:val="20"/>
                <w:highlight w:val="none"/>
                <w:shd w:val="clear" w:color="auto" w:fill="auto"/>
              </w:rPr>
              <w:t>：</w:t>
            </w:r>
          </w:p>
          <w:p w14:paraId="2E34B5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①是否符合国家财经法规和财务管理制度以及有关专项资金管理办法的规定；</w:t>
            </w:r>
          </w:p>
          <w:p w14:paraId="23A187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②资金的拨付是否有完整的审批程序和手续；</w:t>
            </w:r>
          </w:p>
          <w:p w14:paraId="189754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③是否符合项目预算批复或合同规定的用途；</w:t>
            </w:r>
          </w:p>
          <w:p w14:paraId="0552E1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④是否存在截留、挤占、挪用、虚列支出等情况。</w:t>
            </w:r>
          </w:p>
        </w:tc>
      </w:tr>
      <w:tr w14:paraId="66748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C30955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vMerge w:val="restart"/>
            <w:shd w:val="clear" w:color="auto" w:fill="auto"/>
            <w:vAlign w:val="center"/>
          </w:tcPr>
          <w:p w14:paraId="7E2A1C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组织实施</w:t>
            </w:r>
          </w:p>
        </w:tc>
        <w:tc>
          <w:tcPr>
            <w:tcW w:w="1050" w:type="dxa"/>
            <w:shd w:val="clear" w:color="auto" w:fill="auto"/>
            <w:vAlign w:val="center"/>
          </w:tcPr>
          <w:p w14:paraId="786717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管理制度</w:t>
            </w:r>
          </w:p>
          <w:p w14:paraId="686EAA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健全性</w:t>
            </w:r>
          </w:p>
        </w:tc>
        <w:tc>
          <w:tcPr>
            <w:tcW w:w="1996" w:type="dxa"/>
            <w:shd w:val="clear" w:color="auto" w:fill="auto"/>
            <w:vAlign w:val="center"/>
          </w:tcPr>
          <w:p w14:paraId="3D42A81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77E6F3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lang w:eastAsia="zh-CN"/>
              </w:rPr>
              <w:t>评价标准</w:t>
            </w:r>
            <w:r>
              <w:rPr>
                <w:rFonts w:hint="eastAsia" w:ascii="仿宋_GB2312" w:hAnsi="仿宋_GB2312" w:eastAsia="仿宋_GB2312" w:cs="仿宋_GB2312"/>
                <w:color w:val="auto"/>
                <w:kern w:val="0"/>
                <w:sz w:val="20"/>
                <w:szCs w:val="20"/>
                <w:highlight w:val="none"/>
                <w:shd w:val="clear" w:color="auto" w:fill="auto"/>
              </w:rPr>
              <w:t>：</w:t>
            </w:r>
          </w:p>
          <w:p w14:paraId="2C7CB76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①是否已制定或具有相应的财务和业务管理制度；</w:t>
            </w:r>
          </w:p>
          <w:p w14:paraId="7D20D8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②财务和业务管理制度是否合法、合规、完整。</w:t>
            </w:r>
          </w:p>
        </w:tc>
      </w:tr>
      <w:tr w14:paraId="15830A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7E42B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vMerge w:val="continue"/>
            <w:shd w:val="clear" w:color="auto" w:fill="auto"/>
            <w:vAlign w:val="center"/>
          </w:tcPr>
          <w:p w14:paraId="0FB0EC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050" w:type="dxa"/>
            <w:shd w:val="clear" w:color="auto" w:fill="auto"/>
            <w:vAlign w:val="center"/>
          </w:tcPr>
          <w:p w14:paraId="227A51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制度执行</w:t>
            </w:r>
          </w:p>
          <w:p w14:paraId="467E85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有效性</w:t>
            </w:r>
          </w:p>
        </w:tc>
        <w:tc>
          <w:tcPr>
            <w:tcW w:w="1996" w:type="dxa"/>
            <w:shd w:val="clear" w:color="auto" w:fill="auto"/>
            <w:vAlign w:val="center"/>
          </w:tcPr>
          <w:p w14:paraId="3F56DA9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1D43F5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lang w:eastAsia="zh-CN"/>
              </w:rPr>
              <w:t>评价标准</w:t>
            </w:r>
            <w:r>
              <w:rPr>
                <w:rFonts w:hint="eastAsia" w:ascii="仿宋_GB2312" w:hAnsi="仿宋_GB2312" w:eastAsia="仿宋_GB2312" w:cs="仿宋_GB2312"/>
                <w:color w:val="auto"/>
                <w:kern w:val="0"/>
                <w:sz w:val="20"/>
                <w:szCs w:val="20"/>
                <w:highlight w:val="none"/>
                <w:shd w:val="clear" w:color="auto" w:fill="auto"/>
              </w:rPr>
              <w:t>：</w:t>
            </w:r>
          </w:p>
          <w:p w14:paraId="39CDFC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①是否遵守相关法律法规和相关管理规定；</w:t>
            </w:r>
          </w:p>
          <w:p w14:paraId="65C2308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②项目调整及支出调整手续是否完备；</w:t>
            </w:r>
          </w:p>
          <w:p w14:paraId="009FC54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③项目合同书、验收报告、技术鉴定等资料是否齐全并及时归档；</w:t>
            </w:r>
          </w:p>
          <w:p w14:paraId="219912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④项目实施的人员条件、场地设备、信息支撑等是否落实到位。</w:t>
            </w:r>
          </w:p>
        </w:tc>
      </w:tr>
      <w:tr w14:paraId="78C355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12D54B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产出</w:t>
            </w:r>
          </w:p>
        </w:tc>
        <w:tc>
          <w:tcPr>
            <w:tcW w:w="1196" w:type="dxa"/>
            <w:shd w:val="clear" w:color="auto" w:fill="auto"/>
            <w:vAlign w:val="center"/>
          </w:tcPr>
          <w:p w14:paraId="2C2416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产出数量</w:t>
            </w:r>
          </w:p>
        </w:tc>
        <w:tc>
          <w:tcPr>
            <w:tcW w:w="1050" w:type="dxa"/>
            <w:shd w:val="clear" w:color="auto" w:fill="auto"/>
            <w:vAlign w:val="center"/>
          </w:tcPr>
          <w:p w14:paraId="11394C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实际完成率</w:t>
            </w:r>
          </w:p>
        </w:tc>
        <w:tc>
          <w:tcPr>
            <w:tcW w:w="1996" w:type="dxa"/>
            <w:shd w:val="clear" w:color="auto" w:fill="auto"/>
            <w:vAlign w:val="center"/>
          </w:tcPr>
          <w:p w14:paraId="6E2BDD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600900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实际完成率=（实际产出数/计划产出数）×100%。</w:t>
            </w:r>
          </w:p>
          <w:p w14:paraId="37D0E1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实际产出数：一定时期（本年度或项目期）内项目实际产出的产品或提供的服务数量。</w:t>
            </w:r>
          </w:p>
          <w:p w14:paraId="3BDC456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计划产出数：项目绩效目标确定的在一定时期（本年度或项目期）内计划产出的产品或提供的服务数量。</w:t>
            </w:r>
          </w:p>
        </w:tc>
      </w:tr>
      <w:tr w14:paraId="5F58EF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22E33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shd w:val="clear" w:color="auto" w:fill="auto"/>
            <w:vAlign w:val="center"/>
          </w:tcPr>
          <w:p w14:paraId="00913F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产出质量</w:t>
            </w:r>
          </w:p>
        </w:tc>
        <w:tc>
          <w:tcPr>
            <w:tcW w:w="1050" w:type="dxa"/>
            <w:shd w:val="clear" w:color="auto" w:fill="auto"/>
            <w:vAlign w:val="center"/>
          </w:tcPr>
          <w:p w14:paraId="4E100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质量达标率</w:t>
            </w:r>
          </w:p>
        </w:tc>
        <w:tc>
          <w:tcPr>
            <w:tcW w:w="1996" w:type="dxa"/>
            <w:shd w:val="clear" w:color="auto" w:fill="auto"/>
            <w:vAlign w:val="center"/>
          </w:tcPr>
          <w:p w14:paraId="4EBFB2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67F2C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质量达标率=（质量达标产出数/实际产出数）×100%。</w:t>
            </w:r>
          </w:p>
          <w:p w14:paraId="572084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3AE77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46855FD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shd w:val="clear" w:color="auto" w:fill="auto"/>
            <w:vAlign w:val="center"/>
          </w:tcPr>
          <w:p w14:paraId="4564933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产出时效</w:t>
            </w:r>
          </w:p>
        </w:tc>
        <w:tc>
          <w:tcPr>
            <w:tcW w:w="1050" w:type="dxa"/>
            <w:shd w:val="clear" w:color="auto" w:fill="auto"/>
            <w:vAlign w:val="center"/>
          </w:tcPr>
          <w:p w14:paraId="5268C2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完成及时性</w:t>
            </w:r>
          </w:p>
        </w:tc>
        <w:tc>
          <w:tcPr>
            <w:tcW w:w="1996" w:type="dxa"/>
            <w:shd w:val="clear" w:color="auto" w:fill="auto"/>
            <w:vAlign w:val="center"/>
          </w:tcPr>
          <w:p w14:paraId="3A889A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75F8D1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实际完成时间：项目实施单位完成该项目实际所耗用的时间。</w:t>
            </w:r>
          </w:p>
          <w:p w14:paraId="31BA69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计划完成时间：按照项目实施计划或相关规定完成该项目所需的时间。</w:t>
            </w:r>
          </w:p>
        </w:tc>
      </w:tr>
      <w:tr w14:paraId="34B741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6B952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shd w:val="clear" w:color="auto" w:fill="auto"/>
            <w:vAlign w:val="center"/>
          </w:tcPr>
          <w:p w14:paraId="1114DD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产出成本</w:t>
            </w:r>
          </w:p>
        </w:tc>
        <w:tc>
          <w:tcPr>
            <w:tcW w:w="1050" w:type="dxa"/>
            <w:shd w:val="clear" w:color="auto" w:fill="auto"/>
            <w:vAlign w:val="center"/>
          </w:tcPr>
          <w:p w14:paraId="6E231F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成本节约率</w:t>
            </w:r>
          </w:p>
        </w:tc>
        <w:tc>
          <w:tcPr>
            <w:tcW w:w="1996" w:type="dxa"/>
            <w:shd w:val="clear" w:color="auto" w:fill="auto"/>
            <w:vAlign w:val="center"/>
          </w:tcPr>
          <w:p w14:paraId="69F9E78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0D5C81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成本节约率=[（计划成本-实际成本）/计划成本]×100%。</w:t>
            </w:r>
          </w:p>
          <w:p w14:paraId="233D2E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lang w:eastAsia="zh-CN"/>
              </w:rPr>
            </w:pPr>
            <w:r>
              <w:rPr>
                <w:rFonts w:hint="eastAsia" w:ascii="仿宋_GB2312" w:hAnsi="仿宋_GB2312" w:eastAsia="仿宋_GB2312" w:cs="仿宋_GB2312"/>
                <w:color w:val="auto"/>
                <w:kern w:val="0"/>
                <w:sz w:val="20"/>
                <w:szCs w:val="20"/>
                <w:highlight w:val="none"/>
                <w:shd w:val="clear" w:color="auto" w:fill="auto"/>
              </w:rPr>
              <w:t>实际成本：项目实施单位如期、保质、保量完成既定工作目标实际所耗费的支出。</w:t>
            </w:r>
          </w:p>
          <w:p w14:paraId="074AE2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计划成本：项目实施单位为完成工作目标计划安排的支出，一般以项目预算为参考。</w:t>
            </w:r>
          </w:p>
        </w:tc>
      </w:tr>
      <w:tr w14:paraId="6643D1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A5552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效益</w:t>
            </w:r>
          </w:p>
        </w:tc>
        <w:tc>
          <w:tcPr>
            <w:tcW w:w="1196" w:type="dxa"/>
            <w:vMerge w:val="restart"/>
            <w:shd w:val="clear" w:color="auto" w:fill="auto"/>
            <w:vAlign w:val="center"/>
          </w:tcPr>
          <w:p w14:paraId="0EE5CD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项目效益</w:t>
            </w:r>
          </w:p>
        </w:tc>
        <w:tc>
          <w:tcPr>
            <w:tcW w:w="1050" w:type="dxa"/>
            <w:shd w:val="clear" w:color="auto" w:fill="auto"/>
            <w:vAlign w:val="center"/>
          </w:tcPr>
          <w:p w14:paraId="6C7D63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实施效益</w:t>
            </w:r>
          </w:p>
        </w:tc>
        <w:tc>
          <w:tcPr>
            <w:tcW w:w="1996" w:type="dxa"/>
            <w:shd w:val="clear" w:color="auto" w:fill="auto"/>
            <w:vAlign w:val="center"/>
          </w:tcPr>
          <w:p w14:paraId="0BEDD11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项目实施所产生的效益。</w:t>
            </w:r>
          </w:p>
        </w:tc>
        <w:tc>
          <w:tcPr>
            <w:tcW w:w="3793" w:type="dxa"/>
            <w:shd w:val="clear" w:color="auto" w:fill="auto"/>
            <w:vAlign w:val="center"/>
          </w:tcPr>
          <w:p w14:paraId="4FA4B4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项目实施所产生的社会效益、经济效益、生态效益、可持续影响等。可根据项目实际情况有选择地设置和细化。</w:t>
            </w:r>
          </w:p>
        </w:tc>
      </w:tr>
      <w:tr w14:paraId="002D66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782EEA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196" w:type="dxa"/>
            <w:vMerge w:val="continue"/>
            <w:shd w:val="clear" w:color="auto" w:fill="auto"/>
            <w:vAlign w:val="center"/>
          </w:tcPr>
          <w:p w14:paraId="109E48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p>
        </w:tc>
        <w:tc>
          <w:tcPr>
            <w:tcW w:w="1050" w:type="dxa"/>
            <w:shd w:val="clear" w:color="auto" w:fill="auto"/>
            <w:vAlign w:val="center"/>
          </w:tcPr>
          <w:p w14:paraId="744DDB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满意度</w:t>
            </w:r>
          </w:p>
        </w:tc>
        <w:tc>
          <w:tcPr>
            <w:tcW w:w="1996" w:type="dxa"/>
            <w:shd w:val="clear" w:color="auto" w:fill="auto"/>
            <w:vAlign w:val="center"/>
          </w:tcPr>
          <w:p w14:paraId="0BAB91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469310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kern w:val="0"/>
                <w:sz w:val="20"/>
                <w:szCs w:val="20"/>
                <w:highlight w:val="none"/>
                <w:shd w:val="clear" w:color="auto" w:fill="auto"/>
              </w:rPr>
            </w:pPr>
            <w:r>
              <w:rPr>
                <w:rFonts w:hint="eastAsia" w:ascii="仿宋_GB2312" w:hAnsi="仿宋_GB2312" w:eastAsia="仿宋_GB2312" w:cs="仿宋_GB2312"/>
                <w:color w:val="auto"/>
                <w:kern w:val="0"/>
                <w:sz w:val="20"/>
                <w:szCs w:val="20"/>
                <w:highlight w:val="none"/>
                <w:shd w:val="clear" w:color="auto" w:fill="auto"/>
              </w:rPr>
              <w:t>社会公众或服务对象是指因该项目实施而受到影响的部门（单位）、群体或个人。一般采取社会调查的方式。</w:t>
            </w:r>
          </w:p>
        </w:tc>
      </w:tr>
    </w:tbl>
    <w:p w14:paraId="68048D2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lang w:val="en-US" w:eastAsia="zh-CN"/>
        </w:rPr>
      </w:pPr>
      <w:bookmarkStart w:id="30" w:name="_Toc9941"/>
      <w:r>
        <w:rPr>
          <w:rFonts w:hint="eastAsia" w:ascii="仿宋_GB2312" w:hAnsi="仿宋_GB2312" w:eastAsia="仿宋_GB2312" w:cs="仿宋_GB2312"/>
          <w:color w:val="auto"/>
          <w:highlight w:val="none"/>
          <w:lang w:val="en-US" w:eastAsia="zh-CN"/>
        </w:rPr>
        <w:t>3.</w:t>
      </w:r>
      <w:r>
        <w:rPr>
          <w:rFonts w:hint="eastAsia" w:ascii="仿宋_GB2312" w:hAnsi="仿宋_GB2312" w:eastAsia="仿宋_GB2312" w:cs="仿宋_GB2312"/>
          <w:color w:val="auto"/>
          <w:highlight w:val="none"/>
        </w:rPr>
        <w:t>评价</w:t>
      </w:r>
      <w:r>
        <w:rPr>
          <w:rFonts w:hint="eastAsia" w:ascii="仿宋_GB2312" w:hAnsi="仿宋_GB2312" w:eastAsia="仿宋_GB2312" w:cs="仿宋_GB2312"/>
          <w:color w:val="auto"/>
          <w:highlight w:val="none"/>
          <w:lang w:val="en-US" w:eastAsia="zh-CN"/>
        </w:rPr>
        <w:t>方法</w:t>
      </w:r>
      <w:bookmarkEnd w:id="30"/>
    </w:p>
    <w:p w14:paraId="0BE26B5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rPr>
        <w:t>本次绩效评价采用的方法</w:t>
      </w:r>
      <w:r>
        <w:rPr>
          <w:rFonts w:hint="eastAsia" w:ascii="仿宋_GB2312" w:hAnsi="仿宋_GB2312" w:eastAsia="仿宋_GB2312" w:cs="仿宋_GB2312"/>
          <w:color w:val="auto"/>
          <w:highlight w:val="none"/>
          <w:shd w:val="clear" w:color="auto" w:fill="auto"/>
          <w:lang w:val="en-US" w:eastAsia="zh-CN"/>
        </w:rPr>
        <w:t>为</w:t>
      </w:r>
      <w:r>
        <w:rPr>
          <w:rFonts w:hint="eastAsia" w:ascii="仿宋_GB2312" w:hAnsi="仿宋_GB2312" w:eastAsia="仿宋_GB2312" w:cs="仿宋_GB2312"/>
          <w:color w:val="auto"/>
          <w:highlight w:val="none"/>
          <w:shd w:val="clear" w:color="auto" w:fill="auto"/>
        </w:rPr>
        <w:t>比较法</w:t>
      </w:r>
      <w:r>
        <w:rPr>
          <w:rFonts w:hint="eastAsia" w:ascii="仿宋_GB2312" w:hAnsi="仿宋_GB2312" w:eastAsia="仿宋_GB2312" w:cs="仿宋_GB2312"/>
          <w:color w:val="auto"/>
          <w:highlight w:val="none"/>
          <w:shd w:val="clear" w:color="auto" w:fill="auto"/>
          <w:lang w:eastAsia="zh-CN"/>
        </w:rPr>
        <w:t>、因素分析法、公众评判法</w:t>
      </w:r>
      <w:r>
        <w:rPr>
          <w:rFonts w:hint="eastAsia" w:ascii="仿宋_GB2312" w:hAnsi="仿宋_GB2312" w:eastAsia="仿宋_GB2312" w:cs="仿宋_GB2312"/>
          <w:color w:val="auto"/>
          <w:highlight w:val="none"/>
          <w:shd w:val="clear" w:color="auto" w:fill="auto"/>
          <w:lang w:val="en-US" w:eastAsia="zh-CN"/>
        </w:rPr>
        <w:t>对项目绩效目标预期目标值与实施情况进行比较，以及采取公众问卷及抽样调查等方式进行评判的方法对2023年天池管委会还本付息支出项目进行评价。</w:t>
      </w:r>
    </w:p>
    <w:p w14:paraId="31DADA0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lang w:val="en-US" w:eastAsia="zh-CN"/>
        </w:rPr>
      </w:pPr>
      <w:bookmarkStart w:id="31" w:name="_Toc25391"/>
      <w:r>
        <w:rPr>
          <w:rFonts w:hint="eastAsia" w:ascii="仿宋_GB2312" w:hAnsi="仿宋_GB2312" w:eastAsia="仿宋_GB2312" w:cs="仿宋_GB2312"/>
          <w:color w:val="auto"/>
          <w:highlight w:val="none"/>
          <w:lang w:val="en-US" w:eastAsia="zh-CN"/>
        </w:rPr>
        <w:t>4.评价标准</w:t>
      </w:r>
      <w:bookmarkEnd w:id="31"/>
    </w:p>
    <w:p w14:paraId="07C2E89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（1）计划标准。指以预先制定的目标、计划、预算、定额等作为评价标准。</w:t>
      </w:r>
    </w:p>
    <w:p w14:paraId="7C291C2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（2）行业标准。指参照国家公布的行业指标数据制定的评价标准。</w:t>
      </w:r>
    </w:p>
    <w:p w14:paraId="1D80729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（3）历史标准。指参照历史数据制定的评价标准，为体现绩效改进的原则，在可实现的条件下应当确定相对较高的评价标准。</w:t>
      </w:r>
    </w:p>
    <w:p w14:paraId="2D255FA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（4）财政部门和预算部门确认或认可的其他标准。</w:t>
      </w:r>
    </w:p>
    <w:p w14:paraId="79A8CCA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highlight w:val="none"/>
          <w:lang w:val="en-US" w:eastAsia="zh-CN"/>
        </w:rPr>
      </w:pPr>
      <w:bookmarkStart w:id="32" w:name="_Toc1070"/>
      <w:r>
        <w:rPr>
          <w:rFonts w:hint="eastAsia" w:ascii="仿宋_GB2312" w:hAnsi="仿宋_GB2312" w:eastAsia="仿宋_GB2312" w:cs="仿宋_GB2312"/>
          <w:b/>
          <w:bCs/>
          <w:color w:val="auto"/>
          <w:highlight w:val="none"/>
          <w:lang w:val="en-US" w:eastAsia="zh-CN"/>
        </w:rPr>
        <w:t>（三）绩效评价工作过程</w:t>
      </w:r>
      <w:bookmarkEnd w:id="32"/>
    </w:p>
    <w:p w14:paraId="401C748F">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2"/>
        <w:rPr>
          <w:rFonts w:hint="eastAsia" w:ascii="仿宋_GB2312" w:hAnsi="仿宋_GB2312" w:eastAsia="仿宋_GB2312" w:cs="仿宋_GB2312"/>
          <w:color w:val="auto"/>
          <w:highlight w:val="none"/>
          <w:shd w:val="clear" w:color="auto" w:fill="auto"/>
          <w:lang w:val="en-US" w:eastAsia="zh-CN"/>
        </w:rPr>
      </w:pPr>
      <w:bookmarkStart w:id="33" w:name="_Toc12862"/>
      <w:r>
        <w:rPr>
          <w:rFonts w:hint="eastAsia" w:ascii="仿宋_GB2312" w:hAnsi="仿宋_GB2312" w:eastAsia="仿宋_GB2312" w:cs="仿宋_GB2312"/>
          <w:color w:val="auto"/>
          <w:highlight w:val="none"/>
          <w:shd w:val="clear" w:color="auto" w:fill="auto"/>
          <w:lang w:val="en-US" w:eastAsia="zh-CN"/>
        </w:rPr>
        <w:t>1.前期准备</w:t>
      </w:r>
      <w:bookmarkEnd w:id="33"/>
    </w:p>
    <w:p w14:paraId="5B2A6338">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（1）成立绩效评价项目小组</w:t>
      </w:r>
    </w:p>
    <w:p w14:paraId="30A8AD9C">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060D5374">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34" w:name="_Toc31571"/>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（2）开展前期调研</w:t>
      </w:r>
      <w:bookmarkEnd w:id="34"/>
    </w:p>
    <w:p w14:paraId="081DA510">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35" w:name="_Toc21240"/>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2023年天池管委会还本付息支出项目实施内容、目标信息、预算信息以及其他的一些项目基本信息，有了初步了解，为制定绩效评价工作方案做好准备。</w:t>
      </w:r>
      <w:bookmarkEnd w:id="35"/>
    </w:p>
    <w:p w14:paraId="7AFAF57F">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36" w:name="_Toc27977"/>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（3）制订绩效评价工作方案</w:t>
      </w:r>
      <w:bookmarkEnd w:id="36"/>
    </w:p>
    <w:p w14:paraId="66AD74F3">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37" w:name="_Toc19659"/>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bookmarkEnd w:id="37"/>
    </w:p>
    <w:p w14:paraId="11E1134D">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2"/>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38" w:name="_Toc11353"/>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2.具体实施</w:t>
      </w:r>
      <w:bookmarkEnd w:id="38"/>
    </w:p>
    <w:p w14:paraId="4D90D30A">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39" w:name="_Toc14111"/>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（1）收集基础资料</w:t>
      </w:r>
      <w:bookmarkEnd w:id="39"/>
    </w:p>
    <w:p w14:paraId="58F7EEC1">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40" w:name="_Toc28524"/>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51DD7244">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41" w:name="_Toc32216"/>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723CBEC3">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42" w:name="_Toc10505"/>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②绩效目标及其设立依据和调整情况；</w:t>
      </w:r>
      <w:bookmarkEnd w:id="42"/>
    </w:p>
    <w:p w14:paraId="1B2FA149">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43" w:name="_Toc28365"/>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③管理措施及组织实施情况；</w:t>
      </w:r>
      <w:bookmarkEnd w:id="43"/>
    </w:p>
    <w:p w14:paraId="33CD31DA">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44" w:name="_Toc10091"/>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7E2BA17F">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45" w:name="_Toc1"/>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62BBDBA8">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46" w:name="_Toc20059"/>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⑥其他必要的相关资料等。</w:t>
      </w:r>
      <w:bookmarkEnd w:id="46"/>
    </w:p>
    <w:p w14:paraId="6545F5C8">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47" w:name="_Toc31911"/>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（2）整理、研读基础资料</w:t>
      </w:r>
      <w:bookmarkEnd w:id="47"/>
    </w:p>
    <w:p w14:paraId="4BDBBA40">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48" w:name="_Toc167"/>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1C6FB4B">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2"/>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49" w:name="_Toc30513"/>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3.分析评价和撰写报告</w:t>
      </w:r>
      <w:bookmarkEnd w:id="49"/>
    </w:p>
    <w:p w14:paraId="03E84CF4">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pPr>
      <w:bookmarkStart w:id="50" w:name="_Toc15974"/>
      <w:r>
        <w:rPr>
          <w:rFonts w:hint="eastAsia" w:ascii="仿宋_GB2312" w:hAnsi="仿宋_GB2312" w:eastAsia="仿宋_GB2312" w:cs="仿宋_GB2312"/>
          <w:b w:val="0"/>
          <w:bCs w:val="0"/>
          <w:color w:val="auto"/>
          <w:sz w:val="28"/>
          <w:szCs w:val="28"/>
          <w:highlight w:val="none"/>
        </w:rPr>
        <w:t>（</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1）综合分析评价</w:t>
      </w:r>
      <w:bookmarkEnd w:id="50"/>
    </w:p>
    <w:p w14:paraId="0306A8BF">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pPr>
      <w:bookmarkStart w:id="51" w:name="_Toc4352"/>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0C6541E0">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bCs/>
          <w:color w:val="auto"/>
          <w:kern w:val="2"/>
          <w:sz w:val="28"/>
          <w:szCs w:val="24"/>
          <w:highlight w:val="none"/>
          <w:shd w:val="clear" w:color="auto" w:fill="auto"/>
          <w:lang w:val="en-US" w:eastAsia="zh-CN" w:bidi="ar-SA"/>
        </w:rPr>
      </w:pPr>
      <w:bookmarkStart w:id="52" w:name="_Toc26231"/>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②将初步评价结论、调整</w:t>
      </w:r>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事项、专家咨询意见和有关说明等提交单位内部讨论并征求意见。之后，对所征求的意见及时地进行收集和整理。</w:t>
      </w:r>
      <w:bookmarkEnd w:id="52"/>
    </w:p>
    <w:p w14:paraId="65048A1B">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53" w:name="_Toc27759"/>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（2）撰写报告</w:t>
      </w:r>
      <w:bookmarkEnd w:id="53"/>
    </w:p>
    <w:p w14:paraId="725333B8">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pPr>
      <w:bookmarkStart w:id="54" w:name="_Toc15579"/>
      <w:r>
        <w:rPr>
          <w:rFonts w:hint="eastAsia" w:ascii="仿宋_GB2312" w:hAnsi="仿宋_GB2312" w:eastAsia="仿宋_GB2312" w:cs="仿宋_GB2312"/>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绩效评价项目小组依照整理、分析后的项目材料、数据资料，依据评价形成的初步结论，按照既定的格式和内容要求撰写绩效评价初步报告，最终形成评价结果。</w:t>
      </w:r>
      <w:bookmarkEnd w:id="54"/>
    </w:p>
    <w:p w14:paraId="73A91A5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highlight w:val="none"/>
        </w:rPr>
      </w:pPr>
      <w:bookmarkStart w:id="55" w:name="_Toc1100"/>
      <w:r>
        <w:rPr>
          <w:rFonts w:hint="eastAsia" w:ascii="仿宋_GB2312" w:hAnsi="仿宋_GB2312" w:eastAsia="仿宋_GB2312" w:cs="仿宋_GB2312"/>
          <w:b/>
          <w:bCs/>
          <w:color w:val="auto"/>
          <w:highlight w:val="none"/>
          <w:lang w:val="en-US" w:eastAsia="zh-CN"/>
        </w:rPr>
        <w:t>三、</w:t>
      </w:r>
      <w:r>
        <w:rPr>
          <w:rFonts w:hint="eastAsia" w:ascii="仿宋_GB2312" w:hAnsi="仿宋_GB2312" w:eastAsia="仿宋_GB2312" w:cs="仿宋_GB2312"/>
          <w:b/>
          <w:bCs/>
          <w:color w:val="auto"/>
          <w:highlight w:val="none"/>
        </w:rPr>
        <w:t>综合评价情况及评价结论</w:t>
      </w:r>
      <w:bookmarkEnd w:id="55"/>
    </w:p>
    <w:p w14:paraId="373572A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highlight w:val="none"/>
          <w:shd w:val="clear" w:color="auto" w:fill="auto"/>
          <w:lang w:val="zh-TW" w:eastAsia="zh-TW"/>
        </w:rPr>
      </w:pPr>
      <w:r>
        <w:rPr>
          <w:rFonts w:hint="eastAsia" w:ascii="仿宋_GB2312" w:hAnsi="仿宋_GB2312" w:eastAsia="仿宋_GB2312" w:cs="仿宋_GB2312"/>
          <w:color w:val="auto"/>
          <w:highlight w:val="none"/>
          <w:shd w:val="clear" w:color="auto" w:fill="auto"/>
          <w:lang w:val="en-US" w:eastAsia="zh-CN"/>
        </w:rPr>
        <w:t>此次绩效评价</w:t>
      </w:r>
      <w:r>
        <w:rPr>
          <w:rFonts w:hint="eastAsia" w:ascii="仿宋_GB2312" w:hAnsi="仿宋_GB2312" w:eastAsia="仿宋_GB2312" w:cs="仿宋_GB2312"/>
          <w:color w:val="auto"/>
          <w:highlight w:val="none"/>
          <w:shd w:val="clear" w:color="auto" w:fill="auto"/>
          <w:lang w:val="zh-TW" w:eastAsia="zh-TW"/>
        </w:rPr>
        <w:t>通过组论证的评价指标体系及评分标准，</w:t>
      </w:r>
      <w:r>
        <w:rPr>
          <w:rFonts w:hint="eastAsia" w:ascii="仿宋_GB2312" w:hAnsi="仿宋_GB2312" w:eastAsia="仿宋_GB2312" w:cs="仿宋_GB2312"/>
          <w:color w:val="auto"/>
          <w:highlight w:val="none"/>
          <w:shd w:val="clear" w:color="auto" w:fill="auto"/>
        </w:rPr>
        <w:t>采用的方法比较法</w:t>
      </w:r>
      <w:r>
        <w:rPr>
          <w:rFonts w:hint="eastAsia" w:ascii="仿宋_GB2312" w:hAnsi="仿宋_GB2312" w:eastAsia="仿宋_GB2312" w:cs="仿宋_GB2312"/>
          <w:color w:val="auto"/>
          <w:highlight w:val="none"/>
          <w:shd w:val="clear" w:color="auto" w:fill="auto"/>
          <w:lang w:eastAsia="zh-CN"/>
        </w:rPr>
        <w:t>、因素分析法、公</w:t>
      </w:r>
      <w:r>
        <w:rPr>
          <w:rFonts w:hint="eastAsia" w:ascii="仿宋_GB2312" w:hAnsi="仿宋_GB2312" w:eastAsia="仿宋_GB2312" w:cs="仿宋_GB2312"/>
          <w:color w:val="auto"/>
          <w:highlight w:val="none"/>
          <w:shd w:val="clear" w:color="auto" w:fill="auto"/>
          <w:lang w:val="zh-TW" w:eastAsia="zh-CN"/>
        </w:rPr>
        <w:t>众评判法，</w:t>
      </w:r>
      <w:r>
        <w:rPr>
          <w:rFonts w:hint="eastAsia" w:ascii="仿宋_GB2312" w:hAnsi="仿宋_GB2312" w:eastAsia="仿宋_GB2312" w:cs="仿宋_GB2312"/>
          <w:color w:val="auto"/>
          <w:highlight w:val="none"/>
          <w:shd w:val="clear" w:color="auto" w:fill="auto"/>
          <w:lang w:val="zh-TW" w:eastAsia="zh-TW"/>
        </w:rPr>
        <w:t>对</w:t>
      </w:r>
      <w:r>
        <w:rPr>
          <w:rFonts w:hint="eastAsia" w:ascii="仿宋_GB2312" w:hAnsi="仿宋_GB2312" w:eastAsia="仿宋_GB2312" w:cs="仿宋_GB2312"/>
          <w:color w:val="auto"/>
          <w:highlight w:val="none"/>
          <w:shd w:val="clear" w:color="auto" w:fill="auto"/>
          <w:lang w:val="en-US" w:eastAsia="zh-CN"/>
        </w:rPr>
        <w:t>2023年天池管委会还本付息</w:t>
      </w:r>
      <w:r>
        <w:rPr>
          <w:rFonts w:hint="eastAsia" w:ascii="仿宋_GB2312" w:hAnsi="仿宋_GB2312" w:eastAsia="仿宋_GB2312" w:cs="仿宋_GB2312"/>
          <w:color w:val="auto"/>
          <w:highlight w:val="none"/>
          <w:shd w:val="clear" w:color="auto" w:fill="auto"/>
          <w:lang w:val="zh-TW" w:eastAsia="zh-CN"/>
        </w:rPr>
        <w:t>项目</w:t>
      </w:r>
      <w:r>
        <w:rPr>
          <w:rFonts w:hint="eastAsia" w:ascii="仿宋_GB2312" w:hAnsi="仿宋_GB2312" w:eastAsia="仿宋_GB2312" w:cs="仿宋_GB2312"/>
          <w:color w:val="auto"/>
          <w:highlight w:val="none"/>
          <w:shd w:val="clear" w:color="auto" w:fill="auto"/>
          <w:lang w:val="zh-TW" w:eastAsia="zh-TW"/>
        </w:rPr>
        <w:t>绩效进行客观评价，最终评分结果：总分为</w:t>
      </w:r>
      <w:r>
        <w:rPr>
          <w:rFonts w:hint="eastAsia" w:ascii="仿宋_GB2312" w:hAnsi="仿宋_GB2312" w:eastAsia="仿宋_GB2312" w:cs="仿宋_GB2312"/>
          <w:color w:val="auto"/>
          <w:highlight w:val="none"/>
          <w:shd w:val="clear" w:color="auto" w:fill="auto"/>
          <w:lang w:val="en-US" w:eastAsia="zh-CN"/>
        </w:rPr>
        <w:t>98.84</w:t>
      </w:r>
      <w:r>
        <w:rPr>
          <w:rFonts w:hint="eastAsia" w:ascii="仿宋_GB2312" w:hAnsi="仿宋_GB2312" w:eastAsia="仿宋_GB2312" w:cs="仿宋_GB2312"/>
          <w:color w:val="auto"/>
          <w:highlight w:val="none"/>
          <w:shd w:val="clear" w:color="auto" w:fill="auto"/>
          <w:lang w:val="zh-TW" w:eastAsia="zh-TW"/>
        </w:rPr>
        <w:t>分，绩效评级为“</w:t>
      </w:r>
      <w:r>
        <w:rPr>
          <w:rFonts w:hint="eastAsia" w:ascii="仿宋_GB2312" w:hAnsi="仿宋_GB2312" w:eastAsia="仿宋_GB2312" w:cs="仿宋_GB2312"/>
          <w:color w:val="auto"/>
          <w:highlight w:val="none"/>
          <w:shd w:val="clear" w:color="auto" w:fill="auto"/>
          <w:lang w:val="en-US" w:eastAsia="zh-CN"/>
        </w:rPr>
        <w:t>优秀</w:t>
      </w:r>
      <w:r>
        <w:rPr>
          <w:rFonts w:hint="eastAsia" w:ascii="仿宋_GB2312" w:hAnsi="仿宋_GB2312" w:eastAsia="仿宋_GB2312" w:cs="仿宋_GB2312"/>
          <w:color w:val="auto"/>
          <w:highlight w:val="none"/>
          <w:shd w:val="clear" w:color="auto" w:fill="auto"/>
          <w:lang w:val="zh-TW" w:eastAsia="zh-TW"/>
        </w:rPr>
        <w:t>”。各部分权重和绩效</w:t>
      </w:r>
      <w:r>
        <w:rPr>
          <w:rFonts w:hint="eastAsia" w:ascii="仿宋_GB2312" w:hAnsi="仿宋_GB2312" w:eastAsia="仿宋_GB2312" w:cs="仿宋_GB2312"/>
          <w:color w:val="auto"/>
          <w:highlight w:val="none"/>
          <w:shd w:val="clear" w:color="auto" w:fill="auto"/>
          <w:lang w:val="en-US" w:eastAsia="zh-CN"/>
        </w:rPr>
        <w:t>汇总</w:t>
      </w:r>
      <w:r>
        <w:rPr>
          <w:rFonts w:hint="eastAsia" w:ascii="仿宋_GB2312" w:hAnsi="仿宋_GB2312" w:eastAsia="仿宋_GB2312" w:cs="仿宋_GB2312"/>
          <w:color w:val="auto"/>
          <w:highlight w:val="none"/>
          <w:shd w:val="clear" w:color="auto" w:fill="auto"/>
          <w:lang w:val="zh-TW" w:eastAsia="zh-TW"/>
        </w:rPr>
        <w:t>分值如下表</w:t>
      </w:r>
      <w:r>
        <w:rPr>
          <w:rFonts w:hint="eastAsia" w:ascii="仿宋_GB2312" w:hAnsi="仿宋_GB2312" w:eastAsia="仿宋_GB2312" w:cs="仿宋_GB2312"/>
          <w:b/>
          <w:bCs/>
          <w:color w:val="auto"/>
          <w:kern w:val="0"/>
          <w:sz w:val="28"/>
          <w:szCs w:val="28"/>
          <w:highlight w:val="none"/>
          <w:shd w:val="clear" w:color="auto" w:fill="auto"/>
          <w:lang w:val="en-US" w:eastAsia="zh-CN"/>
        </w:rPr>
        <w:t>3-1</w:t>
      </w:r>
      <w:r>
        <w:rPr>
          <w:rFonts w:hint="eastAsia" w:ascii="仿宋_GB2312" w:hAnsi="仿宋_GB2312" w:eastAsia="仿宋_GB2312" w:cs="仿宋_GB2312"/>
          <w:color w:val="auto"/>
          <w:highlight w:val="none"/>
          <w:shd w:val="clear" w:color="auto" w:fill="auto"/>
          <w:lang w:val="zh-TW" w:eastAsia="zh-TW"/>
        </w:rPr>
        <w:t>所示</w:t>
      </w:r>
      <w:r>
        <w:rPr>
          <w:rFonts w:hint="eastAsia" w:ascii="仿宋_GB2312" w:hAnsi="仿宋_GB2312" w:eastAsia="仿宋_GB2312" w:cs="仿宋_GB2312"/>
          <w:b/>
          <w:bCs/>
          <w:color w:val="auto"/>
          <w:highlight w:val="none"/>
          <w:shd w:val="clear" w:color="auto" w:fill="auto"/>
          <w:lang w:val="zh-TW" w:eastAsia="zh-CN"/>
        </w:rPr>
        <w:t>（</w:t>
      </w:r>
      <w:r>
        <w:rPr>
          <w:rFonts w:hint="eastAsia" w:ascii="仿宋_GB2312" w:hAnsi="仿宋_GB2312" w:eastAsia="仿宋_GB2312" w:cs="仿宋_GB2312"/>
          <w:b/>
          <w:bCs/>
          <w:color w:val="auto"/>
          <w:highlight w:val="none"/>
          <w:shd w:val="clear" w:color="auto" w:fill="auto"/>
          <w:lang w:val="en-US" w:eastAsia="zh-CN"/>
        </w:rPr>
        <w:t>详见上传的附件</w:t>
      </w:r>
      <w:r>
        <w:rPr>
          <w:rFonts w:hint="eastAsia" w:ascii="仿宋_GB2312" w:hAnsi="仿宋_GB2312" w:eastAsia="仿宋_GB2312" w:cs="仿宋_GB2312"/>
          <w:b/>
          <w:bCs/>
          <w:color w:val="auto"/>
          <w:highlight w:val="none"/>
          <w:shd w:val="clear" w:color="auto" w:fill="auto"/>
          <w:lang w:val="zh-TW" w:eastAsia="zh-CN"/>
        </w:rPr>
        <w:t>）</w:t>
      </w:r>
      <w:r>
        <w:rPr>
          <w:rFonts w:hint="eastAsia" w:ascii="仿宋_GB2312" w:hAnsi="仿宋_GB2312" w:eastAsia="仿宋_GB2312" w:cs="仿宋_GB2312"/>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A0FB78C">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5F90A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8"/>
                <w:szCs w:val="28"/>
                <w:highlight w:val="none"/>
                <w:shd w:val="clear" w:color="auto" w:fill="auto"/>
                <w:lang w:val="en-US" w:eastAsia="zh-CN"/>
              </w:rPr>
            </w:pPr>
            <w:r>
              <w:rPr>
                <w:rFonts w:hint="eastAsia" w:ascii="仿宋_GB2312" w:hAnsi="仿宋_GB2312" w:eastAsia="仿宋_GB2312" w:cs="仿宋_GB2312"/>
                <w:b/>
                <w:bCs/>
                <w:color w:val="auto"/>
                <w:kern w:val="0"/>
                <w:sz w:val="28"/>
                <w:szCs w:val="28"/>
                <w:highlight w:val="none"/>
                <w:shd w:val="clear" w:color="auto" w:fill="auto"/>
                <w:lang w:val="en-US" w:eastAsia="zh-CN"/>
              </w:rPr>
              <w:t>表3-1：2023年天池管委会还本付息项目得分表</w:t>
            </w:r>
          </w:p>
          <w:p w14:paraId="2ABF96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4"/>
                <w:szCs w:val="24"/>
                <w:highlight w:val="none"/>
                <w:shd w:val="clear" w:color="auto" w:fill="auto"/>
              </w:rPr>
            </w:pPr>
          </w:p>
        </w:tc>
      </w:tr>
      <w:tr w14:paraId="780D4F2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B79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1"/>
                <w:szCs w:val="21"/>
                <w:highlight w:val="none"/>
                <w:shd w:val="clear" w:color="auto" w:fill="auto"/>
                <w:lang w:val="en-US" w:eastAsia="zh-CN"/>
              </w:rPr>
            </w:pPr>
            <w:r>
              <w:rPr>
                <w:rFonts w:hint="eastAsia" w:ascii="仿宋_GB2312" w:hAnsi="仿宋_GB2312" w:eastAsia="仿宋_GB2312" w:cs="仿宋_GB2312"/>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5E6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1"/>
                <w:szCs w:val="21"/>
                <w:highlight w:val="none"/>
                <w:shd w:val="clear" w:color="auto" w:fill="auto"/>
                <w:lang w:val="en-US" w:eastAsia="zh-CN"/>
              </w:rPr>
            </w:pPr>
            <w:r>
              <w:rPr>
                <w:rFonts w:hint="eastAsia" w:ascii="仿宋_GB2312" w:hAnsi="仿宋_GB2312" w:eastAsia="仿宋_GB2312" w:cs="仿宋_GB2312"/>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C95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1"/>
                <w:szCs w:val="21"/>
                <w:highlight w:val="none"/>
                <w:shd w:val="clear" w:color="auto" w:fill="auto"/>
                <w:lang w:val="en-US" w:eastAsia="zh-CN"/>
              </w:rPr>
            </w:pPr>
            <w:r>
              <w:rPr>
                <w:rFonts w:hint="eastAsia" w:ascii="仿宋_GB2312" w:hAnsi="仿宋_GB2312" w:eastAsia="仿宋_GB2312" w:cs="仿宋_GB2312"/>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A46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1"/>
                <w:szCs w:val="21"/>
                <w:highlight w:val="none"/>
                <w:shd w:val="clear" w:color="auto" w:fill="auto"/>
                <w:lang w:val="en-US" w:eastAsia="zh-CN"/>
              </w:rPr>
            </w:pPr>
            <w:r>
              <w:rPr>
                <w:rFonts w:hint="eastAsia" w:ascii="仿宋_GB2312" w:hAnsi="仿宋_GB2312" w:eastAsia="仿宋_GB2312" w:cs="仿宋_GB2312"/>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5A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1"/>
                <w:szCs w:val="21"/>
                <w:highlight w:val="none"/>
                <w:shd w:val="clear" w:color="auto" w:fill="auto"/>
                <w:lang w:val="en-US" w:eastAsia="zh-CN"/>
              </w:rPr>
            </w:pPr>
            <w:r>
              <w:rPr>
                <w:rFonts w:hint="eastAsia" w:ascii="仿宋_GB2312" w:hAnsi="仿宋_GB2312" w:eastAsia="仿宋_GB2312" w:cs="仿宋_GB2312"/>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271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1"/>
                <w:szCs w:val="21"/>
                <w:highlight w:val="none"/>
                <w:shd w:val="clear" w:color="auto" w:fill="auto"/>
                <w:lang w:val="en-US" w:eastAsia="zh-CN"/>
              </w:rPr>
            </w:pPr>
            <w:r>
              <w:rPr>
                <w:rFonts w:hint="eastAsia" w:ascii="仿宋_GB2312" w:hAnsi="仿宋_GB2312" w:eastAsia="仿宋_GB2312" w:cs="仿宋_GB2312"/>
                <w:b/>
                <w:bCs/>
                <w:color w:val="auto"/>
                <w:kern w:val="0"/>
                <w:sz w:val="21"/>
                <w:szCs w:val="21"/>
                <w:highlight w:val="none"/>
                <w:shd w:val="clear" w:color="auto" w:fill="auto"/>
                <w:lang w:val="en-US" w:eastAsia="zh-CN"/>
              </w:rPr>
              <w:t>合计</w:t>
            </w:r>
          </w:p>
        </w:tc>
      </w:tr>
      <w:tr w14:paraId="5D1EB86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F2D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val="0"/>
                <w:color w:val="auto"/>
                <w:kern w:val="0"/>
                <w:sz w:val="21"/>
                <w:szCs w:val="21"/>
                <w:highlight w:val="none"/>
                <w:shd w:val="clear" w:color="auto" w:fill="auto"/>
                <w:lang w:val="en-US" w:eastAsia="zh-CN"/>
              </w:rPr>
            </w:pPr>
            <w:r>
              <w:rPr>
                <w:rFonts w:hint="eastAsia" w:ascii="仿宋_GB2312" w:hAnsi="仿宋_GB2312" w:eastAsia="仿宋_GB2312" w:cs="仿宋_GB2312"/>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11A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BB2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8E6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CD7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2F4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100</w:t>
            </w:r>
          </w:p>
        </w:tc>
      </w:tr>
      <w:tr w14:paraId="33F3146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FBE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val="0"/>
                <w:color w:val="auto"/>
                <w:kern w:val="0"/>
                <w:sz w:val="21"/>
                <w:szCs w:val="21"/>
                <w:highlight w:val="none"/>
                <w:shd w:val="clear" w:color="auto" w:fill="auto"/>
                <w:lang w:val="en-US" w:eastAsia="zh-CN"/>
              </w:rPr>
            </w:pPr>
            <w:r>
              <w:rPr>
                <w:rFonts w:hint="eastAsia" w:ascii="仿宋_GB2312" w:hAnsi="仿宋_GB2312" w:eastAsia="仿宋_GB2312" w:cs="仿宋_GB2312"/>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D1E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AA1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19.84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E1E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C9F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2E4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98.84</w:t>
            </w:r>
          </w:p>
        </w:tc>
      </w:tr>
      <w:tr w14:paraId="6D73BC55">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DC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val="0"/>
                <w:color w:val="auto"/>
                <w:kern w:val="0"/>
                <w:sz w:val="21"/>
                <w:szCs w:val="21"/>
                <w:highlight w:val="none"/>
                <w:shd w:val="clear" w:color="auto" w:fill="auto"/>
                <w:lang w:val="en-US" w:eastAsia="zh-CN"/>
              </w:rPr>
            </w:pPr>
            <w:r>
              <w:rPr>
                <w:rFonts w:hint="eastAsia" w:ascii="仿宋_GB2312" w:hAnsi="仿宋_GB2312" w:eastAsia="仿宋_GB2312" w:cs="仿宋_GB2312"/>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46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95%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579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99.2%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571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69A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D0A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1"/>
                <w:szCs w:val="21"/>
                <w:highlight w:val="none"/>
                <w:shd w:val="clear" w:color="auto" w:fill="auto"/>
                <w:lang w:val="en-US" w:eastAsia="zh-CN"/>
              </w:rPr>
            </w:pPr>
            <w:r>
              <w:rPr>
                <w:rFonts w:hint="eastAsia" w:ascii="仿宋_GB2312" w:hAnsi="仿宋_GB2312" w:eastAsia="仿宋_GB2312" w:cs="仿宋_GB2312"/>
                <w:color w:val="auto"/>
                <w:kern w:val="0"/>
                <w:sz w:val="21"/>
                <w:szCs w:val="21"/>
                <w:highlight w:val="none"/>
                <w:shd w:val="clear" w:color="auto" w:fill="auto"/>
                <w:lang w:val="en-US" w:eastAsia="zh-CN"/>
              </w:rPr>
              <w:t>98.84%</w:t>
            </w:r>
          </w:p>
        </w:tc>
      </w:tr>
    </w:tbl>
    <w:p w14:paraId="08A3BDF5">
      <w:pPr>
        <w:bidi w:val="0"/>
        <w:rPr>
          <w:rFonts w:hint="eastAsia" w:ascii="仿宋_GB2312" w:hAnsi="仿宋_GB2312" w:eastAsia="仿宋_GB2312" w:cs="仿宋_GB2312"/>
          <w:color w:val="auto"/>
          <w:highlight w:val="none"/>
          <w:lang w:val="en-US" w:eastAsia="zh-CN"/>
        </w:rPr>
      </w:pPr>
      <w:bookmarkStart w:id="56" w:name="_Toc9421"/>
      <w:r>
        <w:rPr>
          <w:rFonts w:hint="eastAsia" w:ascii="仿宋_GB2312" w:hAnsi="仿宋_GB2312" w:eastAsia="仿宋_GB2312" w:cs="仿宋_GB2312"/>
          <w:color w:val="auto"/>
          <w:highlight w:val="none"/>
          <w:lang w:val="en-US" w:eastAsia="zh-CN"/>
        </w:rPr>
        <w:t>四、绩效评价指标分析</w:t>
      </w:r>
      <w:bookmarkEnd w:id="56"/>
    </w:p>
    <w:p w14:paraId="4126148C">
      <w:pPr>
        <w:bidi w:val="0"/>
        <w:rPr>
          <w:rFonts w:hint="eastAsia" w:ascii="仿宋_GB2312" w:hAnsi="仿宋_GB2312" w:eastAsia="仿宋_GB2312" w:cs="仿宋_GB2312"/>
          <w:b/>
          <w:bCs/>
          <w:color w:val="auto"/>
          <w:highlight w:val="none"/>
        </w:rPr>
      </w:pPr>
      <w:bookmarkStart w:id="57" w:name="_Toc15355"/>
      <w:r>
        <w:rPr>
          <w:rFonts w:hint="eastAsia" w:ascii="仿宋_GB2312" w:hAnsi="仿宋_GB2312" w:eastAsia="仿宋_GB2312" w:cs="仿宋_GB2312"/>
          <w:b/>
          <w:bCs/>
          <w:color w:val="auto"/>
          <w:highlight w:val="none"/>
        </w:rPr>
        <w:t>（一）项目决策情况</w:t>
      </w:r>
      <w:bookmarkEnd w:id="57"/>
    </w:p>
    <w:p w14:paraId="1F199FE7">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highlight w:val="none"/>
          <w:shd w:val="clear" w:color="auto" w:fill="auto"/>
          <w:lang w:val="en-US" w:eastAsia="zh-CN"/>
        </w:rPr>
        <w:t>项目决策由3个二级指标和6个三级指标构成，权重分20分，实际得分19分，</w:t>
      </w:r>
      <w:r>
        <w:rPr>
          <w:rFonts w:hint="eastAsia" w:ascii="仿宋_GB2312" w:hAnsi="仿宋_GB2312" w:eastAsia="仿宋_GB2312" w:cs="仿宋_GB2312"/>
          <w:color w:val="auto"/>
          <w:kern w:val="2"/>
          <w:highlight w:val="none"/>
          <w:u w:color="000000"/>
          <w:shd w:val="clear" w:color="auto" w:fill="auto"/>
          <w:lang w:val="zh-TW" w:eastAsia="zh-TW"/>
        </w:rPr>
        <w:t>各指标业绩值和绩效分值如表</w:t>
      </w:r>
      <w:r>
        <w:rPr>
          <w:rFonts w:hint="eastAsia" w:ascii="仿宋_GB2312" w:hAnsi="仿宋_GB2312" w:eastAsia="仿宋_GB2312" w:cs="仿宋_GB2312"/>
          <w:b/>
          <w:bCs/>
          <w:color w:val="auto"/>
          <w:kern w:val="2"/>
          <w:highlight w:val="none"/>
          <w:u w:color="000000"/>
          <w:shd w:val="clear" w:color="auto" w:fill="auto"/>
          <w:lang w:val="en-US" w:eastAsia="zh-CN"/>
        </w:rPr>
        <w:t>4</w:t>
      </w:r>
      <w:r>
        <w:rPr>
          <w:rFonts w:hint="eastAsia" w:ascii="仿宋_GB2312" w:hAnsi="仿宋_GB2312" w:eastAsia="仿宋_GB2312" w:cs="仿宋_GB2312"/>
          <w:b/>
          <w:bCs/>
          <w:color w:val="auto"/>
          <w:kern w:val="2"/>
          <w:highlight w:val="none"/>
          <w:u w:color="000000"/>
          <w:shd w:val="clear" w:color="auto" w:fill="auto"/>
          <w:lang w:eastAsia="zh-CN"/>
        </w:rPr>
        <w:t>-1</w:t>
      </w:r>
      <w:r>
        <w:rPr>
          <w:rFonts w:hint="eastAsia" w:ascii="仿宋_GB2312" w:hAnsi="仿宋_GB2312" w:eastAsia="仿宋_GB2312" w:cs="仿宋_GB2312"/>
          <w:color w:val="auto"/>
          <w:kern w:val="2"/>
          <w:highlight w:val="none"/>
          <w:u w:color="000000"/>
          <w:shd w:val="clear" w:color="auto" w:fill="auto"/>
          <w:lang w:val="zh-TW" w:eastAsia="zh-TW"/>
        </w:rPr>
        <w:t>所示</w:t>
      </w:r>
      <w:r>
        <w:rPr>
          <w:rFonts w:hint="eastAsia" w:ascii="仿宋_GB2312" w:hAnsi="仿宋_GB2312" w:eastAsia="仿宋_GB2312" w:cs="仿宋_GB2312"/>
          <w:b/>
          <w:bCs/>
          <w:color w:val="auto"/>
          <w:highlight w:val="none"/>
          <w:shd w:val="clear" w:color="auto" w:fill="auto"/>
          <w:lang w:val="zh-TW" w:eastAsia="zh-CN"/>
        </w:rPr>
        <w:t>（</w:t>
      </w:r>
      <w:r>
        <w:rPr>
          <w:rFonts w:hint="eastAsia" w:ascii="仿宋_GB2312" w:hAnsi="仿宋_GB2312" w:eastAsia="仿宋_GB2312" w:cs="仿宋_GB2312"/>
          <w:b/>
          <w:bCs/>
          <w:color w:val="auto"/>
          <w:highlight w:val="none"/>
          <w:shd w:val="clear" w:color="auto" w:fill="auto"/>
          <w:lang w:val="en-US" w:eastAsia="zh-CN"/>
        </w:rPr>
        <w:t>详见上传的附件</w:t>
      </w:r>
      <w:r>
        <w:rPr>
          <w:rFonts w:hint="eastAsia" w:ascii="仿宋_GB2312" w:hAnsi="仿宋_GB2312" w:eastAsia="仿宋_GB2312" w:cs="仿宋_GB2312"/>
          <w:b/>
          <w:bCs/>
          <w:color w:val="auto"/>
          <w:highlight w:val="none"/>
          <w:shd w:val="clear" w:color="auto" w:fill="auto"/>
          <w:lang w:val="zh-TW" w:eastAsia="zh-CN"/>
        </w:rPr>
        <w:t>）</w:t>
      </w:r>
      <w:r>
        <w:rPr>
          <w:rFonts w:hint="eastAsia" w:ascii="仿宋_GB2312" w:hAnsi="仿宋_GB2312" w:eastAsia="仿宋_GB2312" w:cs="仿宋_GB2312"/>
          <w:color w:val="auto"/>
          <w:highlight w:val="none"/>
          <w:shd w:val="clear" w:color="auto" w:fill="auto"/>
          <w:lang w:val="en-US" w:eastAsia="zh-CN"/>
        </w:rPr>
        <w:t>：</w:t>
      </w:r>
    </w:p>
    <w:p w14:paraId="48A8F26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仿宋_GB2312" w:hAnsi="仿宋_GB2312" w:eastAsia="仿宋_GB2312" w:cs="仿宋_GB2312"/>
          <w:b/>
          <w:bCs/>
          <w:color w:val="auto"/>
          <w:kern w:val="0"/>
          <w:sz w:val="28"/>
          <w:szCs w:val="28"/>
          <w:highlight w:val="none"/>
          <w:shd w:val="clear" w:color="auto" w:fill="auto"/>
          <w:lang w:val="en-US" w:eastAsia="zh-CN"/>
        </w:rPr>
      </w:pPr>
      <w:r>
        <w:rPr>
          <w:rFonts w:hint="eastAsia" w:ascii="仿宋_GB2312" w:hAnsi="仿宋_GB2312" w:eastAsia="仿宋_GB2312" w:cs="仿宋_GB2312"/>
          <w:b/>
          <w:bCs/>
          <w:color w:val="auto"/>
          <w:kern w:val="0"/>
          <w:sz w:val="28"/>
          <w:szCs w:val="28"/>
          <w:highlight w:val="none"/>
          <w:shd w:val="clear" w:color="auto" w:fill="auto"/>
          <w:lang w:val="zh-TW" w:eastAsia="zh-TW"/>
        </w:rPr>
        <w:t>表</w:t>
      </w:r>
      <w:r>
        <w:rPr>
          <w:rFonts w:hint="eastAsia" w:ascii="仿宋_GB2312" w:hAnsi="仿宋_GB2312" w:eastAsia="仿宋_GB2312" w:cs="仿宋_GB2312"/>
          <w:b/>
          <w:bCs/>
          <w:color w:val="auto"/>
          <w:kern w:val="0"/>
          <w:sz w:val="28"/>
          <w:szCs w:val="28"/>
          <w:highlight w:val="none"/>
          <w:shd w:val="clear" w:color="auto" w:fill="auto"/>
          <w:lang w:val="en-US" w:eastAsia="zh-CN"/>
        </w:rPr>
        <w:t>4-1</w:t>
      </w:r>
      <w:r>
        <w:rPr>
          <w:rFonts w:hint="eastAsia" w:ascii="仿宋_GB2312" w:hAnsi="仿宋_GB2312" w:eastAsia="仿宋_GB2312" w:cs="仿宋_GB2312"/>
          <w:b/>
          <w:bCs/>
          <w:color w:val="auto"/>
          <w:kern w:val="0"/>
          <w:sz w:val="28"/>
          <w:szCs w:val="28"/>
          <w:highlight w:val="none"/>
          <w:shd w:val="clear" w:color="auto" w:fill="auto"/>
          <w:lang w:val="zh-TW" w:eastAsia="zh-TW"/>
        </w:rPr>
        <w:t>项目决策指标及分值</w:t>
      </w:r>
    </w:p>
    <w:tbl>
      <w:tblPr>
        <w:tblStyle w:val="12"/>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428E9DB">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16C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EB74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B694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A224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D133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7DFE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8BDE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得分</w:t>
            </w:r>
          </w:p>
        </w:tc>
      </w:tr>
      <w:tr w14:paraId="24CFC59E">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E94DF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A38B0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46B33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8D4C1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DCEE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C01B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16F1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w:t>
            </w:r>
          </w:p>
        </w:tc>
      </w:tr>
      <w:tr w14:paraId="46041843">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F91D6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FC904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B2B2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7C74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46D4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3418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FE5F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w:t>
            </w:r>
          </w:p>
        </w:tc>
      </w:tr>
      <w:tr w14:paraId="52F80467">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C1D7D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E4761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F18D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FF1B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12E1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6BE0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0235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5</w:t>
            </w:r>
          </w:p>
        </w:tc>
      </w:tr>
      <w:tr w14:paraId="3560E12A">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F3F55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CC878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0CBB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3866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ECEC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6823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38EA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5</w:t>
            </w:r>
          </w:p>
        </w:tc>
      </w:tr>
      <w:tr w14:paraId="111ACF13">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75B8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28F1B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AE378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9A4AE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32AF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89DF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776A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w:t>
            </w:r>
          </w:p>
        </w:tc>
      </w:tr>
      <w:tr w14:paraId="67C845D4">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7EDE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C6D6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3406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3065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8808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766F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D19E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r>
      <w:tr w14:paraId="2443600C">
        <w:tblPrEx>
          <w:shd w:val="clear" w:color="auto" w:fill="auto"/>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5E3A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852D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C240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FD96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FA9C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19</w:t>
            </w:r>
          </w:p>
        </w:tc>
      </w:tr>
    </w:tbl>
    <w:p w14:paraId="3E68F7B7">
      <w:pPr>
        <w:bidi w:val="0"/>
        <w:outlineLvl w:val="2"/>
        <w:rPr>
          <w:rFonts w:hint="eastAsia" w:ascii="仿宋_GB2312" w:hAnsi="仿宋_GB2312" w:eastAsia="仿宋_GB2312" w:cs="仿宋_GB2312"/>
          <w:b/>
          <w:bCs/>
          <w:color w:val="auto"/>
          <w:highlight w:val="none"/>
          <w:lang w:val="en-US" w:eastAsia="zh-CN"/>
        </w:rPr>
      </w:pPr>
      <w:bookmarkStart w:id="58" w:name="_Toc13522"/>
      <w:r>
        <w:rPr>
          <w:rFonts w:hint="eastAsia" w:ascii="仿宋_GB2312" w:hAnsi="仿宋_GB2312" w:eastAsia="仿宋_GB2312" w:cs="仿宋_GB2312"/>
          <w:b/>
          <w:bCs/>
          <w:color w:val="auto"/>
          <w:highlight w:val="none"/>
          <w:lang w:val="en-US" w:eastAsia="zh-CN"/>
        </w:rPr>
        <w:t>1.立项依据充分性</w:t>
      </w:r>
      <w:bookmarkEnd w:id="58"/>
    </w:p>
    <w:p w14:paraId="5592BA68">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①项目立项符合</w:t>
      </w:r>
      <w:r>
        <w:rPr>
          <w:rFonts w:hint="eastAsia" w:ascii="仿宋_GB2312" w:hAnsi="仿宋_GB2312" w:eastAsia="仿宋_GB2312" w:cs="仿宋_GB2312"/>
          <w:color w:val="auto"/>
          <w:highlight w:val="none"/>
          <w:shd w:val="clear" w:color="auto" w:fill="auto"/>
          <w:lang w:val="en-US" w:eastAsia="zh-CN"/>
        </w:rPr>
        <w:t>《固定资产支持融资借款合同》</w:t>
      </w:r>
      <w:r>
        <w:rPr>
          <w:rFonts w:hint="eastAsia" w:ascii="仿宋_GB2312" w:hAnsi="仿宋_GB2312" w:eastAsia="仿宋_GB2312" w:cs="仿宋_GB2312"/>
          <w:color w:val="auto"/>
          <w:highlight w:val="none"/>
          <w:lang w:eastAsia="zh-CN"/>
        </w:rPr>
        <w:t>；</w:t>
      </w:r>
    </w:p>
    <w:p w14:paraId="30507565">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②项目立项符合</w:t>
      </w:r>
      <w:r>
        <w:rPr>
          <w:rFonts w:hint="eastAsia" w:ascii="仿宋_GB2312" w:hAnsi="仿宋_GB2312" w:eastAsia="仿宋_GB2312" w:cs="仿宋_GB2312"/>
          <w:color w:val="auto"/>
          <w:highlight w:val="none"/>
          <w:shd w:val="clear" w:color="auto" w:fill="auto"/>
          <w:lang w:val="en-US" w:eastAsia="zh-CN"/>
        </w:rPr>
        <w:t>补充合同（0300400006-2014年（阜康）字0041号）</w:t>
      </w:r>
      <w:r>
        <w:rPr>
          <w:rFonts w:hint="eastAsia" w:ascii="仿宋_GB2312" w:hAnsi="仿宋_GB2312" w:eastAsia="仿宋_GB2312" w:cs="仿宋_GB2312"/>
          <w:color w:val="auto"/>
          <w:highlight w:val="none"/>
          <w:lang w:eastAsia="zh-CN"/>
        </w:rPr>
        <w:t>；</w:t>
      </w:r>
    </w:p>
    <w:p w14:paraId="3B669C37">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③项目立项与</w:t>
      </w:r>
      <w:r>
        <w:rPr>
          <w:rFonts w:hint="eastAsia" w:ascii="仿宋_GB2312" w:hAnsi="仿宋_GB2312" w:eastAsia="仿宋_GB2312" w:cs="仿宋_GB2312"/>
          <w:color w:val="auto"/>
          <w:highlight w:val="none"/>
          <w:lang w:val="en-US" w:eastAsia="zh-CN"/>
        </w:rPr>
        <w:t>天池管委会提升景区高质量发展职责</w:t>
      </w:r>
      <w:r>
        <w:rPr>
          <w:rFonts w:hint="eastAsia" w:ascii="仿宋_GB2312" w:hAnsi="仿宋_GB2312" w:eastAsia="仿宋_GB2312" w:cs="仿宋_GB2312"/>
          <w:color w:val="auto"/>
          <w:highlight w:val="none"/>
          <w:lang w:eastAsia="zh-CN"/>
        </w:rPr>
        <w:t>相符，属于部门履职所需；</w:t>
      </w:r>
    </w:p>
    <w:p w14:paraId="0D5BD680">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④项目属于公共财政支持范围，符合中央、地方事权支出责任划分原则；</w:t>
      </w:r>
    </w:p>
    <w:p w14:paraId="45D7B0D3">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⑤项目与相关部门同类项目或部门内部相关项目</w:t>
      </w:r>
      <w:r>
        <w:rPr>
          <w:rFonts w:hint="eastAsia" w:ascii="仿宋_GB2312" w:hAnsi="仿宋_GB2312" w:eastAsia="仿宋_GB2312" w:cs="仿宋_GB2312"/>
          <w:color w:val="auto"/>
          <w:highlight w:val="none"/>
          <w:lang w:val="en-US" w:eastAsia="zh-CN"/>
        </w:rPr>
        <w:t>不</w:t>
      </w:r>
      <w:r>
        <w:rPr>
          <w:rFonts w:hint="eastAsia" w:ascii="仿宋_GB2312" w:hAnsi="仿宋_GB2312" w:eastAsia="仿宋_GB2312" w:cs="仿宋_GB2312"/>
          <w:color w:val="auto"/>
          <w:highlight w:val="none"/>
          <w:lang w:eastAsia="zh-CN"/>
        </w:rPr>
        <w:t>重复。</w:t>
      </w:r>
    </w:p>
    <w:p w14:paraId="3C6CF775">
      <w:pPr>
        <w:bidi w:val="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b/>
          <w:bCs/>
          <w:color w:val="auto"/>
          <w:highlight w:val="none"/>
          <w:lang w:val="en-US" w:eastAsia="zh-CN"/>
        </w:rPr>
        <w:t>综上，该项指标满分2分，得分2分。</w:t>
      </w:r>
    </w:p>
    <w:p w14:paraId="11117EF8">
      <w:pPr>
        <w:bidi w:val="0"/>
        <w:outlineLvl w:val="2"/>
        <w:rPr>
          <w:rFonts w:hint="eastAsia" w:ascii="仿宋_GB2312" w:hAnsi="仿宋_GB2312" w:eastAsia="仿宋_GB2312" w:cs="仿宋_GB2312"/>
          <w:b/>
          <w:bCs/>
          <w:color w:val="auto"/>
          <w:highlight w:val="none"/>
          <w:lang w:val="en-US" w:eastAsia="zh-CN"/>
        </w:rPr>
      </w:pPr>
      <w:bookmarkStart w:id="59" w:name="_Toc21976"/>
      <w:r>
        <w:rPr>
          <w:rFonts w:hint="eastAsia" w:ascii="仿宋_GB2312" w:hAnsi="仿宋_GB2312" w:eastAsia="仿宋_GB2312" w:cs="仿宋_GB2312"/>
          <w:b/>
          <w:bCs/>
          <w:color w:val="auto"/>
          <w:highlight w:val="none"/>
          <w:lang w:val="en-US" w:eastAsia="zh-CN"/>
        </w:rPr>
        <w:t>2.立项程序规范性</w:t>
      </w:r>
      <w:bookmarkEnd w:id="59"/>
    </w:p>
    <w:p w14:paraId="3F6E08D9">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①项目按照规定的程序申请设立；</w:t>
      </w:r>
    </w:p>
    <w:p w14:paraId="3DC54610">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②审批文件、材料符合相关要求；</w:t>
      </w:r>
    </w:p>
    <w:p w14:paraId="5AC23F33">
      <w:pPr>
        <w:pStyle w:val="2"/>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③事前未经过可行性研究、专家论证、风险评估、绩效评估、集体决策，扣1分。</w:t>
      </w:r>
    </w:p>
    <w:p w14:paraId="5CDC08F9">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综上，该项指标满分3分，得分2分。</w:t>
      </w:r>
    </w:p>
    <w:p w14:paraId="39AFAF49">
      <w:pPr>
        <w:bidi w:val="0"/>
        <w:outlineLvl w:val="2"/>
        <w:rPr>
          <w:rFonts w:hint="eastAsia" w:ascii="仿宋_GB2312" w:hAnsi="仿宋_GB2312" w:eastAsia="仿宋_GB2312" w:cs="仿宋_GB2312"/>
          <w:b/>
          <w:bCs/>
          <w:color w:val="auto"/>
          <w:highlight w:val="none"/>
          <w:lang w:val="en-US" w:eastAsia="zh-CN"/>
        </w:rPr>
      </w:pPr>
      <w:bookmarkStart w:id="60" w:name="_Toc15382"/>
      <w:r>
        <w:rPr>
          <w:rFonts w:hint="eastAsia" w:ascii="仿宋_GB2312" w:hAnsi="仿宋_GB2312" w:eastAsia="仿宋_GB2312" w:cs="仿宋_GB2312"/>
          <w:b/>
          <w:bCs/>
          <w:color w:val="auto"/>
          <w:highlight w:val="none"/>
          <w:lang w:val="en-US" w:eastAsia="zh-CN"/>
        </w:rPr>
        <w:t>3.绩效目标合理性</w:t>
      </w:r>
      <w:bookmarkEnd w:id="60"/>
    </w:p>
    <w:p w14:paraId="5B7039B8">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①项目有绩效目标；</w:t>
      </w:r>
    </w:p>
    <w:p w14:paraId="70B7B9D3">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②项目绩效目标与实际工作内容具有相关性；</w:t>
      </w:r>
    </w:p>
    <w:p w14:paraId="46F93D1C">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③项目预期产出效益和效果符合正常的业绩水平；</w:t>
      </w:r>
    </w:p>
    <w:p w14:paraId="22138EC4">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④与预算确定的项目投资额或资金量相匹配。</w:t>
      </w:r>
    </w:p>
    <w:p w14:paraId="2B1D2B04">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综上，该项指标满分5分，得分5分。</w:t>
      </w:r>
    </w:p>
    <w:p w14:paraId="64AAD083">
      <w:pPr>
        <w:bidi w:val="0"/>
        <w:outlineLvl w:val="2"/>
        <w:rPr>
          <w:rFonts w:hint="eastAsia" w:ascii="仿宋_GB2312" w:hAnsi="仿宋_GB2312" w:eastAsia="仿宋_GB2312" w:cs="仿宋_GB2312"/>
          <w:b/>
          <w:bCs/>
          <w:color w:val="auto"/>
          <w:highlight w:val="none"/>
          <w:lang w:val="en-US" w:eastAsia="zh-CN"/>
        </w:rPr>
      </w:pPr>
      <w:bookmarkStart w:id="61" w:name="_Toc10650"/>
      <w:r>
        <w:rPr>
          <w:rFonts w:hint="eastAsia" w:ascii="仿宋_GB2312" w:hAnsi="仿宋_GB2312" w:eastAsia="仿宋_GB2312" w:cs="仿宋_GB2312"/>
          <w:b/>
          <w:bCs/>
          <w:color w:val="auto"/>
          <w:highlight w:val="none"/>
          <w:lang w:val="en-US" w:eastAsia="zh-CN"/>
        </w:rPr>
        <w:t>4.绩效指标明确性</w:t>
      </w:r>
      <w:bookmarkEnd w:id="61"/>
    </w:p>
    <w:p w14:paraId="6957E5A2">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①将项目绩效目标细化分解为</w:t>
      </w:r>
      <w:r>
        <w:rPr>
          <w:rFonts w:hint="eastAsia" w:ascii="仿宋_GB2312" w:hAnsi="仿宋_GB2312" w:eastAsia="仿宋_GB2312" w:cs="仿宋_GB2312"/>
          <w:color w:val="auto"/>
          <w:highlight w:val="none"/>
          <w:lang w:val="en-US" w:eastAsia="zh-CN"/>
        </w:rPr>
        <w:t>5个二级指标，11个三级指标</w:t>
      </w:r>
      <w:r>
        <w:rPr>
          <w:rFonts w:hint="eastAsia" w:ascii="仿宋_GB2312" w:hAnsi="仿宋_GB2312" w:eastAsia="仿宋_GB2312" w:cs="仿宋_GB2312"/>
          <w:color w:val="auto"/>
          <w:highlight w:val="none"/>
          <w:lang w:eastAsia="zh-CN"/>
        </w:rPr>
        <w:t>；</w:t>
      </w:r>
    </w:p>
    <w:p w14:paraId="36A341B9">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②</w:t>
      </w:r>
      <w:r>
        <w:rPr>
          <w:rFonts w:hint="eastAsia" w:ascii="仿宋_GB2312" w:hAnsi="仿宋_GB2312" w:eastAsia="仿宋_GB2312" w:cs="仿宋_GB2312"/>
          <w:color w:val="auto"/>
          <w:highlight w:val="none"/>
          <w:lang w:val="en-US" w:eastAsia="zh-CN"/>
        </w:rPr>
        <w:t>定量指标9个，定性指标2个，</w:t>
      </w:r>
      <w:r>
        <w:rPr>
          <w:rFonts w:hint="eastAsia" w:ascii="仿宋_GB2312" w:hAnsi="仿宋_GB2312" w:eastAsia="仿宋_GB2312" w:cs="仿宋_GB2312"/>
          <w:color w:val="auto"/>
          <w:highlight w:val="none"/>
          <w:lang w:eastAsia="zh-CN"/>
        </w:rPr>
        <w:t>指标值</w:t>
      </w:r>
      <w:r>
        <w:rPr>
          <w:rFonts w:hint="eastAsia" w:ascii="仿宋_GB2312" w:hAnsi="仿宋_GB2312" w:eastAsia="仿宋_GB2312" w:cs="仿宋_GB2312"/>
          <w:color w:val="auto"/>
          <w:highlight w:val="none"/>
          <w:lang w:val="en-US" w:eastAsia="zh-CN"/>
        </w:rPr>
        <w:t>量化率是81.8%</w:t>
      </w:r>
      <w:r>
        <w:rPr>
          <w:rFonts w:hint="eastAsia" w:ascii="仿宋_GB2312" w:hAnsi="仿宋_GB2312" w:eastAsia="仿宋_GB2312" w:cs="仿宋_GB2312"/>
          <w:color w:val="auto"/>
          <w:highlight w:val="none"/>
          <w:lang w:eastAsia="zh-CN"/>
        </w:rPr>
        <w:t>；</w:t>
      </w:r>
    </w:p>
    <w:p w14:paraId="0FA54EE5">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③与项目目标任务数或计划数相对应。</w:t>
      </w:r>
    </w:p>
    <w:p w14:paraId="480B1393">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综上，该项指标满分5分，得分5分。</w:t>
      </w:r>
    </w:p>
    <w:p w14:paraId="21D8355D">
      <w:pPr>
        <w:bidi w:val="0"/>
        <w:outlineLvl w:val="2"/>
        <w:rPr>
          <w:rFonts w:hint="eastAsia" w:ascii="仿宋_GB2312" w:hAnsi="仿宋_GB2312" w:eastAsia="仿宋_GB2312" w:cs="仿宋_GB2312"/>
          <w:b/>
          <w:bCs/>
          <w:color w:val="auto"/>
          <w:highlight w:val="none"/>
          <w:lang w:val="en-US" w:eastAsia="zh-CN"/>
        </w:rPr>
      </w:pPr>
      <w:bookmarkStart w:id="62" w:name="_Toc19401"/>
      <w:r>
        <w:rPr>
          <w:rFonts w:hint="eastAsia" w:ascii="仿宋_GB2312" w:hAnsi="仿宋_GB2312" w:eastAsia="仿宋_GB2312" w:cs="仿宋_GB2312"/>
          <w:b/>
          <w:bCs/>
          <w:color w:val="auto"/>
          <w:highlight w:val="none"/>
          <w:lang w:val="en-US" w:eastAsia="zh-CN"/>
        </w:rPr>
        <w:t>5.预算编制科学性</w:t>
      </w:r>
      <w:bookmarkEnd w:id="62"/>
    </w:p>
    <w:p w14:paraId="3121450C">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①预算编制经过科学论证；</w:t>
      </w:r>
    </w:p>
    <w:p w14:paraId="43F88309">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②预算内容与项目内容匹配；</w:t>
      </w:r>
    </w:p>
    <w:p w14:paraId="3B018582">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③预算额度测算依据充分，按照标准编制；</w:t>
      </w:r>
    </w:p>
    <w:p w14:paraId="21B841D7">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④预算确定的项目投资额或资金量与工作任务相匹配。</w:t>
      </w:r>
    </w:p>
    <w:p w14:paraId="601BB813">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综上，该项指标满分2分，得分2分。</w:t>
      </w:r>
    </w:p>
    <w:p w14:paraId="0CA4EECC">
      <w:pPr>
        <w:bidi w:val="0"/>
        <w:outlineLvl w:val="2"/>
        <w:rPr>
          <w:rFonts w:hint="eastAsia" w:ascii="仿宋_GB2312" w:hAnsi="仿宋_GB2312" w:eastAsia="仿宋_GB2312" w:cs="仿宋_GB2312"/>
          <w:b/>
          <w:bCs/>
          <w:color w:val="auto"/>
          <w:highlight w:val="none"/>
          <w:lang w:val="en-US" w:eastAsia="zh-CN"/>
        </w:rPr>
      </w:pPr>
      <w:bookmarkStart w:id="63" w:name="_Toc697"/>
      <w:r>
        <w:rPr>
          <w:rFonts w:hint="eastAsia" w:ascii="仿宋_GB2312" w:hAnsi="仿宋_GB2312" w:eastAsia="仿宋_GB2312" w:cs="仿宋_GB2312"/>
          <w:b/>
          <w:bCs/>
          <w:color w:val="auto"/>
          <w:highlight w:val="none"/>
          <w:lang w:val="en-US" w:eastAsia="zh-CN"/>
        </w:rPr>
        <w:t>6.资金分配合理性</w:t>
      </w:r>
      <w:bookmarkEnd w:id="63"/>
    </w:p>
    <w:p w14:paraId="2D89DE15">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①预算资金分配依据充分；</w:t>
      </w:r>
    </w:p>
    <w:p w14:paraId="2A75D190">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②资金分配额度合理，与项目单位或地方实际相适应。</w:t>
      </w:r>
    </w:p>
    <w:p w14:paraId="2FCF5A44">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综上，该项指标满分3分，得分3分。</w:t>
      </w:r>
    </w:p>
    <w:p w14:paraId="0BC24629">
      <w:pPr>
        <w:bidi w:val="0"/>
        <w:rPr>
          <w:rFonts w:hint="eastAsia" w:ascii="仿宋_GB2312" w:hAnsi="仿宋_GB2312" w:eastAsia="仿宋_GB2312" w:cs="仿宋_GB2312"/>
          <w:b/>
          <w:bCs/>
          <w:color w:val="auto"/>
          <w:highlight w:val="none"/>
        </w:rPr>
      </w:pPr>
      <w:bookmarkStart w:id="64" w:name="_Toc11361"/>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lang w:val="en-US" w:eastAsia="zh-CN"/>
        </w:rPr>
        <w:t>二</w:t>
      </w:r>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rPr>
        <w:t>项目过程情况</w:t>
      </w:r>
      <w:bookmarkEnd w:id="64"/>
    </w:p>
    <w:p w14:paraId="6D971BE4">
      <w:pPr>
        <w:pageBreakBefore w:val="0"/>
        <w:widowControl w:val="0"/>
        <w:kinsoku/>
        <w:wordWrap/>
        <w:overflowPunct/>
        <w:topLinePunct w:val="0"/>
        <w:autoSpaceDE/>
        <w:autoSpaceDN/>
        <w:bidi w:val="0"/>
        <w:adjustRightInd/>
        <w:spacing w:line="360" w:lineRule="auto"/>
        <w:ind w:firstLine="560"/>
        <w:textAlignment w:val="auto"/>
        <w:rPr>
          <w:rFonts w:hint="eastAsia" w:ascii="仿宋_GB2312" w:hAnsi="仿宋_GB2312" w:eastAsia="仿宋_GB2312" w:cs="仿宋_GB2312"/>
          <w:color w:val="auto"/>
          <w:kern w:val="2"/>
          <w:highlight w:val="none"/>
          <w:u w:color="000000"/>
          <w:shd w:val="clear" w:color="auto" w:fill="auto"/>
          <w:lang w:val="zh-TW" w:eastAsia="zh-TW"/>
        </w:rPr>
      </w:pPr>
      <w:r>
        <w:rPr>
          <w:rFonts w:hint="eastAsia" w:ascii="仿宋_GB2312" w:hAnsi="仿宋_GB2312" w:eastAsia="仿宋_GB2312" w:cs="仿宋_GB2312"/>
          <w:color w:val="auto"/>
          <w:kern w:val="2"/>
          <w:highlight w:val="none"/>
          <w:u w:color="000000"/>
          <w:shd w:val="clear" w:color="auto" w:fill="auto"/>
          <w:lang w:val="zh-TW" w:eastAsia="zh-TW"/>
        </w:rPr>
        <w:t>项目</w:t>
      </w:r>
      <w:r>
        <w:rPr>
          <w:rFonts w:hint="eastAsia" w:ascii="仿宋_GB2312" w:hAnsi="仿宋_GB2312" w:eastAsia="仿宋_GB2312" w:cs="仿宋_GB2312"/>
          <w:color w:val="auto"/>
          <w:highlight w:val="none"/>
          <w:shd w:val="clear" w:color="auto" w:fill="auto"/>
        </w:rPr>
        <w:t>过程</w:t>
      </w:r>
      <w:r>
        <w:rPr>
          <w:rFonts w:hint="eastAsia" w:ascii="仿宋_GB2312" w:hAnsi="仿宋_GB2312" w:eastAsia="仿宋_GB2312" w:cs="仿宋_GB2312"/>
          <w:color w:val="auto"/>
          <w:kern w:val="2"/>
          <w:highlight w:val="none"/>
          <w:u w:color="000000"/>
          <w:shd w:val="clear" w:color="auto" w:fill="auto"/>
          <w:lang w:eastAsia="zh-CN"/>
        </w:rPr>
        <w:t>管理</w:t>
      </w:r>
      <w:r>
        <w:rPr>
          <w:rFonts w:hint="eastAsia" w:ascii="仿宋_GB2312" w:hAnsi="仿宋_GB2312" w:eastAsia="仿宋_GB2312" w:cs="仿宋_GB2312"/>
          <w:color w:val="auto"/>
          <w:kern w:val="2"/>
          <w:highlight w:val="none"/>
          <w:u w:color="000000"/>
          <w:shd w:val="clear" w:color="auto" w:fill="auto"/>
          <w:lang w:val="zh-TW" w:eastAsia="zh-TW"/>
        </w:rPr>
        <w:t>类指标由</w:t>
      </w:r>
      <w:r>
        <w:rPr>
          <w:rFonts w:hint="eastAsia" w:ascii="仿宋_GB2312" w:hAnsi="仿宋_GB2312" w:eastAsia="仿宋_GB2312" w:cs="仿宋_GB2312"/>
          <w:color w:val="auto"/>
          <w:kern w:val="2"/>
          <w:highlight w:val="none"/>
          <w:u w:color="000000"/>
          <w:shd w:val="clear" w:color="auto" w:fill="auto"/>
          <w:lang w:eastAsia="zh-CN"/>
        </w:rPr>
        <w:t>2</w:t>
      </w:r>
      <w:r>
        <w:rPr>
          <w:rFonts w:hint="eastAsia" w:ascii="仿宋_GB2312" w:hAnsi="仿宋_GB2312" w:eastAsia="仿宋_GB2312" w:cs="仿宋_GB2312"/>
          <w:color w:val="auto"/>
          <w:kern w:val="2"/>
          <w:highlight w:val="none"/>
          <w:u w:color="000000"/>
          <w:shd w:val="clear" w:color="auto" w:fill="auto"/>
          <w:lang w:val="zh-TW" w:eastAsia="zh-TW"/>
        </w:rPr>
        <w:t>个</w:t>
      </w:r>
      <w:r>
        <w:rPr>
          <w:rFonts w:hint="eastAsia" w:ascii="仿宋_GB2312" w:hAnsi="仿宋_GB2312" w:eastAsia="仿宋_GB2312" w:cs="仿宋_GB2312"/>
          <w:color w:val="auto"/>
          <w:kern w:val="2"/>
          <w:highlight w:val="none"/>
          <w:u w:color="000000"/>
          <w:shd w:val="clear" w:color="auto" w:fill="auto"/>
          <w:lang w:val="zh-TW" w:eastAsia="zh-CN"/>
        </w:rPr>
        <w:t>二</w:t>
      </w:r>
      <w:r>
        <w:rPr>
          <w:rFonts w:hint="eastAsia" w:ascii="仿宋_GB2312" w:hAnsi="仿宋_GB2312" w:eastAsia="仿宋_GB2312" w:cs="仿宋_GB2312"/>
          <w:color w:val="auto"/>
          <w:kern w:val="2"/>
          <w:highlight w:val="none"/>
          <w:u w:color="000000"/>
          <w:shd w:val="clear" w:color="auto" w:fill="auto"/>
          <w:lang w:val="zh-TW" w:eastAsia="zh-TW"/>
        </w:rPr>
        <w:t>级指标和</w:t>
      </w:r>
      <w:r>
        <w:rPr>
          <w:rFonts w:hint="eastAsia" w:ascii="仿宋_GB2312" w:hAnsi="仿宋_GB2312" w:eastAsia="仿宋_GB2312" w:cs="仿宋_GB2312"/>
          <w:color w:val="auto"/>
          <w:kern w:val="2"/>
          <w:highlight w:val="none"/>
          <w:u w:color="000000"/>
          <w:shd w:val="clear" w:color="auto" w:fill="auto"/>
          <w:lang w:val="en-US" w:eastAsia="zh-CN"/>
        </w:rPr>
        <w:t>5</w:t>
      </w:r>
      <w:r>
        <w:rPr>
          <w:rFonts w:hint="eastAsia" w:ascii="仿宋_GB2312" w:hAnsi="仿宋_GB2312" w:eastAsia="仿宋_GB2312" w:cs="仿宋_GB2312"/>
          <w:color w:val="auto"/>
          <w:kern w:val="2"/>
          <w:highlight w:val="none"/>
          <w:u w:color="000000"/>
          <w:shd w:val="clear" w:color="auto" w:fill="auto"/>
          <w:lang w:val="zh-TW" w:eastAsia="zh-TW"/>
        </w:rPr>
        <w:t>个</w:t>
      </w:r>
      <w:r>
        <w:rPr>
          <w:rFonts w:hint="eastAsia" w:ascii="仿宋_GB2312" w:hAnsi="仿宋_GB2312" w:eastAsia="仿宋_GB2312" w:cs="仿宋_GB2312"/>
          <w:color w:val="auto"/>
          <w:kern w:val="2"/>
          <w:highlight w:val="none"/>
          <w:u w:color="000000"/>
          <w:shd w:val="clear" w:color="auto" w:fill="auto"/>
          <w:lang w:eastAsia="zh-CN"/>
        </w:rPr>
        <w:t>三</w:t>
      </w:r>
      <w:r>
        <w:rPr>
          <w:rFonts w:hint="eastAsia" w:ascii="仿宋_GB2312" w:hAnsi="仿宋_GB2312" w:eastAsia="仿宋_GB2312" w:cs="仿宋_GB2312"/>
          <w:color w:val="auto"/>
          <w:kern w:val="2"/>
          <w:highlight w:val="none"/>
          <w:u w:color="000000"/>
          <w:shd w:val="clear" w:color="auto" w:fill="auto"/>
          <w:lang w:val="zh-TW" w:eastAsia="zh-TW"/>
        </w:rPr>
        <w:t>级指标构成，权重分</w:t>
      </w:r>
      <w:r>
        <w:rPr>
          <w:rFonts w:hint="eastAsia" w:ascii="仿宋_GB2312" w:hAnsi="仿宋_GB2312" w:eastAsia="仿宋_GB2312" w:cs="仿宋_GB2312"/>
          <w:color w:val="auto"/>
          <w:kern w:val="2"/>
          <w:highlight w:val="none"/>
          <w:u w:color="000000"/>
          <w:shd w:val="clear" w:color="auto" w:fill="auto"/>
          <w:lang w:val="en-US" w:eastAsia="zh-CN"/>
        </w:rPr>
        <w:t>20</w:t>
      </w:r>
      <w:r>
        <w:rPr>
          <w:rFonts w:hint="eastAsia" w:ascii="仿宋_GB2312" w:hAnsi="仿宋_GB2312" w:eastAsia="仿宋_GB2312" w:cs="仿宋_GB2312"/>
          <w:color w:val="auto"/>
          <w:kern w:val="2"/>
          <w:highlight w:val="none"/>
          <w:u w:color="000000"/>
          <w:shd w:val="clear" w:color="auto" w:fill="auto"/>
          <w:lang w:val="zh-TW" w:eastAsia="zh-TW"/>
        </w:rPr>
        <w:t>分，实际得分</w:t>
      </w:r>
      <w:r>
        <w:rPr>
          <w:rFonts w:hint="eastAsia" w:ascii="仿宋_GB2312" w:hAnsi="仿宋_GB2312" w:eastAsia="仿宋_GB2312" w:cs="仿宋_GB2312"/>
          <w:color w:val="auto"/>
          <w:kern w:val="2"/>
          <w:highlight w:val="none"/>
          <w:u w:color="000000"/>
          <w:shd w:val="clear" w:color="auto" w:fill="auto"/>
          <w:lang w:val="en-US" w:eastAsia="zh-CN"/>
        </w:rPr>
        <w:t>19.84</w:t>
      </w:r>
      <w:r>
        <w:rPr>
          <w:rFonts w:hint="eastAsia" w:ascii="仿宋_GB2312" w:hAnsi="仿宋_GB2312" w:eastAsia="仿宋_GB2312" w:cs="仿宋_GB2312"/>
          <w:color w:val="auto"/>
          <w:kern w:val="2"/>
          <w:highlight w:val="none"/>
          <w:u w:color="000000"/>
          <w:shd w:val="clear" w:color="auto" w:fill="auto"/>
          <w:lang w:val="zh-TW" w:eastAsia="zh-TW"/>
        </w:rPr>
        <w:t>分</w:t>
      </w:r>
      <w:r>
        <w:rPr>
          <w:rFonts w:hint="eastAsia" w:ascii="仿宋_GB2312" w:hAnsi="仿宋_GB2312" w:eastAsia="仿宋_GB2312" w:cs="仿宋_GB2312"/>
          <w:color w:val="auto"/>
          <w:kern w:val="2"/>
          <w:highlight w:val="none"/>
          <w:u w:color="000000"/>
          <w:shd w:val="clear" w:color="auto" w:fill="auto"/>
          <w:lang w:val="zh-TW" w:eastAsia="zh-CN"/>
        </w:rPr>
        <w:t>，</w:t>
      </w:r>
      <w:r>
        <w:rPr>
          <w:rFonts w:hint="eastAsia" w:ascii="仿宋_GB2312" w:hAnsi="仿宋_GB2312" w:eastAsia="仿宋_GB2312" w:cs="仿宋_GB2312"/>
          <w:color w:val="auto"/>
          <w:kern w:val="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highlight w:val="none"/>
          <w:u w:color="000000"/>
          <w:shd w:val="clear" w:color="auto" w:fill="auto"/>
          <w:lang w:val="en-US" w:eastAsia="zh-CN"/>
        </w:rPr>
        <w:t>4</w:t>
      </w:r>
      <w:r>
        <w:rPr>
          <w:rFonts w:hint="eastAsia" w:ascii="仿宋_GB2312" w:hAnsi="仿宋_GB2312" w:eastAsia="仿宋_GB2312" w:cs="仿宋_GB2312"/>
          <w:color w:val="auto"/>
          <w:kern w:val="2"/>
          <w:highlight w:val="none"/>
          <w:u w:color="000000"/>
          <w:shd w:val="clear" w:color="auto" w:fill="auto"/>
          <w:lang w:eastAsia="zh-CN"/>
        </w:rPr>
        <w:t>-2</w:t>
      </w:r>
      <w:r>
        <w:rPr>
          <w:rFonts w:hint="eastAsia" w:ascii="仿宋_GB2312" w:hAnsi="仿宋_GB2312" w:eastAsia="仿宋_GB2312" w:cs="仿宋_GB2312"/>
          <w:color w:val="auto"/>
          <w:kern w:val="2"/>
          <w:highlight w:val="none"/>
          <w:u w:color="000000"/>
          <w:shd w:val="clear" w:color="auto" w:fill="auto"/>
          <w:lang w:val="zh-TW" w:eastAsia="zh-TW"/>
        </w:rPr>
        <w:t>所示</w:t>
      </w:r>
      <w:r>
        <w:rPr>
          <w:rFonts w:hint="eastAsia" w:ascii="仿宋_GB2312" w:hAnsi="仿宋_GB2312" w:eastAsia="仿宋_GB2312" w:cs="仿宋_GB2312"/>
          <w:b/>
          <w:bCs/>
          <w:color w:val="auto"/>
          <w:kern w:val="2"/>
          <w:highlight w:val="none"/>
          <w:u w:color="000000"/>
          <w:shd w:val="clear" w:color="auto" w:fill="auto"/>
          <w:lang w:val="zh-TW" w:eastAsia="zh-CN"/>
        </w:rPr>
        <w:t>（</w:t>
      </w:r>
      <w:r>
        <w:rPr>
          <w:rFonts w:hint="eastAsia" w:ascii="仿宋_GB2312" w:hAnsi="仿宋_GB2312" w:eastAsia="仿宋_GB2312" w:cs="仿宋_GB2312"/>
          <w:b/>
          <w:bCs/>
          <w:color w:val="auto"/>
          <w:kern w:val="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highlight w:val="none"/>
          <w:u w:color="000000"/>
          <w:shd w:val="clear" w:color="auto" w:fill="auto"/>
          <w:lang w:val="zh-TW" w:eastAsia="zh-CN"/>
        </w:rPr>
        <w:t>）</w:t>
      </w:r>
      <w:r>
        <w:rPr>
          <w:rFonts w:hint="eastAsia" w:ascii="仿宋_GB2312" w:hAnsi="仿宋_GB2312" w:eastAsia="仿宋_GB2312" w:cs="仿宋_GB2312"/>
          <w:color w:val="auto"/>
          <w:kern w:val="2"/>
          <w:highlight w:val="none"/>
          <w:u w:color="000000"/>
          <w:shd w:val="clear" w:color="auto" w:fill="auto"/>
          <w:lang w:val="zh-TW" w:eastAsia="zh-TW"/>
        </w:rPr>
        <w:t>：</w:t>
      </w:r>
    </w:p>
    <w:p w14:paraId="0F8E5DF9">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仿宋_GB2312" w:hAnsi="仿宋_GB2312" w:eastAsia="仿宋_GB2312" w:cs="仿宋_GB2312"/>
          <w:b/>
          <w:bCs/>
          <w:color w:val="auto"/>
          <w:kern w:val="0"/>
          <w:sz w:val="28"/>
          <w:szCs w:val="28"/>
          <w:highlight w:val="none"/>
          <w:shd w:val="clear" w:color="auto" w:fill="auto"/>
          <w:lang w:val="en-US" w:eastAsia="zh-CN"/>
        </w:rPr>
      </w:pPr>
      <w:r>
        <w:rPr>
          <w:rFonts w:hint="eastAsia" w:ascii="仿宋_GB2312" w:hAnsi="仿宋_GB2312" w:eastAsia="仿宋_GB2312" w:cs="仿宋_GB2312"/>
          <w:b/>
          <w:bCs/>
          <w:color w:val="auto"/>
          <w:kern w:val="0"/>
          <w:sz w:val="28"/>
          <w:szCs w:val="28"/>
          <w:highlight w:val="none"/>
          <w:shd w:val="clear" w:color="auto" w:fill="auto"/>
          <w:lang w:val="zh-TW" w:eastAsia="zh-TW"/>
        </w:rPr>
        <w:t>表</w:t>
      </w:r>
      <w:r>
        <w:rPr>
          <w:rFonts w:hint="eastAsia" w:ascii="仿宋_GB2312" w:hAnsi="仿宋_GB2312" w:eastAsia="仿宋_GB2312" w:cs="仿宋_GB2312"/>
          <w:b/>
          <w:bCs/>
          <w:color w:val="auto"/>
          <w:kern w:val="0"/>
          <w:sz w:val="28"/>
          <w:szCs w:val="28"/>
          <w:highlight w:val="none"/>
          <w:shd w:val="clear" w:color="auto" w:fill="auto"/>
          <w:lang w:val="en-US" w:eastAsia="zh-CN"/>
        </w:rPr>
        <w:t>4-2</w:t>
      </w:r>
      <w:r>
        <w:rPr>
          <w:rFonts w:hint="eastAsia" w:ascii="仿宋_GB2312" w:hAnsi="仿宋_GB2312" w:eastAsia="仿宋_GB2312" w:cs="仿宋_GB2312"/>
          <w:b/>
          <w:bCs/>
          <w:color w:val="auto"/>
          <w:kern w:val="0"/>
          <w:sz w:val="28"/>
          <w:szCs w:val="28"/>
          <w:highlight w:val="none"/>
          <w:shd w:val="clear" w:color="auto" w:fill="auto"/>
          <w:lang w:val="zh-TW" w:eastAsia="zh-TW"/>
        </w:rPr>
        <w:t>项目</w:t>
      </w:r>
      <w:r>
        <w:rPr>
          <w:rFonts w:hint="eastAsia" w:ascii="仿宋_GB2312" w:hAnsi="仿宋_GB2312" w:eastAsia="仿宋_GB2312" w:cs="仿宋_GB2312"/>
          <w:b/>
          <w:bCs/>
          <w:color w:val="auto"/>
          <w:kern w:val="0"/>
          <w:sz w:val="28"/>
          <w:szCs w:val="28"/>
          <w:highlight w:val="none"/>
          <w:shd w:val="clear" w:color="auto" w:fill="auto"/>
          <w:lang w:val="zh-TW" w:eastAsia="zh-CN"/>
        </w:rPr>
        <w:t>管理</w:t>
      </w:r>
      <w:r>
        <w:rPr>
          <w:rFonts w:hint="eastAsia" w:ascii="仿宋_GB2312" w:hAnsi="仿宋_GB2312" w:eastAsia="仿宋_GB2312" w:cs="仿宋_GB2312"/>
          <w:b/>
          <w:bCs/>
          <w:color w:val="auto"/>
          <w:kern w:val="0"/>
          <w:sz w:val="28"/>
          <w:szCs w:val="28"/>
          <w:highlight w:val="none"/>
          <w:shd w:val="clear" w:color="auto" w:fill="auto"/>
          <w:lang w:val="zh-TW" w:eastAsia="zh-TW"/>
        </w:rPr>
        <w:t>指标及分值</w:t>
      </w:r>
      <w:r>
        <w:rPr>
          <w:rFonts w:hint="eastAsia" w:ascii="仿宋_GB2312" w:hAnsi="仿宋_GB2312" w:eastAsia="仿宋_GB2312" w:cs="仿宋_GB2312"/>
          <w:b/>
          <w:bCs/>
          <w:color w:val="auto"/>
          <w:kern w:val="0"/>
          <w:sz w:val="28"/>
          <w:szCs w:val="28"/>
          <w:highlight w:val="none"/>
          <w:shd w:val="clear" w:color="auto" w:fill="auto"/>
          <w:lang w:val="en-US" w:eastAsia="zh-CN"/>
        </w:rPr>
        <w:t>情况</w:t>
      </w:r>
    </w:p>
    <w:tbl>
      <w:tblPr>
        <w:tblStyle w:val="12"/>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46D58D58">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1954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D96A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7CFC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4762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5F16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C64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5454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得分</w:t>
            </w:r>
          </w:p>
        </w:tc>
      </w:tr>
      <w:tr w14:paraId="53EAD07D">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545E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92DE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0E01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C696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D964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9458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8601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3.92</w:t>
            </w:r>
          </w:p>
        </w:tc>
      </w:tr>
      <w:tr w14:paraId="7E732CB9">
        <w:tblPrEx>
          <w:shd w:val="clear" w:color="auto" w:fill="auto"/>
          <w:tblCellMar>
            <w:top w:w="0" w:type="dxa"/>
            <w:left w:w="0" w:type="dxa"/>
            <w:bottom w:w="0" w:type="dxa"/>
            <w:right w:w="0" w:type="dxa"/>
          </w:tblCellMar>
        </w:tblPrEx>
        <w:trPr>
          <w:trHeight w:val="90"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5FD3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97F1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CDD3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890B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5961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1187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F858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3.92</w:t>
            </w:r>
          </w:p>
        </w:tc>
      </w:tr>
      <w:tr w14:paraId="1DD25303">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9E30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2551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A8BF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260A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1843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985D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142E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4</w:t>
            </w:r>
          </w:p>
        </w:tc>
      </w:tr>
      <w:tr w14:paraId="44C88727">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390F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3A19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F513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7132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729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7443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D753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4</w:t>
            </w:r>
          </w:p>
        </w:tc>
      </w:tr>
      <w:tr w14:paraId="1CA0B57F">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323B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8633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5823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94EF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96F7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FFB3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4F59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4</w:t>
            </w:r>
          </w:p>
        </w:tc>
      </w:tr>
      <w:tr w14:paraId="00E3E845">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4C2A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4346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E2DB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BE7D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2961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19.84</w:t>
            </w:r>
          </w:p>
        </w:tc>
      </w:tr>
    </w:tbl>
    <w:p w14:paraId="5C4C2580">
      <w:pPr>
        <w:bidi w:val="0"/>
        <w:outlineLvl w:val="2"/>
        <w:rPr>
          <w:rFonts w:hint="eastAsia" w:ascii="仿宋_GB2312" w:hAnsi="仿宋_GB2312" w:eastAsia="仿宋_GB2312" w:cs="仿宋_GB2312"/>
          <w:b/>
          <w:bCs/>
          <w:color w:val="auto"/>
          <w:highlight w:val="none"/>
          <w:lang w:val="en-US" w:eastAsia="zh-CN"/>
        </w:rPr>
      </w:pPr>
      <w:bookmarkStart w:id="65" w:name="_Toc3886"/>
      <w:r>
        <w:rPr>
          <w:rFonts w:hint="eastAsia" w:ascii="仿宋_GB2312" w:hAnsi="仿宋_GB2312" w:eastAsia="仿宋_GB2312" w:cs="仿宋_GB2312"/>
          <w:b/>
          <w:bCs/>
          <w:color w:val="auto"/>
          <w:highlight w:val="none"/>
          <w:lang w:val="en-US" w:eastAsia="zh-CN"/>
        </w:rPr>
        <w:t>1.资金到位率</w:t>
      </w:r>
      <w:bookmarkEnd w:id="65"/>
    </w:p>
    <w:p w14:paraId="1A450355">
      <w:pPr>
        <w:bidi w:val="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color w:val="auto"/>
          <w:highlight w:val="none"/>
          <w:lang w:eastAsia="zh-CN"/>
        </w:rPr>
        <w:t>资金到位率=（5637.93</w:t>
      </w:r>
      <w:r>
        <w:rPr>
          <w:rFonts w:hint="eastAsia" w:ascii="仿宋_GB2312" w:hAnsi="仿宋_GB2312" w:eastAsia="仿宋_GB2312" w:cs="仿宋_GB2312"/>
          <w:color w:val="auto"/>
          <w:highlight w:val="none"/>
          <w:lang w:val="en-US" w:eastAsia="zh-CN"/>
        </w:rPr>
        <w:t>万元</w:t>
      </w:r>
      <w:r>
        <w:rPr>
          <w:rFonts w:hint="eastAsia" w:ascii="仿宋_GB2312" w:hAnsi="仿宋_GB2312" w:eastAsia="仿宋_GB2312" w:cs="仿宋_GB2312"/>
          <w:color w:val="auto"/>
          <w:highlight w:val="none"/>
          <w:lang w:eastAsia="zh-CN"/>
        </w:rPr>
        <w:t>/5752</w:t>
      </w:r>
      <w:r>
        <w:rPr>
          <w:rFonts w:hint="eastAsia" w:ascii="仿宋_GB2312" w:hAnsi="仿宋_GB2312" w:eastAsia="仿宋_GB2312" w:cs="仿宋_GB2312"/>
          <w:color w:val="auto"/>
          <w:highlight w:val="none"/>
          <w:lang w:val="en-US" w:eastAsia="zh-CN"/>
        </w:rPr>
        <w:t>万元</w:t>
      </w:r>
      <w:r>
        <w:rPr>
          <w:rFonts w:hint="eastAsia" w:ascii="仿宋_GB2312" w:hAnsi="仿宋_GB2312" w:eastAsia="仿宋_GB2312" w:cs="仿宋_GB2312"/>
          <w:color w:val="auto"/>
          <w:highlight w:val="none"/>
          <w:lang w:eastAsia="zh-CN"/>
        </w:rPr>
        <w:t>）×100%。</w:t>
      </w:r>
      <w:r>
        <w:rPr>
          <w:rFonts w:hint="eastAsia" w:ascii="仿宋_GB2312" w:hAnsi="仿宋_GB2312" w:eastAsia="仿宋_GB2312" w:cs="仿宋_GB2312"/>
          <w:b/>
          <w:bCs/>
          <w:color w:val="auto"/>
          <w:highlight w:val="none"/>
          <w:lang w:val="en-US" w:eastAsia="zh-CN"/>
        </w:rPr>
        <w:t>=98%</w:t>
      </w:r>
    </w:p>
    <w:p w14:paraId="0081EE39">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综上，该项指标满分4分，得分3.92分。</w:t>
      </w:r>
    </w:p>
    <w:p w14:paraId="056533CE">
      <w:pPr>
        <w:bidi w:val="0"/>
        <w:outlineLvl w:val="2"/>
        <w:rPr>
          <w:rFonts w:hint="eastAsia" w:ascii="仿宋_GB2312" w:hAnsi="仿宋_GB2312" w:eastAsia="仿宋_GB2312" w:cs="仿宋_GB2312"/>
          <w:b/>
          <w:bCs/>
          <w:color w:val="auto"/>
          <w:highlight w:val="none"/>
          <w:lang w:val="en-US" w:eastAsia="zh-CN"/>
        </w:rPr>
      </w:pPr>
      <w:bookmarkStart w:id="66" w:name="_Toc9705"/>
      <w:r>
        <w:rPr>
          <w:rFonts w:hint="eastAsia" w:ascii="仿宋_GB2312" w:hAnsi="仿宋_GB2312" w:eastAsia="仿宋_GB2312" w:cs="仿宋_GB2312"/>
          <w:b/>
          <w:bCs/>
          <w:color w:val="auto"/>
          <w:highlight w:val="none"/>
          <w:lang w:val="en-US" w:eastAsia="zh-CN"/>
        </w:rPr>
        <w:t>2.预算执行率</w:t>
      </w:r>
      <w:bookmarkEnd w:id="66"/>
    </w:p>
    <w:p w14:paraId="2548CFDB">
      <w:pPr>
        <w:bidi w:val="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eastAsia="zh-CN"/>
        </w:rPr>
        <w:t>预算执行率=（5637.93</w:t>
      </w:r>
      <w:r>
        <w:rPr>
          <w:rFonts w:hint="eastAsia" w:ascii="仿宋_GB2312" w:hAnsi="仿宋_GB2312" w:eastAsia="仿宋_GB2312" w:cs="仿宋_GB2312"/>
          <w:color w:val="auto"/>
          <w:highlight w:val="none"/>
          <w:lang w:val="en-US" w:eastAsia="zh-CN"/>
        </w:rPr>
        <w:t>万元</w:t>
      </w:r>
      <w:r>
        <w:rPr>
          <w:rFonts w:hint="eastAsia" w:ascii="仿宋_GB2312" w:hAnsi="仿宋_GB2312" w:eastAsia="仿宋_GB2312" w:cs="仿宋_GB2312"/>
          <w:color w:val="auto"/>
          <w:highlight w:val="none"/>
          <w:lang w:eastAsia="zh-CN"/>
        </w:rPr>
        <w:t>/5752</w:t>
      </w:r>
      <w:r>
        <w:rPr>
          <w:rFonts w:hint="eastAsia" w:ascii="仿宋_GB2312" w:hAnsi="仿宋_GB2312" w:eastAsia="仿宋_GB2312" w:cs="仿宋_GB2312"/>
          <w:color w:val="auto"/>
          <w:highlight w:val="none"/>
          <w:lang w:val="en-US" w:eastAsia="zh-CN"/>
        </w:rPr>
        <w:t>万元</w:t>
      </w:r>
      <w:r>
        <w:rPr>
          <w:rFonts w:hint="eastAsia" w:ascii="仿宋_GB2312" w:hAnsi="仿宋_GB2312" w:eastAsia="仿宋_GB2312" w:cs="仿宋_GB2312"/>
          <w:color w:val="auto"/>
          <w:highlight w:val="none"/>
          <w:lang w:eastAsia="zh-CN"/>
        </w:rPr>
        <w:t>）×100%。</w:t>
      </w:r>
      <w:r>
        <w:rPr>
          <w:rFonts w:hint="eastAsia" w:ascii="仿宋_GB2312" w:hAnsi="仿宋_GB2312" w:eastAsia="仿宋_GB2312" w:cs="仿宋_GB2312"/>
          <w:b/>
          <w:bCs/>
          <w:color w:val="auto"/>
          <w:highlight w:val="none"/>
          <w:lang w:val="en-US" w:eastAsia="zh-CN"/>
        </w:rPr>
        <w:t>=98%</w:t>
      </w:r>
    </w:p>
    <w:p w14:paraId="7AC20165">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综上，该项指标满分4分，得分3.92分。</w:t>
      </w:r>
    </w:p>
    <w:p w14:paraId="4EFB3ABF">
      <w:pPr>
        <w:bidi w:val="0"/>
        <w:outlineLvl w:val="2"/>
        <w:rPr>
          <w:rFonts w:hint="eastAsia" w:ascii="仿宋_GB2312" w:hAnsi="仿宋_GB2312" w:eastAsia="仿宋_GB2312" w:cs="仿宋_GB2312"/>
          <w:b/>
          <w:bCs/>
          <w:color w:val="auto"/>
          <w:highlight w:val="none"/>
          <w:lang w:val="en-US" w:eastAsia="zh-CN"/>
        </w:rPr>
      </w:pPr>
      <w:bookmarkStart w:id="67" w:name="_Toc18691"/>
      <w:r>
        <w:rPr>
          <w:rFonts w:hint="eastAsia" w:ascii="仿宋_GB2312" w:hAnsi="仿宋_GB2312" w:eastAsia="仿宋_GB2312" w:cs="仿宋_GB2312"/>
          <w:b/>
          <w:bCs/>
          <w:color w:val="auto"/>
          <w:highlight w:val="none"/>
          <w:lang w:val="en-US" w:eastAsia="zh-CN"/>
        </w:rPr>
        <w:t>3.资金使用合规性</w:t>
      </w:r>
      <w:bookmarkEnd w:id="67"/>
    </w:p>
    <w:p w14:paraId="6B3E0027">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①符合国家财务管理制度</w:t>
      </w:r>
      <w:r>
        <w:rPr>
          <w:rFonts w:hint="eastAsia" w:ascii="仿宋_GB2312" w:hAnsi="仿宋_GB2312" w:eastAsia="仿宋_GB2312" w:cs="仿宋_GB2312"/>
          <w:color w:val="auto"/>
          <w:highlight w:val="none"/>
          <w:lang w:val="en-US" w:eastAsia="zh-CN"/>
        </w:rPr>
        <w:t>《新疆天池管委会财务管理制度》。</w:t>
      </w:r>
    </w:p>
    <w:p w14:paraId="47DA16C9">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②资金的拨付有完整的审批程序和手续；</w:t>
      </w:r>
    </w:p>
    <w:p w14:paraId="26C8D890">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③符合项目预算批复或合同规定的用途；</w:t>
      </w:r>
    </w:p>
    <w:p w14:paraId="3C7206D3">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④</w:t>
      </w:r>
      <w:r>
        <w:rPr>
          <w:rFonts w:hint="eastAsia" w:ascii="仿宋_GB2312" w:hAnsi="仿宋_GB2312" w:eastAsia="仿宋_GB2312" w:cs="仿宋_GB2312"/>
          <w:color w:val="auto"/>
          <w:highlight w:val="none"/>
          <w:lang w:val="en-US" w:eastAsia="zh-CN"/>
        </w:rPr>
        <w:t>不</w:t>
      </w:r>
      <w:r>
        <w:rPr>
          <w:rFonts w:hint="eastAsia" w:ascii="仿宋_GB2312" w:hAnsi="仿宋_GB2312" w:eastAsia="仿宋_GB2312" w:cs="仿宋_GB2312"/>
          <w:color w:val="auto"/>
          <w:highlight w:val="none"/>
          <w:lang w:eastAsia="zh-CN"/>
        </w:rPr>
        <w:t>存在截留、挤占、挪用、虚列支出等情况。</w:t>
      </w:r>
    </w:p>
    <w:p w14:paraId="24BBFA36">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综上，该项指标满分4分，得分4分。</w:t>
      </w:r>
    </w:p>
    <w:p w14:paraId="718C3943">
      <w:pPr>
        <w:bidi w:val="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4.管理制度健全性</w:t>
      </w:r>
    </w:p>
    <w:p w14:paraId="7A238E51">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①已制定</w:t>
      </w:r>
      <w:r>
        <w:rPr>
          <w:rFonts w:hint="eastAsia" w:ascii="仿宋_GB2312" w:hAnsi="仿宋_GB2312" w:eastAsia="仿宋_GB2312" w:cs="仿宋_GB2312"/>
          <w:color w:val="auto"/>
          <w:highlight w:val="none"/>
          <w:lang w:val="en-US" w:eastAsia="zh-CN"/>
        </w:rPr>
        <w:t>《新疆天池管理委员会内部控制规范》《新疆天池管理委员会项目管理规范》《新疆天池管委会财务管理制度》《新疆天池管委会资产管理制度》</w:t>
      </w:r>
      <w:r>
        <w:rPr>
          <w:rFonts w:hint="eastAsia" w:ascii="仿宋_GB2312" w:hAnsi="仿宋_GB2312" w:eastAsia="仿宋_GB2312" w:cs="仿宋_GB2312"/>
          <w:color w:val="auto"/>
          <w:highlight w:val="none"/>
          <w:lang w:eastAsia="zh-CN"/>
        </w:rPr>
        <w:t>；</w:t>
      </w:r>
    </w:p>
    <w:p w14:paraId="232D18C1">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②财务和业务管理制度合法、合规、完整。</w:t>
      </w:r>
    </w:p>
    <w:p w14:paraId="72BF4EFB">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综上，该项指标满分4分，得分4分。</w:t>
      </w:r>
    </w:p>
    <w:p w14:paraId="547A9122">
      <w:pPr>
        <w:bidi w:val="0"/>
        <w:ind w:left="1403" w:leftChars="200" w:hanging="843" w:hangingChars="300"/>
        <w:outlineLvl w:val="2"/>
        <w:rPr>
          <w:rFonts w:hint="eastAsia" w:ascii="仿宋_GB2312" w:hAnsi="仿宋_GB2312" w:eastAsia="仿宋_GB2312" w:cs="仿宋_GB2312"/>
          <w:b/>
          <w:bCs/>
          <w:color w:val="auto"/>
          <w:highlight w:val="none"/>
          <w:lang w:val="en-US" w:eastAsia="zh-CN"/>
        </w:rPr>
      </w:pPr>
      <w:bookmarkStart w:id="68" w:name="_Toc31684"/>
      <w:r>
        <w:rPr>
          <w:rFonts w:hint="eastAsia" w:ascii="仿宋_GB2312" w:hAnsi="仿宋_GB2312" w:eastAsia="仿宋_GB2312" w:cs="仿宋_GB2312"/>
          <w:b/>
          <w:bCs/>
          <w:color w:val="auto"/>
          <w:highlight w:val="none"/>
          <w:lang w:val="en-US" w:eastAsia="zh-CN"/>
        </w:rPr>
        <w:t>5.制度执行有效性</w:t>
      </w:r>
      <w:bookmarkEnd w:id="68"/>
    </w:p>
    <w:p w14:paraId="5BEFB105">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①遵守</w:t>
      </w:r>
      <w:r>
        <w:rPr>
          <w:rFonts w:hint="eastAsia" w:ascii="仿宋_GB2312" w:hAnsi="仿宋_GB2312" w:eastAsia="仿宋_GB2312" w:cs="仿宋_GB2312"/>
          <w:color w:val="auto"/>
          <w:highlight w:val="none"/>
          <w:lang w:val="en-US" w:eastAsia="zh-CN"/>
        </w:rPr>
        <w:t>《新疆天池管理委员会内部控制规范》、《新疆天池管理委员会项目管理规范》《新疆天池管委会财务管理制度》</w:t>
      </w:r>
      <w:r>
        <w:rPr>
          <w:rFonts w:hint="eastAsia" w:ascii="仿宋_GB2312" w:hAnsi="仿宋_GB2312" w:eastAsia="仿宋_GB2312" w:cs="仿宋_GB2312"/>
          <w:color w:val="auto"/>
          <w:highlight w:val="none"/>
          <w:lang w:eastAsia="zh-CN"/>
        </w:rPr>
        <w:t>；</w:t>
      </w:r>
    </w:p>
    <w:p w14:paraId="43A1D1D9">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②项目调整及支出调整手续完备；</w:t>
      </w:r>
    </w:p>
    <w:p w14:paraId="6D20EBEF">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③项目合同书、验收报告、技术鉴定等资料齐全并及时归档；</w:t>
      </w:r>
    </w:p>
    <w:p w14:paraId="76A54EA1">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④项目实施的人员</w:t>
      </w:r>
      <w:r>
        <w:rPr>
          <w:rFonts w:hint="eastAsia" w:ascii="仿宋_GB2312" w:hAnsi="仿宋_GB2312" w:eastAsia="仿宋_GB2312" w:cs="仿宋_GB2312"/>
          <w:color w:val="auto"/>
          <w:highlight w:val="none"/>
          <w:lang w:val="en-US" w:eastAsia="zh-CN"/>
        </w:rPr>
        <w:t>按时间节点支付银行贷款本金和利息均</w:t>
      </w:r>
      <w:r>
        <w:rPr>
          <w:rFonts w:hint="eastAsia" w:ascii="仿宋_GB2312" w:hAnsi="仿宋_GB2312" w:eastAsia="仿宋_GB2312" w:cs="仿宋_GB2312"/>
          <w:color w:val="auto"/>
          <w:highlight w:val="none"/>
          <w:lang w:eastAsia="zh-CN"/>
        </w:rPr>
        <w:t>落实到位。</w:t>
      </w:r>
    </w:p>
    <w:p w14:paraId="7ACF6EE1">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综上，该项指标满分4分，得分4分。</w:t>
      </w:r>
    </w:p>
    <w:p w14:paraId="7ED987EE">
      <w:pPr>
        <w:bidi w:val="0"/>
        <w:rPr>
          <w:rFonts w:hint="eastAsia" w:ascii="仿宋_GB2312" w:hAnsi="仿宋_GB2312" w:eastAsia="仿宋_GB2312" w:cs="仿宋_GB2312"/>
          <w:b/>
          <w:bCs/>
          <w:color w:val="auto"/>
          <w:highlight w:val="none"/>
        </w:rPr>
      </w:pPr>
      <w:bookmarkStart w:id="69" w:name="_Toc16268"/>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lang w:val="en-US" w:eastAsia="zh-CN"/>
        </w:rPr>
        <w:t>三</w:t>
      </w:r>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rPr>
        <w:t>项目产出情况</w:t>
      </w:r>
      <w:bookmarkEnd w:id="69"/>
    </w:p>
    <w:p w14:paraId="15337B17">
      <w:pPr>
        <w:pageBreakBefore w:val="0"/>
        <w:widowControl w:val="0"/>
        <w:kinsoku/>
        <w:wordWrap/>
        <w:overflowPunct/>
        <w:topLinePunct w:val="0"/>
        <w:autoSpaceDE/>
        <w:autoSpaceDN/>
        <w:bidi w:val="0"/>
        <w:adjustRightInd/>
        <w:spacing w:line="360" w:lineRule="auto"/>
        <w:ind w:firstLine="560"/>
        <w:textAlignment w:val="auto"/>
        <w:rPr>
          <w:rFonts w:hint="eastAsia" w:ascii="仿宋_GB2312" w:hAnsi="仿宋_GB2312" w:eastAsia="仿宋_GB2312" w:cs="仿宋_GB2312"/>
          <w:color w:val="auto"/>
          <w:kern w:val="2"/>
          <w:highlight w:val="none"/>
          <w:u w:color="000000"/>
          <w:shd w:val="clear" w:color="auto" w:fill="auto"/>
          <w:lang w:val="zh-TW" w:eastAsia="zh-TW"/>
        </w:rPr>
      </w:pPr>
      <w:r>
        <w:rPr>
          <w:rFonts w:hint="eastAsia" w:ascii="仿宋_GB2312" w:hAnsi="仿宋_GB2312" w:eastAsia="仿宋_GB2312" w:cs="仿宋_GB2312"/>
          <w:color w:val="auto"/>
          <w:kern w:val="2"/>
          <w:highlight w:val="none"/>
          <w:u w:color="000000"/>
          <w:shd w:val="clear" w:color="auto" w:fill="auto"/>
          <w:lang w:val="zh-TW" w:eastAsia="zh-TW"/>
        </w:rPr>
        <w:t>项目</w:t>
      </w:r>
      <w:r>
        <w:rPr>
          <w:rFonts w:hint="eastAsia" w:ascii="仿宋_GB2312" w:hAnsi="仿宋_GB2312" w:eastAsia="仿宋_GB2312" w:cs="仿宋_GB2312"/>
          <w:color w:val="auto"/>
          <w:highlight w:val="none"/>
          <w:shd w:val="clear" w:color="auto" w:fill="auto"/>
          <w:lang w:val="en-US" w:eastAsia="zh-CN"/>
        </w:rPr>
        <w:t>产出</w:t>
      </w:r>
      <w:r>
        <w:rPr>
          <w:rFonts w:hint="eastAsia" w:ascii="仿宋_GB2312" w:hAnsi="仿宋_GB2312" w:eastAsia="仿宋_GB2312" w:cs="仿宋_GB2312"/>
          <w:color w:val="auto"/>
          <w:kern w:val="2"/>
          <w:highlight w:val="none"/>
          <w:u w:color="000000"/>
          <w:shd w:val="clear" w:color="auto" w:fill="auto"/>
          <w:lang w:val="zh-TW" w:eastAsia="zh-TW"/>
        </w:rPr>
        <w:t>类指标由</w:t>
      </w:r>
      <w:r>
        <w:rPr>
          <w:rFonts w:hint="eastAsia" w:ascii="仿宋_GB2312" w:hAnsi="仿宋_GB2312" w:eastAsia="仿宋_GB2312" w:cs="仿宋_GB2312"/>
          <w:color w:val="auto"/>
          <w:kern w:val="2"/>
          <w:highlight w:val="none"/>
          <w:u w:color="000000"/>
          <w:shd w:val="clear" w:color="auto" w:fill="auto"/>
          <w:lang w:val="en-US" w:eastAsia="zh-CN"/>
        </w:rPr>
        <w:t>4</w:t>
      </w:r>
      <w:r>
        <w:rPr>
          <w:rFonts w:hint="eastAsia" w:ascii="仿宋_GB2312" w:hAnsi="仿宋_GB2312" w:eastAsia="仿宋_GB2312" w:cs="仿宋_GB2312"/>
          <w:color w:val="auto"/>
          <w:kern w:val="2"/>
          <w:highlight w:val="none"/>
          <w:u w:color="000000"/>
          <w:shd w:val="clear" w:color="auto" w:fill="auto"/>
          <w:lang w:val="zh-TW" w:eastAsia="zh-TW"/>
        </w:rPr>
        <w:t>个</w:t>
      </w:r>
      <w:r>
        <w:rPr>
          <w:rFonts w:hint="eastAsia" w:ascii="仿宋_GB2312" w:hAnsi="仿宋_GB2312" w:eastAsia="仿宋_GB2312" w:cs="仿宋_GB2312"/>
          <w:color w:val="auto"/>
          <w:kern w:val="2"/>
          <w:highlight w:val="none"/>
          <w:u w:color="000000"/>
          <w:shd w:val="clear" w:color="auto" w:fill="auto"/>
          <w:lang w:val="zh-TW" w:eastAsia="zh-CN"/>
        </w:rPr>
        <w:t>二</w:t>
      </w:r>
      <w:r>
        <w:rPr>
          <w:rFonts w:hint="eastAsia" w:ascii="仿宋_GB2312" w:hAnsi="仿宋_GB2312" w:eastAsia="仿宋_GB2312" w:cs="仿宋_GB2312"/>
          <w:color w:val="auto"/>
          <w:kern w:val="2"/>
          <w:highlight w:val="none"/>
          <w:u w:color="000000"/>
          <w:shd w:val="clear" w:color="auto" w:fill="auto"/>
          <w:lang w:val="zh-TW" w:eastAsia="zh-TW"/>
        </w:rPr>
        <w:t>级指标和</w:t>
      </w:r>
      <w:r>
        <w:rPr>
          <w:rFonts w:hint="eastAsia" w:ascii="仿宋_GB2312" w:hAnsi="仿宋_GB2312" w:eastAsia="仿宋_GB2312" w:cs="仿宋_GB2312"/>
          <w:color w:val="auto"/>
          <w:kern w:val="2"/>
          <w:highlight w:val="none"/>
          <w:u w:color="000000"/>
          <w:shd w:val="clear" w:color="auto" w:fill="auto"/>
          <w:lang w:val="en-US" w:eastAsia="zh-CN"/>
        </w:rPr>
        <w:t>8</w:t>
      </w:r>
      <w:r>
        <w:rPr>
          <w:rFonts w:hint="eastAsia" w:ascii="仿宋_GB2312" w:hAnsi="仿宋_GB2312" w:eastAsia="仿宋_GB2312" w:cs="仿宋_GB2312"/>
          <w:color w:val="auto"/>
          <w:kern w:val="2"/>
          <w:highlight w:val="none"/>
          <w:u w:color="000000"/>
          <w:shd w:val="clear" w:color="auto" w:fill="auto"/>
          <w:lang w:val="zh-TW" w:eastAsia="zh-TW"/>
        </w:rPr>
        <w:t>个</w:t>
      </w:r>
      <w:r>
        <w:rPr>
          <w:rFonts w:hint="eastAsia" w:ascii="仿宋_GB2312" w:hAnsi="仿宋_GB2312" w:eastAsia="仿宋_GB2312" w:cs="仿宋_GB2312"/>
          <w:color w:val="auto"/>
          <w:kern w:val="2"/>
          <w:highlight w:val="none"/>
          <w:u w:color="000000"/>
          <w:shd w:val="clear" w:color="auto" w:fill="auto"/>
          <w:lang w:eastAsia="zh-CN"/>
        </w:rPr>
        <w:t>三</w:t>
      </w:r>
      <w:r>
        <w:rPr>
          <w:rFonts w:hint="eastAsia" w:ascii="仿宋_GB2312" w:hAnsi="仿宋_GB2312" w:eastAsia="仿宋_GB2312" w:cs="仿宋_GB2312"/>
          <w:color w:val="auto"/>
          <w:kern w:val="2"/>
          <w:highlight w:val="none"/>
          <w:u w:color="000000"/>
          <w:shd w:val="clear" w:color="auto" w:fill="auto"/>
          <w:lang w:val="zh-TW" w:eastAsia="zh-TW"/>
        </w:rPr>
        <w:t>级指标构成，权重分</w:t>
      </w:r>
      <w:r>
        <w:rPr>
          <w:rFonts w:hint="eastAsia" w:ascii="仿宋_GB2312" w:hAnsi="仿宋_GB2312" w:eastAsia="仿宋_GB2312" w:cs="仿宋_GB2312"/>
          <w:color w:val="auto"/>
          <w:kern w:val="2"/>
          <w:highlight w:val="none"/>
          <w:u w:color="000000"/>
          <w:shd w:val="clear" w:color="auto" w:fill="auto"/>
          <w:lang w:val="en-US" w:eastAsia="zh-CN"/>
        </w:rPr>
        <w:t>30</w:t>
      </w:r>
      <w:r>
        <w:rPr>
          <w:rFonts w:hint="eastAsia" w:ascii="仿宋_GB2312" w:hAnsi="仿宋_GB2312" w:eastAsia="仿宋_GB2312" w:cs="仿宋_GB2312"/>
          <w:color w:val="auto"/>
          <w:kern w:val="2"/>
          <w:highlight w:val="none"/>
          <w:u w:color="000000"/>
          <w:shd w:val="clear" w:color="auto" w:fill="auto"/>
          <w:lang w:val="zh-TW" w:eastAsia="zh-TW"/>
        </w:rPr>
        <w:t>分，实际得分</w:t>
      </w:r>
      <w:r>
        <w:rPr>
          <w:rFonts w:hint="eastAsia" w:ascii="仿宋_GB2312" w:hAnsi="仿宋_GB2312" w:eastAsia="仿宋_GB2312" w:cs="仿宋_GB2312"/>
          <w:color w:val="auto"/>
          <w:kern w:val="2"/>
          <w:highlight w:val="none"/>
          <w:u w:color="000000"/>
          <w:shd w:val="clear" w:color="auto" w:fill="auto"/>
          <w:lang w:val="en-US" w:eastAsia="zh-CN"/>
        </w:rPr>
        <w:t>30</w:t>
      </w:r>
      <w:r>
        <w:rPr>
          <w:rFonts w:hint="eastAsia" w:ascii="仿宋_GB2312" w:hAnsi="仿宋_GB2312" w:eastAsia="仿宋_GB2312" w:cs="仿宋_GB2312"/>
          <w:color w:val="auto"/>
          <w:kern w:val="2"/>
          <w:highlight w:val="none"/>
          <w:u w:color="000000"/>
          <w:shd w:val="clear" w:color="auto" w:fill="auto"/>
          <w:lang w:val="zh-TW" w:eastAsia="zh-TW"/>
        </w:rPr>
        <w:t>分</w:t>
      </w:r>
      <w:r>
        <w:rPr>
          <w:rFonts w:hint="eastAsia" w:ascii="仿宋_GB2312" w:hAnsi="仿宋_GB2312" w:eastAsia="仿宋_GB2312" w:cs="仿宋_GB2312"/>
          <w:color w:val="auto"/>
          <w:kern w:val="2"/>
          <w:highlight w:val="none"/>
          <w:u w:color="000000"/>
          <w:shd w:val="clear" w:color="auto" w:fill="auto"/>
          <w:lang w:val="zh-TW" w:eastAsia="zh-CN"/>
        </w:rPr>
        <w:t>，</w:t>
      </w:r>
      <w:r>
        <w:rPr>
          <w:rFonts w:hint="eastAsia" w:ascii="仿宋_GB2312" w:hAnsi="仿宋_GB2312" w:eastAsia="仿宋_GB2312" w:cs="仿宋_GB2312"/>
          <w:color w:val="auto"/>
          <w:kern w:val="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highlight w:val="none"/>
          <w:u w:color="000000"/>
          <w:shd w:val="clear" w:color="auto" w:fill="auto"/>
          <w:lang w:val="en-US" w:eastAsia="zh-CN"/>
        </w:rPr>
        <w:t>4</w:t>
      </w:r>
      <w:r>
        <w:rPr>
          <w:rFonts w:hint="eastAsia" w:ascii="仿宋_GB2312" w:hAnsi="仿宋_GB2312" w:eastAsia="仿宋_GB2312" w:cs="仿宋_GB2312"/>
          <w:color w:val="auto"/>
          <w:kern w:val="2"/>
          <w:highlight w:val="none"/>
          <w:u w:color="000000"/>
          <w:shd w:val="clear" w:color="auto" w:fill="auto"/>
          <w:lang w:eastAsia="zh-CN"/>
        </w:rPr>
        <w:t>-</w:t>
      </w:r>
      <w:r>
        <w:rPr>
          <w:rFonts w:hint="eastAsia" w:ascii="仿宋_GB2312" w:hAnsi="仿宋_GB2312" w:eastAsia="仿宋_GB2312" w:cs="仿宋_GB2312"/>
          <w:color w:val="auto"/>
          <w:kern w:val="2"/>
          <w:highlight w:val="none"/>
          <w:u w:color="000000"/>
          <w:shd w:val="clear" w:color="auto" w:fill="auto"/>
          <w:lang w:val="en-US" w:eastAsia="zh-CN"/>
        </w:rPr>
        <w:t>3</w:t>
      </w:r>
      <w:r>
        <w:rPr>
          <w:rFonts w:hint="eastAsia" w:ascii="仿宋_GB2312" w:hAnsi="仿宋_GB2312" w:eastAsia="仿宋_GB2312" w:cs="仿宋_GB2312"/>
          <w:color w:val="auto"/>
          <w:kern w:val="2"/>
          <w:highlight w:val="none"/>
          <w:u w:color="000000"/>
          <w:shd w:val="clear" w:color="auto" w:fill="auto"/>
          <w:lang w:val="zh-TW" w:eastAsia="zh-TW"/>
        </w:rPr>
        <w:t>所示</w:t>
      </w:r>
      <w:r>
        <w:rPr>
          <w:rFonts w:hint="eastAsia" w:ascii="仿宋_GB2312" w:hAnsi="仿宋_GB2312" w:eastAsia="仿宋_GB2312" w:cs="仿宋_GB2312"/>
          <w:b/>
          <w:bCs/>
          <w:color w:val="auto"/>
          <w:kern w:val="2"/>
          <w:highlight w:val="none"/>
          <w:u w:color="000000"/>
          <w:shd w:val="clear" w:color="auto" w:fill="auto"/>
          <w:lang w:val="zh-TW" w:eastAsia="zh-CN"/>
        </w:rPr>
        <w:t>（</w:t>
      </w:r>
      <w:r>
        <w:rPr>
          <w:rFonts w:hint="eastAsia" w:ascii="仿宋_GB2312" w:hAnsi="仿宋_GB2312" w:eastAsia="仿宋_GB2312" w:cs="仿宋_GB2312"/>
          <w:b/>
          <w:bCs/>
          <w:color w:val="auto"/>
          <w:kern w:val="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highlight w:val="none"/>
          <w:u w:color="000000"/>
          <w:shd w:val="clear" w:color="auto" w:fill="auto"/>
          <w:lang w:val="zh-TW" w:eastAsia="zh-CN"/>
        </w:rPr>
        <w:t>）</w:t>
      </w:r>
      <w:r>
        <w:rPr>
          <w:rFonts w:hint="eastAsia" w:ascii="仿宋_GB2312" w:hAnsi="仿宋_GB2312" w:eastAsia="仿宋_GB2312" w:cs="仿宋_GB2312"/>
          <w:color w:val="auto"/>
          <w:kern w:val="2"/>
          <w:highlight w:val="none"/>
          <w:u w:color="000000"/>
          <w:shd w:val="clear" w:color="auto" w:fill="auto"/>
          <w:lang w:val="zh-TW" w:eastAsia="zh-TW"/>
        </w:rPr>
        <w:t>：</w:t>
      </w:r>
    </w:p>
    <w:p w14:paraId="3FBEF37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仿宋_GB2312" w:hAnsi="仿宋_GB2312" w:eastAsia="仿宋_GB2312" w:cs="仿宋_GB2312"/>
          <w:b/>
          <w:bCs/>
          <w:color w:val="auto"/>
          <w:kern w:val="0"/>
          <w:sz w:val="28"/>
          <w:szCs w:val="28"/>
          <w:highlight w:val="none"/>
          <w:shd w:val="clear" w:color="auto" w:fill="auto"/>
          <w:lang w:val="en-US" w:eastAsia="zh-CN"/>
        </w:rPr>
      </w:pPr>
      <w:r>
        <w:rPr>
          <w:rFonts w:hint="eastAsia" w:ascii="仿宋_GB2312" w:hAnsi="仿宋_GB2312" w:eastAsia="仿宋_GB2312" w:cs="仿宋_GB2312"/>
          <w:b/>
          <w:bCs/>
          <w:color w:val="auto"/>
          <w:kern w:val="0"/>
          <w:sz w:val="28"/>
          <w:szCs w:val="28"/>
          <w:highlight w:val="none"/>
          <w:shd w:val="clear" w:color="auto" w:fill="auto"/>
          <w:lang w:val="zh-TW" w:eastAsia="zh-TW"/>
        </w:rPr>
        <w:t>表</w:t>
      </w:r>
      <w:r>
        <w:rPr>
          <w:rFonts w:hint="eastAsia" w:ascii="仿宋_GB2312" w:hAnsi="仿宋_GB2312" w:eastAsia="仿宋_GB2312" w:cs="仿宋_GB2312"/>
          <w:b/>
          <w:bCs/>
          <w:color w:val="auto"/>
          <w:kern w:val="0"/>
          <w:sz w:val="28"/>
          <w:szCs w:val="28"/>
          <w:highlight w:val="none"/>
          <w:shd w:val="clear" w:color="auto" w:fill="auto"/>
          <w:lang w:val="en-US" w:eastAsia="zh-CN"/>
        </w:rPr>
        <w:t>4-3项目产出</w:t>
      </w:r>
      <w:r>
        <w:rPr>
          <w:rFonts w:hint="eastAsia" w:ascii="仿宋_GB2312" w:hAnsi="仿宋_GB2312" w:eastAsia="仿宋_GB2312" w:cs="仿宋_GB2312"/>
          <w:b/>
          <w:bCs/>
          <w:color w:val="auto"/>
          <w:kern w:val="0"/>
          <w:sz w:val="28"/>
          <w:szCs w:val="28"/>
          <w:highlight w:val="none"/>
          <w:shd w:val="clear" w:color="auto" w:fill="auto"/>
          <w:lang w:val="zh-TW" w:eastAsia="zh-TW"/>
        </w:rPr>
        <w:t>指标及分值</w:t>
      </w:r>
      <w:r>
        <w:rPr>
          <w:rFonts w:hint="eastAsia" w:ascii="仿宋_GB2312" w:hAnsi="仿宋_GB2312" w:eastAsia="仿宋_GB2312" w:cs="仿宋_GB2312"/>
          <w:b/>
          <w:bCs/>
          <w:color w:val="auto"/>
          <w:kern w:val="0"/>
          <w:sz w:val="28"/>
          <w:szCs w:val="28"/>
          <w:highlight w:val="none"/>
          <w:shd w:val="clear" w:color="auto" w:fill="auto"/>
          <w:lang w:val="en-US" w:eastAsia="zh-CN"/>
        </w:rPr>
        <w:t>情况</w:t>
      </w:r>
    </w:p>
    <w:tbl>
      <w:tblPr>
        <w:tblStyle w:val="12"/>
        <w:tblW w:w="81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170D4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50" w:hRule="atLeast"/>
        </w:trPr>
        <w:tc>
          <w:tcPr>
            <w:tcW w:w="634" w:type="dxa"/>
            <w:tcBorders>
              <w:tl2br w:val="nil"/>
              <w:tr2bl w:val="nil"/>
            </w:tcBorders>
            <w:shd w:val="clear" w:color="auto" w:fill="auto"/>
            <w:tcMar>
              <w:top w:w="15" w:type="dxa"/>
              <w:left w:w="15" w:type="dxa"/>
              <w:right w:w="15" w:type="dxa"/>
            </w:tcMar>
            <w:vAlign w:val="center"/>
          </w:tcPr>
          <w:p w14:paraId="31A94B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一级指标</w:t>
            </w:r>
          </w:p>
        </w:tc>
        <w:tc>
          <w:tcPr>
            <w:tcW w:w="928" w:type="dxa"/>
            <w:tcBorders>
              <w:tl2br w:val="nil"/>
              <w:tr2bl w:val="nil"/>
            </w:tcBorders>
            <w:shd w:val="clear" w:color="auto" w:fill="auto"/>
            <w:tcMar>
              <w:top w:w="15" w:type="dxa"/>
              <w:left w:w="15" w:type="dxa"/>
              <w:right w:w="15" w:type="dxa"/>
            </w:tcMar>
            <w:vAlign w:val="center"/>
          </w:tcPr>
          <w:p w14:paraId="6C2C68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二级指标</w:t>
            </w:r>
          </w:p>
        </w:tc>
        <w:tc>
          <w:tcPr>
            <w:tcW w:w="2644" w:type="dxa"/>
            <w:tcBorders>
              <w:tl2br w:val="nil"/>
              <w:tr2bl w:val="nil"/>
            </w:tcBorders>
            <w:shd w:val="clear" w:color="auto" w:fill="auto"/>
            <w:tcMar>
              <w:top w:w="15" w:type="dxa"/>
              <w:left w:w="15" w:type="dxa"/>
              <w:right w:w="15" w:type="dxa"/>
            </w:tcMar>
            <w:vAlign w:val="center"/>
          </w:tcPr>
          <w:p w14:paraId="2D77D2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三级指标</w:t>
            </w:r>
          </w:p>
        </w:tc>
        <w:tc>
          <w:tcPr>
            <w:tcW w:w="1437" w:type="dxa"/>
            <w:tcBorders>
              <w:tl2br w:val="nil"/>
              <w:tr2bl w:val="nil"/>
            </w:tcBorders>
            <w:shd w:val="clear" w:color="auto" w:fill="auto"/>
            <w:tcMar>
              <w:top w:w="15" w:type="dxa"/>
              <w:left w:w="15" w:type="dxa"/>
              <w:right w:w="15" w:type="dxa"/>
            </w:tcMar>
            <w:vAlign w:val="center"/>
          </w:tcPr>
          <w:p w14:paraId="001EB0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年度指标值</w:t>
            </w:r>
          </w:p>
        </w:tc>
        <w:tc>
          <w:tcPr>
            <w:tcW w:w="558" w:type="dxa"/>
            <w:tcBorders>
              <w:tl2br w:val="nil"/>
              <w:tr2bl w:val="nil"/>
            </w:tcBorders>
            <w:shd w:val="clear" w:color="auto" w:fill="auto"/>
            <w:tcMar>
              <w:top w:w="15" w:type="dxa"/>
              <w:left w:w="15" w:type="dxa"/>
              <w:right w:w="15" w:type="dxa"/>
            </w:tcMar>
            <w:vAlign w:val="center"/>
          </w:tcPr>
          <w:p w14:paraId="5CA3D9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标杆分值</w:t>
            </w:r>
          </w:p>
        </w:tc>
        <w:tc>
          <w:tcPr>
            <w:tcW w:w="1365" w:type="dxa"/>
            <w:tcBorders>
              <w:tl2br w:val="nil"/>
              <w:tr2bl w:val="nil"/>
            </w:tcBorders>
            <w:shd w:val="clear" w:color="auto" w:fill="auto"/>
            <w:tcMar>
              <w:top w:w="15" w:type="dxa"/>
              <w:left w:w="15" w:type="dxa"/>
              <w:right w:w="15" w:type="dxa"/>
            </w:tcMar>
            <w:vAlign w:val="center"/>
          </w:tcPr>
          <w:p w14:paraId="177818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全年实际完成值</w:t>
            </w:r>
          </w:p>
        </w:tc>
        <w:tc>
          <w:tcPr>
            <w:tcW w:w="631" w:type="dxa"/>
            <w:tcBorders>
              <w:tl2br w:val="nil"/>
              <w:tr2bl w:val="nil"/>
            </w:tcBorders>
            <w:shd w:val="clear" w:color="auto" w:fill="auto"/>
            <w:tcMar>
              <w:top w:w="15" w:type="dxa"/>
              <w:left w:w="15" w:type="dxa"/>
              <w:right w:w="15" w:type="dxa"/>
            </w:tcMar>
            <w:vAlign w:val="center"/>
          </w:tcPr>
          <w:p w14:paraId="044E9A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指标得分</w:t>
            </w:r>
          </w:p>
        </w:tc>
      </w:tr>
      <w:tr w14:paraId="6C3918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5" w:hRule="atLeast"/>
        </w:trPr>
        <w:tc>
          <w:tcPr>
            <w:tcW w:w="634" w:type="dxa"/>
            <w:vMerge w:val="restart"/>
            <w:tcBorders>
              <w:tl2br w:val="nil"/>
              <w:tr2bl w:val="nil"/>
            </w:tcBorders>
            <w:shd w:val="clear" w:color="auto" w:fill="auto"/>
            <w:tcMar>
              <w:top w:w="15" w:type="dxa"/>
              <w:left w:w="15" w:type="dxa"/>
              <w:right w:w="15" w:type="dxa"/>
            </w:tcMar>
            <w:vAlign w:val="center"/>
          </w:tcPr>
          <w:p w14:paraId="72954E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产出</w:t>
            </w:r>
          </w:p>
        </w:tc>
        <w:tc>
          <w:tcPr>
            <w:tcW w:w="928" w:type="dxa"/>
            <w:vMerge w:val="restart"/>
            <w:tcBorders>
              <w:tl2br w:val="nil"/>
              <w:tr2bl w:val="nil"/>
            </w:tcBorders>
            <w:shd w:val="clear" w:color="auto" w:fill="auto"/>
            <w:tcMar>
              <w:top w:w="15" w:type="dxa"/>
              <w:left w:w="15" w:type="dxa"/>
              <w:right w:w="15" w:type="dxa"/>
            </w:tcMar>
            <w:vAlign w:val="center"/>
          </w:tcPr>
          <w:p w14:paraId="71F626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数量指标</w:t>
            </w:r>
          </w:p>
        </w:tc>
        <w:tc>
          <w:tcPr>
            <w:tcW w:w="2644" w:type="dxa"/>
            <w:tcBorders>
              <w:tl2br w:val="nil"/>
              <w:tr2bl w:val="nil"/>
            </w:tcBorders>
            <w:shd w:val="clear" w:color="auto" w:fill="auto"/>
            <w:tcMar>
              <w:top w:w="15" w:type="dxa"/>
              <w:left w:w="15" w:type="dxa"/>
              <w:right w:w="15" w:type="dxa"/>
            </w:tcMar>
            <w:vAlign w:val="center"/>
          </w:tcPr>
          <w:p w14:paraId="78E3F2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本金归还次数</w:t>
            </w:r>
            <w:r>
              <w:rPr>
                <w:rFonts w:hint="eastAsia" w:ascii="仿宋_GB2312" w:hAnsi="仿宋_GB2312" w:eastAsia="仿宋_GB2312" w:cs="仿宋_GB2312"/>
                <w:color w:val="auto"/>
                <w:kern w:val="0"/>
                <w:sz w:val="20"/>
                <w:szCs w:val="20"/>
                <w:highlight w:val="none"/>
                <w:shd w:val="clear" w:color="auto" w:fill="auto"/>
                <w:lang w:val="en-US" w:eastAsia="zh-CN"/>
              </w:rPr>
              <w:tab/>
            </w:r>
          </w:p>
        </w:tc>
        <w:tc>
          <w:tcPr>
            <w:tcW w:w="1437" w:type="dxa"/>
            <w:tcBorders>
              <w:tl2br w:val="nil"/>
              <w:tr2bl w:val="nil"/>
            </w:tcBorders>
            <w:shd w:val="clear" w:color="auto" w:fill="auto"/>
            <w:tcMar>
              <w:top w:w="15" w:type="dxa"/>
              <w:left w:w="15" w:type="dxa"/>
              <w:right w:w="15" w:type="dxa"/>
            </w:tcMar>
            <w:vAlign w:val="center"/>
          </w:tcPr>
          <w:p w14:paraId="237D07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＝2次</w:t>
            </w:r>
          </w:p>
        </w:tc>
        <w:tc>
          <w:tcPr>
            <w:tcW w:w="558" w:type="dxa"/>
            <w:tcBorders>
              <w:tl2br w:val="nil"/>
              <w:tr2bl w:val="nil"/>
            </w:tcBorders>
            <w:shd w:val="clear" w:color="auto" w:fill="auto"/>
            <w:tcMar>
              <w:top w:w="15" w:type="dxa"/>
              <w:left w:w="15" w:type="dxa"/>
              <w:right w:w="15" w:type="dxa"/>
            </w:tcMar>
            <w:vAlign w:val="center"/>
          </w:tcPr>
          <w:p w14:paraId="0C8830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c>
          <w:tcPr>
            <w:tcW w:w="1365" w:type="dxa"/>
            <w:tcBorders>
              <w:tl2br w:val="nil"/>
              <w:tr2bl w:val="nil"/>
            </w:tcBorders>
            <w:shd w:val="clear" w:color="auto" w:fill="auto"/>
            <w:tcMar>
              <w:top w:w="15" w:type="dxa"/>
              <w:left w:w="15" w:type="dxa"/>
              <w:right w:w="15" w:type="dxa"/>
            </w:tcMar>
            <w:vAlign w:val="center"/>
          </w:tcPr>
          <w:p w14:paraId="660113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2次</w:t>
            </w:r>
          </w:p>
        </w:tc>
        <w:tc>
          <w:tcPr>
            <w:tcW w:w="631" w:type="dxa"/>
            <w:tcBorders>
              <w:tl2br w:val="nil"/>
              <w:tr2bl w:val="nil"/>
            </w:tcBorders>
            <w:shd w:val="clear" w:color="auto" w:fill="auto"/>
            <w:tcMar>
              <w:top w:w="15" w:type="dxa"/>
              <w:left w:w="15" w:type="dxa"/>
              <w:right w:w="15" w:type="dxa"/>
            </w:tcMar>
            <w:vAlign w:val="center"/>
          </w:tcPr>
          <w:p w14:paraId="6201BA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r>
      <w:tr w14:paraId="64BB9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5" w:hRule="atLeast"/>
        </w:trPr>
        <w:tc>
          <w:tcPr>
            <w:tcW w:w="634" w:type="dxa"/>
            <w:vMerge w:val="continue"/>
            <w:tcBorders>
              <w:tl2br w:val="nil"/>
              <w:tr2bl w:val="nil"/>
            </w:tcBorders>
            <w:shd w:val="clear" w:color="auto" w:fill="auto"/>
            <w:tcMar>
              <w:top w:w="15" w:type="dxa"/>
              <w:left w:w="15" w:type="dxa"/>
              <w:right w:w="15" w:type="dxa"/>
            </w:tcMar>
            <w:vAlign w:val="center"/>
          </w:tcPr>
          <w:p w14:paraId="3802B6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14:paraId="0E7D67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14:paraId="2A7971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利息归还次数</w:t>
            </w:r>
            <w:r>
              <w:rPr>
                <w:rFonts w:hint="eastAsia" w:ascii="仿宋_GB2312" w:hAnsi="仿宋_GB2312" w:eastAsia="仿宋_GB2312" w:cs="仿宋_GB2312"/>
                <w:color w:val="auto"/>
                <w:kern w:val="0"/>
                <w:sz w:val="20"/>
                <w:szCs w:val="20"/>
                <w:highlight w:val="none"/>
                <w:shd w:val="clear" w:color="auto" w:fill="auto"/>
                <w:lang w:val="en-US" w:eastAsia="zh-CN"/>
              </w:rPr>
              <w:tab/>
            </w:r>
          </w:p>
        </w:tc>
        <w:tc>
          <w:tcPr>
            <w:tcW w:w="1437" w:type="dxa"/>
            <w:tcBorders>
              <w:tl2br w:val="nil"/>
              <w:tr2bl w:val="nil"/>
            </w:tcBorders>
            <w:shd w:val="clear" w:color="auto" w:fill="auto"/>
            <w:tcMar>
              <w:top w:w="15" w:type="dxa"/>
              <w:left w:w="15" w:type="dxa"/>
              <w:right w:w="15" w:type="dxa"/>
            </w:tcMar>
            <w:vAlign w:val="center"/>
          </w:tcPr>
          <w:p w14:paraId="58E940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＝4次</w:t>
            </w:r>
          </w:p>
        </w:tc>
        <w:tc>
          <w:tcPr>
            <w:tcW w:w="558" w:type="dxa"/>
            <w:tcBorders>
              <w:tl2br w:val="nil"/>
              <w:tr2bl w:val="nil"/>
            </w:tcBorders>
            <w:shd w:val="clear" w:color="auto" w:fill="auto"/>
            <w:tcMar>
              <w:top w:w="15" w:type="dxa"/>
              <w:left w:w="15" w:type="dxa"/>
              <w:right w:w="15" w:type="dxa"/>
            </w:tcMar>
            <w:vAlign w:val="center"/>
          </w:tcPr>
          <w:p w14:paraId="45C053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c>
          <w:tcPr>
            <w:tcW w:w="1365" w:type="dxa"/>
            <w:tcBorders>
              <w:tl2br w:val="nil"/>
              <w:tr2bl w:val="nil"/>
            </w:tcBorders>
            <w:shd w:val="clear" w:color="auto" w:fill="auto"/>
            <w:tcMar>
              <w:top w:w="15" w:type="dxa"/>
              <w:left w:w="15" w:type="dxa"/>
              <w:right w:w="15" w:type="dxa"/>
            </w:tcMar>
            <w:vAlign w:val="center"/>
          </w:tcPr>
          <w:p w14:paraId="19661E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4次</w:t>
            </w:r>
          </w:p>
        </w:tc>
        <w:tc>
          <w:tcPr>
            <w:tcW w:w="631" w:type="dxa"/>
            <w:tcBorders>
              <w:tl2br w:val="nil"/>
              <w:tr2bl w:val="nil"/>
            </w:tcBorders>
            <w:shd w:val="clear" w:color="auto" w:fill="auto"/>
            <w:tcMar>
              <w:top w:w="15" w:type="dxa"/>
              <w:left w:w="15" w:type="dxa"/>
              <w:right w:w="15" w:type="dxa"/>
            </w:tcMar>
            <w:vAlign w:val="center"/>
          </w:tcPr>
          <w:p w14:paraId="727F28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r>
      <w:tr w14:paraId="53F8A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634" w:type="dxa"/>
            <w:vMerge w:val="continue"/>
            <w:tcBorders>
              <w:tl2br w:val="nil"/>
              <w:tr2bl w:val="nil"/>
            </w:tcBorders>
            <w:shd w:val="clear" w:color="auto" w:fill="auto"/>
            <w:tcMar>
              <w:top w:w="15" w:type="dxa"/>
              <w:left w:w="15" w:type="dxa"/>
              <w:right w:w="15" w:type="dxa"/>
            </w:tcMar>
            <w:vAlign w:val="center"/>
          </w:tcPr>
          <w:p w14:paraId="060127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28" w:type="dxa"/>
            <w:vMerge w:val="restart"/>
            <w:tcBorders>
              <w:tl2br w:val="nil"/>
              <w:tr2bl w:val="nil"/>
            </w:tcBorders>
            <w:shd w:val="clear" w:color="auto" w:fill="auto"/>
            <w:tcMar>
              <w:top w:w="15" w:type="dxa"/>
              <w:left w:w="15" w:type="dxa"/>
              <w:right w:w="15" w:type="dxa"/>
            </w:tcMar>
            <w:vAlign w:val="center"/>
          </w:tcPr>
          <w:p w14:paraId="5461F1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质量指标</w:t>
            </w:r>
          </w:p>
        </w:tc>
        <w:tc>
          <w:tcPr>
            <w:tcW w:w="2644" w:type="dxa"/>
            <w:tcBorders>
              <w:tl2br w:val="nil"/>
              <w:tr2bl w:val="nil"/>
            </w:tcBorders>
            <w:shd w:val="clear" w:color="auto" w:fill="auto"/>
            <w:tcMar>
              <w:top w:w="15" w:type="dxa"/>
              <w:left w:w="15" w:type="dxa"/>
              <w:right w:w="15" w:type="dxa"/>
            </w:tcMar>
            <w:vAlign w:val="center"/>
          </w:tcPr>
          <w:p w14:paraId="2E0D33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本金按期归还率</w:t>
            </w:r>
            <w:r>
              <w:rPr>
                <w:rFonts w:hint="eastAsia" w:ascii="仿宋_GB2312" w:hAnsi="仿宋_GB2312" w:eastAsia="仿宋_GB2312" w:cs="仿宋_GB2312"/>
                <w:color w:val="auto"/>
                <w:kern w:val="0"/>
                <w:sz w:val="20"/>
                <w:szCs w:val="20"/>
                <w:highlight w:val="none"/>
                <w:shd w:val="clear" w:color="auto" w:fill="auto"/>
                <w:lang w:val="en-US" w:eastAsia="zh-CN"/>
              </w:rPr>
              <w:tab/>
            </w:r>
          </w:p>
        </w:tc>
        <w:tc>
          <w:tcPr>
            <w:tcW w:w="1437" w:type="dxa"/>
            <w:tcBorders>
              <w:tl2br w:val="nil"/>
              <w:tr2bl w:val="nil"/>
            </w:tcBorders>
            <w:shd w:val="clear" w:color="auto" w:fill="auto"/>
            <w:tcMar>
              <w:top w:w="15" w:type="dxa"/>
              <w:left w:w="15" w:type="dxa"/>
              <w:right w:w="15" w:type="dxa"/>
            </w:tcMar>
            <w:vAlign w:val="center"/>
          </w:tcPr>
          <w:p w14:paraId="074F27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＝100%</w:t>
            </w:r>
          </w:p>
        </w:tc>
        <w:tc>
          <w:tcPr>
            <w:tcW w:w="558" w:type="dxa"/>
            <w:tcBorders>
              <w:tl2br w:val="nil"/>
              <w:tr2bl w:val="nil"/>
            </w:tcBorders>
            <w:shd w:val="clear" w:color="auto" w:fill="auto"/>
            <w:tcMar>
              <w:top w:w="15" w:type="dxa"/>
              <w:left w:w="15" w:type="dxa"/>
              <w:right w:w="15" w:type="dxa"/>
            </w:tcMar>
            <w:vAlign w:val="center"/>
          </w:tcPr>
          <w:p w14:paraId="1E4286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c>
          <w:tcPr>
            <w:tcW w:w="1365" w:type="dxa"/>
            <w:tcBorders>
              <w:tl2br w:val="nil"/>
              <w:tr2bl w:val="nil"/>
            </w:tcBorders>
            <w:shd w:val="clear" w:color="auto" w:fill="auto"/>
            <w:tcMar>
              <w:top w:w="15" w:type="dxa"/>
              <w:left w:w="15" w:type="dxa"/>
              <w:right w:w="15" w:type="dxa"/>
            </w:tcMar>
            <w:vAlign w:val="center"/>
          </w:tcPr>
          <w:p w14:paraId="526BAE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100%</w:t>
            </w:r>
          </w:p>
        </w:tc>
        <w:tc>
          <w:tcPr>
            <w:tcW w:w="631" w:type="dxa"/>
            <w:tcBorders>
              <w:tl2br w:val="nil"/>
              <w:tr2bl w:val="nil"/>
            </w:tcBorders>
            <w:shd w:val="clear" w:color="auto" w:fill="auto"/>
            <w:tcMar>
              <w:top w:w="15" w:type="dxa"/>
              <w:left w:w="15" w:type="dxa"/>
              <w:right w:w="15" w:type="dxa"/>
            </w:tcMar>
            <w:vAlign w:val="center"/>
          </w:tcPr>
          <w:p w14:paraId="3AC14D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r>
      <w:tr w14:paraId="3C11A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0" w:hRule="atLeast"/>
        </w:trPr>
        <w:tc>
          <w:tcPr>
            <w:tcW w:w="634" w:type="dxa"/>
            <w:vMerge w:val="continue"/>
            <w:tcBorders>
              <w:tl2br w:val="nil"/>
              <w:tr2bl w:val="nil"/>
            </w:tcBorders>
            <w:shd w:val="clear" w:color="auto" w:fill="auto"/>
            <w:tcMar>
              <w:top w:w="15" w:type="dxa"/>
              <w:left w:w="15" w:type="dxa"/>
              <w:right w:w="15" w:type="dxa"/>
            </w:tcMar>
            <w:vAlign w:val="center"/>
          </w:tcPr>
          <w:p w14:paraId="2016D3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14:paraId="1F95E2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14:paraId="7EE8DF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利息按期归还率</w:t>
            </w:r>
            <w:r>
              <w:rPr>
                <w:rFonts w:hint="eastAsia" w:ascii="仿宋_GB2312" w:hAnsi="仿宋_GB2312" w:eastAsia="仿宋_GB2312" w:cs="仿宋_GB2312"/>
                <w:color w:val="auto"/>
                <w:kern w:val="0"/>
                <w:sz w:val="20"/>
                <w:szCs w:val="20"/>
                <w:highlight w:val="none"/>
                <w:shd w:val="clear" w:color="auto" w:fill="auto"/>
                <w:lang w:val="en-US" w:eastAsia="zh-CN"/>
              </w:rPr>
              <w:tab/>
            </w:r>
          </w:p>
        </w:tc>
        <w:tc>
          <w:tcPr>
            <w:tcW w:w="1437" w:type="dxa"/>
            <w:tcBorders>
              <w:tl2br w:val="nil"/>
              <w:tr2bl w:val="nil"/>
            </w:tcBorders>
            <w:shd w:val="clear" w:color="auto" w:fill="auto"/>
            <w:tcMar>
              <w:top w:w="15" w:type="dxa"/>
              <w:left w:w="15" w:type="dxa"/>
              <w:right w:w="15" w:type="dxa"/>
            </w:tcMar>
            <w:vAlign w:val="center"/>
          </w:tcPr>
          <w:p w14:paraId="4BDB79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＝100%</w:t>
            </w:r>
          </w:p>
        </w:tc>
        <w:tc>
          <w:tcPr>
            <w:tcW w:w="558" w:type="dxa"/>
            <w:tcBorders>
              <w:tl2br w:val="nil"/>
              <w:tr2bl w:val="nil"/>
            </w:tcBorders>
            <w:shd w:val="clear" w:color="auto" w:fill="auto"/>
            <w:tcMar>
              <w:top w:w="15" w:type="dxa"/>
              <w:left w:w="15" w:type="dxa"/>
              <w:right w:w="15" w:type="dxa"/>
            </w:tcMar>
            <w:vAlign w:val="center"/>
          </w:tcPr>
          <w:p w14:paraId="61CF38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c>
          <w:tcPr>
            <w:tcW w:w="1365" w:type="dxa"/>
            <w:tcBorders>
              <w:tl2br w:val="nil"/>
              <w:tr2bl w:val="nil"/>
            </w:tcBorders>
            <w:shd w:val="clear" w:color="auto" w:fill="auto"/>
            <w:tcMar>
              <w:top w:w="15" w:type="dxa"/>
              <w:left w:w="15" w:type="dxa"/>
              <w:right w:w="15" w:type="dxa"/>
            </w:tcMar>
            <w:vAlign w:val="center"/>
          </w:tcPr>
          <w:p w14:paraId="0F1158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100%</w:t>
            </w:r>
          </w:p>
        </w:tc>
        <w:tc>
          <w:tcPr>
            <w:tcW w:w="631" w:type="dxa"/>
            <w:tcBorders>
              <w:tl2br w:val="nil"/>
              <w:tr2bl w:val="nil"/>
            </w:tcBorders>
            <w:shd w:val="clear" w:color="auto" w:fill="auto"/>
            <w:tcMar>
              <w:top w:w="15" w:type="dxa"/>
              <w:left w:w="15" w:type="dxa"/>
              <w:right w:w="15" w:type="dxa"/>
            </w:tcMar>
            <w:vAlign w:val="center"/>
          </w:tcPr>
          <w:p w14:paraId="5FF1A0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r>
      <w:tr w14:paraId="35B8C7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14:paraId="2745E4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28" w:type="dxa"/>
            <w:vMerge w:val="restart"/>
            <w:tcBorders>
              <w:tl2br w:val="nil"/>
              <w:tr2bl w:val="nil"/>
            </w:tcBorders>
            <w:shd w:val="clear" w:color="auto" w:fill="auto"/>
            <w:tcMar>
              <w:top w:w="15" w:type="dxa"/>
              <w:left w:w="15" w:type="dxa"/>
              <w:right w:w="15" w:type="dxa"/>
            </w:tcMar>
            <w:vAlign w:val="center"/>
          </w:tcPr>
          <w:p w14:paraId="3F199B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时效指标</w:t>
            </w:r>
          </w:p>
        </w:tc>
        <w:tc>
          <w:tcPr>
            <w:tcW w:w="2644" w:type="dxa"/>
            <w:tcBorders>
              <w:tl2br w:val="nil"/>
              <w:tr2bl w:val="nil"/>
            </w:tcBorders>
            <w:shd w:val="clear" w:color="auto" w:fill="auto"/>
            <w:tcMar>
              <w:top w:w="15" w:type="dxa"/>
              <w:left w:w="15" w:type="dxa"/>
              <w:right w:w="15" w:type="dxa"/>
            </w:tcMar>
            <w:vAlign w:val="center"/>
          </w:tcPr>
          <w:p w14:paraId="0B9312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按期归还本金及时率</w:t>
            </w:r>
            <w:r>
              <w:rPr>
                <w:rFonts w:hint="eastAsia" w:ascii="仿宋_GB2312" w:hAnsi="仿宋_GB2312" w:eastAsia="仿宋_GB2312" w:cs="仿宋_GB2312"/>
                <w:color w:val="auto"/>
                <w:kern w:val="0"/>
                <w:sz w:val="20"/>
                <w:szCs w:val="20"/>
                <w:highlight w:val="none"/>
                <w:shd w:val="clear" w:color="auto" w:fill="auto"/>
                <w:lang w:val="en-US" w:eastAsia="zh-CN"/>
              </w:rPr>
              <w:tab/>
            </w:r>
          </w:p>
        </w:tc>
        <w:tc>
          <w:tcPr>
            <w:tcW w:w="1437" w:type="dxa"/>
            <w:tcBorders>
              <w:tl2br w:val="nil"/>
              <w:tr2bl w:val="nil"/>
            </w:tcBorders>
            <w:shd w:val="clear" w:color="auto" w:fill="auto"/>
            <w:tcMar>
              <w:top w:w="15" w:type="dxa"/>
              <w:left w:w="15" w:type="dxa"/>
              <w:right w:w="15" w:type="dxa"/>
            </w:tcMar>
            <w:vAlign w:val="center"/>
          </w:tcPr>
          <w:p w14:paraId="1BE1D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＝100%</w:t>
            </w:r>
          </w:p>
        </w:tc>
        <w:tc>
          <w:tcPr>
            <w:tcW w:w="558" w:type="dxa"/>
            <w:tcBorders>
              <w:tl2br w:val="nil"/>
              <w:tr2bl w:val="nil"/>
            </w:tcBorders>
            <w:shd w:val="clear" w:color="auto" w:fill="auto"/>
            <w:tcMar>
              <w:top w:w="15" w:type="dxa"/>
              <w:left w:w="15" w:type="dxa"/>
              <w:right w:w="15" w:type="dxa"/>
            </w:tcMar>
            <w:vAlign w:val="center"/>
          </w:tcPr>
          <w:p w14:paraId="3FEF5C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c>
          <w:tcPr>
            <w:tcW w:w="1365" w:type="dxa"/>
            <w:tcBorders>
              <w:tl2br w:val="nil"/>
              <w:tr2bl w:val="nil"/>
            </w:tcBorders>
            <w:shd w:val="clear" w:color="auto" w:fill="auto"/>
            <w:tcMar>
              <w:top w:w="15" w:type="dxa"/>
              <w:left w:w="15" w:type="dxa"/>
              <w:right w:w="15" w:type="dxa"/>
            </w:tcMar>
            <w:vAlign w:val="center"/>
          </w:tcPr>
          <w:p w14:paraId="07361A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100%</w:t>
            </w:r>
          </w:p>
        </w:tc>
        <w:tc>
          <w:tcPr>
            <w:tcW w:w="631" w:type="dxa"/>
            <w:tcBorders>
              <w:tl2br w:val="nil"/>
              <w:tr2bl w:val="nil"/>
            </w:tcBorders>
            <w:shd w:val="clear" w:color="auto" w:fill="auto"/>
            <w:tcMar>
              <w:top w:w="15" w:type="dxa"/>
              <w:left w:w="15" w:type="dxa"/>
              <w:right w:w="15" w:type="dxa"/>
            </w:tcMar>
            <w:vAlign w:val="center"/>
          </w:tcPr>
          <w:p w14:paraId="58C9AE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r>
      <w:tr w14:paraId="62E74A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14:paraId="120A7A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14:paraId="244134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14:paraId="4D4BE7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按季度归还利息及时率</w:t>
            </w:r>
            <w:r>
              <w:rPr>
                <w:rFonts w:hint="eastAsia" w:ascii="仿宋_GB2312" w:hAnsi="仿宋_GB2312" w:eastAsia="仿宋_GB2312" w:cs="仿宋_GB2312"/>
                <w:color w:val="auto"/>
                <w:kern w:val="0"/>
                <w:sz w:val="20"/>
                <w:szCs w:val="20"/>
                <w:highlight w:val="none"/>
                <w:shd w:val="clear" w:color="auto" w:fill="auto"/>
                <w:lang w:val="en-US" w:eastAsia="zh-CN"/>
              </w:rPr>
              <w:tab/>
            </w:r>
          </w:p>
        </w:tc>
        <w:tc>
          <w:tcPr>
            <w:tcW w:w="1437" w:type="dxa"/>
            <w:tcBorders>
              <w:tl2br w:val="nil"/>
              <w:tr2bl w:val="nil"/>
            </w:tcBorders>
            <w:shd w:val="clear" w:color="auto" w:fill="auto"/>
            <w:tcMar>
              <w:top w:w="15" w:type="dxa"/>
              <w:left w:w="15" w:type="dxa"/>
              <w:right w:w="15" w:type="dxa"/>
            </w:tcMar>
            <w:vAlign w:val="center"/>
          </w:tcPr>
          <w:p w14:paraId="0AC519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＝100%</w:t>
            </w:r>
          </w:p>
        </w:tc>
        <w:tc>
          <w:tcPr>
            <w:tcW w:w="558" w:type="dxa"/>
            <w:tcBorders>
              <w:tl2br w:val="nil"/>
              <w:tr2bl w:val="nil"/>
            </w:tcBorders>
            <w:shd w:val="clear" w:color="auto" w:fill="auto"/>
            <w:tcMar>
              <w:top w:w="15" w:type="dxa"/>
              <w:left w:w="15" w:type="dxa"/>
              <w:right w:w="15" w:type="dxa"/>
            </w:tcMar>
            <w:vAlign w:val="center"/>
          </w:tcPr>
          <w:p w14:paraId="496AE4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c>
          <w:tcPr>
            <w:tcW w:w="1365" w:type="dxa"/>
            <w:tcBorders>
              <w:tl2br w:val="nil"/>
              <w:tr2bl w:val="nil"/>
            </w:tcBorders>
            <w:shd w:val="clear" w:color="auto" w:fill="auto"/>
            <w:tcMar>
              <w:top w:w="15" w:type="dxa"/>
              <w:left w:w="15" w:type="dxa"/>
              <w:right w:w="15" w:type="dxa"/>
            </w:tcMar>
            <w:vAlign w:val="center"/>
          </w:tcPr>
          <w:p w14:paraId="52EF33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100%</w:t>
            </w:r>
          </w:p>
        </w:tc>
        <w:tc>
          <w:tcPr>
            <w:tcW w:w="631" w:type="dxa"/>
            <w:tcBorders>
              <w:tl2br w:val="nil"/>
              <w:tr2bl w:val="nil"/>
            </w:tcBorders>
            <w:shd w:val="clear" w:color="auto" w:fill="auto"/>
            <w:tcMar>
              <w:top w:w="15" w:type="dxa"/>
              <w:left w:w="15" w:type="dxa"/>
              <w:right w:w="15" w:type="dxa"/>
            </w:tcMar>
            <w:vAlign w:val="center"/>
          </w:tcPr>
          <w:p w14:paraId="006478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w:t>
            </w:r>
          </w:p>
        </w:tc>
      </w:tr>
      <w:tr w14:paraId="44FEC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8" w:hRule="atLeast"/>
        </w:trPr>
        <w:tc>
          <w:tcPr>
            <w:tcW w:w="634" w:type="dxa"/>
            <w:vMerge w:val="continue"/>
            <w:tcBorders>
              <w:tl2br w:val="nil"/>
              <w:tr2bl w:val="nil"/>
            </w:tcBorders>
            <w:shd w:val="clear" w:color="auto" w:fill="auto"/>
            <w:tcMar>
              <w:top w:w="15" w:type="dxa"/>
              <w:left w:w="15" w:type="dxa"/>
              <w:right w:w="15" w:type="dxa"/>
            </w:tcMar>
            <w:vAlign w:val="center"/>
          </w:tcPr>
          <w:p w14:paraId="2C897B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28" w:type="dxa"/>
            <w:vMerge w:val="restart"/>
            <w:tcBorders>
              <w:tl2br w:val="nil"/>
              <w:tr2bl w:val="nil"/>
            </w:tcBorders>
            <w:shd w:val="clear" w:color="auto" w:fill="auto"/>
            <w:tcMar>
              <w:top w:w="15" w:type="dxa"/>
              <w:left w:w="15" w:type="dxa"/>
              <w:right w:w="15" w:type="dxa"/>
            </w:tcMar>
            <w:vAlign w:val="center"/>
          </w:tcPr>
          <w:p w14:paraId="4426FA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成本指标</w:t>
            </w:r>
          </w:p>
        </w:tc>
        <w:tc>
          <w:tcPr>
            <w:tcW w:w="2644" w:type="dxa"/>
            <w:tcBorders>
              <w:tl2br w:val="nil"/>
              <w:tr2bl w:val="nil"/>
            </w:tcBorders>
            <w:shd w:val="clear" w:color="auto" w:fill="auto"/>
            <w:tcMar>
              <w:top w:w="15" w:type="dxa"/>
              <w:left w:w="15" w:type="dxa"/>
              <w:right w:w="15" w:type="dxa"/>
            </w:tcMar>
            <w:vAlign w:val="center"/>
          </w:tcPr>
          <w:p w14:paraId="5A6550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归还本金总额</w:t>
            </w:r>
            <w:r>
              <w:rPr>
                <w:rFonts w:hint="eastAsia" w:ascii="仿宋_GB2312" w:hAnsi="仿宋_GB2312" w:eastAsia="仿宋_GB2312" w:cs="仿宋_GB2312"/>
                <w:color w:val="auto"/>
                <w:kern w:val="0"/>
                <w:sz w:val="20"/>
                <w:szCs w:val="20"/>
                <w:highlight w:val="none"/>
                <w:shd w:val="clear" w:color="auto" w:fill="auto"/>
                <w:lang w:val="en-US" w:eastAsia="zh-CN"/>
              </w:rPr>
              <w:tab/>
            </w:r>
          </w:p>
        </w:tc>
        <w:tc>
          <w:tcPr>
            <w:tcW w:w="1437" w:type="dxa"/>
            <w:tcBorders>
              <w:tl2br w:val="nil"/>
              <w:tr2bl w:val="nil"/>
            </w:tcBorders>
            <w:shd w:val="clear" w:color="auto" w:fill="auto"/>
            <w:tcMar>
              <w:top w:w="15" w:type="dxa"/>
              <w:left w:w="15" w:type="dxa"/>
              <w:right w:w="15" w:type="dxa"/>
            </w:tcMar>
            <w:vAlign w:val="center"/>
          </w:tcPr>
          <w:p w14:paraId="24D768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＝5202万元</w:t>
            </w:r>
          </w:p>
        </w:tc>
        <w:tc>
          <w:tcPr>
            <w:tcW w:w="558" w:type="dxa"/>
            <w:tcBorders>
              <w:tl2br w:val="nil"/>
              <w:tr2bl w:val="nil"/>
            </w:tcBorders>
            <w:shd w:val="clear" w:color="auto" w:fill="auto"/>
            <w:tcMar>
              <w:top w:w="15" w:type="dxa"/>
              <w:left w:w="15" w:type="dxa"/>
              <w:right w:w="15" w:type="dxa"/>
            </w:tcMar>
            <w:vAlign w:val="center"/>
          </w:tcPr>
          <w:p w14:paraId="33ECA2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6</w:t>
            </w:r>
          </w:p>
        </w:tc>
        <w:tc>
          <w:tcPr>
            <w:tcW w:w="1365" w:type="dxa"/>
            <w:tcBorders>
              <w:tl2br w:val="nil"/>
              <w:tr2bl w:val="nil"/>
            </w:tcBorders>
            <w:shd w:val="clear" w:color="auto" w:fill="auto"/>
            <w:tcMar>
              <w:top w:w="15" w:type="dxa"/>
              <w:left w:w="15" w:type="dxa"/>
              <w:right w:w="15" w:type="dxa"/>
            </w:tcMar>
            <w:vAlign w:val="center"/>
          </w:tcPr>
          <w:p w14:paraId="003277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5202万元</w:t>
            </w:r>
          </w:p>
        </w:tc>
        <w:tc>
          <w:tcPr>
            <w:tcW w:w="631" w:type="dxa"/>
            <w:tcBorders>
              <w:tl2br w:val="nil"/>
              <w:tr2bl w:val="nil"/>
            </w:tcBorders>
            <w:shd w:val="clear" w:color="auto" w:fill="auto"/>
            <w:tcMar>
              <w:top w:w="15" w:type="dxa"/>
              <w:left w:w="15" w:type="dxa"/>
              <w:right w:w="15" w:type="dxa"/>
            </w:tcMar>
            <w:vAlign w:val="center"/>
          </w:tcPr>
          <w:p w14:paraId="094649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6</w:t>
            </w:r>
          </w:p>
        </w:tc>
      </w:tr>
      <w:tr w14:paraId="49E47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8" w:hRule="atLeast"/>
        </w:trPr>
        <w:tc>
          <w:tcPr>
            <w:tcW w:w="634" w:type="dxa"/>
            <w:vMerge w:val="continue"/>
            <w:tcBorders>
              <w:tl2br w:val="nil"/>
              <w:tr2bl w:val="nil"/>
            </w:tcBorders>
            <w:shd w:val="clear" w:color="auto" w:fill="auto"/>
            <w:tcMar>
              <w:top w:w="15" w:type="dxa"/>
              <w:left w:w="15" w:type="dxa"/>
              <w:right w:w="15" w:type="dxa"/>
            </w:tcMar>
            <w:vAlign w:val="center"/>
          </w:tcPr>
          <w:p w14:paraId="43E707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14:paraId="7A36B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14:paraId="7870DF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归还利息总额</w:t>
            </w:r>
            <w:r>
              <w:rPr>
                <w:rFonts w:hint="eastAsia" w:ascii="仿宋_GB2312" w:hAnsi="仿宋_GB2312" w:eastAsia="仿宋_GB2312" w:cs="仿宋_GB2312"/>
                <w:color w:val="auto"/>
                <w:kern w:val="0"/>
                <w:sz w:val="20"/>
                <w:szCs w:val="20"/>
                <w:highlight w:val="none"/>
                <w:shd w:val="clear" w:color="auto" w:fill="auto"/>
                <w:lang w:val="en-US" w:eastAsia="zh-CN"/>
              </w:rPr>
              <w:tab/>
            </w:r>
          </w:p>
        </w:tc>
        <w:tc>
          <w:tcPr>
            <w:tcW w:w="1437" w:type="dxa"/>
            <w:tcBorders>
              <w:tl2br w:val="nil"/>
              <w:tr2bl w:val="nil"/>
            </w:tcBorders>
            <w:shd w:val="clear" w:color="auto" w:fill="auto"/>
            <w:tcMar>
              <w:top w:w="15" w:type="dxa"/>
              <w:left w:w="15" w:type="dxa"/>
              <w:right w:w="15" w:type="dxa"/>
            </w:tcMar>
            <w:vAlign w:val="center"/>
          </w:tcPr>
          <w:p w14:paraId="11FA1F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≤550万元</w:t>
            </w:r>
          </w:p>
        </w:tc>
        <w:tc>
          <w:tcPr>
            <w:tcW w:w="558" w:type="dxa"/>
            <w:tcBorders>
              <w:tl2br w:val="nil"/>
              <w:tr2bl w:val="nil"/>
            </w:tcBorders>
            <w:shd w:val="clear" w:color="auto" w:fill="auto"/>
            <w:tcMar>
              <w:top w:w="15" w:type="dxa"/>
              <w:left w:w="15" w:type="dxa"/>
              <w:right w:w="15" w:type="dxa"/>
            </w:tcMar>
            <w:vAlign w:val="center"/>
          </w:tcPr>
          <w:p w14:paraId="0BE160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6</w:t>
            </w:r>
          </w:p>
        </w:tc>
        <w:tc>
          <w:tcPr>
            <w:tcW w:w="1365" w:type="dxa"/>
            <w:tcBorders>
              <w:tl2br w:val="nil"/>
              <w:tr2bl w:val="nil"/>
            </w:tcBorders>
            <w:shd w:val="clear" w:color="auto" w:fill="auto"/>
            <w:tcMar>
              <w:top w:w="15" w:type="dxa"/>
              <w:left w:w="15" w:type="dxa"/>
              <w:right w:w="15" w:type="dxa"/>
            </w:tcMar>
            <w:vAlign w:val="center"/>
          </w:tcPr>
          <w:p w14:paraId="1A87CA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435.93万元</w:t>
            </w:r>
          </w:p>
        </w:tc>
        <w:tc>
          <w:tcPr>
            <w:tcW w:w="631" w:type="dxa"/>
            <w:tcBorders>
              <w:tl2br w:val="nil"/>
              <w:tr2bl w:val="nil"/>
            </w:tcBorders>
            <w:shd w:val="clear" w:color="auto" w:fill="auto"/>
            <w:tcMar>
              <w:top w:w="15" w:type="dxa"/>
              <w:left w:w="15" w:type="dxa"/>
              <w:right w:w="15" w:type="dxa"/>
            </w:tcMar>
            <w:vAlign w:val="center"/>
          </w:tcPr>
          <w:p w14:paraId="306318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6</w:t>
            </w:r>
          </w:p>
        </w:tc>
      </w:tr>
      <w:tr w14:paraId="144511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3" w:hRule="atLeast"/>
        </w:trPr>
        <w:tc>
          <w:tcPr>
            <w:tcW w:w="5643" w:type="dxa"/>
            <w:gridSpan w:val="4"/>
            <w:tcBorders>
              <w:tl2br w:val="nil"/>
              <w:tr2bl w:val="nil"/>
            </w:tcBorders>
            <w:shd w:val="clear" w:color="auto" w:fill="auto"/>
            <w:tcMar>
              <w:top w:w="15" w:type="dxa"/>
              <w:left w:w="15" w:type="dxa"/>
              <w:right w:w="15" w:type="dxa"/>
            </w:tcMar>
            <w:vAlign w:val="center"/>
          </w:tcPr>
          <w:p w14:paraId="7FB1CF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合计</w:t>
            </w:r>
          </w:p>
        </w:tc>
        <w:tc>
          <w:tcPr>
            <w:tcW w:w="558" w:type="dxa"/>
            <w:tcBorders>
              <w:tl2br w:val="nil"/>
              <w:tr2bl w:val="nil"/>
            </w:tcBorders>
            <w:shd w:val="clear" w:color="auto" w:fill="auto"/>
            <w:tcMar>
              <w:top w:w="15" w:type="dxa"/>
              <w:left w:w="15" w:type="dxa"/>
              <w:right w:w="15" w:type="dxa"/>
            </w:tcMar>
            <w:vAlign w:val="center"/>
          </w:tcPr>
          <w:p w14:paraId="76400C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30</w:t>
            </w:r>
          </w:p>
        </w:tc>
        <w:tc>
          <w:tcPr>
            <w:tcW w:w="1365" w:type="dxa"/>
            <w:tcBorders>
              <w:tl2br w:val="nil"/>
              <w:tr2bl w:val="nil"/>
            </w:tcBorders>
            <w:shd w:val="clear" w:color="auto" w:fill="auto"/>
            <w:tcMar>
              <w:top w:w="15" w:type="dxa"/>
              <w:left w:w="15" w:type="dxa"/>
              <w:right w:w="15" w:type="dxa"/>
            </w:tcMar>
            <w:vAlign w:val="center"/>
          </w:tcPr>
          <w:p w14:paraId="41FE96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631" w:type="dxa"/>
            <w:tcBorders>
              <w:tl2br w:val="nil"/>
              <w:tr2bl w:val="nil"/>
            </w:tcBorders>
            <w:shd w:val="clear" w:color="auto" w:fill="auto"/>
            <w:tcMar>
              <w:top w:w="15" w:type="dxa"/>
              <w:left w:w="15" w:type="dxa"/>
              <w:right w:w="15" w:type="dxa"/>
            </w:tcMar>
            <w:vAlign w:val="center"/>
          </w:tcPr>
          <w:p w14:paraId="738D46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30</w:t>
            </w:r>
          </w:p>
        </w:tc>
      </w:tr>
    </w:tbl>
    <w:p w14:paraId="61553E48">
      <w:pPr>
        <w:bidi w:val="0"/>
        <w:rPr>
          <w:rFonts w:hint="eastAsia" w:ascii="仿宋_GB2312" w:hAnsi="仿宋_GB2312" w:eastAsia="仿宋_GB2312" w:cs="仿宋_GB2312"/>
          <w:b/>
          <w:bCs/>
          <w:color w:val="auto"/>
          <w:highlight w:val="none"/>
          <w:lang w:val="en-US" w:eastAsia="zh-CN"/>
        </w:rPr>
      </w:pPr>
      <w:bookmarkStart w:id="70" w:name="_Toc11067"/>
      <w:r>
        <w:rPr>
          <w:rFonts w:hint="eastAsia" w:ascii="仿宋_GB2312" w:hAnsi="仿宋_GB2312" w:eastAsia="仿宋_GB2312" w:cs="仿宋_GB2312"/>
          <w:b/>
          <w:bCs/>
          <w:color w:val="auto"/>
          <w:highlight w:val="none"/>
          <w:lang w:val="en-US" w:eastAsia="zh-CN"/>
        </w:rPr>
        <w:t>1.项目完成数量</w:t>
      </w:r>
      <w:bookmarkEnd w:id="70"/>
    </w:p>
    <w:p w14:paraId="4048B473">
      <w:pPr>
        <w:bidi w:val="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本金归还次数</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指标，预期指标值为2次，实际完成为2次。实际完成率=（2次/2次）×100%=100%。</w:t>
      </w:r>
    </w:p>
    <w:p w14:paraId="55A6682E">
      <w:pPr>
        <w:bidi w:val="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综上，该项指标满分3分，得分3分。</w:t>
      </w:r>
    </w:p>
    <w:p w14:paraId="425E330B">
      <w:pPr>
        <w:bidi w:val="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利息归还次数</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指标，预期指标值为4次，实际完成为4次。实际完成率=（4次/4次）×100%=100%。</w:t>
      </w:r>
    </w:p>
    <w:p w14:paraId="07DC42E7">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综上，该项指标满分3分，得分3分。</w:t>
      </w:r>
    </w:p>
    <w:p w14:paraId="55948ADB">
      <w:pPr>
        <w:bidi w:val="0"/>
        <w:outlineLvl w:val="2"/>
        <w:rPr>
          <w:rFonts w:hint="eastAsia" w:ascii="仿宋_GB2312" w:hAnsi="仿宋_GB2312" w:eastAsia="仿宋_GB2312" w:cs="仿宋_GB2312"/>
          <w:b/>
          <w:bCs/>
          <w:color w:val="auto"/>
          <w:highlight w:val="none"/>
          <w:lang w:val="en-US" w:eastAsia="zh-CN"/>
        </w:rPr>
      </w:pPr>
      <w:bookmarkStart w:id="71" w:name="_Toc31739"/>
      <w:r>
        <w:rPr>
          <w:rFonts w:hint="eastAsia" w:ascii="仿宋_GB2312" w:hAnsi="仿宋_GB2312" w:eastAsia="仿宋_GB2312" w:cs="仿宋_GB2312"/>
          <w:b/>
          <w:bCs/>
          <w:color w:val="auto"/>
          <w:highlight w:val="none"/>
          <w:lang w:val="en-US" w:eastAsia="zh-CN"/>
        </w:rPr>
        <w:t>2.项目完成质量</w:t>
      </w:r>
      <w:bookmarkEnd w:id="71"/>
    </w:p>
    <w:p w14:paraId="0BF484FC">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本金按期归来率</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指标，预期指标值为100%，实际完成为100%。</w:t>
      </w:r>
    </w:p>
    <w:p w14:paraId="7703C3BC">
      <w:pPr>
        <w:bidi w:val="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综上，该项指标满分3分，得分3分。</w:t>
      </w:r>
    </w:p>
    <w:p w14:paraId="079F2D97">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利息按期归来率</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指标，预期指标值为100%，实际完成为100%。</w:t>
      </w:r>
    </w:p>
    <w:p w14:paraId="3D77DA91">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综上，该项指标满分3分，得分3分。</w:t>
      </w:r>
    </w:p>
    <w:p w14:paraId="0E032B36">
      <w:pPr>
        <w:bidi w:val="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3.项目完成时效</w:t>
      </w:r>
    </w:p>
    <w:p w14:paraId="4A45F0DD">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按期归还本金及时率</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指标，预期指标值为100%，实际完成为100%。</w:t>
      </w:r>
    </w:p>
    <w:p w14:paraId="74256B74">
      <w:pPr>
        <w:bidi w:val="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综上，该项指标满分3分，得分3分。</w:t>
      </w:r>
    </w:p>
    <w:p w14:paraId="0E306472">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按季归还利息及时率</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指标，预期指标值为100%，实际完成为100%。</w:t>
      </w:r>
    </w:p>
    <w:p w14:paraId="418ACD4C">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b/>
          <w:bCs/>
          <w:color w:val="auto"/>
          <w:highlight w:val="none"/>
          <w:lang w:val="en-US" w:eastAsia="zh-CN"/>
        </w:rPr>
        <w:t>综上，该项指标满分3分，得分3分。</w:t>
      </w:r>
    </w:p>
    <w:p w14:paraId="59211235">
      <w:pPr>
        <w:bidi w:val="0"/>
        <w:outlineLvl w:val="2"/>
        <w:rPr>
          <w:rFonts w:hint="eastAsia" w:ascii="仿宋_GB2312" w:hAnsi="仿宋_GB2312" w:eastAsia="仿宋_GB2312" w:cs="仿宋_GB2312"/>
          <w:b/>
          <w:bCs/>
          <w:color w:val="auto"/>
          <w:highlight w:val="none"/>
          <w:lang w:val="en-US" w:eastAsia="zh-CN"/>
        </w:rPr>
      </w:pPr>
      <w:bookmarkStart w:id="72" w:name="_Toc32765"/>
      <w:r>
        <w:rPr>
          <w:rFonts w:hint="eastAsia" w:ascii="仿宋_GB2312" w:hAnsi="仿宋_GB2312" w:eastAsia="仿宋_GB2312" w:cs="仿宋_GB2312"/>
          <w:b/>
          <w:bCs/>
          <w:color w:val="auto"/>
          <w:highlight w:val="none"/>
          <w:lang w:val="en-US" w:eastAsia="zh-CN"/>
        </w:rPr>
        <w:t>4.项目完成成本</w:t>
      </w:r>
      <w:bookmarkEnd w:id="72"/>
    </w:p>
    <w:p w14:paraId="52847EA5">
      <w:pPr>
        <w:bidi w:val="0"/>
        <w:rPr>
          <w:rFonts w:hint="eastAsia" w:ascii="仿宋_GB2312" w:hAnsi="仿宋_GB2312" w:eastAsia="仿宋_GB2312" w:cs="仿宋_GB2312"/>
          <w:color w:val="auto"/>
          <w:highlight w:val="none"/>
          <w:lang w:eastAsia="zh-CN"/>
        </w:rPr>
      </w:pPr>
      <w:bookmarkStart w:id="73" w:name="_Toc18446"/>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归还本金总额</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指标，预期指标值为5202万元，实际完成为5202万元。实际完成率=（5202万元/5202万元）×100%=100%。</w:t>
      </w:r>
    </w:p>
    <w:p w14:paraId="4F60775F">
      <w:pPr>
        <w:bidi w:val="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综上，该项指标满分6分，得分6分。</w:t>
      </w:r>
    </w:p>
    <w:p w14:paraId="7A426572">
      <w:pP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归还利息总额</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指标，预期指标值为≤550万元，实际完成为435.93万元。实际完成率=（550万元/435.93万元）×100%=100%。</w:t>
      </w:r>
    </w:p>
    <w:p w14:paraId="093D2720">
      <w:pPr>
        <w:bidi w:val="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综上，该项指标满分6分，得分6分。</w:t>
      </w:r>
    </w:p>
    <w:p w14:paraId="087A06A5">
      <w:pPr>
        <w:bidi w:val="0"/>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lang w:val="en-US" w:eastAsia="zh-CN"/>
        </w:rPr>
        <w:t>四</w:t>
      </w:r>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rPr>
        <w:t>项目效益情况</w:t>
      </w:r>
      <w:bookmarkEnd w:id="73"/>
    </w:p>
    <w:p w14:paraId="6469BF47">
      <w:pPr>
        <w:pageBreakBefore w:val="0"/>
        <w:widowControl w:val="0"/>
        <w:kinsoku/>
        <w:wordWrap/>
        <w:overflowPunct/>
        <w:topLinePunct w:val="0"/>
        <w:autoSpaceDE/>
        <w:autoSpaceDN/>
        <w:bidi w:val="0"/>
        <w:adjustRightInd/>
        <w:spacing w:line="360" w:lineRule="auto"/>
        <w:ind w:firstLine="560"/>
        <w:jc w:val="left"/>
        <w:textAlignment w:val="auto"/>
        <w:rPr>
          <w:rFonts w:hint="eastAsia" w:ascii="仿宋_GB2312" w:hAnsi="仿宋_GB2312" w:eastAsia="仿宋_GB2312" w:cs="仿宋_GB2312"/>
          <w:color w:val="auto"/>
          <w:kern w:val="2"/>
          <w:highlight w:val="none"/>
          <w:u w:color="000000"/>
          <w:shd w:val="clear" w:color="auto" w:fill="auto"/>
          <w:lang w:val="zh-TW" w:eastAsia="zh-TW"/>
        </w:rPr>
      </w:pPr>
      <w:r>
        <w:rPr>
          <w:rFonts w:hint="eastAsia" w:ascii="仿宋_GB2312" w:hAnsi="仿宋_GB2312" w:eastAsia="仿宋_GB2312" w:cs="仿宋_GB2312"/>
          <w:color w:val="auto"/>
          <w:kern w:val="2"/>
          <w:highlight w:val="none"/>
          <w:u w:color="000000"/>
          <w:shd w:val="clear" w:color="auto" w:fill="auto"/>
          <w:lang w:val="zh-TW" w:eastAsia="zh-TW"/>
        </w:rPr>
        <w:t>项目</w:t>
      </w:r>
      <w:r>
        <w:rPr>
          <w:rFonts w:hint="eastAsia" w:ascii="仿宋_GB2312" w:hAnsi="仿宋_GB2312" w:eastAsia="仿宋_GB2312" w:cs="仿宋_GB2312"/>
          <w:color w:val="auto"/>
          <w:highlight w:val="none"/>
        </w:rPr>
        <w:t>效益</w:t>
      </w:r>
      <w:r>
        <w:rPr>
          <w:rFonts w:hint="eastAsia" w:ascii="仿宋_GB2312" w:hAnsi="仿宋_GB2312" w:eastAsia="仿宋_GB2312" w:cs="仿宋_GB2312"/>
          <w:color w:val="auto"/>
          <w:kern w:val="2"/>
          <w:highlight w:val="none"/>
          <w:u w:color="000000"/>
          <w:shd w:val="clear" w:color="auto" w:fill="auto"/>
          <w:lang w:val="zh-TW" w:eastAsia="zh-TW"/>
        </w:rPr>
        <w:t>类指标由</w:t>
      </w:r>
      <w:r>
        <w:rPr>
          <w:rFonts w:hint="eastAsia" w:ascii="仿宋_GB2312" w:hAnsi="仿宋_GB2312" w:eastAsia="仿宋_GB2312" w:cs="仿宋_GB2312"/>
          <w:color w:val="auto"/>
          <w:kern w:val="2"/>
          <w:highlight w:val="none"/>
          <w:u w:color="000000"/>
          <w:shd w:val="clear" w:color="auto" w:fill="auto"/>
          <w:lang w:val="en-US" w:eastAsia="zh-CN"/>
        </w:rPr>
        <w:t>4</w:t>
      </w:r>
      <w:r>
        <w:rPr>
          <w:rFonts w:hint="eastAsia" w:ascii="仿宋_GB2312" w:hAnsi="仿宋_GB2312" w:eastAsia="仿宋_GB2312" w:cs="仿宋_GB2312"/>
          <w:color w:val="auto"/>
          <w:kern w:val="2"/>
          <w:highlight w:val="none"/>
          <w:u w:color="000000"/>
          <w:shd w:val="clear" w:color="auto" w:fill="auto"/>
          <w:lang w:val="zh-TW" w:eastAsia="zh-TW"/>
        </w:rPr>
        <w:t>个</w:t>
      </w:r>
      <w:r>
        <w:rPr>
          <w:rFonts w:hint="eastAsia" w:ascii="仿宋_GB2312" w:hAnsi="仿宋_GB2312" w:eastAsia="仿宋_GB2312" w:cs="仿宋_GB2312"/>
          <w:color w:val="auto"/>
          <w:kern w:val="2"/>
          <w:highlight w:val="none"/>
          <w:u w:color="000000"/>
          <w:shd w:val="clear" w:color="auto" w:fill="auto"/>
          <w:lang w:val="zh-TW" w:eastAsia="zh-CN"/>
        </w:rPr>
        <w:t>二</w:t>
      </w:r>
      <w:r>
        <w:rPr>
          <w:rFonts w:hint="eastAsia" w:ascii="仿宋_GB2312" w:hAnsi="仿宋_GB2312" w:eastAsia="仿宋_GB2312" w:cs="仿宋_GB2312"/>
          <w:color w:val="auto"/>
          <w:kern w:val="2"/>
          <w:highlight w:val="none"/>
          <w:u w:color="000000"/>
          <w:shd w:val="clear" w:color="auto" w:fill="auto"/>
          <w:lang w:val="zh-TW" w:eastAsia="zh-TW"/>
        </w:rPr>
        <w:t>级指标和个</w:t>
      </w:r>
      <w:r>
        <w:rPr>
          <w:rFonts w:hint="eastAsia" w:ascii="仿宋_GB2312" w:hAnsi="仿宋_GB2312" w:eastAsia="仿宋_GB2312" w:cs="仿宋_GB2312"/>
          <w:color w:val="auto"/>
          <w:kern w:val="2"/>
          <w:highlight w:val="none"/>
          <w:u w:color="000000"/>
          <w:shd w:val="clear" w:color="auto" w:fill="auto"/>
          <w:lang w:eastAsia="zh-CN"/>
        </w:rPr>
        <w:t>三</w:t>
      </w:r>
      <w:r>
        <w:rPr>
          <w:rFonts w:hint="eastAsia" w:ascii="仿宋_GB2312" w:hAnsi="仿宋_GB2312" w:eastAsia="仿宋_GB2312" w:cs="仿宋_GB2312"/>
          <w:color w:val="auto"/>
          <w:kern w:val="2"/>
          <w:highlight w:val="none"/>
          <w:u w:color="000000"/>
          <w:shd w:val="clear" w:color="auto" w:fill="auto"/>
          <w:lang w:val="zh-TW" w:eastAsia="zh-TW"/>
        </w:rPr>
        <w:t>级指标构成，权重分</w:t>
      </w:r>
      <w:r>
        <w:rPr>
          <w:rFonts w:hint="eastAsia" w:ascii="仿宋_GB2312" w:hAnsi="仿宋_GB2312" w:eastAsia="仿宋_GB2312" w:cs="仿宋_GB2312"/>
          <w:color w:val="auto"/>
          <w:kern w:val="2"/>
          <w:highlight w:val="none"/>
          <w:u w:color="000000"/>
          <w:shd w:val="clear" w:color="auto" w:fill="auto"/>
          <w:lang w:val="en-US" w:eastAsia="zh-CN"/>
        </w:rPr>
        <w:t>30</w:t>
      </w:r>
      <w:r>
        <w:rPr>
          <w:rFonts w:hint="eastAsia" w:ascii="仿宋_GB2312" w:hAnsi="仿宋_GB2312" w:eastAsia="仿宋_GB2312" w:cs="仿宋_GB2312"/>
          <w:color w:val="auto"/>
          <w:kern w:val="2"/>
          <w:highlight w:val="none"/>
          <w:u w:color="000000"/>
          <w:shd w:val="clear" w:color="auto" w:fill="auto"/>
          <w:lang w:val="zh-TW" w:eastAsia="zh-TW"/>
        </w:rPr>
        <w:t>分，实际得分</w:t>
      </w:r>
      <w:r>
        <w:rPr>
          <w:rFonts w:hint="eastAsia" w:ascii="仿宋_GB2312" w:hAnsi="仿宋_GB2312" w:eastAsia="仿宋_GB2312" w:cs="仿宋_GB2312"/>
          <w:color w:val="auto"/>
          <w:kern w:val="2"/>
          <w:highlight w:val="none"/>
          <w:u w:color="000000"/>
          <w:shd w:val="clear" w:color="auto" w:fill="auto"/>
          <w:lang w:val="en-US" w:eastAsia="zh-CN"/>
        </w:rPr>
        <w:t>30</w:t>
      </w:r>
      <w:r>
        <w:rPr>
          <w:rFonts w:hint="eastAsia" w:ascii="仿宋_GB2312" w:hAnsi="仿宋_GB2312" w:eastAsia="仿宋_GB2312" w:cs="仿宋_GB2312"/>
          <w:color w:val="auto"/>
          <w:kern w:val="2"/>
          <w:highlight w:val="none"/>
          <w:u w:color="000000"/>
          <w:shd w:val="clear" w:color="auto" w:fill="auto"/>
          <w:lang w:val="zh-TW" w:eastAsia="zh-TW"/>
        </w:rPr>
        <w:t>分</w:t>
      </w:r>
      <w:r>
        <w:rPr>
          <w:rFonts w:hint="eastAsia" w:ascii="仿宋_GB2312" w:hAnsi="仿宋_GB2312" w:eastAsia="仿宋_GB2312" w:cs="仿宋_GB2312"/>
          <w:color w:val="auto"/>
          <w:kern w:val="2"/>
          <w:highlight w:val="none"/>
          <w:u w:color="000000"/>
          <w:shd w:val="clear" w:color="auto" w:fill="auto"/>
          <w:lang w:val="zh-TW" w:eastAsia="zh-CN"/>
        </w:rPr>
        <w:t>，</w:t>
      </w:r>
      <w:r>
        <w:rPr>
          <w:rFonts w:hint="eastAsia" w:ascii="仿宋_GB2312" w:hAnsi="仿宋_GB2312" w:eastAsia="仿宋_GB2312" w:cs="仿宋_GB2312"/>
          <w:color w:val="auto"/>
          <w:kern w:val="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highlight w:val="none"/>
          <w:u w:color="000000"/>
          <w:shd w:val="clear" w:color="auto" w:fill="auto"/>
          <w:lang w:val="en-US" w:eastAsia="zh-CN"/>
        </w:rPr>
        <w:t>4</w:t>
      </w:r>
      <w:r>
        <w:rPr>
          <w:rFonts w:hint="eastAsia" w:ascii="仿宋_GB2312" w:hAnsi="仿宋_GB2312" w:eastAsia="仿宋_GB2312" w:cs="仿宋_GB2312"/>
          <w:color w:val="auto"/>
          <w:kern w:val="2"/>
          <w:highlight w:val="none"/>
          <w:u w:color="000000"/>
          <w:shd w:val="clear" w:color="auto" w:fill="auto"/>
          <w:lang w:eastAsia="zh-CN"/>
        </w:rPr>
        <w:t>-</w:t>
      </w:r>
      <w:r>
        <w:rPr>
          <w:rFonts w:hint="eastAsia" w:ascii="仿宋_GB2312" w:hAnsi="仿宋_GB2312" w:eastAsia="仿宋_GB2312" w:cs="仿宋_GB2312"/>
          <w:color w:val="auto"/>
          <w:kern w:val="2"/>
          <w:highlight w:val="none"/>
          <w:u w:color="000000"/>
          <w:shd w:val="clear" w:color="auto" w:fill="auto"/>
          <w:lang w:val="en-US" w:eastAsia="zh-CN"/>
        </w:rPr>
        <w:t>4</w:t>
      </w:r>
      <w:r>
        <w:rPr>
          <w:rFonts w:hint="eastAsia" w:ascii="仿宋_GB2312" w:hAnsi="仿宋_GB2312" w:eastAsia="仿宋_GB2312" w:cs="仿宋_GB2312"/>
          <w:color w:val="auto"/>
          <w:kern w:val="2"/>
          <w:highlight w:val="none"/>
          <w:u w:color="000000"/>
          <w:shd w:val="clear" w:color="auto" w:fill="auto"/>
          <w:lang w:val="zh-TW" w:eastAsia="zh-TW"/>
        </w:rPr>
        <w:t>所示</w:t>
      </w:r>
      <w:r>
        <w:rPr>
          <w:rFonts w:hint="eastAsia" w:ascii="仿宋_GB2312" w:hAnsi="仿宋_GB2312" w:eastAsia="仿宋_GB2312" w:cs="仿宋_GB2312"/>
          <w:b/>
          <w:bCs/>
          <w:color w:val="auto"/>
          <w:kern w:val="2"/>
          <w:highlight w:val="none"/>
          <w:u w:color="000000"/>
          <w:shd w:val="clear" w:color="auto" w:fill="auto"/>
          <w:lang w:val="zh-TW" w:eastAsia="zh-CN"/>
        </w:rPr>
        <w:t>（</w:t>
      </w:r>
      <w:r>
        <w:rPr>
          <w:rFonts w:hint="eastAsia" w:ascii="仿宋_GB2312" w:hAnsi="仿宋_GB2312" w:eastAsia="仿宋_GB2312" w:cs="仿宋_GB2312"/>
          <w:b/>
          <w:bCs/>
          <w:color w:val="auto"/>
          <w:kern w:val="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highlight w:val="none"/>
          <w:u w:color="000000"/>
          <w:shd w:val="clear" w:color="auto" w:fill="auto"/>
          <w:lang w:val="zh-TW" w:eastAsia="zh-CN"/>
        </w:rPr>
        <w:t>）</w:t>
      </w:r>
      <w:r>
        <w:rPr>
          <w:rFonts w:hint="eastAsia" w:ascii="仿宋_GB2312" w:hAnsi="仿宋_GB2312" w:eastAsia="仿宋_GB2312" w:cs="仿宋_GB2312"/>
          <w:color w:val="auto"/>
          <w:kern w:val="2"/>
          <w:highlight w:val="none"/>
          <w:u w:color="000000"/>
          <w:shd w:val="clear" w:color="auto" w:fill="auto"/>
          <w:lang w:val="zh-TW" w:eastAsia="zh-TW"/>
        </w:rPr>
        <w:t>：</w:t>
      </w:r>
    </w:p>
    <w:p w14:paraId="0B3A6F7F">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仿宋_GB2312" w:hAnsi="仿宋_GB2312" w:eastAsia="仿宋_GB2312" w:cs="仿宋_GB2312"/>
          <w:b/>
          <w:bCs/>
          <w:color w:val="auto"/>
          <w:kern w:val="0"/>
          <w:sz w:val="28"/>
          <w:szCs w:val="28"/>
          <w:highlight w:val="none"/>
          <w:shd w:val="clear" w:color="auto" w:fill="auto"/>
          <w:lang w:val="en-US" w:eastAsia="zh-CN"/>
        </w:rPr>
      </w:pPr>
      <w:r>
        <w:rPr>
          <w:rFonts w:hint="eastAsia" w:ascii="仿宋_GB2312" w:hAnsi="仿宋_GB2312" w:eastAsia="仿宋_GB2312" w:cs="仿宋_GB2312"/>
          <w:b/>
          <w:bCs/>
          <w:color w:val="auto"/>
          <w:kern w:val="0"/>
          <w:sz w:val="28"/>
          <w:szCs w:val="28"/>
          <w:highlight w:val="none"/>
          <w:shd w:val="clear" w:color="auto" w:fill="auto"/>
          <w:lang w:val="zh-TW" w:eastAsia="zh-TW"/>
        </w:rPr>
        <w:t>表</w:t>
      </w:r>
      <w:r>
        <w:rPr>
          <w:rFonts w:hint="eastAsia" w:ascii="仿宋_GB2312" w:hAnsi="仿宋_GB2312" w:eastAsia="仿宋_GB2312" w:cs="仿宋_GB2312"/>
          <w:b/>
          <w:bCs/>
          <w:color w:val="auto"/>
          <w:kern w:val="0"/>
          <w:sz w:val="28"/>
          <w:szCs w:val="28"/>
          <w:highlight w:val="none"/>
          <w:shd w:val="clear" w:color="auto" w:fill="auto"/>
          <w:lang w:val="en-US" w:eastAsia="zh-CN"/>
        </w:rPr>
        <w:t>4-4项目效益</w:t>
      </w:r>
      <w:r>
        <w:rPr>
          <w:rFonts w:hint="eastAsia" w:ascii="仿宋_GB2312" w:hAnsi="仿宋_GB2312" w:eastAsia="仿宋_GB2312" w:cs="仿宋_GB2312"/>
          <w:b/>
          <w:bCs/>
          <w:color w:val="auto"/>
          <w:kern w:val="0"/>
          <w:sz w:val="28"/>
          <w:szCs w:val="28"/>
          <w:highlight w:val="none"/>
          <w:shd w:val="clear" w:color="auto" w:fill="auto"/>
          <w:lang w:val="zh-TW" w:eastAsia="zh-TW"/>
        </w:rPr>
        <w:t>指标及分值</w:t>
      </w:r>
      <w:r>
        <w:rPr>
          <w:rFonts w:hint="eastAsia" w:ascii="仿宋_GB2312" w:hAnsi="仿宋_GB2312" w:eastAsia="仿宋_GB2312" w:cs="仿宋_GB2312"/>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23236B0A">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E922F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一级</w:t>
            </w:r>
          </w:p>
          <w:p w14:paraId="05C898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5EAF8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E82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867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年度指</w:t>
            </w:r>
          </w:p>
          <w:p w14:paraId="7AE988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DF4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标杆</w:t>
            </w:r>
          </w:p>
          <w:p w14:paraId="6CA897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456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全年实</w:t>
            </w:r>
          </w:p>
          <w:p w14:paraId="72B403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DCF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指标</w:t>
            </w:r>
          </w:p>
          <w:p w14:paraId="03FB7F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color w:val="auto"/>
                <w:kern w:val="0"/>
                <w:sz w:val="20"/>
                <w:szCs w:val="20"/>
                <w:highlight w:val="none"/>
                <w:shd w:val="clear" w:color="auto" w:fill="auto"/>
                <w:lang w:val="en-US" w:eastAsia="zh-CN"/>
              </w:rPr>
            </w:pPr>
            <w:r>
              <w:rPr>
                <w:rFonts w:hint="eastAsia" w:ascii="仿宋_GB2312" w:hAnsi="仿宋_GB2312" w:eastAsia="仿宋_GB2312" w:cs="仿宋_GB2312"/>
                <w:b/>
                <w:bCs/>
                <w:color w:val="auto"/>
                <w:kern w:val="0"/>
                <w:sz w:val="20"/>
                <w:szCs w:val="20"/>
                <w:highlight w:val="none"/>
                <w:shd w:val="clear" w:color="auto" w:fill="auto"/>
                <w:lang w:val="en-US" w:eastAsia="zh-CN"/>
              </w:rPr>
              <w:t>得分</w:t>
            </w:r>
          </w:p>
        </w:tc>
      </w:tr>
      <w:tr w14:paraId="20BF5351">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0B4BD4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7277E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6163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有效解决天池景区基础设施建设资金不足问题</w:t>
            </w:r>
            <w:r>
              <w:rPr>
                <w:rFonts w:hint="eastAsia" w:ascii="仿宋_GB2312" w:hAnsi="仿宋_GB2312" w:eastAsia="仿宋_GB2312" w:cs="仿宋_GB2312"/>
                <w:color w:val="auto"/>
                <w:kern w:val="0"/>
                <w:sz w:val="20"/>
                <w:szCs w:val="20"/>
                <w:highlight w:val="none"/>
                <w:shd w:val="clear" w:color="auto" w:fill="auto"/>
                <w:lang w:val="en-US" w:eastAsia="zh-CN"/>
              </w:rPr>
              <w:tab/>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FB9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有效解决</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C3D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D1E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7B2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15</w:t>
            </w:r>
          </w:p>
        </w:tc>
      </w:tr>
      <w:tr w14:paraId="648023DB">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68F96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80D9D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4608A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C41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026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C78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C4A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w:t>
            </w:r>
          </w:p>
        </w:tc>
      </w:tr>
      <w:tr w14:paraId="064C7D63">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B67E2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59EC9F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E36A9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提升景区绿化生态品质和旅游品质</w:t>
            </w:r>
            <w:r>
              <w:rPr>
                <w:rFonts w:hint="eastAsia" w:ascii="仿宋_GB2312" w:hAnsi="仿宋_GB2312" w:eastAsia="仿宋_GB2312" w:cs="仿宋_GB2312"/>
                <w:color w:val="auto"/>
                <w:kern w:val="0"/>
                <w:sz w:val="20"/>
                <w:szCs w:val="20"/>
                <w:highlight w:val="none"/>
                <w:shd w:val="clear" w:color="auto" w:fill="auto"/>
                <w:lang w:val="en-US" w:eastAsia="zh-CN"/>
              </w:rPr>
              <w:tab/>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B4B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423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66B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2F4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w:t>
            </w:r>
          </w:p>
        </w:tc>
      </w:tr>
      <w:tr w14:paraId="070EDE35">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CE2F1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1AF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AFE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工商银行满意度</w:t>
            </w:r>
            <w:r>
              <w:rPr>
                <w:rFonts w:hint="eastAsia" w:ascii="仿宋_GB2312" w:hAnsi="仿宋_GB2312" w:eastAsia="仿宋_GB2312" w:cs="仿宋_GB2312"/>
                <w:color w:val="auto"/>
                <w:kern w:val="0"/>
                <w:sz w:val="20"/>
                <w:szCs w:val="20"/>
                <w:highlight w:val="none"/>
                <w:shd w:val="clear" w:color="auto" w:fill="auto"/>
                <w:lang w:val="en-US" w:eastAsia="zh-CN"/>
              </w:rPr>
              <w:tab/>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6A1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i w:val="0"/>
                <w:color w:val="auto"/>
                <w:kern w:val="0"/>
                <w:sz w:val="20"/>
                <w:szCs w:val="20"/>
                <w:highlight w:val="none"/>
                <w:u w:val="none"/>
                <w:lang w:val="en-US" w:eastAsia="zh-CN" w:bidi="ar"/>
              </w:rPr>
              <w:t>≥</w:t>
            </w:r>
            <w:r>
              <w:rPr>
                <w:rFonts w:hint="eastAsia" w:ascii="仿宋_GB2312" w:hAnsi="仿宋_GB2312" w:eastAsia="仿宋_GB2312" w:cs="仿宋_GB2312"/>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B4F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333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0AD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5</w:t>
            </w:r>
          </w:p>
        </w:tc>
      </w:tr>
      <w:tr w14:paraId="0441E16A">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B4F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5CB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29B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17D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kern w:val="0"/>
                <w:sz w:val="20"/>
                <w:szCs w:val="20"/>
                <w:highlight w:val="none"/>
                <w:shd w:val="clear" w:color="auto" w:fill="auto"/>
                <w:lang w:val="en-US" w:eastAsia="zh-CN"/>
              </w:rPr>
            </w:pPr>
            <w:r>
              <w:rPr>
                <w:rFonts w:hint="eastAsia" w:ascii="仿宋_GB2312" w:hAnsi="仿宋_GB2312" w:eastAsia="仿宋_GB2312" w:cs="仿宋_GB2312"/>
                <w:color w:val="auto"/>
                <w:kern w:val="0"/>
                <w:sz w:val="20"/>
                <w:szCs w:val="20"/>
                <w:highlight w:val="none"/>
                <w:shd w:val="clear" w:color="auto" w:fill="auto"/>
                <w:lang w:val="en-US" w:eastAsia="zh-CN"/>
              </w:rPr>
              <w:t>30</w:t>
            </w:r>
          </w:p>
        </w:tc>
      </w:tr>
    </w:tbl>
    <w:p w14:paraId="66AA6446">
      <w:pPr>
        <w:bidi w:val="0"/>
        <w:outlineLvl w:val="2"/>
        <w:rPr>
          <w:rFonts w:hint="eastAsia" w:ascii="仿宋_GB2312" w:hAnsi="仿宋_GB2312" w:eastAsia="仿宋_GB2312" w:cs="仿宋_GB2312"/>
          <w:b/>
          <w:bCs/>
          <w:color w:val="auto"/>
          <w:highlight w:val="none"/>
          <w:lang w:val="en-US" w:eastAsia="zh-CN"/>
        </w:rPr>
      </w:pPr>
      <w:bookmarkStart w:id="74" w:name="_Toc8010"/>
      <w:r>
        <w:rPr>
          <w:rFonts w:hint="eastAsia" w:ascii="仿宋_GB2312" w:hAnsi="仿宋_GB2312" w:eastAsia="仿宋_GB2312" w:cs="仿宋_GB2312"/>
          <w:b/>
          <w:bCs/>
          <w:color w:val="auto"/>
          <w:highlight w:val="none"/>
          <w:lang w:val="en-US" w:eastAsia="zh-CN"/>
        </w:rPr>
        <w:t>1.经济效益指标</w:t>
      </w:r>
      <w:bookmarkEnd w:id="74"/>
    </w:p>
    <w:p w14:paraId="25A41B3B">
      <w:pPr>
        <w:bidi w:val="0"/>
        <w:rPr>
          <w:rFonts w:hint="eastAsia" w:ascii="仿宋_GB2312" w:hAnsi="仿宋_GB2312" w:eastAsia="仿宋_GB2312" w:cs="仿宋_GB2312"/>
          <w:b/>
          <w:bCs/>
          <w:color w:val="auto"/>
          <w:highlight w:val="none"/>
          <w:lang w:val="en-US" w:eastAsia="zh-CN"/>
        </w:rPr>
      </w:pPr>
      <w:bookmarkStart w:id="75" w:name="_Toc19962"/>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有效解决天池景区基础设施建设资金不足问题</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指标，预期指标值为有效解决，实际完成为有效解决。</w:t>
      </w:r>
    </w:p>
    <w:p w14:paraId="0FBB0F3D">
      <w:pPr>
        <w:bidi w:val="0"/>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通过项目的实施，有效解决了天池景区基础设施建设资金不足的问题，加大了天池景区基础设施改造力度，为游客创造了优美的旅游环境。</w:t>
      </w:r>
    </w:p>
    <w:p w14:paraId="1F0149E5">
      <w:pPr>
        <w:bidi w:val="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b/>
          <w:bCs/>
          <w:color w:val="auto"/>
          <w:highlight w:val="none"/>
          <w:lang w:val="en-US" w:eastAsia="zh-CN"/>
        </w:rPr>
        <w:t>综上，该项指标满分15分，得分15分。</w:t>
      </w:r>
    </w:p>
    <w:p w14:paraId="72475EA9">
      <w:pPr>
        <w:numPr>
          <w:ilvl w:val="0"/>
          <w:numId w:val="0"/>
        </w:numPr>
        <w:bidi w:val="0"/>
        <w:ind w:firstLine="562" w:firstLineChars="20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kern w:val="2"/>
          <w:sz w:val="28"/>
          <w:szCs w:val="28"/>
          <w:highlight w:val="none"/>
          <w:lang w:val="en-US" w:eastAsia="zh-CN" w:bidi="ar-SA"/>
        </w:rPr>
        <w:t>2.</w:t>
      </w:r>
      <w:r>
        <w:rPr>
          <w:rFonts w:hint="eastAsia" w:ascii="仿宋_GB2312" w:hAnsi="仿宋_GB2312" w:eastAsia="仿宋_GB2312" w:cs="仿宋_GB2312"/>
          <w:b/>
          <w:bCs/>
          <w:color w:val="auto"/>
          <w:highlight w:val="none"/>
          <w:lang w:val="en-US" w:eastAsia="zh-CN"/>
        </w:rPr>
        <w:t xml:space="preserve">社会效益指标 </w:t>
      </w:r>
    </w:p>
    <w:p w14:paraId="1CE39AB1">
      <w:pPr>
        <w:numPr>
          <w:ilvl w:val="0"/>
          <w:numId w:val="0"/>
        </w:numPr>
        <w:bidi w:val="0"/>
        <w:ind w:firstLine="560" w:firstLineChars="20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本项目不涉及社会指标</w:t>
      </w:r>
    </w:p>
    <w:p w14:paraId="00150E61">
      <w:pPr>
        <w:bidi w:val="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b/>
          <w:bCs/>
          <w:color w:val="auto"/>
          <w:highlight w:val="none"/>
          <w:lang w:val="en-US" w:eastAsia="zh-CN"/>
        </w:rPr>
        <w:t>3.生态效益指标</w:t>
      </w:r>
    </w:p>
    <w:p w14:paraId="58D0DE9C">
      <w:pPr>
        <w:bidi w:val="0"/>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提升景区绿化生态品质和旅游品质</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指标，预期指标值为提升，实际完成为提升。</w:t>
      </w:r>
    </w:p>
    <w:p w14:paraId="0ADE3D77">
      <w:pPr>
        <w:bidi w:val="0"/>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通过项目的实施，加大天池景区基础设施建设，有效提升了景区绿化生态品质和旅游品质，营造了更好的旅游环境。</w:t>
      </w:r>
    </w:p>
    <w:p w14:paraId="526DF7A7">
      <w:pPr>
        <w:bidi w:val="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b/>
          <w:bCs/>
          <w:color w:val="auto"/>
          <w:highlight w:val="none"/>
          <w:lang w:val="en-US" w:eastAsia="zh-CN"/>
        </w:rPr>
        <w:t>综上，该项指标满分10分，得分10分。</w:t>
      </w:r>
    </w:p>
    <w:p w14:paraId="3CC3BBD5">
      <w:pPr>
        <w:bidi w:val="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4.满意度指标</w:t>
      </w:r>
    </w:p>
    <w:p w14:paraId="137949BD">
      <w:pPr>
        <w:bidi w:val="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工商银行满意度</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指标，预期指标值为</w:t>
      </w:r>
      <w:r>
        <w:rPr>
          <w:rFonts w:hint="eastAsia" w:ascii="仿宋_GB2312" w:hAnsi="仿宋_GB2312" w:eastAsia="仿宋_GB2312" w:cs="仿宋_GB2312"/>
          <w:i w:val="0"/>
          <w:color w:val="auto"/>
          <w:kern w:val="0"/>
          <w:sz w:val="20"/>
          <w:szCs w:val="20"/>
          <w:highlight w:val="none"/>
          <w:u w:val="none"/>
          <w:lang w:val="en-US" w:eastAsia="zh-CN" w:bidi="ar"/>
        </w:rPr>
        <w:t>≥</w:t>
      </w:r>
      <w:r>
        <w:rPr>
          <w:rFonts w:hint="eastAsia" w:ascii="仿宋_GB2312" w:hAnsi="仿宋_GB2312" w:eastAsia="仿宋_GB2312" w:cs="仿宋_GB2312"/>
          <w:color w:val="auto"/>
          <w:highlight w:val="none"/>
          <w:lang w:val="en-US" w:eastAsia="zh-CN"/>
        </w:rPr>
        <w:t>95%，实际完成为100%。</w:t>
      </w:r>
    </w:p>
    <w:p w14:paraId="64071218">
      <w:pPr>
        <w:bidi w:val="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综上，该项指标满分5分，得分5分。</w:t>
      </w:r>
    </w:p>
    <w:p w14:paraId="3B68B606">
      <w:pPr>
        <w:bidi w:val="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五、预算执行进度与指标偏差</w:t>
      </w:r>
      <w:bookmarkEnd w:id="75"/>
    </w:p>
    <w:p w14:paraId="6FAF8C95">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该</w:t>
      </w:r>
      <w:r>
        <w:rPr>
          <w:rFonts w:hint="eastAsia" w:ascii="仿宋_GB2312" w:hAnsi="仿宋_GB2312" w:eastAsia="仿宋_GB2312" w:cs="仿宋_GB2312"/>
          <w:color w:val="auto"/>
          <w:sz w:val="28"/>
          <w:szCs w:val="28"/>
          <w:highlight w:val="none"/>
          <w:lang w:eastAsia="zh-CN"/>
        </w:rPr>
        <w:t>项目预算资金总额为</w:t>
      </w:r>
      <w:r>
        <w:rPr>
          <w:rFonts w:hint="eastAsia" w:ascii="仿宋_GB2312" w:hAnsi="仿宋_GB2312" w:eastAsia="仿宋_GB2312" w:cs="仿宋_GB2312"/>
          <w:b/>
          <w:bCs/>
          <w:color w:val="auto"/>
          <w:sz w:val="28"/>
          <w:szCs w:val="28"/>
          <w:highlight w:val="none"/>
          <w:lang w:val="en-US" w:eastAsia="zh-CN"/>
        </w:rPr>
        <w:t>5637.93</w:t>
      </w:r>
      <w:r>
        <w:rPr>
          <w:rFonts w:hint="eastAsia" w:ascii="仿宋_GB2312" w:hAnsi="仿宋_GB2312" w:eastAsia="仿宋_GB2312" w:cs="仿宋_GB2312"/>
          <w:color w:val="auto"/>
          <w:sz w:val="28"/>
          <w:szCs w:val="28"/>
          <w:highlight w:val="none"/>
          <w:lang w:val="en-US" w:eastAsia="zh-CN"/>
        </w:rPr>
        <w:t>万元，全年执行数为</w:t>
      </w:r>
      <w:r>
        <w:rPr>
          <w:rFonts w:hint="eastAsia" w:ascii="仿宋_GB2312" w:hAnsi="仿宋_GB2312" w:eastAsia="仿宋_GB2312" w:cs="仿宋_GB2312"/>
          <w:b/>
          <w:bCs/>
          <w:color w:val="auto"/>
          <w:sz w:val="28"/>
          <w:szCs w:val="28"/>
          <w:highlight w:val="none"/>
          <w:lang w:val="en-US" w:eastAsia="zh-CN"/>
        </w:rPr>
        <w:t>5637.93</w:t>
      </w:r>
      <w:r>
        <w:rPr>
          <w:rFonts w:hint="eastAsia" w:ascii="仿宋_GB2312" w:hAnsi="仿宋_GB2312" w:eastAsia="仿宋_GB2312" w:cs="仿宋_GB2312"/>
          <w:color w:val="auto"/>
          <w:sz w:val="28"/>
          <w:szCs w:val="28"/>
          <w:highlight w:val="none"/>
          <w:lang w:val="en-US" w:eastAsia="zh-CN"/>
        </w:rPr>
        <w:t>万元，预算执行率为</w:t>
      </w:r>
      <w:r>
        <w:rPr>
          <w:rFonts w:hint="eastAsia" w:ascii="仿宋_GB2312" w:hAnsi="仿宋_GB2312" w:eastAsia="仿宋_GB2312" w:cs="仿宋_GB2312"/>
          <w:b/>
          <w:bCs/>
          <w:color w:val="auto"/>
          <w:sz w:val="28"/>
          <w:szCs w:val="28"/>
          <w:highlight w:val="none"/>
          <w:lang w:val="en-US" w:eastAsia="zh-CN"/>
        </w:rPr>
        <w:t>100</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eastAsia="zh-CN"/>
        </w:rPr>
        <w:t>总体完成率为</w:t>
      </w:r>
      <w:r>
        <w:rPr>
          <w:rFonts w:hint="eastAsia" w:ascii="仿宋_GB2312" w:hAnsi="仿宋_GB2312" w:eastAsia="仿宋_GB2312" w:cs="仿宋_GB2312"/>
          <w:b/>
          <w:bCs/>
          <w:color w:val="auto"/>
          <w:sz w:val="28"/>
          <w:szCs w:val="28"/>
          <w:highlight w:val="none"/>
          <w:lang w:val="en-US" w:eastAsia="zh-CN"/>
        </w:rPr>
        <w:t>98.11</w:t>
      </w:r>
      <w:r>
        <w:rPr>
          <w:rFonts w:hint="eastAsia" w:ascii="仿宋_GB2312" w:hAnsi="仿宋_GB2312" w:eastAsia="仿宋_GB2312" w:cs="仿宋_GB2312"/>
          <w:color w:val="auto"/>
          <w:sz w:val="28"/>
          <w:szCs w:val="28"/>
          <w:highlight w:val="none"/>
          <w:lang w:val="zh-TW" w:eastAsia="zh-TW"/>
        </w:rPr>
        <w:t>%。</w:t>
      </w:r>
      <w:r>
        <w:rPr>
          <w:rFonts w:hint="eastAsia" w:ascii="仿宋_GB2312" w:hAnsi="仿宋_GB2312" w:eastAsia="仿宋_GB2312" w:cs="仿宋_GB2312"/>
          <w:color w:val="auto"/>
          <w:sz w:val="28"/>
          <w:szCs w:val="28"/>
          <w:highlight w:val="none"/>
          <w:lang w:val="en-US" w:eastAsia="zh-CN"/>
        </w:rPr>
        <w:t>预算执行率与总体完成率之间的偏差为</w:t>
      </w:r>
      <w:r>
        <w:rPr>
          <w:rFonts w:hint="eastAsia" w:ascii="仿宋_GB2312" w:hAnsi="仿宋_GB2312" w:eastAsia="仿宋_GB2312" w:cs="仿宋_GB2312"/>
          <w:b/>
          <w:bCs/>
          <w:color w:val="auto"/>
          <w:sz w:val="28"/>
          <w:szCs w:val="28"/>
          <w:highlight w:val="none"/>
          <w:lang w:val="en-US" w:eastAsia="zh-CN"/>
        </w:rPr>
        <w:t>1.89</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rPr>
        <w:t>。</w:t>
      </w:r>
    </w:p>
    <w:p w14:paraId="729FA55B">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存在偏差情况的原因是：银行利率是按当期利率估算的，即预算数按当期利率估算，存在预算数高于执行数。</w:t>
      </w:r>
    </w:p>
    <w:p w14:paraId="64E22FA4">
      <w:pPr>
        <w:bidi w:val="0"/>
        <w:rPr>
          <w:rFonts w:hint="eastAsia" w:ascii="仿宋_GB2312" w:hAnsi="仿宋_GB2312" w:eastAsia="仿宋_GB2312" w:cs="仿宋_GB2312"/>
          <w:b/>
          <w:bCs/>
          <w:color w:val="auto"/>
          <w:sz w:val="32"/>
          <w:szCs w:val="32"/>
          <w:highlight w:val="none"/>
          <w:lang w:val="en-US" w:eastAsia="zh-CN"/>
        </w:rPr>
      </w:pPr>
      <w:bookmarkStart w:id="76" w:name="_Toc29934"/>
      <w:r>
        <w:rPr>
          <w:rFonts w:hint="eastAsia" w:ascii="仿宋_GB2312" w:hAnsi="仿宋_GB2312" w:eastAsia="仿宋_GB2312" w:cs="仿宋_GB2312"/>
          <w:b/>
          <w:bCs/>
          <w:color w:val="auto"/>
          <w:sz w:val="32"/>
          <w:szCs w:val="32"/>
          <w:highlight w:val="none"/>
          <w:lang w:val="en-US" w:eastAsia="zh-CN"/>
        </w:rPr>
        <w:t>六、主要经验及做法、存在的问题及原因分析</w:t>
      </w:r>
      <w:bookmarkEnd w:id="76"/>
    </w:p>
    <w:p w14:paraId="0329FFF3">
      <w:pPr>
        <w:numPr>
          <w:ilvl w:val="0"/>
          <w:numId w:val="0"/>
        </w:numPr>
        <w:bidi w:val="0"/>
        <w:ind w:left="560" w:leftChars="0"/>
        <w:outlineLvl w:val="1"/>
        <w:rPr>
          <w:rFonts w:hint="eastAsia" w:ascii="仿宋_GB2312" w:hAnsi="仿宋_GB2312" w:eastAsia="仿宋_GB2312" w:cs="仿宋_GB2312"/>
          <w:b/>
          <w:bCs/>
          <w:color w:val="auto"/>
          <w:sz w:val="28"/>
          <w:szCs w:val="28"/>
          <w:highlight w:val="none"/>
          <w:lang w:eastAsia="zh-CN"/>
        </w:rPr>
      </w:pPr>
      <w:bookmarkStart w:id="77" w:name="_Toc13160"/>
      <w:bookmarkStart w:id="78" w:name="_Toc28290"/>
      <w:bookmarkStart w:id="79" w:name="_Toc1921"/>
      <w:r>
        <w:rPr>
          <w:rFonts w:hint="eastAsia" w:ascii="仿宋_GB2312" w:hAnsi="仿宋_GB2312" w:eastAsia="仿宋_GB2312" w:cs="仿宋_GB2312"/>
          <w:b/>
          <w:bCs/>
          <w:color w:val="auto"/>
          <w:sz w:val="28"/>
          <w:szCs w:val="28"/>
          <w:highlight w:val="none"/>
          <w:lang w:eastAsia="zh-CN"/>
        </w:rPr>
        <w:t>（</w:t>
      </w:r>
      <w:r>
        <w:rPr>
          <w:rFonts w:hint="eastAsia" w:ascii="仿宋_GB2312" w:hAnsi="仿宋_GB2312" w:eastAsia="仿宋_GB2312" w:cs="仿宋_GB2312"/>
          <w:b/>
          <w:bCs/>
          <w:color w:val="auto"/>
          <w:sz w:val="28"/>
          <w:szCs w:val="28"/>
          <w:highlight w:val="none"/>
          <w:lang w:val="en-US" w:eastAsia="zh-CN"/>
        </w:rPr>
        <w:t>一</w:t>
      </w:r>
      <w:r>
        <w:rPr>
          <w:rFonts w:hint="eastAsia" w:ascii="仿宋_GB2312" w:hAnsi="仿宋_GB2312" w:eastAsia="仿宋_GB2312" w:cs="仿宋_GB2312"/>
          <w:b/>
          <w:bCs/>
          <w:color w:val="auto"/>
          <w:sz w:val="28"/>
          <w:szCs w:val="28"/>
          <w:highlight w:val="none"/>
          <w:lang w:eastAsia="zh-CN"/>
        </w:rPr>
        <w:t>）</w:t>
      </w:r>
      <w:r>
        <w:rPr>
          <w:rFonts w:hint="eastAsia" w:ascii="仿宋_GB2312" w:hAnsi="仿宋_GB2312" w:eastAsia="仿宋_GB2312" w:cs="仿宋_GB2312"/>
          <w:b/>
          <w:bCs/>
          <w:color w:val="auto"/>
          <w:sz w:val="28"/>
          <w:szCs w:val="28"/>
          <w:highlight w:val="none"/>
        </w:rPr>
        <w:t>主要经验及做法</w:t>
      </w:r>
      <w:bookmarkEnd w:id="77"/>
    </w:p>
    <w:bookmarkEnd w:id="78"/>
    <w:bookmarkEnd w:id="79"/>
    <w:p w14:paraId="4CB0112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28"/>
          <w:szCs w:val="28"/>
          <w:highlight w:val="none"/>
          <w:lang w:eastAsia="zh-CN"/>
        </w:rPr>
      </w:pPr>
      <w:bookmarkStart w:id="80" w:name="_Toc9582"/>
      <w:r>
        <w:rPr>
          <w:rFonts w:hint="eastAsia" w:ascii="仿宋_GB2312" w:hAnsi="仿宋_GB2312" w:eastAsia="仿宋_GB2312" w:cs="仿宋_GB2312"/>
          <w:color w:val="auto"/>
          <w:sz w:val="28"/>
          <w:szCs w:val="28"/>
          <w:highlight w:val="none"/>
          <w:lang w:val="en-US" w:eastAsia="zh-CN"/>
        </w:rPr>
        <w:t>天池管委会2023年归还贷款本息项目</w:t>
      </w:r>
      <w:r>
        <w:rPr>
          <w:rFonts w:hint="eastAsia" w:ascii="仿宋_GB2312" w:hAnsi="仿宋_GB2312" w:eastAsia="仿宋_GB2312" w:cs="仿宋_GB2312"/>
          <w:color w:val="auto"/>
          <w:sz w:val="28"/>
          <w:szCs w:val="28"/>
          <w:highlight w:val="none"/>
          <w:lang w:eastAsia="zh-CN"/>
        </w:rPr>
        <w:t>20</w:t>
      </w:r>
      <w:r>
        <w:rPr>
          <w:rFonts w:hint="eastAsia" w:ascii="仿宋_GB2312" w:hAnsi="仿宋_GB2312" w:eastAsia="仿宋_GB2312" w:cs="仿宋_GB2312"/>
          <w:color w:val="auto"/>
          <w:sz w:val="28"/>
          <w:szCs w:val="28"/>
          <w:highlight w:val="none"/>
          <w:lang w:val="en-US" w:eastAsia="zh-CN"/>
        </w:rPr>
        <w:t>23</w:t>
      </w:r>
      <w:r>
        <w:rPr>
          <w:rFonts w:hint="eastAsia" w:ascii="仿宋_GB2312" w:hAnsi="仿宋_GB2312" w:eastAsia="仿宋_GB2312" w:cs="仿宋_GB2312"/>
          <w:color w:val="auto"/>
          <w:sz w:val="28"/>
          <w:szCs w:val="28"/>
          <w:highlight w:val="none"/>
          <w:lang w:eastAsia="zh-CN"/>
        </w:rPr>
        <w:t>年预算</w:t>
      </w:r>
      <w:r>
        <w:rPr>
          <w:rFonts w:hint="eastAsia" w:ascii="仿宋_GB2312" w:hAnsi="仿宋_GB2312" w:eastAsia="仿宋_GB2312" w:cs="仿宋_GB2312"/>
          <w:color w:val="auto"/>
          <w:sz w:val="28"/>
          <w:szCs w:val="28"/>
          <w:highlight w:val="none"/>
          <w:lang w:val="en-US" w:eastAsia="zh-CN"/>
        </w:rPr>
        <w:t>数</w:t>
      </w:r>
      <w:r>
        <w:rPr>
          <w:rFonts w:hint="eastAsia" w:ascii="仿宋_GB2312" w:hAnsi="仿宋_GB2312" w:eastAsia="仿宋_GB2312" w:cs="仿宋_GB2312"/>
          <w:color w:val="auto"/>
          <w:sz w:val="28"/>
          <w:szCs w:val="28"/>
          <w:highlight w:val="none"/>
          <w:lang w:eastAsia="zh-CN"/>
        </w:rPr>
        <w:t>为</w:t>
      </w:r>
      <w:r>
        <w:rPr>
          <w:rFonts w:hint="eastAsia" w:ascii="仿宋_GB2312" w:hAnsi="仿宋_GB2312" w:eastAsia="仿宋_GB2312" w:cs="仿宋_GB2312"/>
          <w:b/>
          <w:bCs/>
          <w:color w:val="auto"/>
          <w:sz w:val="28"/>
          <w:szCs w:val="28"/>
          <w:highlight w:val="none"/>
          <w:lang w:val="en-US" w:eastAsia="zh-CN"/>
        </w:rPr>
        <w:t>5637.93</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截至2023年12月31日共</w:t>
      </w:r>
      <w:r>
        <w:rPr>
          <w:rFonts w:hint="eastAsia" w:ascii="仿宋_GB2312" w:hAnsi="仿宋_GB2312" w:eastAsia="仿宋_GB2312" w:cs="仿宋_GB2312"/>
          <w:color w:val="auto"/>
          <w:sz w:val="28"/>
          <w:szCs w:val="28"/>
          <w:highlight w:val="none"/>
          <w:lang w:eastAsia="zh-CN"/>
        </w:rPr>
        <w:t>支出</w:t>
      </w:r>
      <w:r>
        <w:rPr>
          <w:rFonts w:hint="eastAsia" w:ascii="仿宋_GB2312" w:hAnsi="仿宋_GB2312" w:eastAsia="仿宋_GB2312" w:cs="仿宋_GB2312"/>
          <w:b/>
          <w:bCs/>
          <w:color w:val="auto"/>
          <w:sz w:val="28"/>
          <w:szCs w:val="28"/>
          <w:highlight w:val="none"/>
          <w:lang w:val="en-US" w:eastAsia="zh-CN"/>
        </w:rPr>
        <w:t>5637.93</w:t>
      </w:r>
      <w:r>
        <w:rPr>
          <w:rFonts w:hint="eastAsia" w:ascii="仿宋_GB2312" w:hAnsi="仿宋_GB2312" w:eastAsia="仿宋_GB2312" w:cs="仿宋_GB2312"/>
          <w:color w:val="auto"/>
          <w:sz w:val="28"/>
          <w:szCs w:val="28"/>
          <w:highlight w:val="none"/>
          <w:lang w:eastAsia="zh-CN"/>
        </w:rPr>
        <w:t>万元，预算</w:t>
      </w:r>
      <w:r>
        <w:rPr>
          <w:rFonts w:hint="eastAsia" w:ascii="仿宋_GB2312" w:hAnsi="仿宋_GB2312" w:eastAsia="仿宋_GB2312" w:cs="仿宋_GB2312"/>
          <w:color w:val="auto"/>
          <w:sz w:val="28"/>
          <w:szCs w:val="28"/>
          <w:highlight w:val="none"/>
          <w:lang w:val="en-US" w:eastAsia="zh-CN"/>
        </w:rPr>
        <w:t>执行</w:t>
      </w:r>
      <w:r>
        <w:rPr>
          <w:rFonts w:hint="eastAsia" w:ascii="仿宋_GB2312" w:hAnsi="仿宋_GB2312" w:eastAsia="仿宋_GB2312" w:cs="仿宋_GB2312"/>
          <w:color w:val="auto"/>
          <w:sz w:val="28"/>
          <w:szCs w:val="28"/>
          <w:highlight w:val="none"/>
          <w:lang w:eastAsia="zh-CN"/>
        </w:rPr>
        <w:t>率为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lang w:eastAsia="zh-CN"/>
        </w:rPr>
        <w:t>%。</w:t>
      </w:r>
    </w:p>
    <w:p w14:paraId="5D134ECA">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新疆天池管理委员会</w:t>
      </w:r>
      <w:r>
        <w:rPr>
          <w:rFonts w:hint="eastAsia" w:ascii="仿宋_GB2312" w:hAnsi="仿宋_GB2312" w:eastAsia="仿宋_GB2312" w:cs="仿宋_GB2312"/>
          <w:color w:val="auto"/>
          <w:sz w:val="28"/>
          <w:szCs w:val="28"/>
          <w:highlight w:val="none"/>
          <w:lang w:eastAsia="zh-CN"/>
        </w:rPr>
        <w:t>建立健全了预算管理规章制度，各部门严格按预算编制的原则和要求做好当年预算编制工作，在预算绩效管理工作中，做到合理安排各项资金，重点保障基本支出，按轻重缓急顺序原则，优先安排了</w:t>
      </w:r>
      <w:r>
        <w:rPr>
          <w:rFonts w:hint="eastAsia" w:ascii="仿宋_GB2312" w:hAnsi="仿宋_GB2312" w:eastAsia="仿宋_GB2312" w:cs="仿宋_GB2312"/>
          <w:color w:val="auto"/>
          <w:sz w:val="28"/>
          <w:szCs w:val="28"/>
          <w:highlight w:val="none"/>
          <w:lang w:val="en-US" w:eastAsia="zh-CN"/>
        </w:rPr>
        <w:t>新疆天池管理委员会</w:t>
      </w:r>
      <w:r>
        <w:rPr>
          <w:rFonts w:hint="eastAsia" w:ascii="仿宋_GB2312" w:hAnsi="仿宋_GB2312" w:eastAsia="仿宋_GB2312" w:cs="仿宋_GB2312"/>
          <w:color w:val="auto"/>
          <w:sz w:val="28"/>
          <w:szCs w:val="28"/>
          <w:highlight w:val="none"/>
          <w:lang w:eastAsia="zh-CN"/>
        </w:rPr>
        <w:t>事业发展中关系民生与稳定的项目，切实优化资源配置，提高了资金使用的效率和效果。</w:t>
      </w:r>
    </w:p>
    <w:p w14:paraId="17F7D18C">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（二）存在的问题及原因分析</w:t>
      </w:r>
      <w:bookmarkEnd w:id="80"/>
    </w:p>
    <w:p w14:paraId="2919B9E1">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_GB2312" w:hAnsi="仿宋_GB2312" w:eastAsia="仿宋_GB2312" w:cs="仿宋_GB2312"/>
          <w:color w:val="auto"/>
          <w:sz w:val="28"/>
          <w:szCs w:val="28"/>
          <w:highlight w:val="none"/>
          <w:lang w:val="en-US" w:eastAsia="zh-CN"/>
        </w:rPr>
      </w:pPr>
      <w:bookmarkStart w:id="81" w:name="_Toc5230"/>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28"/>
          <w:szCs w:val="28"/>
          <w:highlight w:val="none"/>
          <w:lang w:val="en-US" w:eastAsia="zh-CN"/>
        </w:rPr>
        <w:t>结合景林实际贯彻落实新发展理念力度不够，办法不多，主要原因是旅游业态产品与广大游客多元化需求还有差距。</w:t>
      </w:r>
    </w:p>
    <w:p w14:paraId="0E1AFF20">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28"/>
          <w:szCs w:val="28"/>
          <w:highlight w:val="none"/>
          <w:lang w:val="en-US" w:eastAsia="zh-CN"/>
        </w:rPr>
        <w:t>目前财务人员工作量较大，任务繁重，主要原因是财务人员培训力度不大，提高业务水平和能力本领不强。</w:t>
      </w:r>
    </w:p>
    <w:p w14:paraId="2C5AFC16">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28"/>
          <w:szCs w:val="28"/>
          <w:highlight w:val="none"/>
          <w:lang w:val="en-US" w:eastAsia="zh-CN"/>
        </w:rPr>
        <w:t>对“关键岗位”“关键少数”监督管理还有不足，主要原因是个别党员干部作风不实，干事创业的精气神不佳。</w:t>
      </w:r>
    </w:p>
    <w:p w14:paraId="52B93889">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七、有关建议</w:t>
      </w:r>
      <w:bookmarkEnd w:id="81"/>
    </w:p>
    <w:p w14:paraId="3DA2179A">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28"/>
          <w:szCs w:val="28"/>
          <w:highlight w:val="none"/>
          <w:lang w:val="en-US" w:eastAsia="zh-CN"/>
        </w:rPr>
        <w:t>贯彻落实新发展理念力度，大力发展旅游业态产品与广大游客多元化。</w:t>
      </w:r>
    </w:p>
    <w:p w14:paraId="550A7455">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28"/>
          <w:szCs w:val="28"/>
          <w:highlight w:val="none"/>
          <w:lang w:val="en-US" w:eastAsia="zh-CN"/>
        </w:rPr>
        <w:t>加强理论和实际操作培训，对从业人员进行知识普及，提供人才保障；</w:t>
      </w:r>
    </w:p>
    <w:p w14:paraId="11250BD6">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28"/>
          <w:szCs w:val="28"/>
          <w:highlight w:val="none"/>
          <w:lang w:val="en-US" w:eastAsia="zh-CN"/>
        </w:rPr>
        <w:t>统筹好发展和安全，正确处理好保护与发展的关系，坚定信心，锐意进取，团结一心，攻坚克难，锚定目标不放松，笃行实干开新局。</w:t>
      </w:r>
    </w:p>
    <w:p w14:paraId="07C27B6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bookmarkStart w:id="82" w:name="_Toc15618"/>
      <w:r>
        <w:rPr>
          <w:rFonts w:hint="eastAsia" w:ascii="仿宋_GB2312" w:hAnsi="仿宋_GB2312" w:eastAsia="仿宋_GB2312" w:cs="仿宋_GB2312"/>
          <w:b/>
          <w:bCs/>
          <w:color w:val="auto"/>
          <w:sz w:val="32"/>
          <w:szCs w:val="32"/>
          <w:highlight w:val="none"/>
          <w:lang w:val="en-US" w:eastAsia="zh-CN"/>
        </w:rPr>
        <w:t>八、其他需要说明的问题</w:t>
      </w:r>
      <w:bookmarkEnd w:id="82"/>
    </w:p>
    <w:p w14:paraId="51A956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无其他需要说明的问题。</w:t>
      </w:r>
    </w:p>
    <w:p w14:paraId="2C544AF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419593BD">
      <w:pPr>
        <w:bidi w:val="0"/>
        <w:rPr>
          <w:rFonts w:hint="eastAsia"/>
          <w:b/>
          <w:bCs/>
          <w:color w:val="auto"/>
          <w:highlight w:val="none"/>
          <w:lang w:val="en-US" w:eastAsia="zh-CN"/>
        </w:rPr>
      </w:pPr>
      <w:r>
        <w:rPr>
          <w:rFonts w:hint="eastAsia"/>
          <w:b/>
          <w:bCs/>
          <w:color w:val="auto"/>
          <w:highlight w:val="none"/>
          <w:lang w:val="en-US" w:eastAsia="zh-CN"/>
        </w:rPr>
        <w:t>附件一、项目支出绩效自评表</w:t>
      </w:r>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65"/>
        <w:gridCol w:w="732"/>
        <w:gridCol w:w="792"/>
        <w:gridCol w:w="788"/>
        <w:gridCol w:w="1169"/>
        <w:gridCol w:w="849"/>
        <w:gridCol w:w="849"/>
        <w:gridCol w:w="875"/>
        <w:gridCol w:w="1108"/>
        <w:gridCol w:w="1009"/>
        <w:gridCol w:w="1010"/>
        <w:gridCol w:w="1045"/>
        <w:gridCol w:w="1081"/>
        <w:gridCol w:w="2002"/>
      </w:tblGrid>
      <w:tr w14:paraId="7D8E1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14:paraId="141E08AC">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37DDBB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14:paraId="32253220">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401E8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597" w:type="dxa"/>
            <w:gridSpan w:val="2"/>
            <w:tcBorders>
              <w:tl2br w:val="nil"/>
              <w:tr2bl w:val="nil"/>
            </w:tcBorders>
            <w:shd w:val="clear" w:color="auto" w:fill="auto"/>
            <w:vAlign w:val="center"/>
          </w:tcPr>
          <w:p w14:paraId="218FCC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77" w:type="dxa"/>
            <w:gridSpan w:val="12"/>
            <w:tcBorders>
              <w:tl2br w:val="nil"/>
              <w:tr2bl w:val="nil"/>
            </w:tcBorders>
            <w:shd w:val="clear" w:color="auto" w:fill="auto"/>
            <w:vAlign w:val="center"/>
          </w:tcPr>
          <w:p w14:paraId="7F8FBD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2023年天池管委会还本付息支出</w:t>
            </w:r>
          </w:p>
        </w:tc>
      </w:tr>
      <w:tr w14:paraId="37CDC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597" w:type="dxa"/>
            <w:gridSpan w:val="2"/>
            <w:tcBorders>
              <w:tl2br w:val="nil"/>
              <w:tr2bl w:val="nil"/>
            </w:tcBorders>
            <w:shd w:val="clear" w:color="auto" w:fill="auto"/>
            <w:vAlign w:val="center"/>
          </w:tcPr>
          <w:p w14:paraId="15C373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447" w:type="dxa"/>
            <w:gridSpan w:val="5"/>
            <w:tcBorders>
              <w:tl2br w:val="nil"/>
              <w:tr2bl w:val="nil"/>
            </w:tcBorders>
            <w:shd w:val="clear" w:color="auto" w:fill="auto"/>
            <w:vAlign w:val="center"/>
          </w:tcPr>
          <w:p w14:paraId="1A368C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新疆天池管理委员会</w:t>
            </w:r>
          </w:p>
        </w:tc>
        <w:tc>
          <w:tcPr>
            <w:tcW w:w="1983" w:type="dxa"/>
            <w:gridSpan w:val="2"/>
            <w:tcBorders>
              <w:tl2br w:val="nil"/>
              <w:tr2bl w:val="nil"/>
            </w:tcBorders>
            <w:shd w:val="clear" w:color="auto" w:fill="auto"/>
            <w:vAlign w:val="center"/>
          </w:tcPr>
          <w:p w14:paraId="0D5041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147" w:type="dxa"/>
            <w:gridSpan w:val="5"/>
            <w:tcBorders>
              <w:tl2br w:val="nil"/>
              <w:tr2bl w:val="nil"/>
            </w:tcBorders>
            <w:shd w:val="clear" w:color="auto" w:fill="auto"/>
            <w:vAlign w:val="center"/>
          </w:tcPr>
          <w:p w14:paraId="330DA1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新疆天池管理委员会</w:t>
            </w:r>
          </w:p>
        </w:tc>
      </w:tr>
      <w:tr w14:paraId="41B54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597" w:type="dxa"/>
            <w:gridSpan w:val="2"/>
            <w:vMerge w:val="restart"/>
            <w:tcBorders>
              <w:tl2br w:val="nil"/>
              <w:tr2bl w:val="nil"/>
            </w:tcBorders>
            <w:shd w:val="clear" w:color="auto" w:fill="auto"/>
            <w:vAlign w:val="center"/>
          </w:tcPr>
          <w:p w14:paraId="176C92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580" w:type="dxa"/>
            <w:gridSpan w:val="2"/>
            <w:tcBorders>
              <w:tl2br w:val="nil"/>
              <w:tr2bl w:val="nil"/>
            </w:tcBorders>
            <w:shd w:val="clear" w:color="auto" w:fill="auto"/>
            <w:vAlign w:val="center"/>
          </w:tcPr>
          <w:p w14:paraId="40B64B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69" w:type="dxa"/>
            <w:tcBorders>
              <w:tl2br w:val="nil"/>
              <w:tr2bl w:val="nil"/>
            </w:tcBorders>
            <w:shd w:val="clear" w:color="auto" w:fill="auto"/>
            <w:vAlign w:val="center"/>
          </w:tcPr>
          <w:p w14:paraId="7B5ED2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98" w:type="dxa"/>
            <w:gridSpan w:val="2"/>
            <w:tcBorders>
              <w:tl2br w:val="nil"/>
              <w:tr2bl w:val="nil"/>
            </w:tcBorders>
            <w:shd w:val="clear" w:color="auto" w:fill="auto"/>
            <w:vAlign w:val="center"/>
          </w:tcPr>
          <w:p w14:paraId="772023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83" w:type="dxa"/>
            <w:gridSpan w:val="2"/>
            <w:tcBorders>
              <w:tl2br w:val="nil"/>
              <w:tr2bl w:val="nil"/>
            </w:tcBorders>
            <w:shd w:val="clear" w:color="auto" w:fill="auto"/>
            <w:vAlign w:val="center"/>
          </w:tcPr>
          <w:p w14:paraId="656BE7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19" w:type="dxa"/>
            <w:gridSpan w:val="2"/>
            <w:tcBorders>
              <w:tl2br w:val="nil"/>
              <w:tr2bl w:val="nil"/>
            </w:tcBorders>
            <w:shd w:val="clear" w:color="auto" w:fill="auto"/>
            <w:vAlign w:val="center"/>
          </w:tcPr>
          <w:p w14:paraId="752519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26" w:type="dxa"/>
            <w:gridSpan w:val="2"/>
            <w:tcBorders>
              <w:tl2br w:val="nil"/>
              <w:tr2bl w:val="nil"/>
            </w:tcBorders>
            <w:shd w:val="clear" w:color="auto" w:fill="auto"/>
            <w:vAlign w:val="center"/>
          </w:tcPr>
          <w:p w14:paraId="34F3C9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002" w:type="dxa"/>
            <w:tcBorders>
              <w:tl2br w:val="nil"/>
              <w:tr2bl w:val="nil"/>
            </w:tcBorders>
            <w:shd w:val="clear" w:color="auto" w:fill="auto"/>
            <w:vAlign w:val="center"/>
          </w:tcPr>
          <w:p w14:paraId="591AA7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04E7C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597" w:type="dxa"/>
            <w:gridSpan w:val="2"/>
            <w:vMerge w:val="continue"/>
            <w:tcBorders>
              <w:tl2br w:val="nil"/>
              <w:tr2bl w:val="nil"/>
            </w:tcBorders>
            <w:shd w:val="clear" w:color="auto" w:fill="auto"/>
            <w:vAlign w:val="center"/>
          </w:tcPr>
          <w:p w14:paraId="69734D72">
            <w:pPr>
              <w:jc w:val="center"/>
              <w:rPr>
                <w:rFonts w:hint="eastAsia" w:ascii="宋体" w:hAnsi="宋体" w:eastAsia="宋体" w:cs="宋体"/>
                <w:i w:val="0"/>
                <w:iCs w:val="0"/>
                <w:color w:val="000000"/>
                <w:sz w:val="20"/>
                <w:szCs w:val="20"/>
                <w:u w:val="none"/>
              </w:rPr>
            </w:pPr>
          </w:p>
        </w:tc>
        <w:tc>
          <w:tcPr>
            <w:tcW w:w="1580" w:type="dxa"/>
            <w:gridSpan w:val="2"/>
            <w:tcBorders>
              <w:tl2br w:val="nil"/>
              <w:tr2bl w:val="nil"/>
            </w:tcBorders>
            <w:shd w:val="clear" w:color="auto" w:fill="auto"/>
            <w:vAlign w:val="center"/>
          </w:tcPr>
          <w:p w14:paraId="620571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69" w:type="dxa"/>
            <w:tcBorders>
              <w:tl2br w:val="nil"/>
              <w:tr2bl w:val="nil"/>
            </w:tcBorders>
            <w:shd w:val="clear" w:color="auto" w:fill="auto"/>
            <w:vAlign w:val="center"/>
          </w:tcPr>
          <w:p w14:paraId="6FD051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5752.00 </w:t>
            </w:r>
          </w:p>
        </w:tc>
        <w:tc>
          <w:tcPr>
            <w:tcW w:w="1698" w:type="dxa"/>
            <w:gridSpan w:val="2"/>
            <w:tcBorders>
              <w:tl2br w:val="nil"/>
              <w:tr2bl w:val="nil"/>
            </w:tcBorders>
            <w:shd w:val="clear" w:color="auto" w:fill="auto"/>
            <w:vAlign w:val="center"/>
          </w:tcPr>
          <w:p w14:paraId="461271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5637.93 </w:t>
            </w:r>
          </w:p>
        </w:tc>
        <w:tc>
          <w:tcPr>
            <w:tcW w:w="1983" w:type="dxa"/>
            <w:gridSpan w:val="2"/>
            <w:tcBorders>
              <w:tl2br w:val="nil"/>
              <w:tr2bl w:val="nil"/>
            </w:tcBorders>
            <w:shd w:val="clear" w:color="auto" w:fill="auto"/>
            <w:vAlign w:val="center"/>
          </w:tcPr>
          <w:p w14:paraId="1718D8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5637.93 </w:t>
            </w:r>
          </w:p>
        </w:tc>
        <w:tc>
          <w:tcPr>
            <w:tcW w:w="2019" w:type="dxa"/>
            <w:gridSpan w:val="2"/>
            <w:tcBorders>
              <w:tl2br w:val="nil"/>
              <w:tr2bl w:val="nil"/>
            </w:tcBorders>
            <w:shd w:val="clear" w:color="auto" w:fill="auto"/>
            <w:vAlign w:val="center"/>
          </w:tcPr>
          <w:p w14:paraId="34723B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26" w:type="dxa"/>
            <w:gridSpan w:val="2"/>
            <w:tcBorders>
              <w:tl2br w:val="nil"/>
              <w:tr2bl w:val="nil"/>
            </w:tcBorders>
            <w:shd w:val="clear" w:color="auto" w:fill="auto"/>
            <w:vAlign w:val="center"/>
          </w:tcPr>
          <w:p w14:paraId="556202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002" w:type="dxa"/>
            <w:tcBorders>
              <w:tl2br w:val="nil"/>
              <w:tr2bl w:val="nil"/>
            </w:tcBorders>
            <w:shd w:val="clear" w:color="auto" w:fill="auto"/>
            <w:vAlign w:val="center"/>
          </w:tcPr>
          <w:p w14:paraId="3DFE88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5E16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597" w:type="dxa"/>
            <w:gridSpan w:val="2"/>
            <w:vMerge w:val="continue"/>
            <w:tcBorders>
              <w:tl2br w:val="nil"/>
              <w:tr2bl w:val="nil"/>
            </w:tcBorders>
            <w:shd w:val="clear" w:color="auto" w:fill="auto"/>
            <w:vAlign w:val="center"/>
          </w:tcPr>
          <w:p w14:paraId="3B4F0B0F">
            <w:pPr>
              <w:jc w:val="center"/>
              <w:rPr>
                <w:rFonts w:hint="eastAsia" w:ascii="宋体" w:hAnsi="宋体" w:eastAsia="宋体" w:cs="宋体"/>
                <w:i w:val="0"/>
                <w:iCs w:val="0"/>
                <w:color w:val="000000"/>
                <w:sz w:val="20"/>
                <w:szCs w:val="20"/>
                <w:u w:val="none"/>
              </w:rPr>
            </w:pPr>
          </w:p>
        </w:tc>
        <w:tc>
          <w:tcPr>
            <w:tcW w:w="1580" w:type="dxa"/>
            <w:gridSpan w:val="2"/>
            <w:tcBorders>
              <w:tl2br w:val="nil"/>
              <w:tr2bl w:val="nil"/>
            </w:tcBorders>
            <w:shd w:val="clear" w:color="auto" w:fill="auto"/>
            <w:vAlign w:val="center"/>
          </w:tcPr>
          <w:p w14:paraId="7CD984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69" w:type="dxa"/>
            <w:tcBorders>
              <w:tl2br w:val="nil"/>
              <w:tr2bl w:val="nil"/>
            </w:tcBorders>
            <w:shd w:val="clear" w:color="auto" w:fill="auto"/>
            <w:vAlign w:val="center"/>
          </w:tcPr>
          <w:p w14:paraId="2792E2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5752.00 </w:t>
            </w:r>
          </w:p>
        </w:tc>
        <w:tc>
          <w:tcPr>
            <w:tcW w:w="1698" w:type="dxa"/>
            <w:gridSpan w:val="2"/>
            <w:tcBorders>
              <w:tl2br w:val="nil"/>
              <w:tr2bl w:val="nil"/>
            </w:tcBorders>
            <w:shd w:val="clear" w:color="auto" w:fill="auto"/>
            <w:vAlign w:val="center"/>
          </w:tcPr>
          <w:p w14:paraId="48AF4F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5637.93 </w:t>
            </w:r>
          </w:p>
        </w:tc>
        <w:tc>
          <w:tcPr>
            <w:tcW w:w="1983" w:type="dxa"/>
            <w:gridSpan w:val="2"/>
            <w:tcBorders>
              <w:tl2br w:val="nil"/>
              <w:tr2bl w:val="nil"/>
            </w:tcBorders>
            <w:shd w:val="clear" w:color="auto" w:fill="auto"/>
            <w:vAlign w:val="center"/>
          </w:tcPr>
          <w:p w14:paraId="1E5A72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5637.93 </w:t>
            </w:r>
          </w:p>
        </w:tc>
        <w:tc>
          <w:tcPr>
            <w:tcW w:w="2019" w:type="dxa"/>
            <w:gridSpan w:val="2"/>
            <w:tcBorders>
              <w:tl2br w:val="nil"/>
              <w:tr2bl w:val="nil"/>
            </w:tcBorders>
            <w:shd w:val="clear" w:color="auto" w:fill="auto"/>
            <w:vAlign w:val="center"/>
          </w:tcPr>
          <w:p w14:paraId="7E701A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26" w:type="dxa"/>
            <w:gridSpan w:val="2"/>
            <w:tcBorders>
              <w:tl2br w:val="nil"/>
              <w:tr2bl w:val="nil"/>
            </w:tcBorders>
            <w:shd w:val="clear" w:color="auto" w:fill="auto"/>
            <w:vAlign w:val="center"/>
          </w:tcPr>
          <w:p w14:paraId="55E1F7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2" w:type="dxa"/>
            <w:tcBorders>
              <w:tl2br w:val="nil"/>
              <w:tr2bl w:val="nil"/>
            </w:tcBorders>
            <w:shd w:val="clear" w:color="auto" w:fill="auto"/>
            <w:vAlign w:val="center"/>
          </w:tcPr>
          <w:p w14:paraId="772928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2EADF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1597" w:type="dxa"/>
            <w:gridSpan w:val="2"/>
            <w:vMerge w:val="continue"/>
            <w:tcBorders>
              <w:tl2br w:val="nil"/>
              <w:tr2bl w:val="nil"/>
            </w:tcBorders>
            <w:shd w:val="clear" w:color="auto" w:fill="auto"/>
            <w:vAlign w:val="center"/>
          </w:tcPr>
          <w:p w14:paraId="45C9D440">
            <w:pPr>
              <w:jc w:val="center"/>
              <w:rPr>
                <w:rFonts w:hint="eastAsia" w:ascii="宋体" w:hAnsi="宋体" w:eastAsia="宋体" w:cs="宋体"/>
                <w:i w:val="0"/>
                <w:iCs w:val="0"/>
                <w:color w:val="000000"/>
                <w:sz w:val="20"/>
                <w:szCs w:val="20"/>
                <w:u w:val="none"/>
              </w:rPr>
            </w:pPr>
          </w:p>
        </w:tc>
        <w:tc>
          <w:tcPr>
            <w:tcW w:w="1580" w:type="dxa"/>
            <w:gridSpan w:val="2"/>
            <w:tcBorders>
              <w:tl2br w:val="nil"/>
              <w:tr2bl w:val="nil"/>
            </w:tcBorders>
            <w:shd w:val="clear" w:color="auto" w:fill="auto"/>
            <w:vAlign w:val="center"/>
          </w:tcPr>
          <w:p w14:paraId="3E8DC3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69" w:type="dxa"/>
            <w:tcBorders>
              <w:tl2br w:val="nil"/>
              <w:tr2bl w:val="nil"/>
            </w:tcBorders>
            <w:shd w:val="clear" w:color="auto" w:fill="auto"/>
            <w:vAlign w:val="center"/>
          </w:tcPr>
          <w:p w14:paraId="64D42E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98" w:type="dxa"/>
            <w:gridSpan w:val="2"/>
            <w:tcBorders>
              <w:tl2br w:val="nil"/>
              <w:tr2bl w:val="nil"/>
            </w:tcBorders>
            <w:shd w:val="clear" w:color="auto" w:fill="auto"/>
            <w:vAlign w:val="center"/>
          </w:tcPr>
          <w:p w14:paraId="1BE1BA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83" w:type="dxa"/>
            <w:gridSpan w:val="2"/>
            <w:tcBorders>
              <w:tl2br w:val="nil"/>
              <w:tr2bl w:val="nil"/>
            </w:tcBorders>
            <w:shd w:val="clear" w:color="auto" w:fill="auto"/>
            <w:vAlign w:val="center"/>
          </w:tcPr>
          <w:p w14:paraId="4E1E95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19" w:type="dxa"/>
            <w:gridSpan w:val="2"/>
            <w:tcBorders>
              <w:tl2br w:val="nil"/>
              <w:tr2bl w:val="nil"/>
            </w:tcBorders>
            <w:shd w:val="clear" w:color="auto" w:fill="auto"/>
            <w:vAlign w:val="center"/>
          </w:tcPr>
          <w:p w14:paraId="040AC1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26" w:type="dxa"/>
            <w:gridSpan w:val="2"/>
            <w:tcBorders>
              <w:tl2br w:val="nil"/>
              <w:tr2bl w:val="nil"/>
            </w:tcBorders>
            <w:shd w:val="clear" w:color="auto" w:fill="auto"/>
            <w:vAlign w:val="center"/>
          </w:tcPr>
          <w:p w14:paraId="7E81AA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2" w:type="dxa"/>
            <w:tcBorders>
              <w:tl2br w:val="nil"/>
              <w:tr2bl w:val="nil"/>
            </w:tcBorders>
            <w:shd w:val="clear" w:color="auto" w:fill="auto"/>
            <w:vAlign w:val="center"/>
          </w:tcPr>
          <w:p w14:paraId="1FA70C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239D5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865" w:type="dxa"/>
            <w:vMerge w:val="restart"/>
            <w:tcBorders>
              <w:tl2br w:val="nil"/>
              <w:tr2bl w:val="nil"/>
            </w:tcBorders>
            <w:shd w:val="clear" w:color="auto" w:fill="auto"/>
            <w:vAlign w:val="center"/>
          </w:tcPr>
          <w:p w14:paraId="6C0E05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bookmarkStart w:id="84" w:name="_GoBack"/>
            <w:bookmarkEnd w:id="84"/>
            <w:r>
              <w:rPr>
                <w:rFonts w:hint="eastAsia" w:ascii="宋体" w:hAnsi="宋体" w:eastAsia="宋体" w:cs="宋体"/>
                <w:i w:val="0"/>
                <w:iCs w:val="0"/>
                <w:color w:val="000000"/>
                <w:kern w:val="0"/>
                <w:sz w:val="20"/>
                <w:szCs w:val="20"/>
                <w:u w:val="none"/>
                <w:lang w:val="en-US" w:eastAsia="zh-CN" w:bidi="ar"/>
              </w:rPr>
              <w:t>年度总体目标</w:t>
            </w:r>
          </w:p>
        </w:tc>
        <w:tc>
          <w:tcPr>
            <w:tcW w:w="7162" w:type="dxa"/>
            <w:gridSpan w:val="8"/>
            <w:tcBorders>
              <w:tl2br w:val="nil"/>
              <w:tr2bl w:val="nil"/>
            </w:tcBorders>
            <w:shd w:val="clear" w:color="auto" w:fill="auto"/>
            <w:vAlign w:val="center"/>
          </w:tcPr>
          <w:p w14:paraId="3AD22D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147" w:type="dxa"/>
            <w:gridSpan w:val="5"/>
            <w:tcBorders>
              <w:tl2br w:val="nil"/>
              <w:tr2bl w:val="nil"/>
            </w:tcBorders>
            <w:shd w:val="clear" w:color="auto" w:fill="auto"/>
            <w:vAlign w:val="center"/>
          </w:tcPr>
          <w:p w14:paraId="493025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31E59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800" w:hRule="atLeast"/>
        </w:trPr>
        <w:tc>
          <w:tcPr>
            <w:tcW w:w="865" w:type="dxa"/>
            <w:vMerge w:val="continue"/>
            <w:tcBorders>
              <w:tl2br w:val="nil"/>
              <w:tr2bl w:val="nil"/>
            </w:tcBorders>
            <w:shd w:val="clear" w:color="auto" w:fill="auto"/>
            <w:vAlign w:val="center"/>
          </w:tcPr>
          <w:p w14:paraId="7FE64F29">
            <w:pPr>
              <w:jc w:val="center"/>
              <w:rPr>
                <w:rFonts w:hint="eastAsia" w:ascii="宋体" w:hAnsi="宋体" w:eastAsia="宋体" w:cs="宋体"/>
                <w:i w:val="0"/>
                <w:iCs w:val="0"/>
                <w:color w:val="000000"/>
                <w:sz w:val="20"/>
                <w:szCs w:val="20"/>
                <w:u w:val="none"/>
              </w:rPr>
            </w:pPr>
          </w:p>
        </w:tc>
        <w:tc>
          <w:tcPr>
            <w:tcW w:w="7162" w:type="dxa"/>
            <w:gridSpan w:val="8"/>
            <w:tcBorders>
              <w:tl2br w:val="nil"/>
              <w:tr2bl w:val="nil"/>
            </w:tcBorders>
            <w:shd w:val="clear" w:color="auto" w:fill="auto"/>
            <w:vAlign w:val="center"/>
          </w:tcPr>
          <w:p w14:paraId="36A8BC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景区部分基础设施建设不足，为进一步提升景区高质量发展，2004年从工商银行取得19600万元贷款，拟定此项目的年度预算5752万元，负责向财政申请资金并支付给工商银行，2023年计划向工商银行分2次支付贷款本金，每次2601万元，分4次向工商银行按季度支付贷款利息，取得银行贷款后有效解决天池景区基础设施建设资金不足问题，对景区的提升改造起到了关键的作用。</w:t>
            </w:r>
          </w:p>
        </w:tc>
        <w:tc>
          <w:tcPr>
            <w:tcW w:w="6147" w:type="dxa"/>
            <w:gridSpan w:val="5"/>
            <w:tcBorders>
              <w:tl2br w:val="nil"/>
              <w:tr2bl w:val="nil"/>
            </w:tcBorders>
            <w:shd w:val="clear" w:color="auto" w:fill="auto"/>
            <w:vAlign w:val="center"/>
          </w:tcPr>
          <w:p w14:paraId="15D15A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按照预算安排完成一次性支付工商银行贷款本金5202万元，分4次支付工商银行贷款利息435.93万元,有效解决天池景区基础设施建设资金不足问题，达到了提升景区绿化生态品质和旅游品质，增加了游客对景区的好评，按期归还工商银行的贷款本息，没有出现逾期的问题，工商银行对此满意度达到100%。</w:t>
            </w:r>
          </w:p>
        </w:tc>
      </w:tr>
      <w:tr w14:paraId="7DFCD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865" w:type="dxa"/>
            <w:tcBorders>
              <w:tl2br w:val="nil"/>
              <w:tr2bl w:val="nil"/>
            </w:tcBorders>
            <w:shd w:val="clear" w:color="auto" w:fill="auto"/>
            <w:vAlign w:val="center"/>
          </w:tcPr>
          <w:p w14:paraId="2C5AB49D">
            <w:pPr>
              <w:jc w:val="center"/>
              <w:rPr>
                <w:rFonts w:hint="eastAsia" w:ascii="宋体" w:hAnsi="宋体" w:eastAsia="宋体" w:cs="宋体"/>
                <w:i w:val="0"/>
                <w:iCs w:val="0"/>
                <w:color w:val="000000"/>
                <w:sz w:val="20"/>
                <w:szCs w:val="20"/>
                <w:u w:val="none"/>
              </w:rPr>
            </w:pPr>
          </w:p>
        </w:tc>
        <w:tc>
          <w:tcPr>
            <w:tcW w:w="732" w:type="dxa"/>
            <w:tcBorders>
              <w:tl2br w:val="nil"/>
              <w:tr2bl w:val="nil"/>
            </w:tcBorders>
            <w:shd w:val="clear" w:color="auto" w:fill="auto"/>
            <w:vAlign w:val="center"/>
          </w:tcPr>
          <w:p w14:paraId="38503F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92" w:type="dxa"/>
            <w:tcBorders>
              <w:tl2br w:val="nil"/>
              <w:tr2bl w:val="nil"/>
            </w:tcBorders>
            <w:shd w:val="clear" w:color="auto" w:fill="auto"/>
            <w:vAlign w:val="center"/>
          </w:tcPr>
          <w:p w14:paraId="7B467A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788" w:type="dxa"/>
            <w:tcBorders>
              <w:tl2br w:val="nil"/>
              <w:tr2bl w:val="nil"/>
            </w:tcBorders>
            <w:shd w:val="clear" w:color="auto" w:fill="auto"/>
            <w:vAlign w:val="center"/>
          </w:tcPr>
          <w:p w14:paraId="056B5B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69" w:type="dxa"/>
            <w:tcBorders>
              <w:tl2br w:val="nil"/>
              <w:tr2bl w:val="nil"/>
            </w:tcBorders>
            <w:shd w:val="clear" w:color="auto" w:fill="auto"/>
            <w:vAlign w:val="center"/>
          </w:tcPr>
          <w:p w14:paraId="56DBC6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49" w:type="dxa"/>
            <w:tcBorders>
              <w:tl2br w:val="nil"/>
              <w:tr2bl w:val="nil"/>
            </w:tcBorders>
            <w:shd w:val="clear" w:color="auto" w:fill="auto"/>
            <w:vAlign w:val="center"/>
          </w:tcPr>
          <w:p w14:paraId="1E088A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49" w:type="dxa"/>
            <w:tcBorders>
              <w:tl2br w:val="nil"/>
              <w:tr2bl w:val="nil"/>
            </w:tcBorders>
            <w:shd w:val="clear" w:color="auto" w:fill="auto"/>
            <w:vAlign w:val="center"/>
          </w:tcPr>
          <w:p w14:paraId="3E3797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75" w:type="dxa"/>
            <w:tcBorders>
              <w:tl2br w:val="nil"/>
              <w:tr2bl w:val="nil"/>
            </w:tcBorders>
            <w:shd w:val="clear" w:color="auto" w:fill="auto"/>
            <w:vAlign w:val="center"/>
          </w:tcPr>
          <w:p w14:paraId="6C9393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108" w:type="dxa"/>
            <w:tcBorders>
              <w:tl2br w:val="nil"/>
              <w:tr2bl w:val="nil"/>
            </w:tcBorders>
            <w:shd w:val="clear" w:color="auto" w:fill="auto"/>
            <w:vAlign w:val="center"/>
          </w:tcPr>
          <w:p w14:paraId="49103F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09" w:type="dxa"/>
            <w:tcBorders>
              <w:tl2br w:val="nil"/>
              <w:tr2bl w:val="nil"/>
            </w:tcBorders>
            <w:shd w:val="clear" w:color="auto" w:fill="auto"/>
            <w:vAlign w:val="center"/>
          </w:tcPr>
          <w:p w14:paraId="0F6C75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10" w:type="dxa"/>
            <w:tcBorders>
              <w:tl2br w:val="nil"/>
              <w:tr2bl w:val="nil"/>
            </w:tcBorders>
            <w:shd w:val="clear" w:color="auto" w:fill="auto"/>
            <w:vAlign w:val="center"/>
          </w:tcPr>
          <w:p w14:paraId="5EB269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45" w:type="dxa"/>
            <w:tcBorders>
              <w:tl2br w:val="nil"/>
              <w:tr2bl w:val="nil"/>
            </w:tcBorders>
            <w:shd w:val="clear" w:color="auto" w:fill="auto"/>
            <w:vAlign w:val="center"/>
          </w:tcPr>
          <w:p w14:paraId="2832AC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81" w:type="dxa"/>
            <w:tcBorders>
              <w:tl2br w:val="nil"/>
              <w:tr2bl w:val="nil"/>
            </w:tcBorders>
            <w:shd w:val="clear" w:color="auto" w:fill="auto"/>
            <w:vAlign w:val="center"/>
          </w:tcPr>
          <w:p w14:paraId="25FC97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002" w:type="dxa"/>
            <w:tcBorders>
              <w:tl2br w:val="nil"/>
              <w:tr2bl w:val="nil"/>
            </w:tcBorders>
            <w:shd w:val="clear" w:color="auto" w:fill="auto"/>
            <w:vAlign w:val="center"/>
          </w:tcPr>
          <w:p w14:paraId="6826B4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2076F2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0" w:hRule="atLeast"/>
        </w:trPr>
        <w:tc>
          <w:tcPr>
            <w:tcW w:w="865" w:type="dxa"/>
            <w:vMerge w:val="restart"/>
            <w:tcBorders>
              <w:tl2br w:val="nil"/>
              <w:tr2bl w:val="nil"/>
            </w:tcBorders>
            <w:shd w:val="clear" w:color="auto" w:fill="auto"/>
            <w:vAlign w:val="center"/>
          </w:tcPr>
          <w:p w14:paraId="3A2487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32" w:type="dxa"/>
            <w:vMerge w:val="restart"/>
            <w:tcBorders>
              <w:tl2br w:val="nil"/>
              <w:tr2bl w:val="nil"/>
            </w:tcBorders>
            <w:shd w:val="clear" w:color="auto" w:fill="auto"/>
            <w:vAlign w:val="center"/>
          </w:tcPr>
          <w:p w14:paraId="185F01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92" w:type="dxa"/>
            <w:vMerge w:val="restart"/>
            <w:tcBorders>
              <w:tl2br w:val="nil"/>
              <w:tr2bl w:val="nil"/>
            </w:tcBorders>
            <w:shd w:val="clear" w:color="auto" w:fill="auto"/>
            <w:vAlign w:val="center"/>
          </w:tcPr>
          <w:p w14:paraId="60DC71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788" w:type="dxa"/>
            <w:tcBorders>
              <w:tl2br w:val="nil"/>
              <w:tr2bl w:val="nil"/>
            </w:tcBorders>
            <w:shd w:val="clear" w:color="auto" w:fill="auto"/>
            <w:vAlign w:val="center"/>
          </w:tcPr>
          <w:p w14:paraId="585F20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本金归还次数</w:t>
            </w:r>
          </w:p>
        </w:tc>
        <w:tc>
          <w:tcPr>
            <w:tcW w:w="1169" w:type="dxa"/>
            <w:tcBorders>
              <w:tl2br w:val="nil"/>
              <w:tr2bl w:val="nil"/>
            </w:tcBorders>
            <w:shd w:val="clear" w:color="auto" w:fill="auto"/>
            <w:vAlign w:val="center"/>
          </w:tcPr>
          <w:p w14:paraId="625406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849" w:type="dxa"/>
            <w:tcBorders>
              <w:tl2br w:val="nil"/>
              <w:tr2bl w:val="nil"/>
            </w:tcBorders>
            <w:shd w:val="clear" w:color="auto" w:fill="auto"/>
            <w:vAlign w:val="center"/>
          </w:tcPr>
          <w:p w14:paraId="499973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49" w:type="dxa"/>
            <w:tcBorders>
              <w:tl2br w:val="nil"/>
              <w:tr2bl w:val="nil"/>
            </w:tcBorders>
            <w:shd w:val="clear" w:color="auto" w:fill="auto"/>
            <w:vAlign w:val="center"/>
          </w:tcPr>
          <w:p w14:paraId="711962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875" w:type="dxa"/>
            <w:tcBorders>
              <w:tl2br w:val="nil"/>
              <w:tr2bl w:val="nil"/>
            </w:tcBorders>
            <w:shd w:val="clear" w:color="auto" w:fill="auto"/>
            <w:vAlign w:val="center"/>
          </w:tcPr>
          <w:p w14:paraId="7DC526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8" w:type="dxa"/>
            <w:tcBorders>
              <w:tl2br w:val="nil"/>
              <w:tr2bl w:val="nil"/>
            </w:tcBorders>
            <w:shd w:val="clear" w:color="auto" w:fill="auto"/>
            <w:vAlign w:val="center"/>
          </w:tcPr>
          <w:p w14:paraId="0E8718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9" w:type="dxa"/>
            <w:tcBorders>
              <w:tl2br w:val="nil"/>
              <w:tr2bl w:val="nil"/>
            </w:tcBorders>
            <w:shd w:val="clear" w:color="auto" w:fill="auto"/>
            <w:vAlign w:val="center"/>
          </w:tcPr>
          <w:p w14:paraId="149CDC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010" w:type="dxa"/>
            <w:tcBorders>
              <w:tl2br w:val="nil"/>
              <w:tr2bl w:val="nil"/>
            </w:tcBorders>
            <w:shd w:val="clear" w:color="auto" w:fill="auto"/>
            <w:vAlign w:val="center"/>
          </w:tcPr>
          <w:p w14:paraId="2C74F5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1045" w:type="dxa"/>
            <w:tcBorders>
              <w:tl2br w:val="nil"/>
              <w:tr2bl w:val="nil"/>
            </w:tcBorders>
            <w:shd w:val="clear" w:color="auto" w:fill="auto"/>
            <w:vAlign w:val="center"/>
          </w:tcPr>
          <w:p w14:paraId="3DF47E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1" w:type="dxa"/>
            <w:tcBorders>
              <w:tl2br w:val="nil"/>
              <w:tr2bl w:val="nil"/>
            </w:tcBorders>
            <w:shd w:val="clear" w:color="auto" w:fill="auto"/>
            <w:vAlign w:val="center"/>
          </w:tcPr>
          <w:p w14:paraId="4BDE89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02" w:type="dxa"/>
            <w:tcBorders>
              <w:tl2br w:val="nil"/>
              <w:tr2bl w:val="nil"/>
            </w:tcBorders>
            <w:shd w:val="clear" w:color="auto" w:fill="auto"/>
            <w:vAlign w:val="center"/>
          </w:tcPr>
          <w:p w14:paraId="436AD2B2">
            <w:pPr>
              <w:jc w:val="center"/>
              <w:rPr>
                <w:rFonts w:hint="eastAsia" w:ascii="宋体" w:hAnsi="宋体" w:eastAsia="宋体" w:cs="宋体"/>
                <w:i w:val="0"/>
                <w:iCs w:val="0"/>
                <w:color w:val="000000"/>
                <w:sz w:val="20"/>
                <w:szCs w:val="20"/>
                <w:u w:val="none"/>
              </w:rPr>
            </w:pPr>
          </w:p>
        </w:tc>
      </w:tr>
      <w:tr w14:paraId="6A851F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40" w:hRule="atLeast"/>
        </w:trPr>
        <w:tc>
          <w:tcPr>
            <w:tcW w:w="865" w:type="dxa"/>
            <w:vMerge w:val="continue"/>
            <w:tcBorders>
              <w:tl2br w:val="nil"/>
              <w:tr2bl w:val="nil"/>
            </w:tcBorders>
            <w:shd w:val="clear" w:color="auto" w:fill="auto"/>
            <w:vAlign w:val="center"/>
          </w:tcPr>
          <w:p w14:paraId="1EB96115">
            <w:pPr>
              <w:jc w:val="center"/>
              <w:rPr>
                <w:rFonts w:hint="eastAsia" w:ascii="宋体" w:hAnsi="宋体" w:eastAsia="宋体" w:cs="宋体"/>
                <w:i w:val="0"/>
                <w:iCs w:val="0"/>
                <w:color w:val="000000"/>
                <w:sz w:val="20"/>
                <w:szCs w:val="20"/>
                <w:u w:val="none"/>
              </w:rPr>
            </w:pPr>
          </w:p>
        </w:tc>
        <w:tc>
          <w:tcPr>
            <w:tcW w:w="732" w:type="dxa"/>
            <w:vMerge w:val="continue"/>
            <w:tcBorders>
              <w:tl2br w:val="nil"/>
              <w:tr2bl w:val="nil"/>
            </w:tcBorders>
            <w:shd w:val="clear" w:color="auto" w:fill="auto"/>
            <w:vAlign w:val="center"/>
          </w:tcPr>
          <w:p w14:paraId="4B357491">
            <w:pPr>
              <w:jc w:val="center"/>
              <w:rPr>
                <w:rFonts w:hint="eastAsia" w:ascii="宋体" w:hAnsi="宋体" w:eastAsia="宋体" w:cs="宋体"/>
                <w:i w:val="0"/>
                <w:iCs w:val="0"/>
                <w:color w:val="000000"/>
                <w:sz w:val="20"/>
                <w:szCs w:val="20"/>
                <w:u w:val="none"/>
              </w:rPr>
            </w:pPr>
          </w:p>
        </w:tc>
        <w:tc>
          <w:tcPr>
            <w:tcW w:w="792" w:type="dxa"/>
            <w:vMerge w:val="continue"/>
            <w:tcBorders>
              <w:tl2br w:val="nil"/>
              <w:tr2bl w:val="nil"/>
            </w:tcBorders>
            <w:shd w:val="clear" w:color="auto" w:fill="auto"/>
            <w:vAlign w:val="center"/>
          </w:tcPr>
          <w:p w14:paraId="1EF9EAA1">
            <w:pPr>
              <w:jc w:val="center"/>
              <w:rPr>
                <w:rFonts w:hint="eastAsia" w:ascii="宋体" w:hAnsi="宋体" w:eastAsia="宋体" w:cs="宋体"/>
                <w:i w:val="0"/>
                <w:iCs w:val="0"/>
                <w:color w:val="000000"/>
                <w:sz w:val="20"/>
                <w:szCs w:val="20"/>
                <w:u w:val="none"/>
              </w:rPr>
            </w:pPr>
          </w:p>
        </w:tc>
        <w:tc>
          <w:tcPr>
            <w:tcW w:w="788" w:type="dxa"/>
            <w:tcBorders>
              <w:tl2br w:val="nil"/>
              <w:tr2bl w:val="nil"/>
            </w:tcBorders>
            <w:shd w:val="clear" w:color="auto" w:fill="auto"/>
            <w:vAlign w:val="center"/>
          </w:tcPr>
          <w:p w14:paraId="7E4DED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利息归还次数</w:t>
            </w:r>
          </w:p>
        </w:tc>
        <w:tc>
          <w:tcPr>
            <w:tcW w:w="1169" w:type="dxa"/>
            <w:tcBorders>
              <w:tl2br w:val="nil"/>
              <w:tr2bl w:val="nil"/>
            </w:tcBorders>
            <w:shd w:val="clear" w:color="auto" w:fill="auto"/>
            <w:vAlign w:val="center"/>
          </w:tcPr>
          <w:p w14:paraId="23AF73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c>
          <w:tcPr>
            <w:tcW w:w="849" w:type="dxa"/>
            <w:tcBorders>
              <w:tl2br w:val="nil"/>
              <w:tr2bl w:val="nil"/>
            </w:tcBorders>
            <w:shd w:val="clear" w:color="auto" w:fill="auto"/>
            <w:vAlign w:val="center"/>
          </w:tcPr>
          <w:p w14:paraId="0A8383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49" w:type="dxa"/>
            <w:tcBorders>
              <w:tl2br w:val="nil"/>
              <w:tr2bl w:val="nil"/>
            </w:tcBorders>
            <w:shd w:val="clear" w:color="auto" w:fill="auto"/>
            <w:vAlign w:val="center"/>
          </w:tcPr>
          <w:p w14:paraId="60320B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c>
          <w:tcPr>
            <w:tcW w:w="875" w:type="dxa"/>
            <w:tcBorders>
              <w:tl2br w:val="nil"/>
              <w:tr2bl w:val="nil"/>
            </w:tcBorders>
            <w:shd w:val="clear" w:color="auto" w:fill="auto"/>
            <w:vAlign w:val="center"/>
          </w:tcPr>
          <w:p w14:paraId="05CC75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8" w:type="dxa"/>
            <w:tcBorders>
              <w:tl2br w:val="nil"/>
              <w:tr2bl w:val="nil"/>
            </w:tcBorders>
            <w:shd w:val="clear" w:color="auto" w:fill="auto"/>
            <w:vAlign w:val="center"/>
          </w:tcPr>
          <w:p w14:paraId="38A1C9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9" w:type="dxa"/>
            <w:tcBorders>
              <w:tl2br w:val="nil"/>
              <w:tr2bl w:val="nil"/>
            </w:tcBorders>
            <w:shd w:val="clear" w:color="auto" w:fill="auto"/>
            <w:vAlign w:val="center"/>
          </w:tcPr>
          <w:p w14:paraId="7D6919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010" w:type="dxa"/>
            <w:tcBorders>
              <w:tl2br w:val="nil"/>
              <w:tr2bl w:val="nil"/>
            </w:tcBorders>
            <w:shd w:val="clear" w:color="auto" w:fill="auto"/>
            <w:vAlign w:val="center"/>
          </w:tcPr>
          <w:p w14:paraId="4DCF40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c>
          <w:tcPr>
            <w:tcW w:w="1045" w:type="dxa"/>
            <w:tcBorders>
              <w:tl2br w:val="nil"/>
              <w:tr2bl w:val="nil"/>
            </w:tcBorders>
            <w:shd w:val="clear" w:color="auto" w:fill="auto"/>
            <w:vAlign w:val="center"/>
          </w:tcPr>
          <w:p w14:paraId="350874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1" w:type="dxa"/>
            <w:tcBorders>
              <w:tl2br w:val="nil"/>
              <w:tr2bl w:val="nil"/>
            </w:tcBorders>
            <w:shd w:val="clear" w:color="auto" w:fill="auto"/>
            <w:vAlign w:val="center"/>
          </w:tcPr>
          <w:p w14:paraId="0FB657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02" w:type="dxa"/>
            <w:tcBorders>
              <w:tl2br w:val="nil"/>
              <w:tr2bl w:val="nil"/>
            </w:tcBorders>
            <w:shd w:val="clear" w:color="auto" w:fill="auto"/>
            <w:vAlign w:val="center"/>
          </w:tcPr>
          <w:p w14:paraId="671AFAEA">
            <w:pPr>
              <w:jc w:val="center"/>
              <w:rPr>
                <w:rFonts w:hint="eastAsia" w:ascii="宋体" w:hAnsi="宋体" w:eastAsia="宋体" w:cs="宋体"/>
                <w:i w:val="0"/>
                <w:iCs w:val="0"/>
                <w:color w:val="000000"/>
                <w:sz w:val="20"/>
                <w:szCs w:val="20"/>
                <w:u w:val="none"/>
              </w:rPr>
            </w:pPr>
          </w:p>
        </w:tc>
      </w:tr>
      <w:tr w14:paraId="4CCE2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00" w:hRule="atLeast"/>
        </w:trPr>
        <w:tc>
          <w:tcPr>
            <w:tcW w:w="865" w:type="dxa"/>
            <w:vMerge w:val="continue"/>
            <w:tcBorders>
              <w:tl2br w:val="nil"/>
              <w:tr2bl w:val="nil"/>
            </w:tcBorders>
            <w:shd w:val="clear" w:color="auto" w:fill="auto"/>
            <w:vAlign w:val="center"/>
          </w:tcPr>
          <w:p w14:paraId="2F03CF56">
            <w:pPr>
              <w:jc w:val="center"/>
              <w:rPr>
                <w:rFonts w:hint="eastAsia" w:ascii="宋体" w:hAnsi="宋体" w:eastAsia="宋体" w:cs="宋体"/>
                <w:i w:val="0"/>
                <w:iCs w:val="0"/>
                <w:color w:val="000000"/>
                <w:sz w:val="20"/>
                <w:szCs w:val="20"/>
                <w:u w:val="none"/>
              </w:rPr>
            </w:pPr>
          </w:p>
        </w:tc>
        <w:tc>
          <w:tcPr>
            <w:tcW w:w="732" w:type="dxa"/>
            <w:vMerge w:val="continue"/>
            <w:tcBorders>
              <w:tl2br w:val="nil"/>
              <w:tr2bl w:val="nil"/>
            </w:tcBorders>
            <w:shd w:val="clear" w:color="auto" w:fill="auto"/>
            <w:vAlign w:val="center"/>
          </w:tcPr>
          <w:p w14:paraId="36463FA3">
            <w:pPr>
              <w:jc w:val="center"/>
              <w:rPr>
                <w:rFonts w:hint="eastAsia" w:ascii="宋体" w:hAnsi="宋体" w:eastAsia="宋体" w:cs="宋体"/>
                <w:i w:val="0"/>
                <w:iCs w:val="0"/>
                <w:color w:val="000000"/>
                <w:sz w:val="20"/>
                <w:szCs w:val="20"/>
                <w:u w:val="none"/>
              </w:rPr>
            </w:pPr>
          </w:p>
        </w:tc>
        <w:tc>
          <w:tcPr>
            <w:tcW w:w="792" w:type="dxa"/>
            <w:vMerge w:val="restart"/>
            <w:tcBorders>
              <w:tl2br w:val="nil"/>
              <w:tr2bl w:val="nil"/>
            </w:tcBorders>
            <w:shd w:val="clear" w:color="auto" w:fill="auto"/>
            <w:vAlign w:val="center"/>
          </w:tcPr>
          <w:p w14:paraId="347E2A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788" w:type="dxa"/>
            <w:tcBorders>
              <w:tl2br w:val="nil"/>
              <w:tr2bl w:val="nil"/>
            </w:tcBorders>
            <w:shd w:val="clear" w:color="auto" w:fill="auto"/>
            <w:vAlign w:val="center"/>
          </w:tcPr>
          <w:p w14:paraId="14BF8E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本金按期归还率</w:t>
            </w:r>
          </w:p>
        </w:tc>
        <w:tc>
          <w:tcPr>
            <w:tcW w:w="1169" w:type="dxa"/>
            <w:tcBorders>
              <w:tl2br w:val="nil"/>
              <w:tr2bl w:val="nil"/>
            </w:tcBorders>
            <w:shd w:val="clear" w:color="auto" w:fill="auto"/>
            <w:vAlign w:val="center"/>
          </w:tcPr>
          <w:p w14:paraId="516D9D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9" w:type="dxa"/>
            <w:tcBorders>
              <w:tl2br w:val="nil"/>
              <w:tr2bl w:val="nil"/>
            </w:tcBorders>
            <w:shd w:val="clear" w:color="auto" w:fill="auto"/>
            <w:vAlign w:val="center"/>
          </w:tcPr>
          <w:p w14:paraId="03004A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49" w:type="dxa"/>
            <w:tcBorders>
              <w:tl2br w:val="nil"/>
              <w:tr2bl w:val="nil"/>
            </w:tcBorders>
            <w:shd w:val="clear" w:color="auto" w:fill="auto"/>
            <w:vAlign w:val="center"/>
          </w:tcPr>
          <w:p w14:paraId="00BB51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5" w:type="dxa"/>
            <w:tcBorders>
              <w:tl2br w:val="nil"/>
              <w:tr2bl w:val="nil"/>
            </w:tcBorders>
            <w:shd w:val="clear" w:color="auto" w:fill="auto"/>
            <w:vAlign w:val="center"/>
          </w:tcPr>
          <w:p w14:paraId="1BE854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8" w:type="dxa"/>
            <w:tcBorders>
              <w:tl2br w:val="nil"/>
              <w:tr2bl w:val="nil"/>
            </w:tcBorders>
            <w:shd w:val="clear" w:color="auto" w:fill="auto"/>
            <w:vAlign w:val="center"/>
          </w:tcPr>
          <w:p w14:paraId="2CE09F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9" w:type="dxa"/>
            <w:tcBorders>
              <w:tl2br w:val="nil"/>
              <w:tr2bl w:val="nil"/>
            </w:tcBorders>
            <w:shd w:val="clear" w:color="auto" w:fill="auto"/>
            <w:vAlign w:val="center"/>
          </w:tcPr>
          <w:p w14:paraId="2E6880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0" w:type="dxa"/>
            <w:tcBorders>
              <w:tl2br w:val="nil"/>
              <w:tr2bl w:val="nil"/>
            </w:tcBorders>
            <w:shd w:val="clear" w:color="auto" w:fill="auto"/>
            <w:vAlign w:val="center"/>
          </w:tcPr>
          <w:p w14:paraId="1B79F8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5" w:type="dxa"/>
            <w:tcBorders>
              <w:tl2br w:val="nil"/>
              <w:tr2bl w:val="nil"/>
            </w:tcBorders>
            <w:shd w:val="clear" w:color="auto" w:fill="auto"/>
            <w:vAlign w:val="center"/>
          </w:tcPr>
          <w:p w14:paraId="5331D2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1" w:type="dxa"/>
            <w:tcBorders>
              <w:tl2br w:val="nil"/>
              <w:tr2bl w:val="nil"/>
            </w:tcBorders>
            <w:shd w:val="clear" w:color="auto" w:fill="auto"/>
            <w:vAlign w:val="center"/>
          </w:tcPr>
          <w:p w14:paraId="5CBB34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2" w:type="dxa"/>
            <w:tcBorders>
              <w:tl2br w:val="nil"/>
              <w:tr2bl w:val="nil"/>
            </w:tcBorders>
            <w:shd w:val="clear" w:color="auto" w:fill="auto"/>
            <w:vAlign w:val="center"/>
          </w:tcPr>
          <w:p w14:paraId="25D0CB80">
            <w:pPr>
              <w:jc w:val="center"/>
              <w:rPr>
                <w:rFonts w:hint="eastAsia" w:ascii="宋体" w:hAnsi="宋体" w:eastAsia="宋体" w:cs="宋体"/>
                <w:i w:val="0"/>
                <w:iCs w:val="0"/>
                <w:color w:val="000000"/>
                <w:sz w:val="20"/>
                <w:szCs w:val="20"/>
                <w:u w:val="none"/>
              </w:rPr>
            </w:pPr>
          </w:p>
        </w:tc>
      </w:tr>
      <w:tr w14:paraId="259400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00" w:hRule="atLeast"/>
        </w:trPr>
        <w:tc>
          <w:tcPr>
            <w:tcW w:w="865" w:type="dxa"/>
            <w:vMerge w:val="continue"/>
            <w:tcBorders>
              <w:tl2br w:val="nil"/>
              <w:tr2bl w:val="nil"/>
            </w:tcBorders>
            <w:shd w:val="clear" w:color="auto" w:fill="auto"/>
            <w:vAlign w:val="center"/>
          </w:tcPr>
          <w:p w14:paraId="0175BF25">
            <w:pPr>
              <w:jc w:val="center"/>
              <w:rPr>
                <w:rFonts w:hint="eastAsia" w:ascii="宋体" w:hAnsi="宋体" w:eastAsia="宋体" w:cs="宋体"/>
                <w:i w:val="0"/>
                <w:iCs w:val="0"/>
                <w:color w:val="000000"/>
                <w:sz w:val="20"/>
                <w:szCs w:val="20"/>
                <w:u w:val="none"/>
              </w:rPr>
            </w:pPr>
          </w:p>
        </w:tc>
        <w:tc>
          <w:tcPr>
            <w:tcW w:w="732" w:type="dxa"/>
            <w:vMerge w:val="continue"/>
            <w:tcBorders>
              <w:tl2br w:val="nil"/>
              <w:tr2bl w:val="nil"/>
            </w:tcBorders>
            <w:shd w:val="clear" w:color="auto" w:fill="auto"/>
            <w:vAlign w:val="center"/>
          </w:tcPr>
          <w:p w14:paraId="48A0A859">
            <w:pPr>
              <w:jc w:val="center"/>
              <w:rPr>
                <w:rFonts w:hint="eastAsia" w:ascii="宋体" w:hAnsi="宋体" w:eastAsia="宋体" w:cs="宋体"/>
                <w:i w:val="0"/>
                <w:iCs w:val="0"/>
                <w:color w:val="000000"/>
                <w:sz w:val="20"/>
                <w:szCs w:val="20"/>
                <w:u w:val="none"/>
              </w:rPr>
            </w:pPr>
          </w:p>
        </w:tc>
        <w:tc>
          <w:tcPr>
            <w:tcW w:w="792" w:type="dxa"/>
            <w:vMerge w:val="continue"/>
            <w:tcBorders>
              <w:tl2br w:val="nil"/>
              <w:tr2bl w:val="nil"/>
            </w:tcBorders>
            <w:shd w:val="clear" w:color="auto" w:fill="auto"/>
            <w:vAlign w:val="center"/>
          </w:tcPr>
          <w:p w14:paraId="72069B97">
            <w:pPr>
              <w:jc w:val="center"/>
              <w:rPr>
                <w:rFonts w:hint="eastAsia" w:ascii="宋体" w:hAnsi="宋体" w:eastAsia="宋体" w:cs="宋体"/>
                <w:i w:val="0"/>
                <w:iCs w:val="0"/>
                <w:color w:val="000000"/>
                <w:sz w:val="20"/>
                <w:szCs w:val="20"/>
                <w:u w:val="none"/>
              </w:rPr>
            </w:pPr>
          </w:p>
        </w:tc>
        <w:tc>
          <w:tcPr>
            <w:tcW w:w="788" w:type="dxa"/>
            <w:tcBorders>
              <w:tl2br w:val="nil"/>
              <w:tr2bl w:val="nil"/>
            </w:tcBorders>
            <w:shd w:val="clear" w:color="auto" w:fill="auto"/>
            <w:vAlign w:val="center"/>
          </w:tcPr>
          <w:p w14:paraId="401A4B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利息按期归还率</w:t>
            </w:r>
          </w:p>
        </w:tc>
        <w:tc>
          <w:tcPr>
            <w:tcW w:w="1169" w:type="dxa"/>
            <w:tcBorders>
              <w:tl2br w:val="nil"/>
              <w:tr2bl w:val="nil"/>
            </w:tcBorders>
            <w:shd w:val="clear" w:color="auto" w:fill="auto"/>
            <w:vAlign w:val="center"/>
          </w:tcPr>
          <w:p w14:paraId="71A56F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9" w:type="dxa"/>
            <w:tcBorders>
              <w:tl2br w:val="nil"/>
              <w:tr2bl w:val="nil"/>
            </w:tcBorders>
            <w:shd w:val="clear" w:color="auto" w:fill="auto"/>
            <w:vAlign w:val="center"/>
          </w:tcPr>
          <w:p w14:paraId="6AFD67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49" w:type="dxa"/>
            <w:tcBorders>
              <w:tl2br w:val="nil"/>
              <w:tr2bl w:val="nil"/>
            </w:tcBorders>
            <w:shd w:val="clear" w:color="auto" w:fill="auto"/>
            <w:vAlign w:val="center"/>
          </w:tcPr>
          <w:p w14:paraId="4C1F7E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5" w:type="dxa"/>
            <w:tcBorders>
              <w:tl2br w:val="nil"/>
              <w:tr2bl w:val="nil"/>
            </w:tcBorders>
            <w:shd w:val="clear" w:color="auto" w:fill="auto"/>
            <w:vAlign w:val="center"/>
          </w:tcPr>
          <w:p w14:paraId="7F50F0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8" w:type="dxa"/>
            <w:tcBorders>
              <w:tl2br w:val="nil"/>
              <w:tr2bl w:val="nil"/>
            </w:tcBorders>
            <w:shd w:val="clear" w:color="auto" w:fill="auto"/>
            <w:vAlign w:val="center"/>
          </w:tcPr>
          <w:p w14:paraId="21ADDF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9" w:type="dxa"/>
            <w:tcBorders>
              <w:tl2br w:val="nil"/>
              <w:tr2bl w:val="nil"/>
            </w:tcBorders>
            <w:shd w:val="clear" w:color="auto" w:fill="auto"/>
            <w:vAlign w:val="center"/>
          </w:tcPr>
          <w:p w14:paraId="2629DE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0" w:type="dxa"/>
            <w:tcBorders>
              <w:tl2br w:val="nil"/>
              <w:tr2bl w:val="nil"/>
            </w:tcBorders>
            <w:shd w:val="clear" w:color="auto" w:fill="auto"/>
            <w:vAlign w:val="center"/>
          </w:tcPr>
          <w:p w14:paraId="492DB8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5" w:type="dxa"/>
            <w:tcBorders>
              <w:tl2br w:val="nil"/>
              <w:tr2bl w:val="nil"/>
            </w:tcBorders>
            <w:shd w:val="clear" w:color="auto" w:fill="auto"/>
            <w:vAlign w:val="center"/>
          </w:tcPr>
          <w:p w14:paraId="13D0CC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1" w:type="dxa"/>
            <w:tcBorders>
              <w:tl2br w:val="nil"/>
              <w:tr2bl w:val="nil"/>
            </w:tcBorders>
            <w:shd w:val="clear" w:color="auto" w:fill="auto"/>
            <w:vAlign w:val="center"/>
          </w:tcPr>
          <w:p w14:paraId="6EE747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2" w:type="dxa"/>
            <w:tcBorders>
              <w:tl2br w:val="nil"/>
              <w:tr2bl w:val="nil"/>
            </w:tcBorders>
            <w:shd w:val="clear" w:color="auto" w:fill="auto"/>
            <w:vAlign w:val="center"/>
          </w:tcPr>
          <w:p w14:paraId="31095E4A">
            <w:pPr>
              <w:jc w:val="center"/>
              <w:rPr>
                <w:rFonts w:hint="eastAsia" w:ascii="宋体" w:hAnsi="宋体" w:eastAsia="宋体" w:cs="宋体"/>
                <w:i w:val="0"/>
                <w:iCs w:val="0"/>
                <w:color w:val="000000"/>
                <w:sz w:val="20"/>
                <w:szCs w:val="20"/>
                <w:u w:val="none"/>
              </w:rPr>
            </w:pPr>
          </w:p>
        </w:tc>
      </w:tr>
      <w:tr w14:paraId="33B227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00" w:hRule="atLeast"/>
        </w:trPr>
        <w:tc>
          <w:tcPr>
            <w:tcW w:w="865" w:type="dxa"/>
            <w:vMerge w:val="continue"/>
            <w:tcBorders>
              <w:tl2br w:val="nil"/>
              <w:tr2bl w:val="nil"/>
            </w:tcBorders>
            <w:shd w:val="clear" w:color="auto" w:fill="auto"/>
            <w:vAlign w:val="center"/>
          </w:tcPr>
          <w:p w14:paraId="21016652">
            <w:pPr>
              <w:jc w:val="center"/>
              <w:rPr>
                <w:rFonts w:hint="eastAsia" w:ascii="宋体" w:hAnsi="宋体" w:eastAsia="宋体" w:cs="宋体"/>
                <w:i w:val="0"/>
                <w:iCs w:val="0"/>
                <w:color w:val="000000"/>
                <w:sz w:val="20"/>
                <w:szCs w:val="20"/>
                <w:u w:val="none"/>
              </w:rPr>
            </w:pPr>
          </w:p>
        </w:tc>
        <w:tc>
          <w:tcPr>
            <w:tcW w:w="732" w:type="dxa"/>
            <w:vMerge w:val="continue"/>
            <w:tcBorders>
              <w:tl2br w:val="nil"/>
              <w:tr2bl w:val="nil"/>
            </w:tcBorders>
            <w:shd w:val="clear" w:color="auto" w:fill="auto"/>
            <w:vAlign w:val="center"/>
          </w:tcPr>
          <w:p w14:paraId="2DBE6116">
            <w:pPr>
              <w:jc w:val="center"/>
              <w:rPr>
                <w:rFonts w:hint="eastAsia" w:ascii="宋体" w:hAnsi="宋体" w:eastAsia="宋体" w:cs="宋体"/>
                <w:i w:val="0"/>
                <w:iCs w:val="0"/>
                <w:color w:val="000000"/>
                <w:sz w:val="20"/>
                <w:szCs w:val="20"/>
                <w:u w:val="none"/>
              </w:rPr>
            </w:pPr>
          </w:p>
        </w:tc>
        <w:tc>
          <w:tcPr>
            <w:tcW w:w="792" w:type="dxa"/>
            <w:vMerge w:val="restart"/>
            <w:tcBorders>
              <w:tl2br w:val="nil"/>
              <w:tr2bl w:val="nil"/>
            </w:tcBorders>
            <w:shd w:val="clear" w:color="auto" w:fill="auto"/>
            <w:vAlign w:val="center"/>
          </w:tcPr>
          <w:p w14:paraId="153BD6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788" w:type="dxa"/>
            <w:tcBorders>
              <w:tl2br w:val="nil"/>
              <w:tr2bl w:val="nil"/>
            </w:tcBorders>
            <w:shd w:val="clear" w:color="auto" w:fill="auto"/>
            <w:vAlign w:val="center"/>
          </w:tcPr>
          <w:p w14:paraId="605A15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按期归还本金及时率</w:t>
            </w:r>
          </w:p>
        </w:tc>
        <w:tc>
          <w:tcPr>
            <w:tcW w:w="1169" w:type="dxa"/>
            <w:tcBorders>
              <w:tl2br w:val="nil"/>
              <w:tr2bl w:val="nil"/>
            </w:tcBorders>
            <w:shd w:val="clear" w:color="auto" w:fill="auto"/>
            <w:vAlign w:val="center"/>
          </w:tcPr>
          <w:p w14:paraId="15EB04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9" w:type="dxa"/>
            <w:tcBorders>
              <w:tl2br w:val="nil"/>
              <w:tr2bl w:val="nil"/>
            </w:tcBorders>
            <w:shd w:val="clear" w:color="auto" w:fill="auto"/>
            <w:vAlign w:val="center"/>
          </w:tcPr>
          <w:p w14:paraId="07174E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49" w:type="dxa"/>
            <w:tcBorders>
              <w:tl2br w:val="nil"/>
              <w:tr2bl w:val="nil"/>
            </w:tcBorders>
            <w:shd w:val="clear" w:color="auto" w:fill="auto"/>
            <w:vAlign w:val="center"/>
          </w:tcPr>
          <w:p w14:paraId="67CFB8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5" w:type="dxa"/>
            <w:tcBorders>
              <w:tl2br w:val="nil"/>
              <w:tr2bl w:val="nil"/>
            </w:tcBorders>
            <w:shd w:val="clear" w:color="auto" w:fill="auto"/>
            <w:vAlign w:val="center"/>
          </w:tcPr>
          <w:p w14:paraId="5AE3C6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8" w:type="dxa"/>
            <w:tcBorders>
              <w:tl2br w:val="nil"/>
              <w:tr2bl w:val="nil"/>
            </w:tcBorders>
            <w:shd w:val="clear" w:color="auto" w:fill="auto"/>
            <w:vAlign w:val="center"/>
          </w:tcPr>
          <w:p w14:paraId="17C006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9" w:type="dxa"/>
            <w:tcBorders>
              <w:tl2br w:val="nil"/>
              <w:tr2bl w:val="nil"/>
            </w:tcBorders>
            <w:shd w:val="clear" w:color="auto" w:fill="auto"/>
            <w:vAlign w:val="center"/>
          </w:tcPr>
          <w:p w14:paraId="79B0D9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0" w:type="dxa"/>
            <w:tcBorders>
              <w:tl2br w:val="nil"/>
              <w:tr2bl w:val="nil"/>
            </w:tcBorders>
            <w:shd w:val="clear" w:color="auto" w:fill="auto"/>
            <w:vAlign w:val="center"/>
          </w:tcPr>
          <w:p w14:paraId="32E36D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5" w:type="dxa"/>
            <w:tcBorders>
              <w:tl2br w:val="nil"/>
              <w:tr2bl w:val="nil"/>
            </w:tcBorders>
            <w:shd w:val="clear" w:color="auto" w:fill="auto"/>
            <w:vAlign w:val="center"/>
          </w:tcPr>
          <w:p w14:paraId="3C08AA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1" w:type="dxa"/>
            <w:tcBorders>
              <w:tl2br w:val="nil"/>
              <w:tr2bl w:val="nil"/>
            </w:tcBorders>
            <w:shd w:val="clear" w:color="auto" w:fill="auto"/>
            <w:vAlign w:val="center"/>
          </w:tcPr>
          <w:p w14:paraId="5B7D23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02" w:type="dxa"/>
            <w:tcBorders>
              <w:tl2br w:val="nil"/>
              <w:tr2bl w:val="nil"/>
            </w:tcBorders>
            <w:shd w:val="clear" w:color="auto" w:fill="auto"/>
            <w:vAlign w:val="center"/>
          </w:tcPr>
          <w:p w14:paraId="22070DEA">
            <w:pPr>
              <w:jc w:val="center"/>
              <w:rPr>
                <w:rFonts w:hint="eastAsia" w:ascii="宋体" w:hAnsi="宋体" w:eastAsia="宋体" w:cs="宋体"/>
                <w:i w:val="0"/>
                <w:iCs w:val="0"/>
                <w:color w:val="000000"/>
                <w:sz w:val="20"/>
                <w:szCs w:val="20"/>
                <w:u w:val="none"/>
              </w:rPr>
            </w:pPr>
          </w:p>
        </w:tc>
      </w:tr>
      <w:tr w14:paraId="5C054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865" w:type="dxa"/>
            <w:vMerge w:val="continue"/>
            <w:tcBorders>
              <w:tl2br w:val="nil"/>
              <w:tr2bl w:val="nil"/>
            </w:tcBorders>
            <w:shd w:val="clear" w:color="auto" w:fill="auto"/>
            <w:vAlign w:val="center"/>
          </w:tcPr>
          <w:p w14:paraId="2FB23C24">
            <w:pPr>
              <w:jc w:val="center"/>
              <w:rPr>
                <w:rFonts w:hint="eastAsia" w:ascii="宋体" w:hAnsi="宋体" w:eastAsia="宋体" w:cs="宋体"/>
                <w:i w:val="0"/>
                <w:iCs w:val="0"/>
                <w:color w:val="000000"/>
                <w:sz w:val="20"/>
                <w:szCs w:val="20"/>
                <w:u w:val="none"/>
              </w:rPr>
            </w:pPr>
          </w:p>
        </w:tc>
        <w:tc>
          <w:tcPr>
            <w:tcW w:w="732" w:type="dxa"/>
            <w:vMerge w:val="continue"/>
            <w:tcBorders>
              <w:tl2br w:val="nil"/>
              <w:tr2bl w:val="nil"/>
            </w:tcBorders>
            <w:shd w:val="clear" w:color="auto" w:fill="auto"/>
            <w:vAlign w:val="center"/>
          </w:tcPr>
          <w:p w14:paraId="0AA46EE1">
            <w:pPr>
              <w:jc w:val="center"/>
              <w:rPr>
                <w:rFonts w:hint="eastAsia" w:ascii="宋体" w:hAnsi="宋体" w:eastAsia="宋体" w:cs="宋体"/>
                <w:i w:val="0"/>
                <w:iCs w:val="0"/>
                <w:color w:val="000000"/>
                <w:sz w:val="20"/>
                <w:szCs w:val="20"/>
                <w:u w:val="none"/>
              </w:rPr>
            </w:pPr>
          </w:p>
        </w:tc>
        <w:tc>
          <w:tcPr>
            <w:tcW w:w="792" w:type="dxa"/>
            <w:vMerge w:val="continue"/>
            <w:tcBorders>
              <w:tl2br w:val="nil"/>
              <w:tr2bl w:val="nil"/>
            </w:tcBorders>
            <w:shd w:val="clear" w:color="auto" w:fill="auto"/>
            <w:vAlign w:val="center"/>
          </w:tcPr>
          <w:p w14:paraId="6E36D4AF">
            <w:pPr>
              <w:jc w:val="center"/>
              <w:rPr>
                <w:rFonts w:hint="eastAsia" w:ascii="宋体" w:hAnsi="宋体" w:eastAsia="宋体" w:cs="宋体"/>
                <w:i w:val="0"/>
                <w:iCs w:val="0"/>
                <w:color w:val="000000"/>
                <w:sz w:val="20"/>
                <w:szCs w:val="20"/>
                <w:u w:val="none"/>
              </w:rPr>
            </w:pPr>
          </w:p>
        </w:tc>
        <w:tc>
          <w:tcPr>
            <w:tcW w:w="788" w:type="dxa"/>
            <w:tcBorders>
              <w:tl2br w:val="nil"/>
              <w:tr2bl w:val="nil"/>
            </w:tcBorders>
            <w:shd w:val="clear" w:color="auto" w:fill="auto"/>
            <w:vAlign w:val="center"/>
          </w:tcPr>
          <w:p w14:paraId="660880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按季度归还利息及时率</w:t>
            </w:r>
          </w:p>
        </w:tc>
        <w:tc>
          <w:tcPr>
            <w:tcW w:w="1169" w:type="dxa"/>
            <w:tcBorders>
              <w:tl2br w:val="nil"/>
              <w:tr2bl w:val="nil"/>
            </w:tcBorders>
            <w:shd w:val="clear" w:color="auto" w:fill="auto"/>
            <w:vAlign w:val="center"/>
          </w:tcPr>
          <w:p w14:paraId="42F353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9" w:type="dxa"/>
            <w:tcBorders>
              <w:tl2br w:val="nil"/>
              <w:tr2bl w:val="nil"/>
            </w:tcBorders>
            <w:shd w:val="clear" w:color="auto" w:fill="auto"/>
            <w:vAlign w:val="center"/>
          </w:tcPr>
          <w:p w14:paraId="4C75D6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49" w:type="dxa"/>
            <w:tcBorders>
              <w:tl2br w:val="nil"/>
              <w:tr2bl w:val="nil"/>
            </w:tcBorders>
            <w:shd w:val="clear" w:color="auto" w:fill="auto"/>
            <w:vAlign w:val="center"/>
          </w:tcPr>
          <w:p w14:paraId="426FF3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5" w:type="dxa"/>
            <w:tcBorders>
              <w:tl2br w:val="nil"/>
              <w:tr2bl w:val="nil"/>
            </w:tcBorders>
            <w:shd w:val="clear" w:color="auto" w:fill="auto"/>
            <w:vAlign w:val="center"/>
          </w:tcPr>
          <w:p w14:paraId="3DB70E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8" w:type="dxa"/>
            <w:tcBorders>
              <w:tl2br w:val="nil"/>
              <w:tr2bl w:val="nil"/>
            </w:tcBorders>
            <w:shd w:val="clear" w:color="auto" w:fill="auto"/>
            <w:vAlign w:val="center"/>
          </w:tcPr>
          <w:p w14:paraId="5313D8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9" w:type="dxa"/>
            <w:tcBorders>
              <w:tl2br w:val="nil"/>
              <w:tr2bl w:val="nil"/>
            </w:tcBorders>
            <w:shd w:val="clear" w:color="auto" w:fill="auto"/>
            <w:vAlign w:val="center"/>
          </w:tcPr>
          <w:p w14:paraId="74A81D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0" w:type="dxa"/>
            <w:tcBorders>
              <w:tl2br w:val="nil"/>
              <w:tr2bl w:val="nil"/>
            </w:tcBorders>
            <w:shd w:val="clear" w:color="auto" w:fill="auto"/>
            <w:vAlign w:val="center"/>
          </w:tcPr>
          <w:p w14:paraId="55FDE0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5" w:type="dxa"/>
            <w:tcBorders>
              <w:tl2br w:val="nil"/>
              <w:tr2bl w:val="nil"/>
            </w:tcBorders>
            <w:shd w:val="clear" w:color="auto" w:fill="auto"/>
            <w:vAlign w:val="center"/>
          </w:tcPr>
          <w:p w14:paraId="7497CD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1" w:type="dxa"/>
            <w:tcBorders>
              <w:tl2br w:val="nil"/>
              <w:tr2bl w:val="nil"/>
            </w:tcBorders>
            <w:shd w:val="clear" w:color="auto" w:fill="auto"/>
            <w:vAlign w:val="center"/>
          </w:tcPr>
          <w:p w14:paraId="21EEA4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02" w:type="dxa"/>
            <w:tcBorders>
              <w:tl2br w:val="nil"/>
              <w:tr2bl w:val="nil"/>
            </w:tcBorders>
            <w:shd w:val="clear" w:color="auto" w:fill="auto"/>
            <w:vAlign w:val="center"/>
          </w:tcPr>
          <w:p w14:paraId="28BD02DE">
            <w:pPr>
              <w:jc w:val="center"/>
              <w:rPr>
                <w:rFonts w:hint="eastAsia" w:ascii="宋体" w:hAnsi="宋体" w:eastAsia="宋体" w:cs="宋体"/>
                <w:b/>
                <w:bCs/>
                <w:i w:val="0"/>
                <w:iCs w:val="0"/>
                <w:color w:val="000000"/>
                <w:sz w:val="20"/>
                <w:szCs w:val="20"/>
                <w:u w:val="none"/>
              </w:rPr>
            </w:pPr>
          </w:p>
        </w:tc>
      </w:tr>
      <w:tr w14:paraId="1D17A3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865" w:type="dxa"/>
            <w:vMerge w:val="continue"/>
            <w:tcBorders>
              <w:tl2br w:val="nil"/>
              <w:tr2bl w:val="nil"/>
            </w:tcBorders>
            <w:shd w:val="clear" w:color="auto" w:fill="auto"/>
            <w:vAlign w:val="center"/>
          </w:tcPr>
          <w:p w14:paraId="31157E1A">
            <w:pPr>
              <w:jc w:val="center"/>
              <w:rPr>
                <w:rFonts w:hint="eastAsia" w:ascii="宋体" w:hAnsi="宋体" w:eastAsia="宋体" w:cs="宋体"/>
                <w:i w:val="0"/>
                <w:iCs w:val="0"/>
                <w:color w:val="000000"/>
                <w:sz w:val="20"/>
                <w:szCs w:val="20"/>
                <w:u w:val="none"/>
              </w:rPr>
            </w:pPr>
          </w:p>
        </w:tc>
        <w:tc>
          <w:tcPr>
            <w:tcW w:w="732" w:type="dxa"/>
            <w:vMerge w:val="restart"/>
            <w:tcBorders>
              <w:tl2br w:val="nil"/>
              <w:tr2bl w:val="nil"/>
            </w:tcBorders>
            <w:shd w:val="clear" w:color="auto" w:fill="auto"/>
            <w:vAlign w:val="center"/>
          </w:tcPr>
          <w:p w14:paraId="2F8E81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92" w:type="dxa"/>
            <w:vMerge w:val="restart"/>
            <w:tcBorders>
              <w:tl2br w:val="nil"/>
              <w:tr2bl w:val="nil"/>
            </w:tcBorders>
            <w:shd w:val="clear" w:color="auto" w:fill="auto"/>
            <w:vAlign w:val="center"/>
          </w:tcPr>
          <w:p w14:paraId="4F053E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788" w:type="dxa"/>
            <w:tcBorders>
              <w:tl2br w:val="nil"/>
              <w:tr2bl w:val="nil"/>
            </w:tcBorders>
            <w:shd w:val="clear" w:color="auto" w:fill="auto"/>
            <w:vAlign w:val="center"/>
          </w:tcPr>
          <w:p w14:paraId="3E1F67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归还本金总额</w:t>
            </w:r>
          </w:p>
        </w:tc>
        <w:tc>
          <w:tcPr>
            <w:tcW w:w="1169" w:type="dxa"/>
            <w:tcBorders>
              <w:tl2br w:val="nil"/>
              <w:tr2bl w:val="nil"/>
            </w:tcBorders>
            <w:shd w:val="clear" w:color="auto" w:fill="auto"/>
            <w:vAlign w:val="center"/>
          </w:tcPr>
          <w:p w14:paraId="041A63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=5202万元</w:t>
            </w:r>
          </w:p>
        </w:tc>
        <w:tc>
          <w:tcPr>
            <w:tcW w:w="849" w:type="dxa"/>
            <w:tcBorders>
              <w:tl2br w:val="nil"/>
              <w:tr2bl w:val="nil"/>
            </w:tcBorders>
            <w:shd w:val="clear" w:color="auto" w:fill="auto"/>
            <w:vAlign w:val="center"/>
          </w:tcPr>
          <w:p w14:paraId="0A8898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49" w:type="dxa"/>
            <w:tcBorders>
              <w:tl2br w:val="nil"/>
              <w:tr2bl w:val="nil"/>
            </w:tcBorders>
            <w:shd w:val="clear" w:color="auto" w:fill="auto"/>
            <w:vAlign w:val="center"/>
          </w:tcPr>
          <w:p w14:paraId="33B275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4771.4万元</w:t>
            </w:r>
          </w:p>
        </w:tc>
        <w:tc>
          <w:tcPr>
            <w:tcW w:w="875" w:type="dxa"/>
            <w:tcBorders>
              <w:tl2br w:val="nil"/>
              <w:tr2bl w:val="nil"/>
            </w:tcBorders>
            <w:shd w:val="clear" w:color="auto" w:fill="auto"/>
            <w:vAlign w:val="center"/>
          </w:tcPr>
          <w:p w14:paraId="24C9F1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8" w:type="dxa"/>
            <w:tcBorders>
              <w:tl2br w:val="nil"/>
              <w:tr2bl w:val="nil"/>
            </w:tcBorders>
            <w:shd w:val="clear" w:color="auto" w:fill="auto"/>
            <w:vAlign w:val="center"/>
          </w:tcPr>
          <w:p w14:paraId="392EFD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9" w:type="dxa"/>
            <w:tcBorders>
              <w:tl2br w:val="nil"/>
              <w:tr2bl w:val="nil"/>
            </w:tcBorders>
            <w:shd w:val="clear" w:color="auto" w:fill="auto"/>
            <w:vAlign w:val="center"/>
          </w:tcPr>
          <w:p w14:paraId="4DF9D4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0" w:type="dxa"/>
            <w:tcBorders>
              <w:tl2br w:val="nil"/>
              <w:tr2bl w:val="nil"/>
            </w:tcBorders>
            <w:shd w:val="clear" w:color="auto" w:fill="auto"/>
            <w:vAlign w:val="center"/>
          </w:tcPr>
          <w:p w14:paraId="2C6095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=5202万元</w:t>
            </w:r>
          </w:p>
        </w:tc>
        <w:tc>
          <w:tcPr>
            <w:tcW w:w="1045" w:type="dxa"/>
            <w:tcBorders>
              <w:tl2br w:val="nil"/>
              <w:tr2bl w:val="nil"/>
            </w:tcBorders>
            <w:shd w:val="clear" w:color="auto" w:fill="auto"/>
            <w:vAlign w:val="center"/>
          </w:tcPr>
          <w:p w14:paraId="7472A3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1" w:type="dxa"/>
            <w:tcBorders>
              <w:tl2br w:val="nil"/>
              <w:tr2bl w:val="nil"/>
            </w:tcBorders>
            <w:shd w:val="clear" w:color="auto" w:fill="auto"/>
            <w:vAlign w:val="center"/>
          </w:tcPr>
          <w:p w14:paraId="045BBC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2" w:type="dxa"/>
            <w:tcBorders>
              <w:tl2br w:val="nil"/>
              <w:tr2bl w:val="nil"/>
            </w:tcBorders>
            <w:shd w:val="clear" w:color="auto" w:fill="auto"/>
            <w:vAlign w:val="center"/>
          </w:tcPr>
          <w:p w14:paraId="220523F1">
            <w:pPr>
              <w:jc w:val="center"/>
              <w:rPr>
                <w:rFonts w:hint="eastAsia" w:ascii="宋体" w:hAnsi="宋体" w:eastAsia="宋体" w:cs="宋体"/>
                <w:b/>
                <w:bCs/>
                <w:i w:val="0"/>
                <w:iCs w:val="0"/>
                <w:color w:val="000000"/>
                <w:sz w:val="20"/>
                <w:szCs w:val="20"/>
                <w:u w:val="none"/>
              </w:rPr>
            </w:pPr>
          </w:p>
        </w:tc>
      </w:tr>
      <w:tr w14:paraId="2B8E0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865" w:type="dxa"/>
            <w:vMerge w:val="continue"/>
            <w:tcBorders>
              <w:tl2br w:val="nil"/>
              <w:tr2bl w:val="nil"/>
            </w:tcBorders>
            <w:shd w:val="clear" w:color="auto" w:fill="auto"/>
            <w:vAlign w:val="center"/>
          </w:tcPr>
          <w:p w14:paraId="61A54948">
            <w:pPr>
              <w:jc w:val="center"/>
              <w:rPr>
                <w:rFonts w:hint="eastAsia" w:ascii="宋体" w:hAnsi="宋体" w:eastAsia="宋体" w:cs="宋体"/>
                <w:i w:val="0"/>
                <w:iCs w:val="0"/>
                <w:color w:val="000000"/>
                <w:sz w:val="20"/>
                <w:szCs w:val="20"/>
                <w:u w:val="none"/>
              </w:rPr>
            </w:pPr>
          </w:p>
        </w:tc>
        <w:tc>
          <w:tcPr>
            <w:tcW w:w="732" w:type="dxa"/>
            <w:vMerge w:val="continue"/>
            <w:tcBorders>
              <w:tl2br w:val="nil"/>
              <w:tr2bl w:val="nil"/>
            </w:tcBorders>
            <w:shd w:val="clear" w:color="auto" w:fill="auto"/>
            <w:vAlign w:val="center"/>
          </w:tcPr>
          <w:p w14:paraId="55AB0B67">
            <w:pPr>
              <w:jc w:val="center"/>
              <w:rPr>
                <w:rFonts w:hint="eastAsia" w:ascii="宋体" w:hAnsi="宋体" w:eastAsia="宋体" w:cs="宋体"/>
                <w:i w:val="0"/>
                <w:iCs w:val="0"/>
                <w:color w:val="000000"/>
                <w:sz w:val="20"/>
                <w:szCs w:val="20"/>
                <w:u w:val="none"/>
              </w:rPr>
            </w:pPr>
          </w:p>
        </w:tc>
        <w:tc>
          <w:tcPr>
            <w:tcW w:w="792" w:type="dxa"/>
            <w:vMerge w:val="continue"/>
            <w:tcBorders>
              <w:tl2br w:val="nil"/>
              <w:tr2bl w:val="nil"/>
            </w:tcBorders>
            <w:shd w:val="clear" w:color="auto" w:fill="auto"/>
            <w:vAlign w:val="center"/>
          </w:tcPr>
          <w:p w14:paraId="2760ACA8">
            <w:pPr>
              <w:jc w:val="center"/>
              <w:rPr>
                <w:rFonts w:hint="eastAsia" w:ascii="宋体" w:hAnsi="宋体" w:eastAsia="宋体" w:cs="宋体"/>
                <w:i w:val="0"/>
                <w:iCs w:val="0"/>
                <w:color w:val="000000"/>
                <w:sz w:val="20"/>
                <w:szCs w:val="20"/>
                <w:u w:val="none"/>
              </w:rPr>
            </w:pPr>
          </w:p>
        </w:tc>
        <w:tc>
          <w:tcPr>
            <w:tcW w:w="788" w:type="dxa"/>
            <w:tcBorders>
              <w:tl2br w:val="nil"/>
              <w:tr2bl w:val="nil"/>
            </w:tcBorders>
            <w:shd w:val="clear" w:color="auto" w:fill="auto"/>
            <w:vAlign w:val="center"/>
          </w:tcPr>
          <w:p w14:paraId="495BC7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归还利息总额</w:t>
            </w:r>
          </w:p>
        </w:tc>
        <w:tc>
          <w:tcPr>
            <w:tcW w:w="1169" w:type="dxa"/>
            <w:tcBorders>
              <w:tl2br w:val="nil"/>
              <w:tr2bl w:val="nil"/>
            </w:tcBorders>
            <w:shd w:val="clear" w:color="auto" w:fill="auto"/>
            <w:vAlign w:val="center"/>
          </w:tcPr>
          <w:p w14:paraId="1F04D5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≤550万元</w:t>
            </w:r>
          </w:p>
        </w:tc>
        <w:tc>
          <w:tcPr>
            <w:tcW w:w="849" w:type="dxa"/>
            <w:tcBorders>
              <w:tl2br w:val="nil"/>
              <w:tr2bl w:val="nil"/>
            </w:tcBorders>
            <w:shd w:val="clear" w:color="auto" w:fill="auto"/>
            <w:vAlign w:val="center"/>
          </w:tcPr>
          <w:p w14:paraId="2D5951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49" w:type="dxa"/>
            <w:tcBorders>
              <w:tl2br w:val="nil"/>
              <w:tr2bl w:val="nil"/>
            </w:tcBorders>
            <w:shd w:val="clear" w:color="auto" w:fill="auto"/>
            <w:vAlign w:val="center"/>
          </w:tcPr>
          <w:p w14:paraId="5DABF6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650.37万元</w:t>
            </w:r>
          </w:p>
        </w:tc>
        <w:tc>
          <w:tcPr>
            <w:tcW w:w="875" w:type="dxa"/>
            <w:tcBorders>
              <w:tl2br w:val="nil"/>
              <w:tr2bl w:val="nil"/>
            </w:tcBorders>
            <w:shd w:val="clear" w:color="auto" w:fill="auto"/>
            <w:vAlign w:val="center"/>
          </w:tcPr>
          <w:p w14:paraId="16EBCB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8" w:type="dxa"/>
            <w:tcBorders>
              <w:tl2br w:val="nil"/>
              <w:tr2bl w:val="nil"/>
            </w:tcBorders>
            <w:shd w:val="clear" w:color="auto" w:fill="auto"/>
            <w:vAlign w:val="center"/>
          </w:tcPr>
          <w:p w14:paraId="56B773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9" w:type="dxa"/>
            <w:tcBorders>
              <w:tl2br w:val="nil"/>
              <w:tr2bl w:val="nil"/>
            </w:tcBorders>
            <w:shd w:val="clear" w:color="auto" w:fill="auto"/>
            <w:vAlign w:val="center"/>
          </w:tcPr>
          <w:p w14:paraId="373080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0" w:type="dxa"/>
            <w:tcBorders>
              <w:tl2br w:val="nil"/>
              <w:tr2bl w:val="nil"/>
            </w:tcBorders>
            <w:shd w:val="clear" w:color="auto" w:fill="auto"/>
            <w:vAlign w:val="center"/>
          </w:tcPr>
          <w:p w14:paraId="16854C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=435.93万元</w:t>
            </w:r>
          </w:p>
        </w:tc>
        <w:tc>
          <w:tcPr>
            <w:tcW w:w="1045" w:type="dxa"/>
            <w:tcBorders>
              <w:tl2br w:val="nil"/>
              <w:tr2bl w:val="nil"/>
            </w:tcBorders>
            <w:shd w:val="clear" w:color="auto" w:fill="auto"/>
            <w:vAlign w:val="center"/>
          </w:tcPr>
          <w:p w14:paraId="383F38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79.26%</w:t>
            </w:r>
          </w:p>
        </w:tc>
        <w:tc>
          <w:tcPr>
            <w:tcW w:w="1081" w:type="dxa"/>
            <w:tcBorders>
              <w:tl2br w:val="nil"/>
              <w:tr2bl w:val="nil"/>
            </w:tcBorders>
            <w:shd w:val="clear" w:color="auto" w:fill="auto"/>
            <w:vAlign w:val="center"/>
          </w:tcPr>
          <w:p w14:paraId="22197E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4.82</w:t>
            </w:r>
          </w:p>
        </w:tc>
        <w:tc>
          <w:tcPr>
            <w:tcW w:w="2002" w:type="dxa"/>
            <w:tcBorders>
              <w:tl2br w:val="nil"/>
              <w:tr2bl w:val="nil"/>
            </w:tcBorders>
            <w:shd w:val="clear" w:color="auto" w:fill="auto"/>
            <w:vAlign w:val="center"/>
          </w:tcPr>
          <w:p w14:paraId="26A61C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预算数按当期利率计算估算的，预算数高于执行数。</w:t>
            </w:r>
          </w:p>
        </w:tc>
      </w:tr>
      <w:tr w14:paraId="5D7ECF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80" w:hRule="atLeast"/>
        </w:trPr>
        <w:tc>
          <w:tcPr>
            <w:tcW w:w="865" w:type="dxa"/>
            <w:vMerge w:val="continue"/>
            <w:tcBorders>
              <w:tl2br w:val="nil"/>
              <w:tr2bl w:val="nil"/>
            </w:tcBorders>
            <w:shd w:val="clear" w:color="auto" w:fill="auto"/>
            <w:vAlign w:val="center"/>
          </w:tcPr>
          <w:p w14:paraId="4FF3B817">
            <w:pPr>
              <w:jc w:val="center"/>
              <w:rPr>
                <w:rFonts w:hint="eastAsia" w:ascii="宋体" w:hAnsi="宋体" w:eastAsia="宋体" w:cs="宋体"/>
                <w:i w:val="0"/>
                <w:iCs w:val="0"/>
                <w:color w:val="000000"/>
                <w:sz w:val="20"/>
                <w:szCs w:val="20"/>
                <w:u w:val="none"/>
              </w:rPr>
            </w:pPr>
          </w:p>
        </w:tc>
        <w:tc>
          <w:tcPr>
            <w:tcW w:w="732" w:type="dxa"/>
            <w:vMerge w:val="continue"/>
            <w:tcBorders>
              <w:tl2br w:val="nil"/>
              <w:tr2bl w:val="nil"/>
            </w:tcBorders>
            <w:shd w:val="clear" w:color="auto" w:fill="auto"/>
            <w:vAlign w:val="center"/>
          </w:tcPr>
          <w:p w14:paraId="4F2B20F8">
            <w:pPr>
              <w:jc w:val="center"/>
              <w:rPr>
                <w:rFonts w:hint="eastAsia" w:ascii="宋体" w:hAnsi="宋体" w:eastAsia="宋体" w:cs="宋体"/>
                <w:i w:val="0"/>
                <w:iCs w:val="0"/>
                <w:color w:val="000000"/>
                <w:sz w:val="20"/>
                <w:szCs w:val="20"/>
                <w:u w:val="none"/>
              </w:rPr>
            </w:pPr>
          </w:p>
        </w:tc>
        <w:tc>
          <w:tcPr>
            <w:tcW w:w="792" w:type="dxa"/>
            <w:tcBorders>
              <w:tl2br w:val="nil"/>
              <w:tr2bl w:val="nil"/>
            </w:tcBorders>
            <w:shd w:val="clear" w:color="auto" w:fill="auto"/>
            <w:vAlign w:val="center"/>
          </w:tcPr>
          <w:p w14:paraId="34687A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788" w:type="dxa"/>
            <w:tcBorders>
              <w:tl2br w:val="nil"/>
              <w:tr2bl w:val="nil"/>
            </w:tcBorders>
            <w:shd w:val="clear" w:color="auto" w:fill="auto"/>
            <w:vAlign w:val="center"/>
          </w:tcPr>
          <w:p w14:paraId="1C1152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9" w:type="dxa"/>
            <w:tcBorders>
              <w:tl2br w:val="nil"/>
              <w:tr2bl w:val="nil"/>
            </w:tcBorders>
            <w:shd w:val="clear" w:color="auto" w:fill="auto"/>
            <w:vAlign w:val="center"/>
          </w:tcPr>
          <w:p w14:paraId="39B0AD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9" w:type="dxa"/>
            <w:tcBorders>
              <w:tl2br w:val="nil"/>
              <w:tr2bl w:val="nil"/>
            </w:tcBorders>
            <w:shd w:val="clear" w:color="auto" w:fill="auto"/>
            <w:vAlign w:val="center"/>
          </w:tcPr>
          <w:p w14:paraId="066E6A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9" w:type="dxa"/>
            <w:tcBorders>
              <w:tl2br w:val="nil"/>
              <w:tr2bl w:val="nil"/>
            </w:tcBorders>
            <w:shd w:val="clear" w:color="auto" w:fill="auto"/>
            <w:vAlign w:val="center"/>
          </w:tcPr>
          <w:p w14:paraId="549C28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008E0C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8" w:type="dxa"/>
            <w:tcBorders>
              <w:tl2br w:val="nil"/>
              <w:tr2bl w:val="nil"/>
            </w:tcBorders>
            <w:shd w:val="clear" w:color="auto" w:fill="auto"/>
            <w:vAlign w:val="center"/>
          </w:tcPr>
          <w:p w14:paraId="1D3F32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9" w:type="dxa"/>
            <w:tcBorders>
              <w:tl2br w:val="nil"/>
              <w:tr2bl w:val="nil"/>
            </w:tcBorders>
            <w:shd w:val="clear" w:color="auto" w:fill="auto"/>
            <w:vAlign w:val="center"/>
          </w:tcPr>
          <w:p w14:paraId="1E930F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tcBorders>
              <w:tl2br w:val="nil"/>
              <w:tr2bl w:val="nil"/>
            </w:tcBorders>
            <w:shd w:val="clear" w:color="auto" w:fill="auto"/>
            <w:vAlign w:val="center"/>
          </w:tcPr>
          <w:p w14:paraId="57D99A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5" w:type="dxa"/>
            <w:tcBorders>
              <w:tl2br w:val="nil"/>
              <w:tr2bl w:val="nil"/>
            </w:tcBorders>
            <w:shd w:val="clear" w:color="auto" w:fill="auto"/>
            <w:vAlign w:val="center"/>
          </w:tcPr>
          <w:p w14:paraId="20D6FF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1" w:type="dxa"/>
            <w:tcBorders>
              <w:tl2br w:val="nil"/>
              <w:tr2bl w:val="nil"/>
            </w:tcBorders>
            <w:shd w:val="clear" w:color="auto" w:fill="auto"/>
            <w:vAlign w:val="center"/>
          </w:tcPr>
          <w:p w14:paraId="77ECBB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2" w:type="dxa"/>
            <w:tcBorders>
              <w:tl2br w:val="nil"/>
              <w:tr2bl w:val="nil"/>
            </w:tcBorders>
            <w:shd w:val="clear" w:color="auto" w:fill="auto"/>
            <w:vAlign w:val="center"/>
          </w:tcPr>
          <w:p w14:paraId="4B35A5E1">
            <w:pPr>
              <w:jc w:val="center"/>
              <w:rPr>
                <w:rFonts w:hint="eastAsia" w:ascii="宋体" w:hAnsi="宋体" w:eastAsia="宋体" w:cs="宋体"/>
                <w:b/>
                <w:bCs/>
                <w:i w:val="0"/>
                <w:iCs w:val="0"/>
                <w:color w:val="000000"/>
                <w:sz w:val="20"/>
                <w:szCs w:val="20"/>
                <w:u w:val="none"/>
              </w:rPr>
            </w:pPr>
          </w:p>
        </w:tc>
      </w:tr>
      <w:tr w14:paraId="0B5E71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20" w:hRule="atLeast"/>
        </w:trPr>
        <w:tc>
          <w:tcPr>
            <w:tcW w:w="865" w:type="dxa"/>
            <w:vMerge w:val="continue"/>
            <w:tcBorders>
              <w:tl2br w:val="nil"/>
              <w:tr2bl w:val="nil"/>
            </w:tcBorders>
            <w:shd w:val="clear" w:color="auto" w:fill="auto"/>
            <w:vAlign w:val="center"/>
          </w:tcPr>
          <w:p w14:paraId="11ABE0F4">
            <w:pPr>
              <w:jc w:val="center"/>
              <w:rPr>
                <w:rFonts w:hint="eastAsia" w:ascii="宋体" w:hAnsi="宋体" w:eastAsia="宋体" w:cs="宋体"/>
                <w:i w:val="0"/>
                <w:iCs w:val="0"/>
                <w:color w:val="000000"/>
                <w:sz w:val="20"/>
                <w:szCs w:val="20"/>
                <w:u w:val="none"/>
              </w:rPr>
            </w:pPr>
          </w:p>
        </w:tc>
        <w:tc>
          <w:tcPr>
            <w:tcW w:w="732" w:type="dxa"/>
            <w:vMerge w:val="continue"/>
            <w:tcBorders>
              <w:tl2br w:val="nil"/>
              <w:tr2bl w:val="nil"/>
            </w:tcBorders>
            <w:shd w:val="clear" w:color="auto" w:fill="auto"/>
            <w:vAlign w:val="center"/>
          </w:tcPr>
          <w:p w14:paraId="14F52560">
            <w:pPr>
              <w:jc w:val="center"/>
              <w:rPr>
                <w:rFonts w:hint="eastAsia" w:ascii="宋体" w:hAnsi="宋体" w:eastAsia="宋体" w:cs="宋体"/>
                <w:i w:val="0"/>
                <w:iCs w:val="0"/>
                <w:color w:val="000000"/>
                <w:sz w:val="20"/>
                <w:szCs w:val="20"/>
                <w:u w:val="none"/>
              </w:rPr>
            </w:pPr>
          </w:p>
        </w:tc>
        <w:tc>
          <w:tcPr>
            <w:tcW w:w="792" w:type="dxa"/>
            <w:tcBorders>
              <w:tl2br w:val="nil"/>
              <w:tr2bl w:val="nil"/>
            </w:tcBorders>
            <w:shd w:val="clear" w:color="auto" w:fill="auto"/>
            <w:vAlign w:val="center"/>
          </w:tcPr>
          <w:p w14:paraId="53FB5D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788" w:type="dxa"/>
            <w:tcBorders>
              <w:tl2br w:val="nil"/>
              <w:tr2bl w:val="nil"/>
            </w:tcBorders>
            <w:shd w:val="clear" w:color="auto" w:fill="auto"/>
            <w:vAlign w:val="center"/>
          </w:tcPr>
          <w:p w14:paraId="0E0159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9" w:type="dxa"/>
            <w:tcBorders>
              <w:tl2br w:val="nil"/>
              <w:tr2bl w:val="nil"/>
            </w:tcBorders>
            <w:shd w:val="clear" w:color="auto" w:fill="auto"/>
            <w:vAlign w:val="center"/>
          </w:tcPr>
          <w:p w14:paraId="4D1962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9" w:type="dxa"/>
            <w:tcBorders>
              <w:tl2br w:val="nil"/>
              <w:tr2bl w:val="nil"/>
            </w:tcBorders>
            <w:shd w:val="clear" w:color="auto" w:fill="auto"/>
            <w:vAlign w:val="center"/>
          </w:tcPr>
          <w:p w14:paraId="16A5D2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9" w:type="dxa"/>
            <w:tcBorders>
              <w:tl2br w:val="nil"/>
              <w:tr2bl w:val="nil"/>
            </w:tcBorders>
            <w:shd w:val="clear" w:color="auto" w:fill="auto"/>
            <w:vAlign w:val="center"/>
          </w:tcPr>
          <w:p w14:paraId="01433F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02EB3D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8" w:type="dxa"/>
            <w:tcBorders>
              <w:tl2br w:val="nil"/>
              <w:tr2bl w:val="nil"/>
            </w:tcBorders>
            <w:shd w:val="clear" w:color="auto" w:fill="auto"/>
            <w:vAlign w:val="center"/>
          </w:tcPr>
          <w:p w14:paraId="01F29D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9" w:type="dxa"/>
            <w:tcBorders>
              <w:tl2br w:val="nil"/>
              <w:tr2bl w:val="nil"/>
            </w:tcBorders>
            <w:shd w:val="clear" w:color="auto" w:fill="auto"/>
            <w:vAlign w:val="center"/>
          </w:tcPr>
          <w:p w14:paraId="27076A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tcBorders>
              <w:tl2br w:val="nil"/>
              <w:tr2bl w:val="nil"/>
            </w:tcBorders>
            <w:shd w:val="clear" w:color="auto" w:fill="auto"/>
            <w:vAlign w:val="center"/>
          </w:tcPr>
          <w:p w14:paraId="4072C8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5" w:type="dxa"/>
            <w:tcBorders>
              <w:tl2br w:val="nil"/>
              <w:tr2bl w:val="nil"/>
            </w:tcBorders>
            <w:shd w:val="clear" w:color="auto" w:fill="auto"/>
            <w:vAlign w:val="center"/>
          </w:tcPr>
          <w:p w14:paraId="37996A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1" w:type="dxa"/>
            <w:tcBorders>
              <w:tl2br w:val="nil"/>
              <w:tr2bl w:val="nil"/>
            </w:tcBorders>
            <w:shd w:val="clear" w:color="auto" w:fill="auto"/>
            <w:vAlign w:val="center"/>
          </w:tcPr>
          <w:p w14:paraId="4C3879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2" w:type="dxa"/>
            <w:tcBorders>
              <w:tl2br w:val="nil"/>
              <w:tr2bl w:val="nil"/>
            </w:tcBorders>
            <w:shd w:val="clear" w:color="auto" w:fill="auto"/>
            <w:vAlign w:val="center"/>
          </w:tcPr>
          <w:p w14:paraId="00C1F3DB">
            <w:pPr>
              <w:jc w:val="center"/>
              <w:rPr>
                <w:rFonts w:hint="eastAsia" w:ascii="宋体" w:hAnsi="宋体" w:eastAsia="宋体" w:cs="宋体"/>
                <w:i w:val="0"/>
                <w:iCs w:val="0"/>
                <w:color w:val="000000"/>
                <w:sz w:val="20"/>
                <w:szCs w:val="20"/>
                <w:u w:val="none"/>
              </w:rPr>
            </w:pPr>
          </w:p>
        </w:tc>
      </w:tr>
      <w:tr w14:paraId="0D8BB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040" w:hRule="atLeast"/>
        </w:trPr>
        <w:tc>
          <w:tcPr>
            <w:tcW w:w="865" w:type="dxa"/>
            <w:vMerge w:val="continue"/>
            <w:tcBorders>
              <w:tl2br w:val="nil"/>
              <w:tr2bl w:val="nil"/>
            </w:tcBorders>
            <w:shd w:val="clear" w:color="auto" w:fill="auto"/>
            <w:vAlign w:val="center"/>
          </w:tcPr>
          <w:p w14:paraId="094F986A">
            <w:pPr>
              <w:jc w:val="center"/>
              <w:rPr>
                <w:rFonts w:hint="eastAsia" w:ascii="宋体" w:hAnsi="宋体" w:eastAsia="宋体" w:cs="宋体"/>
                <w:i w:val="0"/>
                <w:iCs w:val="0"/>
                <w:color w:val="000000"/>
                <w:sz w:val="20"/>
                <w:szCs w:val="20"/>
                <w:u w:val="none"/>
              </w:rPr>
            </w:pPr>
          </w:p>
        </w:tc>
        <w:tc>
          <w:tcPr>
            <w:tcW w:w="732" w:type="dxa"/>
            <w:vMerge w:val="restart"/>
            <w:tcBorders>
              <w:tl2br w:val="nil"/>
              <w:tr2bl w:val="nil"/>
            </w:tcBorders>
            <w:shd w:val="clear" w:color="auto" w:fill="auto"/>
            <w:vAlign w:val="center"/>
          </w:tcPr>
          <w:p w14:paraId="718469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92" w:type="dxa"/>
            <w:tcBorders>
              <w:tl2br w:val="nil"/>
              <w:tr2bl w:val="nil"/>
            </w:tcBorders>
            <w:shd w:val="clear" w:color="auto" w:fill="auto"/>
            <w:vAlign w:val="center"/>
          </w:tcPr>
          <w:p w14:paraId="2AC11AEF">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788" w:type="dxa"/>
            <w:tcBorders>
              <w:tl2br w:val="nil"/>
              <w:tr2bl w:val="nil"/>
            </w:tcBorders>
            <w:shd w:val="clear" w:color="auto" w:fill="auto"/>
            <w:vAlign w:val="center"/>
          </w:tcPr>
          <w:p w14:paraId="01E225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有效解决天池景区基础设施建设资金不足问题</w:t>
            </w:r>
          </w:p>
        </w:tc>
        <w:tc>
          <w:tcPr>
            <w:tcW w:w="1169" w:type="dxa"/>
            <w:tcBorders>
              <w:tl2br w:val="nil"/>
              <w:tr2bl w:val="nil"/>
            </w:tcBorders>
            <w:shd w:val="clear" w:color="auto" w:fill="auto"/>
            <w:vAlign w:val="center"/>
          </w:tcPr>
          <w:p w14:paraId="432B84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有效解决</w:t>
            </w:r>
          </w:p>
        </w:tc>
        <w:tc>
          <w:tcPr>
            <w:tcW w:w="849" w:type="dxa"/>
            <w:tcBorders>
              <w:tl2br w:val="nil"/>
              <w:tr2bl w:val="nil"/>
            </w:tcBorders>
            <w:shd w:val="clear" w:color="auto" w:fill="auto"/>
            <w:vAlign w:val="center"/>
          </w:tcPr>
          <w:p w14:paraId="73A76F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49" w:type="dxa"/>
            <w:tcBorders>
              <w:tl2br w:val="nil"/>
              <w:tr2bl w:val="nil"/>
            </w:tcBorders>
            <w:shd w:val="clear" w:color="auto" w:fill="auto"/>
            <w:vAlign w:val="center"/>
          </w:tcPr>
          <w:p w14:paraId="221BCC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18CDEC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8" w:type="dxa"/>
            <w:tcBorders>
              <w:tl2br w:val="nil"/>
              <w:tr2bl w:val="nil"/>
            </w:tcBorders>
            <w:shd w:val="clear" w:color="auto" w:fill="auto"/>
            <w:vAlign w:val="center"/>
          </w:tcPr>
          <w:p w14:paraId="7F24D5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09" w:type="dxa"/>
            <w:tcBorders>
              <w:tl2br w:val="nil"/>
              <w:tr2bl w:val="nil"/>
            </w:tcBorders>
            <w:shd w:val="clear" w:color="auto" w:fill="auto"/>
            <w:vAlign w:val="center"/>
          </w:tcPr>
          <w:p w14:paraId="1C4BC8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10" w:type="dxa"/>
            <w:tcBorders>
              <w:tl2br w:val="nil"/>
              <w:tr2bl w:val="nil"/>
            </w:tcBorders>
            <w:shd w:val="clear" w:color="auto" w:fill="auto"/>
            <w:vAlign w:val="center"/>
          </w:tcPr>
          <w:p w14:paraId="42C1F7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5" w:type="dxa"/>
            <w:tcBorders>
              <w:tl2br w:val="nil"/>
              <w:tr2bl w:val="nil"/>
            </w:tcBorders>
            <w:shd w:val="clear" w:color="auto" w:fill="auto"/>
            <w:vAlign w:val="center"/>
          </w:tcPr>
          <w:p w14:paraId="255A4F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1" w:type="dxa"/>
            <w:tcBorders>
              <w:tl2br w:val="nil"/>
              <w:tr2bl w:val="nil"/>
            </w:tcBorders>
            <w:shd w:val="clear" w:color="auto" w:fill="auto"/>
            <w:vAlign w:val="center"/>
          </w:tcPr>
          <w:p w14:paraId="3A0AB3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2" w:type="dxa"/>
            <w:tcBorders>
              <w:tl2br w:val="nil"/>
              <w:tr2bl w:val="nil"/>
            </w:tcBorders>
            <w:shd w:val="clear" w:color="auto" w:fill="auto"/>
            <w:vAlign w:val="center"/>
          </w:tcPr>
          <w:p w14:paraId="6ECCE1FC">
            <w:pPr>
              <w:jc w:val="center"/>
              <w:rPr>
                <w:rFonts w:hint="eastAsia" w:ascii="宋体" w:hAnsi="宋体" w:eastAsia="宋体" w:cs="宋体"/>
                <w:i w:val="0"/>
                <w:iCs w:val="0"/>
                <w:color w:val="000000"/>
                <w:sz w:val="20"/>
                <w:szCs w:val="20"/>
                <w:u w:val="none"/>
              </w:rPr>
            </w:pPr>
          </w:p>
        </w:tc>
      </w:tr>
      <w:tr w14:paraId="7872C9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0" w:hRule="atLeast"/>
        </w:trPr>
        <w:tc>
          <w:tcPr>
            <w:tcW w:w="865" w:type="dxa"/>
            <w:vMerge w:val="continue"/>
            <w:tcBorders>
              <w:tl2br w:val="nil"/>
              <w:tr2bl w:val="nil"/>
            </w:tcBorders>
            <w:shd w:val="clear" w:color="auto" w:fill="auto"/>
            <w:vAlign w:val="center"/>
          </w:tcPr>
          <w:p w14:paraId="7EF26E93">
            <w:pPr>
              <w:jc w:val="center"/>
              <w:rPr>
                <w:rFonts w:hint="eastAsia" w:ascii="宋体" w:hAnsi="宋体" w:eastAsia="宋体" w:cs="宋体"/>
                <w:i w:val="0"/>
                <w:iCs w:val="0"/>
                <w:color w:val="000000"/>
                <w:sz w:val="20"/>
                <w:szCs w:val="20"/>
                <w:u w:val="none"/>
              </w:rPr>
            </w:pPr>
          </w:p>
        </w:tc>
        <w:tc>
          <w:tcPr>
            <w:tcW w:w="732" w:type="dxa"/>
            <w:vMerge w:val="continue"/>
            <w:tcBorders>
              <w:tl2br w:val="nil"/>
              <w:tr2bl w:val="nil"/>
            </w:tcBorders>
            <w:shd w:val="clear" w:color="auto" w:fill="auto"/>
            <w:vAlign w:val="center"/>
          </w:tcPr>
          <w:p w14:paraId="4B60964F">
            <w:pPr>
              <w:jc w:val="center"/>
              <w:rPr>
                <w:rFonts w:hint="eastAsia" w:ascii="宋体" w:hAnsi="宋体" w:eastAsia="宋体" w:cs="宋体"/>
                <w:i w:val="0"/>
                <w:iCs w:val="0"/>
                <w:color w:val="000000"/>
                <w:sz w:val="20"/>
                <w:szCs w:val="20"/>
                <w:u w:val="none"/>
              </w:rPr>
            </w:pPr>
          </w:p>
        </w:tc>
        <w:tc>
          <w:tcPr>
            <w:tcW w:w="792" w:type="dxa"/>
            <w:tcBorders>
              <w:tl2br w:val="nil"/>
              <w:tr2bl w:val="nil"/>
            </w:tcBorders>
            <w:shd w:val="clear" w:color="auto" w:fill="auto"/>
            <w:vAlign w:val="center"/>
          </w:tcPr>
          <w:p w14:paraId="7FD6DE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788" w:type="dxa"/>
            <w:tcBorders>
              <w:tl2br w:val="nil"/>
              <w:tr2bl w:val="nil"/>
            </w:tcBorders>
            <w:shd w:val="clear" w:color="auto" w:fill="auto"/>
            <w:vAlign w:val="center"/>
          </w:tcPr>
          <w:p w14:paraId="3FEC1F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9" w:type="dxa"/>
            <w:tcBorders>
              <w:tl2br w:val="nil"/>
              <w:tr2bl w:val="nil"/>
            </w:tcBorders>
            <w:shd w:val="clear" w:color="auto" w:fill="auto"/>
            <w:vAlign w:val="center"/>
          </w:tcPr>
          <w:p w14:paraId="2A7FB1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9" w:type="dxa"/>
            <w:tcBorders>
              <w:tl2br w:val="nil"/>
              <w:tr2bl w:val="nil"/>
            </w:tcBorders>
            <w:shd w:val="clear" w:color="auto" w:fill="auto"/>
            <w:vAlign w:val="center"/>
          </w:tcPr>
          <w:p w14:paraId="14357B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9" w:type="dxa"/>
            <w:tcBorders>
              <w:tl2br w:val="nil"/>
              <w:tr2bl w:val="nil"/>
            </w:tcBorders>
            <w:shd w:val="clear" w:color="auto" w:fill="auto"/>
            <w:vAlign w:val="center"/>
          </w:tcPr>
          <w:p w14:paraId="25D765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663CE2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8" w:type="dxa"/>
            <w:tcBorders>
              <w:tl2br w:val="nil"/>
              <w:tr2bl w:val="nil"/>
            </w:tcBorders>
            <w:shd w:val="clear" w:color="auto" w:fill="auto"/>
            <w:vAlign w:val="center"/>
          </w:tcPr>
          <w:p w14:paraId="3770F6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9" w:type="dxa"/>
            <w:tcBorders>
              <w:tl2br w:val="nil"/>
              <w:tr2bl w:val="nil"/>
            </w:tcBorders>
            <w:shd w:val="clear" w:color="auto" w:fill="auto"/>
            <w:vAlign w:val="center"/>
          </w:tcPr>
          <w:p w14:paraId="5E8F4E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tcBorders>
              <w:tl2br w:val="nil"/>
              <w:tr2bl w:val="nil"/>
            </w:tcBorders>
            <w:shd w:val="clear" w:color="auto" w:fill="auto"/>
            <w:vAlign w:val="center"/>
          </w:tcPr>
          <w:p w14:paraId="543D3E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5" w:type="dxa"/>
            <w:tcBorders>
              <w:tl2br w:val="nil"/>
              <w:tr2bl w:val="nil"/>
            </w:tcBorders>
            <w:shd w:val="clear" w:color="auto" w:fill="auto"/>
            <w:vAlign w:val="center"/>
          </w:tcPr>
          <w:p w14:paraId="602059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1" w:type="dxa"/>
            <w:tcBorders>
              <w:tl2br w:val="nil"/>
              <w:tr2bl w:val="nil"/>
            </w:tcBorders>
            <w:shd w:val="clear" w:color="auto" w:fill="auto"/>
            <w:vAlign w:val="center"/>
          </w:tcPr>
          <w:p w14:paraId="62D6AE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2" w:type="dxa"/>
            <w:tcBorders>
              <w:tl2br w:val="nil"/>
              <w:tr2bl w:val="nil"/>
            </w:tcBorders>
            <w:shd w:val="clear" w:color="auto" w:fill="auto"/>
            <w:vAlign w:val="center"/>
          </w:tcPr>
          <w:p w14:paraId="701D297E">
            <w:pPr>
              <w:jc w:val="center"/>
              <w:rPr>
                <w:rFonts w:hint="eastAsia" w:ascii="宋体" w:hAnsi="宋体" w:eastAsia="宋体" w:cs="宋体"/>
                <w:i w:val="0"/>
                <w:iCs w:val="0"/>
                <w:color w:val="000000"/>
                <w:sz w:val="20"/>
                <w:szCs w:val="20"/>
                <w:u w:val="none"/>
              </w:rPr>
            </w:pPr>
          </w:p>
        </w:tc>
      </w:tr>
      <w:tr w14:paraId="01F7B9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080" w:hRule="atLeast"/>
        </w:trPr>
        <w:tc>
          <w:tcPr>
            <w:tcW w:w="865" w:type="dxa"/>
            <w:vMerge w:val="continue"/>
            <w:tcBorders>
              <w:tl2br w:val="nil"/>
              <w:tr2bl w:val="nil"/>
            </w:tcBorders>
            <w:shd w:val="clear" w:color="auto" w:fill="auto"/>
            <w:vAlign w:val="center"/>
          </w:tcPr>
          <w:p w14:paraId="5EAEAD3C">
            <w:pPr>
              <w:jc w:val="center"/>
              <w:rPr>
                <w:rFonts w:hint="eastAsia" w:ascii="宋体" w:hAnsi="宋体" w:eastAsia="宋体" w:cs="宋体"/>
                <w:i w:val="0"/>
                <w:iCs w:val="0"/>
                <w:color w:val="000000"/>
                <w:sz w:val="20"/>
                <w:szCs w:val="20"/>
                <w:u w:val="none"/>
              </w:rPr>
            </w:pPr>
          </w:p>
        </w:tc>
        <w:tc>
          <w:tcPr>
            <w:tcW w:w="732" w:type="dxa"/>
            <w:vMerge w:val="continue"/>
            <w:tcBorders>
              <w:tl2br w:val="nil"/>
              <w:tr2bl w:val="nil"/>
            </w:tcBorders>
            <w:shd w:val="clear" w:color="auto" w:fill="auto"/>
            <w:vAlign w:val="center"/>
          </w:tcPr>
          <w:p w14:paraId="41DCA5A2">
            <w:pPr>
              <w:jc w:val="center"/>
              <w:rPr>
                <w:rFonts w:hint="eastAsia" w:ascii="宋体" w:hAnsi="宋体" w:eastAsia="宋体" w:cs="宋体"/>
                <w:i w:val="0"/>
                <w:iCs w:val="0"/>
                <w:color w:val="000000"/>
                <w:sz w:val="20"/>
                <w:szCs w:val="20"/>
                <w:u w:val="none"/>
              </w:rPr>
            </w:pPr>
          </w:p>
        </w:tc>
        <w:tc>
          <w:tcPr>
            <w:tcW w:w="792" w:type="dxa"/>
            <w:tcBorders>
              <w:tl2br w:val="nil"/>
              <w:tr2bl w:val="nil"/>
            </w:tcBorders>
            <w:shd w:val="clear" w:color="auto" w:fill="auto"/>
            <w:vAlign w:val="center"/>
          </w:tcPr>
          <w:p w14:paraId="60EDCC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788" w:type="dxa"/>
            <w:tcBorders>
              <w:tl2br w:val="nil"/>
              <w:tr2bl w:val="nil"/>
            </w:tcBorders>
            <w:shd w:val="clear" w:color="auto" w:fill="auto"/>
            <w:vAlign w:val="center"/>
          </w:tcPr>
          <w:p w14:paraId="090F61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提升景区绿化生态品质和旅游品质</w:t>
            </w:r>
          </w:p>
        </w:tc>
        <w:tc>
          <w:tcPr>
            <w:tcW w:w="1169" w:type="dxa"/>
            <w:tcBorders>
              <w:tl2br w:val="nil"/>
              <w:tr2bl w:val="nil"/>
            </w:tcBorders>
            <w:shd w:val="clear" w:color="auto" w:fill="auto"/>
            <w:vAlign w:val="center"/>
          </w:tcPr>
          <w:p w14:paraId="5B9A73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849" w:type="dxa"/>
            <w:tcBorders>
              <w:tl2br w:val="nil"/>
              <w:tr2bl w:val="nil"/>
            </w:tcBorders>
            <w:shd w:val="clear" w:color="auto" w:fill="auto"/>
            <w:vAlign w:val="center"/>
          </w:tcPr>
          <w:p w14:paraId="6B4359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49" w:type="dxa"/>
            <w:tcBorders>
              <w:tl2br w:val="nil"/>
              <w:tr2bl w:val="nil"/>
            </w:tcBorders>
            <w:shd w:val="clear" w:color="auto" w:fill="auto"/>
            <w:vAlign w:val="center"/>
          </w:tcPr>
          <w:p w14:paraId="7D0085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599592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8" w:type="dxa"/>
            <w:tcBorders>
              <w:tl2br w:val="nil"/>
              <w:tr2bl w:val="nil"/>
            </w:tcBorders>
            <w:shd w:val="clear" w:color="auto" w:fill="auto"/>
            <w:vAlign w:val="center"/>
          </w:tcPr>
          <w:p w14:paraId="0187AB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09" w:type="dxa"/>
            <w:tcBorders>
              <w:tl2br w:val="nil"/>
              <w:tr2bl w:val="nil"/>
            </w:tcBorders>
            <w:shd w:val="clear" w:color="auto" w:fill="auto"/>
            <w:vAlign w:val="center"/>
          </w:tcPr>
          <w:p w14:paraId="6195C2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10" w:type="dxa"/>
            <w:tcBorders>
              <w:tl2br w:val="nil"/>
              <w:tr2bl w:val="nil"/>
            </w:tcBorders>
            <w:shd w:val="clear" w:color="auto" w:fill="auto"/>
            <w:vAlign w:val="center"/>
          </w:tcPr>
          <w:p w14:paraId="5394D1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5" w:type="dxa"/>
            <w:tcBorders>
              <w:tl2br w:val="nil"/>
              <w:tr2bl w:val="nil"/>
            </w:tcBorders>
            <w:shd w:val="clear" w:color="auto" w:fill="auto"/>
            <w:vAlign w:val="center"/>
          </w:tcPr>
          <w:p w14:paraId="27774D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1" w:type="dxa"/>
            <w:tcBorders>
              <w:tl2br w:val="nil"/>
              <w:tr2bl w:val="nil"/>
            </w:tcBorders>
            <w:shd w:val="clear" w:color="auto" w:fill="auto"/>
            <w:vAlign w:val="center"/>
          </w:tcPr>
          <w:p w14:paraId="44D478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2" w:type="dxa"/>
            <w:tcBorders>
              <w:tl2br w:val="nil"/>
              <w:tr2bl w:val="nil"/>
            </w:tcBorders>
            <w:shd w:val="clear" w:color="auto" w:fill="auto"/>
            <w:vAlign w:val="center"/>
          </w:tcPr>
          <w:p w14:paraId="29EA9BFC">
            <w:pPr>
              <w:jc w:val="center"/>
              <w:rPr>
                <w:rFonts w:hint="eastAsia" w:ascii="宋体" w:hAnsi="宋体" w:eastAsia="宋体" w:cs="宋体"/>
                <w:i w:val="0"/>
                <w:iCs w:val="0"/>
                <w:color w:val="000000"/>
                <w:sz w:val="20"/>
                <w:szCs w:val="20"/>
                <w:u w:val="none"/>
              </w:rPr>
            </w:pPr>
          </w:p>
        </w:tc>
      </w:tr>
      <w:tr w14:paraId="5889C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0" w:hRule="atLeast"/>
        </w:trPr>
        <w:tc>
          <w:tcPr>
            <w:tcW w:w="865" w:type="dxa"/>
            <w:vMerge w:val="continue"/>
            <w:tcBorders>
              <w:tl2br w:val="nil"/>
              <w:tr2bl w:val="nil"/>
            </w:tcBorders>
            <w:shd w:val="clear" w:color="auto" w:fill="auto"/>
            <w:vAlign w:val="center"/>
          </w:tcPr>
          <w:p w14:paraId="49E70666">
            <w:pPr>
              <w:jc w:val="center"/>
              <w:rPr>
                <w:rFonts w:hint="eastAsia" w:ascii="宋体" w:hAnsi="宋体" w:eastAsia="宋体" w:cs="宋体"/>
                <w:i w:val="0"/>
                <w:iCs w:val="0"/>
                <w:color w:val="000000"/>
                <w:sz w:val="20"/>
                <w:szCs w:val="20"/>
                <w:u w:val="none"/>
              </w:rPr>
            </w:pPr>
          </w:p>
        </w:tc>
        <w:tc>
          <w:tcPr>
            <w:tcW w:w="732" w:type="dxa"/>
            <w:tcBorders>
              <w:tl2br w:val="nil"/>
              <w:tr2bl w:val="nil"/>
            </w:tcBorders>
            <w:shd w:val="clear" w:color="auto" w:fill="auto"/>
            <w:vAlign w:val="center"/>
          </w:tcPr>
          <w:p w14:paraId="7784C8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92" w:type="dxa"/>
            <w:tcBorders>
              <w:tl2br w:val="nil"/>
              <w:tr2bl w:val="nil"/>
            </w:tcBorders>
            <w:shd w:val="clear" w:color="auto" w:fill="auto"/>
            <w:vAlign w:val="center"/>
          </w:tcPr>
          <w:p w14:paraId="496AF4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788" w:type="dxa"/>
            <w:tcBorders>
              <w:tl2br w:val="nil"/>
              <w:tr2bl w:val="nil"/>
            </w:tcBorders>
            <w:shd w:val="clear" w:color="auto" w:fill="auto"/>
            <w:vAlign w:val="center"/>
          </w:tcPr>
          <w:p w14:paraId="3FF630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工商银行满意度</w:t>
            </w:r>
          </w:p>
        </w:tc>
        <w:tc>
          <w:tcPr>
            <w:tcW w:w="1169" w:type="dxa"/>
            <w:tcBorders>
              <w:tl2br w:val="nil"/>
              <w:tr2bl w:val="nil"/>
            </w:tcBorders>
            <w:shd w:val="clear" w:color="auto" w:fill="auto"/>
            <w:vAlign w:val="center"/>
          </w:tcPr>
          <w:p w14:paraId="0739B5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49" w:type="dxa"/>
            <w:tcBorders>
              <w:tl2br w:val="nil"/>
              <w:tr2bl w:val="nil"/>
            </w:tcBorders>
            <w:shd w:val="clear" w:color="auto" w:fill="auto"/>
            <w:vAlign w:val="center"/>
          </w:tcPr>
          <w:p w14:paraId="7F4FA4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49" w:type="dxa"/>
            <w:tcBorders>
              <w:tl2br w:val="nil"/>
              <w:tr2bl w:val="nil"/>
            </w:tcBorders>
            <w:shd w:val="clear" w:color="auto" w:fill="auto"/>
            <w:vAlign w:val="center"/>
          </w:tcPr>
          <w:p w14:paraId="4C5940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7D90B0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8" w:type="dxa"/>
            <w:tcBorders>
              <w:tl2br w:val="nil"/>
              <w:tr2bl w:val="nil"/>
            </w:tcBorders>
            <w:shd w:val="clear" w:color="auto" w:fill="auto"/>
            <w:vAlign w:val="center"/>
          </w:tcPr>
          <w:p w14:paraId="5BCA19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09" w:type="dxa"/>
            <w:tcBorders>
              <w:tl2br w:val="nil"/>
              <w:tr2bl w:val="nil"/>
            </w:tcBorders>
            <w:shd w:val="clear" w:color="auto" w:fill="auto"/>
            <w:vAlign w:val="center"/>
          </w:tcPr>
          <w:p w14:paraId="5BA2BB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0" w:type="dxa"/>
            <w:tcBorders>
              <w:tl2br w:val="nil"/>
              <w:tr2bl w:val="nil"/>
            </w:tcBorders>
            <w:shd w:val="clear" w:color="auto" w:fill="auto"/>
            <w:vAlign w:val="center"/>
          </w:tcPr>
          <w:p w14:paraId="195F56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5" w:type="dxa"/>
            <w:tcBorders>
              <w:tl2br w:val="nil"/>
              <w:tr2bl w:val="nil"/>
            </w:tcBorders>
            <w:shd w:val="clear" w:color="auto" w:fill="auto"/>
            <w:vAlign w:val="center"/>
          </w:tcPr>
          <w:p w14:paraId="54FE4E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1" w:type="dxa"/>
            <w:tcBorders>
              <w:tl2br w:val="nil"/>
              <w:tr2bl w:val="nil"/>
            </w:tcBorders>
            <w:shd w:val="clear" w:color="auto" w:fill="auto"/>
            <w:vAlign w:val="center"/>
          </w:tcPr>
          <w:p w14:paraId="48DBDF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2" w:type="dxa"/>
            <w:tcBorders>
              <w:tl2br w:val="nil"/>
              <w:tr2bl w:val="nil"/>
            </w:tcBorders>
            <w:shd w:val="clear" w:color="auto" w:fill="auto"/>
            <w:vAlign w:val="center"/>
          </w:tcPr>
          <w:p w14:paraId="59597FE5">
            <w:pPr>
              <w:jc w:val="center"/>
              <w:rPr>
                <w:rFonts w:hint="eastAsia" w:ascii="宋体" w:hAnsi="宋体" w:eastAsia="宋体" w:cs="宋体"/>
                <w:i w:val="0"/>
                <w:iCs w:val="0"/>
                <w:color w:val="000000"/>
                <w:sz w:val="20"/>
                <w:szCs w:val="20"/>
                <w:u w:val="none"/>
              </w:rPr>
            </w:pPr>
          </w:p>
        </w:tc>
      </w:tr>
      <w:tr w14:paraId="3E458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3177" w:type="dxa"/>
            <w:gridSpan w:val="4"/>
            <w:tcBorders>
              <w:tl2br w:val="nil"/>
              <w:tr2bl w:val="nil"/>
            </w:tcBorders>
            <w:shd w:val="clear" w:color="auto" w:fill="auto"/>
            <w:vAlign w:val="center"/>
          </w:tcPr>
          <w:p w14:paraId="0BCE01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69" w:type="dxa"/>
            <w:tcBorders>
              <w:tl2br w:val="nil"/>
              <w:tr2bl w:val="nil"/>
            </w:tcBorders>
            <w:shd w:val="clear" w:color="auto" w:fill="auto"/>
            <w:vAlign w:val="center"/>
          </w:tcPr>
          <w:p w14:paraId="73C37420">
            <w:pPr>
              <w:jc w:val="center"/>
              <w:rPr>
                <w:rFonts w:hint="eastAsia" w:ascii="宋体" w:hAnsi="宋体" w:eastAsia="宋体" w:cs="宋体"/>
                <w:i w:val="0"/>
                <w:iCs w:val="0"/>
                <w:color w:val="000000"/>
                <w:sz w:val="20"/>
                <w:szCs w:val="20"/>
                <w:u w:val="none"/>
              </w:rPr>
            </w:pPr>
          </w:p>
        </w:tc>
        <w:tc>
          <w:tcPr>
            <w:tcW w:w="849" w:type="dxa"/>
            <w:tcBorders>
              <w:tl2br w:val="nil"/>
              <w:tr2bl w:val="nil"/>
            </w:tcBorders>
            <w:shd w:val="clear" w:color="auto" w:fill="auto"/>
            <w:vAlign w:val="center"/>
          </w:tcPr>
          <w:p w14:paraId="14AEE989">
            <w:pPr>
              <w:rPr>
                <w:rFonts w:hint="eastAsia" w:ascii="宋体" w:hAnsi="宋体" w:eastAsia="宋体" w:cs="宋体"/>
                <w:b/>
                <w:bCs/>
                <w:i w:val="0"/>
                <w:iCs w:val="0"/>
                <w:color w:val="000000"/>
                <w:sz w:val="20"/>
                <w:szCs w:val="20"/>
                <w:u w:val="none"/>
              </w:rPr>
            </w:pPr>
          </w:p>
        </w:tc>
        <w:tc>
          <w:tcPr>
            <w:tcW w:w="849" w:type="dxa"/>
            <w:tcBorders>
              <w:tl2br w:val="nil"/>
              <w:tr2bl w:val="nil"/>
            </w:tcBorders>
            <w:shd w:val="clear" w:color="auto" w:fill="auto"/>
            <w:vAlign w:val="center"/>
          </w:tcPr>
          <w:p w14:paraId="7A9DD99D">
            <w:pPr>
              <w:jc w:val="center"/>
              <w:rPr>
                <w:rFonts w:hint="eastAsia" w:ascii="宋体" w:hAnsi="宋体" w:eastAsia="宋体" w:cs="宋体"/>
                <w:i w:val="0"/>
                <w:iCs w:val="0"/>
                <w:color w:val="000000"/>
                <w:sz w:val="20"/>
                <w:szCs w:val="20"/>
                <w:u w:val="none"/>
              </w:rPr>
            </w:pPr>
          </w:p>
        </w:tc>
        <w:tc>
          <w:tcPr>
            <w:tcW w:w="875" w:type="dxa"/>
            <w:tcBorders>
              <w:tl2br w:val="nil"/>
              <w:tr2bl w:val="nil"/>
            </w:tcBorders>
            <w:shd w:val="clear" w:color="auto" w:fill="auto"/>
            <w:vAlign w:val="center"/>
          </w:tcPr>
          <w:p w14:paraId="4D3295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108" w:type="dxa"/>
            <w:tcBorders>
              <w:tl2br w:val="nil"/>
              <w:tr2bl w:val="nil"/>
            </w:tcBorders>
            <w:shd w:val="clear" w:color="auto" w:fill="auto"/>
            <w:vAlign w:val="center"/>
          </w:tcPr>
          <w:p w14:paraId="78BF9F62">
            <w:pPr>
              <w:jc w:val="center"/>
              <w:rPr>
                <w:rFonts w:hint="eastAsia" w:ascii="宋体" w:hAnsi="宋体" w:eastAsia="宋体" w:cs="宋体"/>
                <w:i w:val="0"/>
                <w:iCs w:val="0"/>
                <w:color w:val="000000"/>
                <w:sz w:val="20"/>
                <w:szCs w:val="20"/>
                <w:u w:val="none"/>
              </w:rPr>
            </w:pPr>
          </w:p>
        </w:tc>
        <w:tc>
          <w:tcPr>
            <w:tcW w:w="1009" w:type="dxa"/>
            <w:tcBorders>
              <w:tl2br w:val="nil"/>
              <w:tr2bl w:val="nil"/>
            </w:tcBorders>
            <w:shd w:val="clear" w:color="auto" w:fill="auto"/>
            <w:vAlign w:val="center"/>
          </w:tcPr>
          <w:p w14:paraId="5005A911">
            <w:pPr>
              <w:rPr>
                <w:rFonts w:hint="eastAsia" w:ascii="宋体" w:hAnsi="宋体" w:eastAsia="宋体" w:cs="宋体"/>
                <w:i w:val="0"/>
                <w:iCs w:val="0"/>
                <w:color w:val="000000"/>
                <w:sz w:val="20"/>
                <w:szCs w:val="20"/>
                <w:u w:val="none"/>
              </w:rPr>
            </w:pPr>
          </w:p>
        </w:tc>
        <w:tc>
          <w:tcPr>
            <w:tcW w:w="1010" w:type="dxa"/>
            <w:tcBorders>
              <w:tl2br w:val="nil"/>
              <w:tr2bl w:val="nil"/>
            </w:tcBorders>
            <w:shd w:val="clear" w:color="auto" w:fill="auto"/>
            <w:vAlign w:val="center"/>
          </w:tcPr>
          <w:p w14:paraId="4A1CA141">
            <w:pPr>
              <w:jc w:val="center"/>
              <w:rPr>
                <w:rFonts w:hint="eastAsia" w:ascii="宋体" w:hAnsi="宋体" w:eastAsia="宋体" w:cs="宋体"/>
                <w:i w:val="0"/>
                <w:iCs w:val="0"/>
                <w:color w:val="000000"/>
                <w:sz w:val="20"/>
                <w:szCs w:val="20"/>
                <w:u w:val="none"/>
              </w:rPr>
            </w:pPr>
          </w:p>
        </w:tc>
        <w:tc>
          <w:tcPr>
            <w:tcW w:w="1045" w:type="dxa"/>
            <w:tcBorders>
              <w:tl2br w:val="nil"/>
              <w:tr2bl w:val="nil"/>
            </w:tcBorders>
            <w:shd w:val="clear" w:color="auto" w:fill="auto"/>
            <w:vAlign w:val="center"/>
          </w:tcPr>
          <w:p w14:paraId="70040976">
            <w:pPr>
              <w:jc w:val="center"/>
              <w:rPr>
                <w:rFonts w:hint="eastAsia" w:ascii="宋体" w:hAnsi="宋体" w:eastAsia="宋体" w:cs="宋体"/>
                <w:i w:val="0"/>
                <w:iCs w:val="0"/>
                <w:color w:val="000000"/>
                <w:sz w:val="20"/>
                <w:szCs w:val="20"/>
                <w:u w:val="none"/>
              </w:rPr>
            </w:pPr>
          </w:p>
        </w:tc>
        <w:tc>
          <w:tcPr>
            <w:tcW w:w="1081" w:type="dxa"/>
            <w:tcBorders>
              <w:tl2br w:val="nil"/>
              <w:tr2bl w:val="nil"/>
            </w:tcBorders>
            <w:shd w:val="clear" w:color="auto" w:fill="auto"/>
            <w:vAlign w:val="center"/>
          </w:tcPr>
          <w:p w14:paraId="3C3D2C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94.82</w:t>
            </w:r>
          </w:p>
        </w:tc>
        <w:tc>
          <w:tcPr>
            <w:tcW w:w="2002" w:type="dxa"/>
            <w:tcBorders>
              <w:tl2br w:val="nil"/>
              <w:tr2bl w:val="nil"/>
            </w:tcBorders>
            <w:shd w:val="clear" w:color="auto" w:fill="auto"/>
            <w:vAlign w:val="center"/>
          </w:tcPr>
          <w:p w14:paraId="32C18629">
            <w:pPr>
              <w:rPr>
                <w:rFonts w:hint="eastAsia" w:ascii="宋体" w:hAnsi="宋体" w:eastAsia="宋体" w:cs="宋体"/>
                <w:i w:val="0"/>
                <w:iCs w:val="0"/>
                <w:color w:val="000000"/>
                <w:sz w:val="20"/>
                <w:szCs w:val="20"/>
                <w:u w:val="none"/>
              </w:rPr>
            </w:pPr>
          </w:p>
        </w:tc>
      </w:tr>
    </w:tbl>
    <w:p w14:paraId="17CEDBBD">
      <w:pPr>
        <w:bidi w:val="0"/>
        <w:rPr>
          <w:rFonts w:hint="eastAsia"/>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4C45B399">
      <w:pPr>
        <w:bidi w:val="0"/>
        <w:rPr>
          <w:rFonts w:hint="eastAsia"/>
          <w:b/>
          <w:bCs/>
          <w:color w:val="auto"/>
          <w:highlight w:val="none"/>
          <w:lang w:val="en-US" w:eastAsia="zh-CN"/>
        </w:rPr>
      </w:pPr>
      <w:bookmarkStart w:id="83" w:name="_Toc15067"/>
      <w:r>
        <w:rPr>
          <w:rFonts w:hint="eastAsia"/>
          <w:b/>
          <w:bCs/>
          <w:color w:val="auto"/>
          <w:highlight w:val="none"/>
          <w:lang w:val="en-US" w:eastAsia="zh-CN"/>
        </w:rPr>
        <w:t>附件二、项目支出绩效评价指标体系打分表</w:t>
      </w:r>
      <w:bookmarkEnd w:id="83"/>
    </w:p>
    <w:tbl>
      <w:tblPr>
        <w:tblStyle w:val="12"/>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5E0175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9CCF668">
            <w:pPr>
              <w:widowControl/>
              <w:spacing w:line="0" w:lineRule="atLeast"/>
              <w:ind w:firstLine="0" w:firstLineChars="0"/>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一级指标</w:t>
            </w:r>
          </w:p>
        </w:tc>
        <w:tc>
          <w:tcPr>
            <w:tcW w:w="727" w:type="dxa"/>
            <w:shd w:val="clear" w:color="auto" w:fill="auto"/>
            <w:noWrap w:val="0"/>
            <w:vAlign w:val="center"/>
          </w:tcPr>
          <w:p w14:paraId="051027AA">
            <w:pPr>
              <w:widowControl/>
              <w:spacing w:line="0" w:lineRule="atLeast"/>
              <w:ind w:firstLine="0" w:firstLineChars="0"/>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二级指标</w:t>
            </w:r>
          </w:p>
        </w:tc>
        <w:tc>
          <w:tcPr>
            <w:tcW w:w="820" w:type="dxa"/>
            <w:shd w:val="clear" w:color="auto" w:fill="auto"/>
            <w:noWrap w:val="0"/>
            <w:vAlign w:val="center"/>
          </w:tcPr>
          <w:p w14:paraId="22D10AE1">
            <w:pPr>
              <w:widowControl/>
              <w:spacing w:line="0" w:lineRule="atLeast"/>
              <w:ind w:firstLine="0" w:firstLineChars="0"/>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三级指标</w:t>
            </w:r>
          </w:p>
        </w:tc>
        <w:tc>
          <w:tcPr>
            <w:tcW w:w="2141" w:type="dxa"/>
            <w:shd w:val="clear" w:color="auto" w:fill="auto"/>
            <w:noWrap w:val="0"/>
            <w:vAlign w:val="center"/>
          </w:tcPr>
          <w:p w14:paraId="70BED915">
            <w:pPr>
              <w:widowControl/>
              <w:spacing w:line="0" w:lineRule="atLeast"/>
              <w:ind w:firstLine="0" w:firstLineChars="0"/>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指标解释</w:t>
            </w:r>
          </w:p>
        </w:tc>
        <w:tc>
          <w:tcPr>
            <w:tcW w:w="7821" w:type="dxa"/>
            <w:shd w:val="clear" w:color="auto" w:fill="auto"/>
            <w:noWrap w:val="0"/>
            <w:vAlign w:val="center"/>
          </w:tcPr>
          <w:p w14:paraId="3516E79C">
            <w:pPr>
              <w:widowControl/>
              <w:spacing w:line="0" w:lineRule="atLeast"/>
              <w:ind w:firstLine="0" w:firstLineChars="0"/>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指标说明</w:t>
            </w:r>
          </w:p>
        </w:tc>
        <w:tc>
          <w:tcPr>
            <w:tcW w:w="785" w:type="dxa"/>
            <w:shd w:val="clear" w:color="auto" w:fill="auto"/>
            <w:noWrap w:val="0"/>
            <w:vAlign w:val="center"/>
          </w:tcPr>
          <w:p w14:paraId="05161086">
            <w:pPr>
              <w:widowControl/>
              <w:spacing w:line="0" w:lineRule="atLeast"/>
              <w:ind w:firstLine="0" w:firstLineChars="0"/>
              <w:jc w:val="center"/>
              <w:rPr>
                <w:rFonts w:hint="eastAsia" w:ascii="宋体" w:hAnsi="宋体" w:eastAsia="宋体" w:cs="宋体"/>
                <w:b/>
                <w:bCs/>
                <w:color w:val="auto"/>
                <w:kern w:val="0"/>
                <w:sz w:val="18"/>
                <w:szCs w:val="18"/>
                <w:highlight w:val="none"/>
                <w:lang w:val="en-US" w:eastAsia="zh-CN"/>
              </w:rPr>
            </w:pPr>
            <w:r>
              <w:rPr>
                <w:rFonts w:hint="eastAsia" w:ascii="宋体" w:hAnsi="宋体" w:eastAsia="宋体" w:cs="宋体"/>
                <w:b/>
                <w:bCs/>
                <w:color w:val="auto"/>
                <w:kern w:val="0"/>
                <w:sz w:val="18"/>
                <w:szCs w:val="18"/>
                <w:highlight w:val="none"/>
                <w:lang w:val="en-US" w:eastAsia="zh-CN"/>
              </w:rPr>
              <w:t>分值</w:t>
            </w:r>
          </w:p>
        </w:tc>
        <w:tc>
          <w:tcPr>
            <w:tcW w:w="769" w:type="dxa"/>
            <w:shd w:val="clear" w:color="auto" w:fill="auto"/>
            <w:noWrap w:val="0"/>
            <w:vAlign w:val="center"/>
          </w:tcPr>
          <w:p w14:paraId="7B5B6F6E">
            <w:pPr>
              <w:widowControl/>
              <w:spacing w:line="0" w:lineRule="atLeast"/>
              <w:ind w:firstLine="0" w:firstLineChars="0"/>
              <w:jc w:val="center"/>
              <w:rPr>
                <w:rFonts w:hint="eastAsia" w:ascii="宋体" w:hAnsi="宋体" w:eastAsia="宋体" w:cs="宋体"/>
                <w:b/>
                <w:bCs/>
                <w:color w:val="auto"/>
                <w:kern w:val="0"/>
                <w:sz w:val="18"/>
                <w:szCs w:val="18"/>
                <w:highlight w:val="none"/>
                <w:lang w:val="en-US" w:eastAsia="zh-CN"/>
              </w:rPr>
            </w:pPr>
            <w:r>
              <w:rPr>
                <w:rFonts w:hint="eastAsia" w:ascii="宋体" w:hAnsi="宋体" w:eastAsia="宋体" w:cs="宋体"/>
                <w:b/>
                <w:bCs/>
                <w:color w:val="auto"/>
                <w:kern w:val="0"/>
                <w:sz w:val="18"/>
                <w:szCs w:val="18"/>
                <w:highlight w:val="none"/>
                <w:lang w:val="en-US" w:eastAsia="zh-CN"/>
              </w:rPr>
              <w:t>得分</w:t>
            </w:r>
          </w:p>
        </w:tc>
      </w:tr>
      <w:tr w14:paraId="290129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0E27C921">
            <w:pPr>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决策</w:t>
            </w:r>
          </w:p>
        </w:tc>
        <w:tc>
          <w:tcPr>
            <w:tcW w:w="727" w:type="dxa"/>
            <w:vMerge w:val="restart"/>
            <w:shd w:val="clear" w:color="auto" w:fill="auto"/>
            <w:noWrap w:val="0"/>
            <w:vAlign w:val="center"/>
          </w:tcPr>
          <w:p w14:paraId="632CC6EB">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项目立项</w:t>
            </w:r>
          </w:p>
        </w:tc>
        <w:tc>
          <w:tcPr>
            <w:tcW w:w="820" w:type="dxa"/>
            <w:shd w:val="clear" w:color="auto" w:fill="auto"/>
            <w:noWrap w:val="0"/>
            <w:vAlign w:val="center"/>
          </w:tcPr>
          <w:p w14:paraId="4869ED01">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立项依据</w:t>
            </w:r>
          </w:p>
          <w:p w14:paraId="07F5EF91">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充分性</w:t>
            </w:r>
          </w:p>
        </w:tc>
        <w:tc>
          <w:tcPr>
            <w:tcW w:w="2141" w:type="dxa"/>
            <w:shd w:val="clear" w:color="auto" w:fill="auto"/>
            <w:noWrap w:val="0"/>
            <w:vAlign w:val="center"/>
          </w:tcPr>
          <w:p w14:paraId="2CC48ECC">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34F5F499">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评价要点：</w:t>
            </w:r>
          </w:p>
          <w:p w14:paraId="67BA032B">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①项目立项是否符合国家法律法规、国民经济发展规划和相关政策；</w:t>
            </w:r>
          </w:p>
          <w:p w14:paraId="284CC46F">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②项目立项是否符合行业发展规划和政策要求；</w:t>
            </w:r>
          </w:p>
          <w:p w14:paraId="55070E2E">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③项目立项是否与部门职责范围相符，属于部门履职所需；</w:t>
            </w:r>
          </w:p>
          <w:p w14:paraId="17799DF3">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④项目是否属于公共财政支持范围，是否符合中央、地方事权支出责任划分原则；</w:t>
            </w:r>
          </w:p>
          <w:p w14:paraId="38FE93F3">
            <w:pPr>
              <w:widowControl/>
              <w:spacing w:line="0" w:lineRule="atLeast"/>
              <w:ind w:firstLine="0" w:firstLineChars="0"/>
              <w:jc w:val="left"/>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⑤项目是否与相关部门同类项目或部门内部相关项目重复。</w:t>
            </w:r>
          </w:p>
        </w:tc>
        <w:tc>
          <w:tcPr>
            <w:tcW w:w="785" w:type="dxa"/>
            <w:shd w:val="clear" w:color="auto" w:fill="auto"/>
            <w:noWrap w:val="0"/>
            <w:vAlign w:val="center"/>
          </w:tcPr>
          <w:p w14:paraId="3AB695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18"/>
                <w:szCs w:val="18"/>
                <w:highlight w:val="none"/>
                <w:shd w:val="clear" w:color="auto" w:fill="auto"/>
                <w:lang w:val="en-US" w:eastAsia="zh-CN" w:bidi="ar-SA"/>
              </w:rPr>
            </w:pPr>
            <w:r>
              <w:rPr>
                <w:rFonts w:hint="eastAsia" w:ascii="宋体" w:hAnsi="宋体" w:eastAsia="宋体" w:cs="宋体"/>
                <w:color w:val="auto"/>
                <w:kern w:val="0"/>
                <w:sz w:val="18"/>
                <w:szCs w:val="18"/>
                <w:highlight w:val="none"/>
                <w:shd w:val="clear" w:color="auto" w:fill="auto"/>
                <w:lang w:val="en-US" w:eastAsia="zh-CN"/>
              </w:rPr>
              <w:t>2</w:t>
            </w:r>
          </w:p>
        </w:tc>
        <w:tc>
          <w:tcPr>
            <w:tcW w:w="769" w:type="dxa"/>
            <w:shd w:val="clear" w:color="auto" w:fill="auto"/>
            <w:noWrap w:val="0"/>
            <w:vAlign w:val="center"/>
          </w:tcPr>
          <w:p w14:paraId="6666BC9D">
            <w:pPr>
              <w:widowControl/>
              <w:spacing w:line="0" w:lineRule="atLeast"/>
              <w:ind w:firstLine="0" w:firstLineChars="0"/>
              <w:jc w:val="left"/>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2</w:t>
            </w:r>
          </w:p>
        </w:tc>
      </w:tr>
      <w:tr w14:paraId="044673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7C0434D4">
            <w:pPr>
              <w:spacing w:line="0" w:lineRule="atLeast"/>
              <w:ind w:firstLine="0" w:firstLineChars="0"/>
              <w:jc w:val="center"/>
              <w:rPr>
                <w:rFonts w:ascii="宋体" w:hAnsi="宋体" w:eastAsia="宋体" w:cs="宋体"/>
                <w:color w:val="auto"/>
                <w:kern w:val="0"/>
                <w:sz w:val="18"/>
                <w:szCs w:val="18"/>
                <w:highlight w:val="none"/>
              </w:rPr>
            </w:pPr>
          </w:p>
        </w:tc>
        <w:tc>
          <w:tcPr>
            <w:tcW w:w="727" w:type="dxa"/>
            <w:vMerge w:val="continue"/>
            <w:shd w:val="clear" w:color="auto" w:fill="auto"/>
            <w:noWrap w:val="0"/>
            <w:vAlign w:val="center"/>
          </w:tcPr>
          <w:p w14:paraId="7C3177BA">
            <w:pPr>
              <w:widowControl/>
              <w:spacing w:line="0" w:lineRule="atLeast"/>
              <w:ind w:firstLine="0" w:firstLineChars="0"/>
              <w:jc w:val="center"/>
              <w:rPr>
                <w:rFonts w:ascii="宋体" w:hAnsi="宋体" w:eastAsia="宋体" w:cs="宋体"/>
                <w:color w:val="auto"/>
                <w:kern w:val="0"/>
                <w:sz w:val="18"/>
                <w:szCs w:val="18"/>
                <w:highlight w:val="none"/>
              </w:rPr>
            </w:pPr>
          </w:p>
        </w:tc>
        <w:tc>
          <w:tcPr>
            <w:tcW w:w="820" w:type="dxa"/>
            <w:shd w:val="clear" w:color="auto" w:fill="auto"/>
            <w:noWrap w:val="0"/>
            <w:vAlign w:val="center"/>
          </w:tcPr>
          <w:p w14:paraId="1FBE5722">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立项程序</w:t>
            </w:r>
          </w:p>
          <w:p w14:paraId="372A0776">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规范性</w:t>
            </w:r>
          </w:p>
        </w:tc>
        <w:tc>
          <w:tcPr>
            <w:tcW w:w="2141" w:type="dxa"/>
            <w:shd w:val="clear" w:color="auto" w:fill="auto"/>
            <w:noWrap w:val="0"/>
            <w:vAlign w:val="center"/>
          </w:tcPr>
          <w:p w14:paraId="39BED5BD">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项目申请、设立过程是否符合相关要求，用以反映和考核项目立项的规范情况。</w:t>
            </w:r>
          </w:p>
        </w:tc>
        <w:tc>
          <w:tcPr>
            <w:tcW w:w="7821" w:type="dxa"/>
            <w:shd w:val="clear" w:color="auto" w:fill="auto"/>
            <w:noWrap w:val="0"/>
            <w:vAlign w:val="center"/>
          </w:tcPr>
          <w:p w14:paraId="244105F3">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评价要点：</w:t>
            </w:r>
          </w:p>
          <w:p w14:paraId="2A78B264">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①项目是否按照规定的程序申请设立；</w:t>
            </w:r>
          </w:p>
          <w:p w14:paraId="75F6192A">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②审批文件、材料是否符合相关要求；</w:t>
            </w:r>
          </w:p>
          <w:p w14:paraId="7CD848CF">
            <w:pPr>
              <w:widowControl/>
              <w:spacing w:line="0" w:lineRule="atLeast"/>
              <w:ind w:firstLine="0" w:firstLineChars="0"/>
              <w:jc w:val="left"/>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③事前是否已经过必要的可行性研究、专家论证、风险评估、绩效评估、集体决策。</w:t>
            </w:r>
          </w:p>
        </w:tc>
        <w:tc>
          <w:tcPr>
            <w:tcW w:w="785" w:type="dxa"/>
            <w:shd w:val="clear" w:color="auto" w:fill="auto"/>
            <w:noWrap w:val="0"/>
            <w:vAlign w:val="center"/>
          </w:tcPr>
          <w:p w14:paraId="5F353A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18"/>
                <w:szCs w:val="18"/>
                <w:highlight w:val="none"/>
                <w:shd w:val="clear" w:color="auto" w:fill="auto"/>
                <w:lang w:val="en-US" w:eastAsia="zh-CN" w:bidi="ar-SA"/>
              </w:rPr>
            </w:pPr>
            <w:r>
              <w:rPr>
                <w:rFonts w:hint="eastAsia" w:cs="宋体"/>
                <w:color w:val="auto"/>
                <w:kern w:val="0"/>
                <w:sz w:val="18"/>
                <w:szCs w:val="18"/>
                <w:highlight w:val="none"/>
                <w:shd w:val="clear" w:color="auto" w:fill="auto"/>
                <w:lang w:val="en-US" w:eastAsia="zh-CN"/>
              </w:rPr>
              <w:t>3</w:t>
            </w:r>
          </w:p>
        </w:tc>
        <w:tc>
          <w:tcPr>
            <w:tcW w:w="769" w:type="dxa"/>
            <w:shd w:val="clear" w:color="auto" w:fill="auto"/>
            <w:noWrap w:val="0"/>
            <w:vAlign w:val="center"/>
          </w:tcPr>
          <w:p w14:paraId="01B657DD">
            <w:pPr>
              <w:widowControl/>
              <w:spacing w:line="0" w:lineRule="atLeast"/>
              <w:ind w:firstLine="0" w:firstLineChars="0"/>
              <w:jc w:val="left"/>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2</w:t>
            </w:r>
          </w:p>
        </w:tc>
      </w:tr>
      <w:tr w14:paraId="3058E6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39E7BD93">
            <w:pPr>
              <w:spacing w:line="0" w:lineRule="atLeast"/>
              <w:ind w:firstLine="0" w:firstLineChars="0"/>
              <w:jc w:val="center"/>
              <w:rPr>
                <w:rFonts w:ascii="宋体" w:hAnsi="宋体" w:eastAsia="宋体" w:cs="宋体"/>
                <w:color w:val="auto"/>
                <w:kern w:val="0"/>
                <w:sz w:val="18"/>
                <w:szCs w:val="18"/>
                <w:highlight w:val="none"/>
              </w:rPr>
            </w:pPr>
          </w:p>
        </w:tc>
        <w:tc>
          <w:tcPr>
            <w:tcW w:w="727" w:type="dxa"/>
            <w:shd w:val="clear" w:color="auto" w:fill="auto"/>
            <w:noWrap w:val="0"/>
            <w:vAlign w:val="center"/>
          </w:tcPr>
          <w:p w14:paraId="752E2B79">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绩效目标</w:t>
            </w:r>
          </w:p>
        </w:tc>
        <w:tc>
          <w:tcPr>
            <w:tcW w:w="820" w:type="dxa"/>
            <w:shd w:val="clear" w:color="auto" w:fill="auto"/>
            <w:noWrap w:val="0"/>
            <w:vAlign w:val="center"/>
          </w:tcPr>
          <w:p w14:paraId="04BBA28D">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绩效目标</w:t>
            </w:r>
          </w:p>
          <w:p w14:paraId="41C83BA4">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合理性</w:t>
            </w:r>
          </w:p>
        </w:tc>
        <w:tc>
          <w:tcPr>
            <w:tcW w:w="2141" w:type="dxa"/>
            <w:shd w:val="clear" w:color="auto" w:fill="auto"/>
            <w:noWrap w:val="0"/>
            <w:vAlign w:val="center"/>
          </w:tcPr>
          <w:p w14:paraId="45E19539">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66528CE2">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评价要点：</w:t>
            </w:r>
          </w:p>
          <w:p w14:paraId="54E03F6D">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（如未设定预算绩效目标，也可考核其他工作任务目标）</w:t>
            </w:r>
          </w:p>
          <w:p w14:paraId="7A6B6C09">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①项目是否有绩效目标；</w:t>
            </w:r>
          </w:p>
          <w:p w14:paraId="2FCB6721">
            <w:pPr>
              <w:widowControl/>
              <w:spacing w:line="0" w:lineRule="atLeast"/>
              <w:ind w:firstLine="0" w:firstLineChars="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②项目绩效目标与实际工作内容是否具有相关性；</w:t>
            </w:r>
          </w:p>
          <w:p w14:paraId="008FB3C1">
            <w:pPr>
              <w:widowControl/>
              <w:spacing w:line="0" w:lineRule="atLeast"/>
              <w:ind w:firstLine="0" w:firstLineChars="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③项目预期产出效益和效果是否符合正常的业绩水平；</w:t>
            </w:r>
          </w:p>
          <w:p w14:paraId="2272AF95">
            <w:pPr>
              <w:widowControl/>
              <w:spacing w:line="0" w:lineRule="atLeast"/>
              <w:ind w:firstLine="0" w:firstLineChars="0"/>
              <w:jc w:val="left"/>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④是否与预算确定的项目投资额或资金量相匹配。</w:t>
            </w:r>
          </w:p>
        </w:tc>
        <w:tc>
          <w:tcPr>
            <w:tcW w:w="785" w:type="dxa"/>
            <w:shd w:val="clear" w:color="auto" w:fill="auto"/>
            <w:noWrap w:val="0"/>
            <w:vAlign w:val="center"/>
          </w:tcPr>
          <w:p w14:paraId="4D4183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18"/>
                <w:szCs w:val="18"/>
                <w:highlight w:val="none"/>
                <w:shd w:val="clear" w:color="auto" w:fill="auto"/>
                <w:lang w:val="en-US" w:eastAsia="zh-CN" w:bidi="ar-SA"/>
              </w:rPr>
            </w:pPr>
            <w:r>
              <w:rPr>
                <w:rFonts w:hint="eastAsia" w:ascii="宋体" w:hAnsi="宋体" w:eastAsia="宋体" w:cs="宋体"/>
                <w:color w:val="auto"/>
                <w:kern w:val="0"/>
                <w:sz w:val="18"/>
                <w:szCs w:val="18"/>
                <w:highlight w:val="none"/>
                <w:shd w:val="clear" w:color="auto" w:fill="auto"/>
                <w:lang w:val="en-US" w:eastAsia="zh-CN"/>
              </w:rPr>
              <w:t>5</w:t>
            </w:r>
          </w:p>
        </w:tc>
        <w:tc>
          <w:tcPr>
            <w:tcW w:w="769" w:type="dxa"/>
            <w:shd w:val="clear" w:color="auto" w:fill="auto"/>
            <w:noWrap w:val="0"/>
            <w:vAlign w:val="center"/>
          </w:tcPr>
          <w:p w14:paraId="3CE2FE6D">
            <w:pPr>
              <w:widowControl/>
              <w:spacing w:line="0" w:lineRule="atLeast"/>
              <w:ind w:firstLine="0" w:firstLineChars="0"/>
              <w:jc w:val="left"/>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5</w:t>
            </w:r>
          </w:p>
        </w:tc>
      </w:tr>
      <w:tr w14:paraId="25D25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48CB0C95">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决策</w:t>
            </w:r>
          </w:p>
        </w:tc>
        <w:tc>
          <w:tcPr>
            <w:tcW w:w="727" w:type="dxa"/>
            <w:shd w:val="clear" w:color="auto" w:fill="auto"/>
            <w:noWrap w:val="0"/>
            <w:vAlign w:val="center"/>
          </w:tcPr>
          <w:p w14:paraId="691C7989">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绩效目标</w:t>
            </w:r>
          </w:p>
        </w:tc>
        <w:tc>
          <w:tcPr>
            <w:tcW w:w="820" w:type="dxa"/>
            <w:shd w:val="clear" w:color="auto" w:fill="auto"/>
            <w:noWrap w:val="0"/>
            <w:vAlign w:val="center"/>
          </w:tcPr>
          <w:p w14:paraId="6FDBAE71">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绩效指标</w:t>
            </w:r>
          </w:p>
          <w:p w14:paraId="13AF4E17">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明确性</w:t>
            </w:r>
          </w:p>
        </w:tc>
        <w:tc>
          <w:tcPr>
            <w:tcW w:w="2141" w:type="dxa"/>
            <w:shd w:val="clear" w:color="auto" w:fill="auto"/>
            <w:noWrap w:val="0"/>
            <w:vAlign w:val="center"/>
          </w:tcPr>
          <w:p w14:paraId="16AC2A97">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141E3127">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评价要点：</w:t>
            </w:r>
          </w:p>
          <w:p w14:paraId="603A5661">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①是否将项目绩效目标细化分解为具体的绩效指标；</w:t>
            </w:r>
          </w:p>
          <w:p w14:paraId="67A1503C">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②是否通过清晰、可衡量的指标值予以体现；</w:t>
            </w:r>
          </w:p>
          <w:p w14:paraId="346272DE">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③是否与项目目标任务数或计划数相对应。</w:t>
            </w:r>
          </w:p>
          <w:p w14:paraId="5790E58A">
            <w:pPr>
              <w:widowControl/>
              <w:spacing w:line="0" w:lineRule="atLeast"/>
              <w:ind w:firstLine="0" w:firstLineChars="0"/>
              <w:rPr>
                <w:rFonts w:hint="eastAsia" w:ascii="宋体" w:hAnsi="宋体" w:eastAsia="宋体" w:cs="宋体"/>
                <w:color w:val="auto"/>
                <w:kern w:val="0"/>
                <w:sz w:val="18"/>
                <w:szCs w:val="18"/>
                <w:highlight w:val="none"/>
                <w:lang w:eastAsia="zh-CN"/>
              </w:rPr>
            </w:pPr>
          </w:p>
        </w:tc>
        <w:tc>
          <w:tcPr>
            <w:tcW w:w="785" w:type="dxa"/>
            <w:shd w:val="clear" w:color="auto" w:fill="auto"/>
            <w:noWrap w:val="0"/>
            <w:vAlign w:val="center"/>
          </w:tcPr>
          <w:p w14:paraId="139ACC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18"/>
                <w:szCs w:val="18"/>
                <w:highlight w:val="none"/>
                <w:shd w:val="clear" w:color="auto" w:fill="auto"/>
                <w:lang w:val="en-US" w:eastAsia="zh-CN" w:bidi="ar-SA"/>
              </w:rPr>
            </w:pPr>
            <w:r>
              <w:rPr>
                <w:rFonts w:hint="eastAsia" w:ascii="宋体" w:hAnsi="宋体" w:eastAsia="宋体" w:cs="宋体"/>
                <w:color w:val="auto"/>
                <w:kern w:val="0"/>
                <w:sz w:val="18"/>
                <w:szCs w:val="18"/>
                <w:highlight w:val="none"/>
                <w:shd w:val="clear" w:color="auto" w:fill="auto"/>
                <w:lang w:val="en-US" w:eastAsia="zh-CN"/>
              </w:rPr>
              <w:t>5</w:t>
            </w:r>
          </w:p>
        </w:tc>
        <w:tc>
          <w:tcPr>
            <w:tcW w:w="769" w:type="dxa"/>
            <w:shd w:val="clear" w:color="auto" w:fill="auto"/>
            <w:noWrap w:val="0"/>
            <w:vAlign w:val="center"/>
          </w:tcPr>
          <w:p w14:paraId="0B921F60">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5</w:t>
            </w:r>
          </w:p>
        </w:tc>
      </w:tr>
      <w:tr w14:paraId="19F170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32C11733">
            <w:pPr>
              <w:spacing w:line="0" w:lineRule="atLeast"/>
              <w:ind w:firstLine="0" w:firstLineChars="0"/>
              <w:jc w:val="center"/>
              <w:rPr>
                <w:rFonts w:ascii="宋体" w:hAnsi="宋体" w:eastAsia="宋体" w:cs="宋体"/>
                <w:color w:val="auto"/>
                <w:kern w:val="0"/>
                <w:sz w:val="18"/>
                <w:szCs w:val="18"/>
                <w:highlight w:val="none"/>
              </w:rPr>
            </w:pPr>
          </w:p>
        </w:tc>
        <w:tc>
          <w:tcPr>
            <w:tcW w:w="727" w:type="dxa"/>
            <w:vMerge w:val="restart"/>
            <w:shd w:val="clear" w:color="auto" w:fill="auto"/>
            <w:noWrap w:val="0"/>
            <w:vAlign w:val="center"/>
          </w:tcPr>
          <w:p w14:paraId="2FDDF1C7">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资金投入</w:t>
            </w:r>
          </w:p>
          <w:p w14:paraId="689BB1E6">
            <w:pPr>
              <w:spacing w:line="0" w:lineRule="atLeast"/>
              <w:ind w:firstLine="0" w:firstLineChars="0"/>
              <w:jc w:val="center"/>
              <w:rPr>
                <w:rFonts w:ascii="宋体" w:hAnsi="宋体" w:eastAsia="宋体" w:cs="宋体"/>
                <w:color w:val="auto"/>
                <w:kern w:val="0"/>
                <w:sz w:val="18"/>
                <w:szCs w:val="18"/>
                <w:highlight w:val="none"/>
              </w:rPr>
            </w:pPr>
          </w:p>
        </w:tc>
        <w:tc>
          <w:tcPr>
            <w:tcW w:w="820" w:type="dxa"/>
            <w:shd w:val="clear" w:color="auto" w:fill="auto"/>
            <w:noWrap w:val="0"/>
            <w:vAlign w:val="center"/>
          </w:tcPr>
          <w:p w14:paraId="7BFC1C99">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预算编制</w:t>
            </w:r>
          </w:p>
          <w:p w14:paraId="5B5E3DAD">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科学性</w:t>
            </w:r>
          </w:p>
        </w:tc>
        <w:tc>
          <w:tcPr>
            <w:tcW w:w="2141" w:type="dxa"/>
            <w:shd w:val="clear" w:color="auto" w:fill="auto"/>
            <w:noWrap w:val="0"/>
            <w:vAlign w:val="center"/>
          </w:tcPr>
          <w:p w14:paraId="7CB27507">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3D428A1C">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评价要点：</w:t>
            </w:r>
          </w:p>
          <w:p w14:paraId="0F74B3DD">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①预算编制是否经过科学论证；</w:t>
            </w:r>
          </w:p>
          <w:p w14:paraId="7B93161B">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②预算内容与项目内容是否匹配；</w:t>
            </w:r>
          </w:p>
          <w:p w14:paraId="7D905A51">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③预算额度测算依据是否充分，是否按照标准编制；</w:t>
            </w:r>
          </w:p>
          <w:p w14:paraId="7D47D820">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④预算确定的项目投资额或资金量是否与工作任务相匹配。</w:t>
            </w:r>
          </w:p>
        </w:tc>
        <w:tc>
          <w:tcPr>
            <w:tcW w:w="785" w:type="dxa"/>
            <w:shd w:val="clear" w:color="auto" w:fill="auto"/>
            <w:noWrap w:val="0"/>
            <w:vAlign w:val="center"/>
          </w:tcPr>
          <w:p w14:paraId="47427F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18"/>
                <w:szCs w:val="18"/>
                <w:highlight w:val="none"/>
                <w:shd w:val="clear" w:color="auto" w:fill="auto"/>
                <w:lang w:val="en-US" w:eastAsia="zh-CN" w:bidi="ar-SA"/>
              </w:rPr>
            </w:pPr>
            <w:r>
              <w:rPr>
                <w:rFonts w:hint="eastAsia" w:ascii="宋体" w:hAnsi="宋体" w:eastAsia="宋体" w:cs="宋体"/>
                <w:color w:val="auto"/>
                <w:kern w:val="0"/>
                <w:sz w:val="18"/>
                <w:szCs w:val="18"/>
                <w:highlight w:val="none"/>
                <w:shd w:val="clear" w:color="auto" w:fill="auto"/>
                <w:lang w:val="en-US" w:eastAsia="zh-CN"/>
              </w:rPr>
              <w:t>2</w:t>
            </w:r>
          </w:p>
        </w:tc>
        <w:tc>
          <w:tcPr>
            <w:tcW w:w="769" w:type="dxa"/>
            <w:shd w:val="clear" w:color="auto" w:fill="auto"/>
            <w:noWrap w:val="0"/>
            <w:vAlign w:val="center"/>
          </w:tcPr>
          <w:p w14:paraId="51A16537">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2</w:t>
            </w:r>
          </w:p>
        </w:tc>
      </w:tr>
      <w:tr w14:paraId="185950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507A1BAB">
            <w:pPr>
              <w:widowControl/>
              <w:spacing w:line="0" w:lineRule="atLeast"/>
              <w:ind w:firstLine="0" w:firstLineChars="0"/>
              <w:jc w:val="center"/>
              <w:rPr>
                <w:rFonts w:ascii="宋体" w:hAnsi="宋体" w:eastAsia="宋体" w:cs="宋体"/>
                <w:color w:val="auto"/>
                <w:kern w:val="0"/>
                <w:sz w:val="18"/>
                <w:szCs w:val="18"/>
                <w:highlight w:val="none"/>
              </w:rPr>
            </w:pPr>
          </w:p>
        </w:tc>
        <w:tc>
          <w:tcPr>
            <w:tcW w:w="727" w:type="dxa"/>
            <w:vMerge w:val="continue"/>
            <w:shd w:val="clear" w:color="auto" w:fill="auto"/>
            <w:noWrap w:val="0"/>
            <w:vAlign w:val="center"/>
          </w:tcPr>
          <w:p w14:paraId="2C87385E">
            <w:pPr>
              <w:widowControl/>
              <w:spacing w:line="0" w:lineRule="atLeast"/>
              <w:ind w:firstLine="0" w:firstLineChars="0"/>
              <w:jc w:val="center"/>
              <w:rPr>
                <w:rFonts w:ascii="宋体" w:hAnsi="宋体" w:eastAsia="宋体" w:cs="宋体"/>
                <w:color w:val="auto"/>
                <w:kern w:val="0"/>
                <w:sz w:val="18"/>
                <w:szCs w:val="18"/>
                <w:highlight w:val="none"/>
              </w:rPr>
            </w:pPr>
          </w:p>
        </w:tc>
        <w:tc>
          <w:tcPr>
            <w:tcW w:w="820" w:type="dxa"/>
            <w:shd w:val="clear" w:color="auto" w:fill="auto"/>
            <w:noWrap w:val="0"/>
            <w:vAlign w:val="center"/>
          </w:tcPr>
          <w:p w14:paraId="2B17112D">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资金分配</w:t>
            </w:r>
          </w:p>
          <w:p w14:paraId="4F5158F2">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合理性</w:t>
            </w:r>
          </w:p>
        </w:tc>
        <w:tc>
          <w:tcPr>
            <w:tcW w:w="2141" w:type="dxa"/>
            <w:shd w:val="clear" w:color="auto" w:fill="auto"/>
            <w:noWrap w:val="0"/>
            <w:vAlign w:val="center"/>
          </w:tcPr>
          <w:p w14:paraId="6326E3AC">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7A0B374D">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评价要点：</w:t>
            </w:r>
          </w:p>
          <w:p w14:paraId="2F639122">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①预算资金分配依据是否充分；</w:t>
            </w:r>
          </w:p>
          <w:p w14:paraId="64E9F26E">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②资金分配额度是否合理，与项目单位或地方实际是否相适应。</w:t>
            </w:r>
          </w:p>
        </w:tc>
        <w:tc>
          <w:tcPr>
            <w:tcW w:w="785" w:type="dxa"/>
            <w:shd w:val="clear" w:color="auto" w:fill="auto"/>
            <w:noWrap w:val="0"/>
            <w:vAlign w:val="center"/>
          </w:tcPr>
          <w:p w14:paraId="216327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18"/>
                <w:szCs w:val="18"/>
                <w:highlight w:val="none"/>
                <w:shd w:val="clear" w:color="auto" w:fill="auto"/>
                <w:lang w:val="en-US" w:eastAsia="zh-CN" w:bidi="ar-SA"/>
              </w:rPr>
            </w:pPr>
            <w:r>
              <w:rPr>
                <w:rFonts w:hint="eastAsia" w:ascii="宋体" w:hAnsi="宋体" w:eastAsia="宋体" w:cs="宋体"/>
                <w:color w:val="auto"/>
                <w:kern w:val="0"/>
                <w:sz w:val="18"/>
                <w:szCs w:val="18"/>
                <w:highlight w:val="none"/>
                <w:shd w:val="clear" w:color="auto" w:fill="auto"/>
                <w:lang w:val="en-US" w:eastAsia="zh-CN"/>
              </w:rPr>
              <w:t>3</w:t>
            </w:r>
          </w:p>
        </w:tc>
        <w:tc>
          <w:tcPr>
            <w:tcW w:w="769" w:type="dxa"/>
            <w:shd w:val="clear" w:color="auto" w:fill="auto"/>
            <w:noWrap w:val="0"/>
            <w:vAlign w:val="center"/>
          </w:tcPr>
          <w:p w14:paraId="3D60E50B">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r>
      <w:tr w14:paraId="641E15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6EA4DE0A">
            <w:pPr>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过程</w:t>
            </w:r>
          </w:p>
        </w:tc>
        <w:tc>
          <w:tcPr>
            <w:tcW w:w="727" w:type="dxa"/>
            <w:vMerge w:val="restart"/>
            <w:shd w:val="clear" w:color="auto" w:fill="auto"/>
            <w:noWrap w:val="0"/>
            <w:vAlign w:val="center"/>
          </w:tcPr>
          <w:p w14:paraId="798EF4D5">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资金管理</w:t>
            </w:r>
          </w:p>
        </w:tc>
        <w:tc>
          <w:tcPr>
            <w:tcW w:w="820" w:type="dxa"/>
            <w:shd w:val="clear" w:color="auto" w:fill="auto"/>
            <w:noWrap w:val="0"/>
            <w:vAlign w:val="center"/>
          </w:tcPr>
          <w:p w14:paraId="4A5E86AC">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资金到位率</w:t>
            </w:r>
          </w:p>
        </w:tc>
        <w:tc>
          <w:tcPr>
            <w:tcW w:w="2141" w:type="dxa"/>
            <w:shd w:val="clear" w:color="auto" w:fill="auto"/>
            <w:noWrap w:val="0"/>
            <w:vAlign w:val="center"/>
          </w:tcPr>
          <w:p w14:paraId="273E3EFA">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实际到位资金与预算资金的比率，用以反映和考核资金落实情况对项目实施的总体保障程度。</w:t>
            </w:r>
          </w:p>
        </w:tc>
        <w:tc>
          <w:tcPr>
            <w:tcW w:w="7821" w:type="dxa"/>
            <w:shd w:val="clear" w:color="auto" w:fill="auto"/>
            <w:noWrap w:val="0"/>
            <w:vAlign w:val="center"/>
          </w:tcPr>
          <w:p w14:paraId="79C4C1BB">
            <w:pPr>
              <w:widowControl/>
              <w:spacing w:line="0" w:lineRule="atLeast"/>
              <w:ind w:firstLine="0" w:firstLineChars="0"/>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资金到位率=（实际到位资金/预算资金）×100%。</w:t>
            </w:r>
          </w:p>
          <w:p w14:paraId="25BD3AEE">
            <w:pPr>
              <w:widowControl/>
              <w:spacing w:line="0" w:lineRule="atLeast"/>
              <w:ind w:firstLine="0" w:firstLineChars="0"/>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实际到位资金：一定时期（本年度或项目期）内落实到具体项目的资金。</w:t>
            </w:r>
          </w:p>
          <w:p w14:paraId="4924A9C2">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预算资金：一定时期（本年度或项目期）内预算安排到具体项目的资金。</w:t>
            </w:r>
          </w:p>
        </w:tc>
        <w:tc>
          <w:tcPr>
            <w:tcW w:w="785" w:type="dxa"/>
            <w:shd w:val="clear" w:color="auto" w:fill="auto"/>
            <w:noWrap w:val="0"/>
            <w:vAlign w:val="center"/>
          </w:tcPr>
          <w:p w14:paraId="380F52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18"/>
                <w:szCs w:val="18"/>
                <w:highlight w:val="none"/>
                <w:shd w:val="clear" w:color="auto" w:fill="auto"/>
                <w:lang w:val="en-US" w:eastAsia="zh-CN" w:bidi="ar-SA"/>
              </w:rPr>
            </w:pPr>
            <w:r>
              <w:rPr>
                <w:rFonts w:hint="eastAsia" w:ascii="宋体" w:hAnsi="宋体" w:eastAsia="宋体" w:cs="宋体"/>
                <w:color w:val="auto"/>
                <w:kern w:val="0"/>
                <w:sz w:val="18"/>
                <w:szCs w:val="18"/>
                <w:highlight w:val="none"/>
                <w:shd w:val="clear" w:color="auto" w:fill="auto"/>
                <w:lang w:val="en-US" w:eastAsia="zh-CN"/>
              </w:rPr>
              <w:t>4</w:t>
            </w:r>
          </w:p>
        </w:tc>
        <w:tc>
          <w:tcPr>
            <w:tcW w:w="769" w:type="dxa"/>
            <w:shd w:val="clear" w:color="auto" w:fill="auto"/>
            <w:noWrap w:val="0"/>
            <w:vAlign w:val="center"/>
          </w:tcPr>
          <w:p w14:paraId="1AB6B1A2">
            <w:pPr>
              <w:widowControl/>
              <w:spacing w:line="0" w:lineRule="atLeast"/>
              <w:ind w:firstLine="0" w:firstLineChars="0"/>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3.92</w:t>
            </w:r>
          </w:p>
        </w:tc>
      </w:tr>
      <w:tr w14:paraId="36559D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29C0D7B0">
            <w:pPr>
              <w:spacing w:line="0" w:lineRule="atLeast"/>
              <w:ind w:firstLine="0" w:firstLineChars="0"/>
              <w:jc w:val="center"/>
              <w:rPr>
                <w:rFonts w:hint="eastAsia" w:ascii="宋体" w:hAnsi="宋体" w:eastAsia="宋体" w:cs="宋体"/>
                <w:color w:val="auto"/>
                <w:kern w:val="0"/>
                <w:sz w:val="18"/>
                <w:szCs w:val="18"/>
                <w:highlight w:val="none"/>
              </w:rPr>
            </w:pPr>
          </w:p>
        </w:tc>
        <w:tc>
          <w:tcPr>
            <w:tcW w:w="727" w:type="dxa"/>
            <w:vMerge w:val="continue"/>
            <w:shd w:val="clear" w:color="auto" w:fill="auto"/>
            <w:noWrap w:val="0"/>
            <w:vAlign w:val="center"/>
          </w:tcPr>
          <w:p w14:paraId="46CF0BEE">
            <w:pPr>
              <w:spacing w:line="0" w:lineRule="atLeast"/>
              <w:ind w:firstLine="0" w:firstLineChars="0"/>
              <w:jc w:val="center"/>
              <w:rPr>
                <w:rFonts w:hint="eastAsia" w:ascii="宋体" w:hAnsi="宋体" w:eastAsia="宋体" w:cs="宋体"/>
                <w:color w:val="auto"/>
                <w:kern w:val="0"/>
                <w:sz w:val="18"/>
                <w:szCs w:val="18"/>
                <w:highlight w:val="none"/>
              </w:rPr>
            </w:pPr>
          </w:p>
        </w:tc>
        <w:tc>
          <w:tcPr>
            <w:tcW w:w="820" w:type="dxa"/>
            <w:shd w:val="clear" w:color="auto" w:fill="auto"/>
            <w:noWrap w:val="0"/>
            <w:vAlign w:val="center"/>
          </w:tcPr>
          <w:p w14:paraId="6D509876">
            <w:pPr>
              <w:widowControl/>
              <w:spacing w:line="0" w:lineRule="atLeast"/>
              <w:ind w:firstLine="0" w:firstLineChars="0"/>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rPr>
              <w:t>预算执行率</w:t>
            </w:r>
          </w:p>
        </w:tc>
        <w:tc>
          <w:tcPr>
            <w:tcW w:w="2141" w:type="dxa"/>
            <w:shd w:val="clear" w:color="auto" w:fill="auto"/>
            <w:noWrap w:val="0"/>
            <w:vAlign w:val="center"/>
          </w:tcPr>
          <w:p w14:paraId="317FE888">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项目预算资金是否按照计划执行，用以反映或考核项目预算执行情况。</w:t>
            </w:r>
          </w:p>
        </w:tc>
        <w:tc>
          <w:tcPr>
            <w:tcW w:w="7821" w:type="dxa"/>
            <w:shd w:val="clear" w:color="auto" w:fill="auto"/>
            <w:noWrap w:val="0"/>
            <w:vAlign w:val="center"/>
          </w:tcPr>
          <w:p w14:paraId="6B32DDE3">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预算执行率=（实际支出资金/实际到位资金）×100%。</w:t>
            </w:r>
          </w:p>
          <w:p w14:paraId="5B633A0A">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实际支出资金：一定时期（本年度或项目期）内项目实际拨付的资金。</w:t>
            </w:r>
          </w:p>
        </w:tc>
        <w:tc>
          <w:tcPr>
            <w:tcW w:w="785" w:type="dxa"/>
            <w:shd w:val="clear" w:color="auto" w:fill="auto"/>
            <w:noWrap w:val="0"/>
            <w:vAlign w:val="center"/>
          </w:tcPr>
          <w:p w14:paraId="0302AD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18"/>
                <w:szCs w:val="18"/>
                <w:highlight w:val="none"/>
                <w:shd w:val="clear" w:color="auto" w:fill="auto"/>
                <w:lang w:val="en-US" w:eastAsia="zh-CN" w:bidi="ar-SA"/>
              </w:rPr>
            </w:pPr>
            <w:r>
              <w:rPr>
                <w:rFonts w:hint="eastAsia" w:ascii="宋体" w:hAnsi="宋体" w:eastAsia="宋体" w:cs="宋体"/>
                <w:color w:val="auto"/>
                <w:kern w:val="0"/>
                <w:sz w:val="18"/>
                <w:szCs w:val="18"/>
                <w:highlight w:val="none"/>
                <w:shd w:val="clear" w:color="auto" w:fill="auto"/>
                <w:lang w:val="en-US" w:eastAsia="zh-CN"/>
              </w:rPr>
              <w:t>4</w:t>
            </w:r>
          </w:p>
        </w:tc>
        <w:tc>
          <w:tcPr>
            <w:tcW w:w="769" w:type="dxa"/>
            <w:shd w:val="clear" w:color="auto" w:fill="auto"/>
            <w:noWrap w:val="0"/>
            <w:vAlign w:val="center"/>
          </w:tcPr>
          <w:p w14:paraId="739D6BDF">
            <w:pPr>
              <w:widowControl/>
              <w:spacing w:line="0" w:lineRule="atLeast"/>
              <w:ind w:firstLine="0" w:firstLineChars="0"/>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3.92</w:t>
            </w:r>
          </w:p>
        </w:tc>
      </w:tr>
      <w:tr w14:paraId="52011E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32C6D1FF">
            <w:pPr>
              <w:widowControl/>
              <w:spacing w:line="0" w:lineRule="atLeast"/>
              <w:ind w:firstLine="0" w:firstLineChars="0"/>
              <w:jc w:val="center"/>
              <w:rPr>
                <w:rFonts w:ascii="宋体" w:hAnsi="宋体" w:eastAsia="宋体" w:cs="宋体"/>
                <w:color w:val="auto"/>
                <w:kern w:val="0"/>
                <w:sz w:val="18"/>
                <w:szCs w:val="18"/>
                <w:highlight w:val="none"/>
              </w:rPr>
            </w:pPr>
          </w:p>
          <w:p w14:paraId="1F42B55F">
            <w:pPr>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过程</w:t>
            </w:r>
          </w:p>
        </w:tc>
        <w:tc>
          <w:tcPr>
            <w:tcW w:w="727" w:type="dxa"/>
            <w:shd w:val="clear" w:color="auto" w:fill="auto"/>
            <w:noWrap w:val="0"/>
            <w:vAlign w:val="center"/>
          </w:tcPr>
          <w:p w14:paraId="52D811EB">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资金管理</w:t>
            </w:r>
          </w:p>
        </w:tc>
        <w:tc>
          <w:tcPr>
            <w:tcW w:w="820" w:type="dxa"/>
            <w:shd w:val="clear" w:color="auto" w:fill="auto"/>
            <w:noWrap w:val="0"/>
            <w:vAlign w:val="center"/>
          </w:tcPr>
          <w:p w14:paraId="05594CB9">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资金使用</w:t>
            </w:r>
          </w:p>
          <w:p w14:paraId="1617F326">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合规性</w:t>
            </w:r>
          </w:p>
        </w:tc>
        <w:tc>
          <w:tcPr>
            <w:tcW w:w="2141" w:type="dxa"/>
            <w:shd w:val="clear" w:color="auto" w:fill="auto"/>
            <w:noWrap w:val="0"/>
            <w:vAlign w:val="center"/>
          </w:tcPr>
          <w:p w14:paraId="49A69D97">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项目资金使用是否符合相关的财务管理制度规定，用以反映和考核项目资金的规范运行情况。</w:t>
            </w:r>
          </w:p>
        </w:tc>
        <w:tc>
          <w:tcPr>
            <w:tcW w:w="7821" w:type="dxa"/>
            <w:shd w:val="clear" w:color="auto" w:fill="auto"/>
            <w:noWrap w:val="0"/>
            <w:vAlign w:val="center"/>
          </w:tcPr>
          <w:p w14:paraId="0435E172">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评价要点：</w:t>
            </w:r>
          </w:p>
          <w:p w14:paraId="01383E30">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①是否符合国家财经法规和财务管理制度以及有关专项资金管理办法的规定；</w:t>
            </w:r>
          </w:p>
          <w:p w14:paraId="06909F0C">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②资金的拨付是否有完整的审批程序和手续；</w:t>
            </w:r>
          </w:p>
          <w:p w14:paraId="6E448C74">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③是否符合项目预算批复或合同规定的用途；</w:t>
            </w:r>
          </w:p>
          <w:p w14:paraId="073F9FD9">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④是否存在截留、挤占、挪用、虚列支出等情况。</w:t>
            </w:r>
          </w:p>
        </w:tc>
        <w:tc>
          <w:tcPr>
            <w:tcW w:w="785" w:type="dxa"/>
            <w:shd w:val="clear" w:color="auto" w:fill="auto"/>
            <w:noWrap w:val="0"/>
            <w:vAlign w:val="center"/>
          </w:tcPr>
          <w:p w14:paraId="63C471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18"/>
                <w:szCs w:val="18"/>
                <w:highlight w:val="none"/>
                <w:shd w:val="clear" w:color="auto" w:fill="auto"/>
                <w:lang w:val="en-US" w:eastAsia="zh-CN" w:bidi="ar-SA"/>
              </w:rPr>
            </w:pPr>
            <w:r>
              <w:rPr>
                <w:rFonts w:hint="eastAsia" w:ascii="宋体" w:hAnsi="宋体" w:eastAsia="宋体" w:cs="宋体"/>
                <w:color w:val="auto"/>
                <w:kern w:val="0"/>
                <w:sz w:val="18"/>
                <w:szCs w:val="18"/>
                <w:highlight w:val="none"/>
                <w:shd w:val="clear" w:color="auto" w:fill="auto"/>
                <w:lang w:val="en-US" w:eastAsia="zh-CN"/>
              </w:rPr>
              <w:t>4</w:t>
            </w:r>
          </w:p>
        </w:tc>
        <w:tc>
          <w:tcPr>
            <w:tcW w:w="769" w:type="dxa"/>
            <w:shd w:val="clear" w:color="auto" w:fill="auto"/>
            <w:noWrap w:val="0"/>
            <w:vAlign w:val="center"/>
          </w:tcPr>
          <w:p w14:paraId="113AAC41">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4</w:t>
            </w:r>
          </w:p>
        </w:tc>
      </w:tr>
      <w:tr w14:paraId="4F860E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586C855D">
            <w:pPr>
              <w:spacing w:line="0" w:lineRule="atLeast"/>
              <w:ind w:firstLine="0" w:firstLineChars="0"/>
              <w:jc w:val="center"/>
              <w:rPr>
                <w:rFonts w:ascii="宋体" w:hAnsi="宋体" w:eastAsia="宋体" w:cs="宋体"/>
                <w:color w:val="auto"/>
                <w:kern w:val="0"/>
                <w:sz w:val="18"/>
                <w:szCs w:val="18"/>
                <w:highlight w:val="none"/>
              </w:rPr>
            </w:pPr>
          </w:p>
        </w:tc>
        <w:tc>
          <w:tcPr>
            <w:tcW w:w="727" w:type="dxa"/>
            <w:vMerge w:val="restart"/>
            <w:shd w:val="clear" w:color="auto" w:fill="auto"/>
            <w:noWrap w:val="0"/>
            <w:vAlign w:val="center"/>
          </w:tcPr>
          <w:p w14:paraId="65C3CDC7">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组织实施</w:t>
            </w:r>
          </w:p>
          <w:p w14:paraId="6952204B">
            <w:pPr>
              <w:spacing w:line="0" w:lineRule="atLeast"/>
              <w:ind w:firstLine="0" w:firstLineChars="0"/>
              <w:jc w:val="center"/>
              <w:rPr>
                <w:rFonts w:ascii="宋体" w:hAnsi="宋体" w:eastAsia="宋体" w:cs="宋体"/>
                <w:color w:val="auto"/>
                <w:kern w:val="0"/>
                <w:sz w:val="18"/>
                <w:szCs w:val="18"/>
                <w:highlight w:val="none"/>
              </w:rPr>
            </w:pPr>
          </w:p>
        </w:tc>
        <w:tc>
          <w:tcPr>
            <w:tcW w:w="820" w:type="dxa"/>
            <w:shd w:val="clear" w:color="auto" w:fill="auto"/>
            <w:noWrap w:val="0"/>
            <w:vAlign w:val="center"/>
          </w:tcPr>
          <w:p w14:paraId="55368536">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管理制度</w:t>
            </w:r>
          </w:p>
          <w:p w14:paraId="074FBEE1">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健全性</w:t>
            </w:r>
          </w:p>
        </w:tc>
        <w:tc>
          <w:tcPr>
            <w:tcW w:w="2141" w:type="dxa"/>
            <w:shd w:val="clear" w:color="auto" w:fill="auto"/>
            <w:noWrap w:val="0"/>
            <w:vAlign w:val="center"/>
          </w:tcPr>
          <w:p w14:paraId="5D6E0C3B">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737327CE">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评价要点：</w:t>
            </w:r>
          </w:p>
          <w:p w14:paraId="255D6D00">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①是否已制定或具有相应的财务和业务管理制度；</w:t>
            </w:r>
          </w:p>
          <w:p w14:paraId="0C98134C">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②财务和业务管理制度是否合法、合规、完整。</w:t>
            </w:r>
          </w:p>
        </w:tc>
        <w:tc>
          <w:tcPr>
            <w:tcW w:w="785" w:type="dxa"/>
            <w:shd w:val="clear" w:color="auto" w:fill="auto"/>
            <w:noWrap w:val="0"/>
            <w:vAlign w:val="center"/>
          </w:tcPr>
          <w:p w14:paraId="6E2CEA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18"/>
                <w:szCs w:val="18"/>
                <w:highlight w:val="none"/>
                <w:shd w:val="clear" w:color="auto" w:fill="auto"/>
                <w:lang w:val="en-US" w:eastAsia="zh-CN" w:bidi="ar-SA"/>
              </w:rPr>
            </w:pPr>
            <w:r>
              <w:rPr>
                <w:rFonts w:hint="eastAsia" w:ascii="宋体" w:hAnsi="宋体" w:eastAsia="宋体" w:cs="宋体"/>
                <w:color w:val="auto"/>
                <w:kern w:val="0"/>
                <w:sz w:val="18"/>
                <w:szCs w:val="18"/>
                <w:highlight w:val="none"/>
                <w:shd w:val="clear" w:color="auto" w:fill="auto"/>
                <w:lang w:val="en-US" w:eastAsia="zh-CN"/>
              </w:rPr>
              <w:t>4</w:t>
            </w:r>
          </w:p>
        </w:tc>
        <w:tc>
          <w:tcPr>
            <w:tcW w:w="769" w:type="dxa"/>
            <w:shd w:val="clear" w:color="auto" w:fill="auto"/>
            <w:noWrap w:val="0"/>
            <w:vAlign w:val="center"/>
          </w:tcPr>
          <w:p w14:paraId="6EB5B8E9">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4</w:t>
            </w:r>
          </w:p>
        </w:tc>
      </w:tr>
      <w:tr w14:paraId="79FA3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0478A710">
            <w:pPr>
              <w:widowControl/>
              <w:spacing w:line="0" w:lineRule="atLeast"/>
              <w:ind w:firstLine="0" w:firstLineChars="0"/>
              <w:jc w:val="center"/>
              <w:rPr>
                <w:rFonts w:ascii="宋体" w:hAnsi="宋体" w:eastAsia="宋体" w:cs="宋体"/>
                <w:color w:val="auto"/>
                <w:kern w:val="0"/>
                <w:sz w:val="18"/>
                <w:szCs w:val="18"/>
                <w:highlight w:val="none"/>
              </w:rPr>
            </w:pPr>
          </w:p>
        </w:tc>
        <w:tc>
          <w:tcPr>
            <w:tcW w:w="727" w:type="dxa"/>
            <w:vMerge w:val="continue"/>
            <w:shd w:val="clear" w:color="auto" w:fill="auto"/>
            <w:noWrap w:val="0"/>
            <w:vAlign w:val="center"/>
          </w:tcPr>
          <w:p w14:paraId="7D10BF26">
            <w:pPr>
              <w:widowControl/>
              <w:spacing w:line="0" w:lineRule="atLeast"/>
              <w:ind w:firstLine="0" w:firstLineChars="0"/>
              <w:jc w:val="center"/>
              <w:rPr>
                <w:rFonts w:ascii="宋体" w:hAnsi="宋体" w:eastAsia="宋体" w:cs="宋体"/>
                <w:color w:val="auto"/>
                <w:kern w:val="0"/>
                <w:sz w:val="18"/>
                <w:szCs w:val="18"/>
                <w:highlight w:val="none"/>
              </w:rPr>
            </w:pPr>
          </w:p>
        </w:tc>
        <w:tc>
          <w:tcPr>
            <w:tcW w:w="820" w:type="dxa"/>
            <w:shd w:val="clear" w:color="auto" w:fill="auto"/>
            <w:noWrap w:val="0"/>
            <w:vAlign w:val="center"/>
          </w:tcPr>
          <w:p w14:paraId="58852777">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制度执行</w:t>
            </w:r>
          </w:p>
          <w:p w14:paraId="689DFE76">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有效性</w:t>
            </w:r>
          </w:p>
        </w:tc>
        <w:tc>
          <w:tcPr>
            <w:tcW w:w="2141" w:type="dxa"/>
            <w:shd w:val="clear" w:color="auto" w:fill="auto"/>
            <w:noWrap w:val="0"/>
            <w:vAlign w:val="center"/>
          </w:tcPr>
          <w:p w14:paraId="05BB3C31">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项目实施是否符合相关管理规定，用以反映和考核相关管理制度的有效执行情况。</w:t>
            </w:r>
          </w:p>
        </w:tc>
        <w:tc>
          <w:tcPr>
            <w:tcW w:w="7821" w:type="dxa"/>
            <w:shd w:val="clear" w:color="auto" w:fill="auto"/>
            <w:noWrap w:val="0"/>
            <w:vAlign w:val="center"/>
          </w:tcPr>
          <w:p w14:paraId="3BA77D7E">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评价要点：</w:t>
            </w:r>
          </w:p>
          <w:p w14:paraId="5F395576">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①是否遵守相关法律法规和相关管理规定；</w:t>
            </w:r>
          </w:p>
          <w:p w14:paraId="6FA324F0">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②项目调整及支出调整手续是否完备；</w:t>
            </w:r>
          </w:p>
          <w:p w14:paraId="084CAC24">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③项目合同书、验收报告、技术鉴定等资料是否齐全并及时归档；</w:t>
            </w:r>
          </w:p>
          <w:p w14:paraId="4C225243">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④项目实施的人员条件、场地设备、信息支撑等是否落实到位。</w:t>
            </w:r>
          </w:p>
        </w:tc>
        <w:tc>
          <w:tcPr>
            <w:tcW w:w="785" w:type="dxa"/>
            <w:shd w:val="clear" w:color="auto" w:fill="auto"/>
            <w:noWrap w:val="0"/>
            <w:vAlign w:val="center"/>
          </w:tcPr>
          <w:p w14:paraId="38310A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18"/>
                <w:szCs w:val="18"/>
                <w:highlight w:val="none"/>
                <w:shd w:val="clear" w:color="auto" w:fill="auto"/>
                <w:lang w:val="en-US" w:eastAsia="zh-CN" w:bidi="ar-SA"/>
              </w:rPr>
            </w:pPr>
            <w:r>
              <w:rPr>
                <w:rFonts w:hint="eastAsia" w:ascii="宋体" w:hAnsi="宋体" w:eastAsia="宋体" w:cs="宋体"/>
                <w:color w:val="auto"/>
                <w:kern w:val="0"/>
                <w:sz w:val="18"/>
                <w:szCs w:val="18"/>
                <w:highlight w:val="none"/>
                <w:shd w:val="clear" w:color="auto" w:fill="auto"/>
                <w:lang w:val="en-US" w:eastAsia="zh-CN"/>
              </w:rPr>
              <w:t>4</w:t>
            </w:r>
          </w:p>
        </w:tc>
        <w:tc>
          <w:tcPr>
            <w:tcW w:w="769" w:type="dxa"/>
            <w:shd w:val="clear" w:color="auto" w:fill="auto"/>
            <w:noWrap w:val="0"/>
            <w:vAlign w:val="center"/>
          </w:tcPr>
          <w:p w14:paraId="293E0289">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4</w:t>
            </w:r>
          </w:p>
        </w:tc>
      </w:tr>
      <w:tr w14:paraId="5E7CD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5369615A">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产出</w:t>
            </w:r>
          </w:p>
          <w:p w14:paraId="4D71CD4D">
            <w:pPr>
              <w:widowControl/>
              <w:spacing w:line="0" w:lineRule="atLeast"/>
              <w:ind w:firstLine="0" w:firstLineChars="0"/>
              <w:jc w:val="center"/>
              <w:rPr>
                <w:rFonts w:ascii="宋体" w:hAnsi="宋体" w:eastAsia="宋体" w:cs="宋体"/>
                <w:color w:val="auto"/>
                <w:kern w:val="0"/>
                <w:sz w:val="18"/>
                <w:szCs w:val="18"/>
                <w:highlight w:val="none"/>
              </w:rPr>
            </w:pPr>
          </w:p>
        </w:tc>
        <w:tc>
          <w:tcPr>
            <w:tcW w:w="727" w:type="dxa"/>
            <w:shd w:val="clear" w:color="auto" w:fill="auto"/>
            <w:noWrap w:val="0"/>
            <w:vAlign w:val="center"/>
          </w:tcPr>
          <w:p w14:paraId="58E96085">
            <w:pPr>
              <w:widowControl/>
              <w:spacing w:line="0" w:lineRule="atLeast"/>
              <w:ind w:firstLine="0" w:firstLineChars="0"/>
              <w:jc w:val="center"/>
              <w:rPr>
                <w:rFonts w:hint="eastAsia" w:ascii="宋体" w:hAnsi="宋体" w:eastAsia="宋体" w:cs="宋体"/>
                <w:color w:val="auto"/>
                <w:kern w:val="0"/>
                <w:sz w:val="18"/>
                <w:szCs w:val="18"/>
                <w:highlight w:val="none"/>
                <w:lang w:eastAsia="zh-CN"/>
              </w:rPr>
            </w:pPr>
            <w:r>
              <w:rPr>
                <w:rFonts w:hint="eastAsia" w:cs="宋体"/>
                <w:color w:val="auto"/>
                <w:kern w:val="0"/>
                <w:sz w:val="18"/>
                <w:szCs w:val="18"/>
                <w:highlight w:val="none"/>
                <w:lang w:val="en-US" w:eastAsia="zh-CN"/>
              </w:rPr>
              <w:t>数量指标</w:t>
            </w:r>
          </w:p>
        </w:tc>
        <w:tc>
          <w:tcPr>
            <w:tcW w:w="820" w:type="dxa"/>
            <w:shd w:val="clear" w:color="auto" w:fill="auto"/>
            <w:noWrap w:val="0"/>
            <w:vAlign w:val="center"/>
          </w:tcPr>
          <w:p w14:paraId="3B73A3AF">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本金归还次数</w:t>
            </w:r>
          </w:p>
        </w:tc>
        <w:tc>
          <w:tcPr>
            <w:tcW w:w="2141" w:type="dxa"/>
            <w:shd w:val="clear" w:color="auto" w:fill="auto"/>
            <w:noWrap w:val="0"/>
            <w:vAlign w:val="center"/>
          </w:tcPr>
          <w:p w14:paraId="4FBE9154">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项目实施的实际产出数与计划产出数的比率，用以反映和考核项目产出数量目标的实现程度。</w:t>
            </w:r>
          </w:p>
        </w:tc>
        <w:tc>
          <w:tcPr>
            <w:tcW w:w="7821" w:type="dxa"/>
            <w:shd w:val="clear" w:color="auto" w:fill="auto"/>
            <w:noWrap w:val="0"/>
            <w:vAlign w:val="center"/>
          </w:tcPr>
          <w:p w14:paraId="1C923D1D">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实际完成率=（实际产出数/计划产出数）×100%。</w:t>
            </w:r>
          </w:p>
          <w:p w14:paraId="7017CA75">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实际产出数：一定时期（本年度或项目期）内项目实际产出的产品或提供的服务数量。</w:t>
            </w:r>
          </w:p>
          <w:p w14:paraId="4CEC102C">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1C3E86D">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c>
          <w:tcPr>
            <w:tcW w:w="769" w:type="dxa"/>
            <w:shd w:val="clear" w:color="auto" w:fill="auto"/>
            <w:noWrap w:val="0"/>
            <w:vAlign w:val="center"/>
          </w:tcPr>
          <w:p w14:paraId="5E93ACD0">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r>
      <w:tr w14:paraId="41BCC4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064E5371">
            <w:pPr>
              <w:widowControl/>
              <w:spacing w:line="0" w:lineRule="atLeast"/>
              <w:ind w:firstLine="0" w:firstLineChars="0"/>
              <w:jc w:val="center"/>
              <w:rPr>
                <w:rFonts w:hint="eastAsia" w:ascii="宋体" w:hAnsi="宋体" w:eastAsia="宋体" w:cs="宋体"/>
                <w:color w:val="auto"/>
                <w:kern w:val="0"/>
                <w:sz w:val="18"/>
                <w:szCs w:val="18"/>
                <w:highlight w:val="none"/>
                <w:lang w:val="en-US" w:eastAsia="zh-CN"/>
              </w:rPr>
            </w:pPr>
          </w:p>
        </w:tc>
        <w:tc>
          <w:tcPr>
            <w:tcW w:w="727" w:type="dxa"/>
            <w:shd w:val="clear" w:color="auto" w:fill="auto"/>
            <w:noWrap w:val="0"/>
            <w:vAlign w:val="center"/>
          </w:tcPr>
          <w:p w14:paraId="30448799">
            <w:pPr>
              <w:widowControl/>
              <w:spacing w:line="0" w:lineRule="atLeas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数量指标</w:t>
            </w:r>
          </w:p>
        </w:tc>
        <w:tc>
          <w:tcPr>
            <w:tcW w:w="820" w:type="dxa"/>
            <w:shd w:val="clear" w:color="auto" w:fill="auto"/>
            <w:noWrap w:val="0"/>
            <w:vAlign w:val="center"/>
          </w:tcPr>
          <w:p w14:paraId="67E80A0D">
            <w:pPr>
              <w:widowControl/>
              <w:spacing w:line="0" w:lineRule="atLeast"/>
              <w:ind w:firstLine="0" w:firstLineChars="0"/>
              <w:jc w:val="center"/>
              <w:rPr>
                <w:rFonts w:hint="default" w:ascii="宋体" w:hAnsi="宋体" w:eastAsia="宋体" w:cs="宋体"/>
                <w:color w:val="auto"/>
                <w:kern w:val="0"/>
                <w:sz w:val="18"/>
                <w:szCs w:val="18"/>
                <w:highlight w:val="none"/>
                <w:lang w:val="en-US"/>
              </w:rPr>
            </w:pPr>
            <w:r>
              <w:rPr>
                <w:rFonts w:hint="default" w:ascii="宋体" w:hAnsi="宋体" w:eastAsia="宋体" w:cs="宋体"/>
                <w:color w:val="auto"/>
                <w:kern w:val="0"/>
                <w:sz w:val="18"/>
                <w:szCs w:val="18"/>
                <w:highlight w:val="none"/>
                <w:lang w:val="en-US"/>
              </w:rPr>
              <w:t>利息归还次数</w:t>
            </w:r>
          </w:p>
        </w:tc>
        <w:tc>
          <w:tcPr>
            <w:tcW w:w="2141" w:type="dxa"/>
            <w:shd w:val="clear" w:color="auto" w:fill="auto"/>
            <w:noWrap w:val="0"/>
            <w:vAlign w:val="center"/>
          </w:tcPr>
          <w:p w14:paraId="21F5B491">
            <w:pPr>
              <w:widowControl/>
              <w:spacing w:line="0" w:lineRule="atLeast"/>
              <w:ind w:firstLine="0" w:firstLineChars="0"/>
              <w:rPr>
                <w:rFonts w:hint="default"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项目实施的实际产出数与计划产出数的比率，用以反映和考核项目产出数量目标的实现程度。</w:t>
            </w:r>
          </w:p>
        </w:tc>
        <w:tc>
          <w:tcPr>
            <w:tcW w:w="7821" w:type="dxa"/>
            <w:shd w:val="clear" w:color="auto" w:fill="auto"/>
            <w:noWrap w:val="0"/>
            <w:vAlign w:val="center"/>
          </w:tcPr>
          <w:p w14:paraId="5EA857DB">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实际完成率=（实际产出数/计划产出数）×100%。</w:t>
            </w:r>
          </w:p>
          <w:p w14:paraId="684D3069">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实际产出数：一定时期（本年度或项目期）内项目实际产出的产品或提供的服务数量。</w:t>
            </w:r>
          </w:p>
          <w:p w14:paraId="0D10C857">
            <w:pPr>
              <w:widowControl/>
              <w:spacing w:line="0" w:lineRule="atLeast"/>
              <w:ind w:firstLine="0" w:firstLineChars="0"/>
              <w:rPr>
                <w:rFonts w:hint="default"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E597BDB">
            <w:pPr>
              <w:widowControl/>
              <w:spacing w:line="0" w:lineRule="atLeast"/>
              <w:ind w:firstLine="0" w:firstLineChars="0"/>
              <w:rPr>
                <w:rFonts w:hint="default"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c>
          <w:tcPr>
            <w:tcW w:w="769" w:type="dxa"/>
            <w:shd w:val="clear" w:color="auto" w:fill="auto"/>
            <w:noWrap w:val="0"/>
            <w:vAlign w:val="center"/>
          </w:tcPr>
          <w:p w14:paraId="6986C0A3">
            <w:pPr>
              <w:widowControl/>
              <w:spacing w:line="0" w:lineRule="atLeast"/>
              <w:ind w:firstLine="0" w:firstLineChars="0"/>
              <w:rPr>
                <w:rFonts w:hint="default"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r>
      <w:tr w14:paraId="7D2699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45375318">
            <w:pPr>
              <w:widowControl/>
              <w:spacing w:line="0" w:lineRule="atLeast"/>
              <w:ind w:firstLine="0" w:firstLineChars="0"/>
              <w:jc w:val="center"/>
              <w:rPr>
                <w:rFonts w:ascii="宋体" w:hAnsi="宋体" w:eastAsia="宋体" w:cs="宋体"/>
                <w:color w:val="auto"/>
                <w:kern w:val="0"/>
                <w:sz w:val="18"/>
                <w:szCs w:val="18"/>
                <w:highlight w:val="none"/>
              </w:rPr>
            </w:pPr>
          </w:p>
        </w:tc>
        <w:tc>
          <w:tcPr>
            <w:tcW w:w="727" w:type="dxa"/>
            <w:shd w:val="clear" w:color="auto" w:fill="auto"/>
            <w:noWrap w:val="0"/>
            <w:vAlign w:val="center"/>
          </w:tcPr>
          <w:p w14:paraId="6092FF48">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质量指标</w:t>
            </w:r>
          </w:p>
        </w:tc>
        <w:tc>
          <w:tcPr>
            <w:tcW w:w="820" w:type="dxa"/>
            <w:shd w:val="clear" w:color="auto" w:fill="auto"/>
            <w:noWrap w:val="0"/>
            <w:vAlign w:val="center"/>
          </w:tcPr>
          <w:p w14:paraId="522D3DAF">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本金按期归还率</w:t>
            </w:r>
          </w:p>
        </w:tc>
        <w:tc>
          <w:tcPr>
            <w:tcW w:w="2141" w:type="dxa"/>
            <w:shd w:val="clear" w:color="auto" w:fill="auto"/>
            <w:noWrap w:val="0"/>
            <w:vAlign w:val="center"/>
          </w:tcPr>
          <w:p w14:paraId="1AE4CDEC">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F20B1C2">
            <w:pPr>
              <w:widowControl/>
              <w:spacing w:line="0" w:lineRule="atLeast"/>
              <w:ind w:firstLine="0" w:firstLineChars="0"/>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质量达标率=（质量达标产出数/实际产出数）×100%。</w:t>
            </w:r>
          </w:p>
          <w:p w14:paraId="44F25AF6">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484758DF">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c>
          <w:tcPr>
            <w:tcW w:w="769" w:type="dxa"/>
            <w:shd w:val="clear" w:color="auto" w:fill="auto"/>
            <w:noWrap w:val="0"/>
            <w:vAlign w:val="center"/>
          </w:tcPr>
          <w:p w14:paraId="19DB2823">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r>
      <w:tr w14:paraId="5B55A4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5AB33B47">
            <w:pPr>
              <w:widowControl/>
              <w:spacing w:line="0" w:lineRule="atLeast"/>
              <w:ind w:firstLine="0" w:firstLineChars="0"/>
              <w:jc w:val="center"/>
              <w:rPr>
                <w:rFonts w:hint="eastAsia" w:ascii="宋体" w:hAnsi="宋体" w:eastAsia="宋体" w:cs="宋体"/>
                <w:color w:val="auto"/>
                <w:kern w:val="0"/>
                <w:sz w:val="18"/>
                <w:szCs w:val="18"/>
                <w:highlight w:val="none"/>
              </w:rPr>
            </w:pPr>
          </w:p>
        </w:tc>
        <w:tc>
          <w:tcPr>
            <w:tcW w:w="727" w:type="dxa"/>
            <w:shd w:val="clear" w:color="auto" w:fill="auto"/>
            <w:noWrap w:val="0"/>
            <w:vAlign w:val="center"/>
          </w:tcPr>
          <w:p w14:paraId="059CD071">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质量指标</w:t>
            </w:r>
          </w:p>
        </w:tc>
        <w:tc>
          <w:tcPr>
            <w:tcW w:w="820" w:type="dxa"/>
            <w:shd w:val="clear" w:color="auto" w:fill="auto"/>
            <w:noWrap w:val="0"/>
            <w:vAlign w:val="center"/>
          </w:tcPr>
          <w:p w14:paraId="6FBB32CC">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利息按期归还率</w:t>
            </w:r>
          </w:p>
        </w:tc>
        <w:tc>
          <w:tcPr>
            <w:tcW w:w="2141" w:type="dxa"/>
            <w:shd w:val="clear" w:color="auto" w:fill="auto"/>
            <w:noWrap w:val="0"/>
            <w:vAlign w:val="center"/>
          </w:tcPr>
          <w:p w14:paraId="2E4527B9">
            <w:pPr>
              <w:widowControl/>
              <w:spacing w:line="0" w:lineRule="atLeast"/>
              <w:ind w:firstLine="0" w:firstLineChars="0"/>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5DC330B">
            <w:pPr>
              <w:widowControl/>
              <w:spacing w:line="0" w:lineRule="atLeast"/>
              <w:ind w:firstLine="0" w:firstLineChars="0"/>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质量达标率=（质量达标产出数/实际产出数）×100%。</w:t>
            </w:r>
          </w:p>
          <w:p w14:paraId="395F25D0">
            <w:pPr>
              <w:widowControl/>
              <w:spacing w:line="0" w:lineRule="atLeast"/>
              <w:ind w:firstLine="0" w:firstLineChars="0"/>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B15FBE0">
            <w:pPr>
              <w:widowControl/>
              <w:spacing w:line="0" w:lineRule="atLeast"/>
              <w:ind w:firstLine="0" w:firstLineChars="0"/>
              <w:rPr>
                <w:rFonts w:hint="default"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c>
          <w:tcPr>
            <w:tcW w:w="769" w:type="dxa"/>
            <w:shd w:val="clear" w:color="auto" w:fill="auto"/>
            <w:noWrap w:val="0"/>
            <w:vAlign w:val="center"/>
          </w:tcPr>
          <w:p w14:paraId="66B9EF90">
            <w:pPr>
              <w:widowControl/>
              <w:spacing w:line="0" w:lineRule="atLeast"/>
              <w:ind w:firstLine="0" w:firstLineChars="0"/>
              <w:rPr>
                <w:rFonts w:hint="default"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r>
      <w:tr w14:paraId="45EE0D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5B69386">
            <w:pPr>
              <w:spacing w:line="0" w:lineRule="atLeast"/>
              <w:ind w:firstLine="0" w:firstLineChars="0"/>
              <w:jc w:val="center"/>
              <w:rPr>
                <w:rFonts w:ascii="宋体" w:hAnsi="宋体" w:eastAsia="宋体" w:cs="宋体"/>
                <w:color w:val="auto"/>
                <w:kern w:val="0"/>
                <w:sz w:val="18"/>
                <w:szCs w:val="18"/>
                <w:highlight w:val="none"/>
              </w:rPr>
            </w:pPr>
          </w:p>
        </w:tc>
        <w:tc>
          <w:tcPr>
            <w:tcW w:w="727" w:type="dxa"/>
            <w:shd w:val="clear" w:color="auto" w:fill="auto"/>
            <w:noWrap w:val="0"/>
            <w:vAlign w:val="center"/>
          </w:tcPr>
          <w:p w14:paraId="3DAD25C7">
            <w:pPr>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时效指标</w:t>
            </w:r>
          </w:p>
        </w:tc>
        <w:tc>
          <w:tcPr>
            <w:tcW w:w="820" w:type="dxa"/>
            <w:shd w:val="clear" w:color="auto" w:fill="auto"/>
            <w:noWrap w:val="0"/>
            <w:vAlign w:val="center"/>
          </w:tcPr>
          <w:p w14:paraId="29D2913F">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按期归还本金及时率</w:t>
            </w:r>
          </w:p>
        </w:tc>
        <w:tc>
          <w:tcPr>
            <w:tcW w:w="2141" w:type="dxa"/>
            <w:shd w:val="clear" w:color="auto" w:fill="auto"/>
            <w:noWrap w:val="0"/>
            <w:vAlign w:val="center"/>
          </w:tcPr>
          <w:p w14:paraId="576A869D">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项目实际完成时间与计划完成时间的比较，用以反映和考核项目产出时效目标的实现程度。</w:t>
            </w:r>
          </w:p>
        </w:tc>
        <w:tc>
          <w:tcPr>
            <w:tcW w:w="7821" w:type="dxa"/>
            <w:shd w:val="clear" w:color="auto" w:fill="auto"/>
            <w:noWrap w:val="0"/>
            <w:vAlign w:val="center"/>
          </w:tcPr>
          <w:p w14:paraId="4B846C5A">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实际完成时间：项目实施单位完成该项目实际所耗用的时间。</w:t>
            </w:r>
          </w:p>
          <w:p w14:paraId="43E75009">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计划完成时间：按照项目实施计划或相关规定完成该项目所需的时间。</w:t>
            </w:r>
          </w:p>
        </w:tc>
        <w:tc>
          <w:tcPr>
            <w:tcW w:w="785" w:type="dxa"/>
            <w:shd w:val="clear" w:color="auto" w:fill="auto"/>
            <w:noWrap w:val="0"/>
            <w:vAlign w:val="center"/>
          </w:tcPr>
          <w:p w14:paraId="353961DD">
            <w:pPr>
              <w:widowControl/>
              <w:spacing w:line="0" w:lineRule="atLeast"/>
              <w:ind w:firstLine="0" w:firstLineChars="0"/>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c>
          <w:tcPr>
            <w:tcW w:w="769" w:type="dxa"/>
            <w:shd w:val="clear" w:color="auto" w:fill="auto"/>
            <w:noWrap w:val="0"/>
            <w:vAlign w:val="center"/>
          </w:tcPr>
          <w:p w14:paraId="5D73AC76">
            <w:pPr>
              <w:widowControl/>
              <w:spacing w:line="0" w:lineRule="atLeast"/>
              <w:ind w:firstLine="0" w:firstLineChars="0"/>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r>
      <w:tr w14:paraId="087AE2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96532AD">
            <w:pPr>
              <w:spacing w:line="0" w:lineRule="atLeast"/>
              <w:ind w:firstLine="0" w:firstLineChars="0"/>
              <w:jc w:val="center"/>
              <w:rPr>
                <w:rFonts w:ascii="宋体" w:hAnsi="宋体" w:eastAsia="宋体" w:cs="宋体"/>
                <w:color w:val="auto"/>
                <w:kern w:val="0"/>
                <w:sz w:val="18"/>
                <w:szCs w:val="18"/>
                <w:highlight w:val="none"/>
              </w:rPr>
            </w:pPr>
          </w:p>
        </w:tc>
        <w:tc>
          <w:tcPr>
            <w:tcW w:w="727" w:type="dxa"/>
            <w:shd w:val="clear" w:color="auto" w:fill="auto"/>
            <w:noWrap w:val="0"/>
            <w:vAlign w:val="center"/>
          </w:tcPr>
          <w:p w14:paraId="5A21F61F">
            <w:pPr>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时效指标</w:t>
            </w:r>
          </w:p>
        </w:tc>
        <w:tc>
          <w:tcPr>
            <w:tcW w:w="820" w:type="dxa"/>
            <w:shd w:val="clear" w:color="auto" w:fill="auto"/>
            <w:noWrap w:val="0"/>
            <w:vAlign w:val="center"/>
          </w:tcPr>
          <w:p w14:paraId="286D5147">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按季度归还利息及时率</w:t>
            </w:r>
          </w:p>
        </w:tc>
        <w:tc>
          <w:tcPr>
            <w:tcW w:w="2141" w:type="dxa"/>
            <w:shd w:val="clear" w:color="auto" w:fill="auto"/>
            <w:noWrap w:val="0"/>
            <w:vAlign w:val="center"/>
          </w:tcPr>
          <w:p w14:paraId="10B32669">
            <w:pPr>
              <w:widowControl/>
              <w:spacing w:line="0" w:lineRule="atLeast"/>
              <w:ind w:firstLine="0" w:firstLineChars="0"/>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项目实际完成时间与计划完成时间的比较，用以反映和考核项目产出时效目标的实现程度。</w:t>
            </w:r>
          </w:p>
        </w:tc>
        <w:tc>
          <w:tcPr>
            <w:tcW w:w="7821" w:type="dxa"/>
            <w:shd w:val="clear" w:color="auto" w:fill="auto"/>
            <w:noWrap w:val="0"/>
            <w:vAlign w:val="center"/>
          </w:tcPr>
          <w:p w14:paraId="690E0FCE">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实际完成时间：项目实施单位完成该项目实际所耗用的时间。</w:t>
            </w:r>
          </w:p>
          <w:p w14:paraId="13805310">
            <w:pPr>
              <w:widowControl/>
              <w:spacing w:line="0" w:lineRule="atLeast"/>
              <w:ind w:firstLine="0" w:firstLineChars="0"/>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计划完成时间：按照项目实施计划或相关规定完成该项目所需的时间。</w:t>
            </w:r>
          </w:p>
        </w:tc>
        <w:tc>
          <w:tcPr>
            <w:tcW w:w="785" w:type="dxa"/>
            <w:shd w:val="clear" w:color="auto" w:fill="auto"/>
            <w:noWrap w:val="0"/>
            <w:vAlign w:val="center"/>
          </w:tcPr>
          <w:p w14:paraId="6CB41AE8">
            <w:pPr>
              <w:widowControl/>
              <w:spacing w:line="0" w:lineRule="atLeast"/>
              <w:ind w:firstLine="0" w:firstLineChars="0"/>
              <w:rPr>
                <w:rFonts w:hint="default"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c>
          <w:tcPr>
            <w:tcW w:w="769" w:type="dxa"/>
            <w:shd w:val="clear" w:color="auto" w:fill="auto"/>
            <w:noWrap w:val="0"/>
            <w:vAlign w:val="center"/>
          </w:tcPr>
          <w:p w14:paraId="0A1C8FC3">
            <w:pPr>
              <w:widowControl/>
              <w:spacing w:line="0" w:lineRule="atLeast"/>
              <w:ind w:firstLine="0" w:firstLineChars="0"/>
              <w:rPr>
                <w:rFonts w:hint="default" w:cs="宋体"/>
                <w:color w:val="auto"/>
                <w:kern w:val="0"/>
                <w:sz w:val="18"/>
                <w:szCs w:val="18"/>
                <w:highlight w:val="none"/>
                <w:lang w:val="en-US" w:eastAsia="zh-CN"/>
              </w:rPr>
            </w:pPr>
            <w:r>
              <w:rPr>
                <w:rFonts w:hint="eastAsia" w:cs="宋体"/>
                <w:color w:val="auto"/>
                <w:kern w:val="0"/>
                <w:sz w:val="18"/>
                <w:szCs w:val="18"/>
                <w:highlight w:val="none"/>
                <w:lang w:val="en-US" w:eastAsia="zh-CN"/>
              </w:rPr>
              <w:t>3</w:t>
            </w:r>
          </w:p>
        </w:tc>
      </w:tr>
      <w:tr w14:paraId="648A68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5378CE4D">
            <w:pPr>
              <w:widowControl/>
              <w:spacing w:line="0" w:lineRule="atLeast"/>
              <w:ind w:firstLine="0" w:firstLineChars="0"/>
              <w:jc w:val="center"/>
              <w:rPr>
                <w:rFonts w:ascii="宋体" w:hAnsi="宋体" w:eastAsia="宋体" w:cs="宋体"/>
                <w:color w:val="auto"/>
                <w:kern w:val="0"/>
                <w:sz w:val="18"/>
                <w:szCs w:val="18"/>
                <w:highlight w:val="none"/>
              </w:rPr>
            </w:pPr>
          </w:p>
        </w:tc>
        <w:tc>
          <w:tcPr>
            <w:tcW w:w="727" w:type="dxa"/>
            <w:shd w:val="clear" w:color="auto" w:fill="auto"/>
            <w:noWrap w:val="0"/>
            <w:vAlign w:val="center"/>
          </w:tcPr>
          <w:p w14:paraId="18864651">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成本指标</w:t>
            </w:r>
          </w:p>
        </w:tc>
        <w:tc>
          <w:tcPr>
            <w:tcW w:w="820" w:type="dxa"/>
            <w:shd w:val="clear" w:color="auto" w:fill="auto"/>
            <w:noWrap w:val="0"/>
            <w:vAlign w:val="center"/>
          </w:tcPr>
          <w:p w14:paraId="753E4281">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归还本金总额</w:t>
            </w:r>
          </w:p>
        </w:tc>
        <w:tc>
          <w:tcPr>
            <w:tcW w:w="2141" w:type="dxa"/>
            <w:shd w:val="clear" w:color="auto" w:fill="auto"/>
            <w:noWrap w:val="0"/>
            <w:vAlign w:val="center"/>
          </w:tcPr>
          <w:p w14:paraId="3B5A05E8">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16F759EC">
            <w:pPr>
              <w:widowControl/>
              <w:spacing w:line="0" w:lineRule="atLeast"/>
              <w:ind w:firstLine="0" w:firstLineChars="0"/>
              <w:rPr>
                <w:rFonts w:hint="eastAsia" w:ascii="宋体" w:hAnsi="宋体" w:eastAsia="宋体" w:cs="宋体"/>
                <w:color w:val="auto"/>
                <w:kern w:val="0"/>
                <w:sz w:val="18"/>
                <w:szCs w:val="18"/>
                <w:highlight w:val="none"/>
                <w:lang w:eastAsia="zh-CN"/>
              </w:rPr>
            </w:pPr>
          </w:p>
          <w:p w14:paraId="707D4886">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成本节约率=[（计划成本-实际成本）/计划成本]×100%。</w:t>
            </w:r>
          </w:p>
          <w:p w14:paraId="32E2DB70">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实际成本：项目实施单位如期、保质、保量完成既定工作目标实际所耗费的支出。</w:t>
            </w:r>
          </w:p>
          <w:p w14:paraId="5B927A3D">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计划成本：项目实施单位为完成工作目标计划安排的支出，一般以项目预算为参考。</w:t>
            </w:r>
          </w:p>
        </w:tc>
        <w:tc>
          <w:tcPr>
            <w:tcW w:w="785" w:type="dxa"/>
            <w:shd w:val="clear" w:color="auto" w:fill="auto"/>
            <w:noWrap w:val="0"/>
            <w:vAlign w:val="center"/>
          </w:tcPr>
          <w:p w14:paraId="2B3336F8">
            <w:pPr>
              <w:widowControl/>
              <w:spacing w:line="0" w:lineRule="atLeast"/>
              <w:ind w:firstLine="0" w:firstLineChars="0"/>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6</w:t>
            </w:r>
          </w:p>
        </w:tc>
        <w:tc>
          <w:tcPr>
            <w:tcW w:w="769" w:type="dxa"/>
            <w:shd w:val="clear" w:color="auto" w:fill="auto"/>
            <w:noWrap w:val="0"/>
            <w:vAlign w:val="center"/>
          </w:tcPr>
          <w:p w14:paraId="6E13CEE4">
            <w:pPr>
              <w:widowControl/>
              <w:spacing w:line="0" w:lineRule="atLeast"/>
              <w:ind w:firstLine="0" w:firstLineChars="0"/>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6</w:t>
            </w:r>
          </w:p>
        </w:tc>
      </w:tr>
      <w:tr w14:paraId="1A62DE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114BF597">
            <w:pPr>
              <w:widowControl/>
              <w:spacing w:line="0" w:lineRule="atLeast"/>
              <w:ind w:firstLine="0" w:firstLineChars="0"/>
              <w:jc w:val="center"/>
              <w:rPr>
                <w:rFonts w:ascii="宋体" w:hAnsi="宋体" w:eastAsia="宋体" w:cs="宋体"/>
                <w:color w:val="auto"/>
                <w:kern w:val="0"/>
                <w:sz w:val="18"/>
                <w:szCs w:val="18"/>
                <w:highlight w:val="none"/>
              </w:rPr>
            </w:pPr>
          </w:p>
        </w:tc>
        <w:tc>
          <w:tcPr>
            <w:tcW w:w="727" w:type="dxa"/>
            <w:shd w:val="clear" w:color="auto" w:fill="auto"/>
            <w:noWrap w:val="0"/>
            <w:vAlign w:val="center"/>
          </w:tcPr>
          <w:p w14:paraId="7EE30D4D">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成本指标</w:t>
            </w:r>
          </w:p>
        </w:tc>
        <w:tc>
          <w:tcPr>
            <w:tcW w:w="820" w:type="dxa"/>
            <w:shd w:val="clear" w:color="auto" w:fill="auto"/>
            <w:noWrap w:val="0"/>
            <w:vAlign w:val="center"/>
          </w:tcPr>
          <w:p w14:paraId="5AB53A5D">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归还利息总额</w:t>
            </w:r>
          </w:p>
        </w:tc>
        <w:tc>
          <w:tcPr>
            <w:tcW w:w="2141" w:type="dxa"/>
            <w:shd w:val="clear" w:color="auto" w:fill="auto"/>
            <w:noWrap w:val="0"/>
            <w:vAlign w:val="center"/>
          </w:tcPr>
          <w:p w14:paraId="33312BCF">
            <w:pPr>
              <w:widowControl/>
              <w:spacing w:line="0" w:lineRule="atLeast"/>
              <w:ind w:firstLine="0" w:firstLineChars="0"/>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519735E5">
            <w:pPr>
              <w:widowControl/>
              <w:spacing w:line="0" w:lineRule="atLeast"/>
              <w:ind w:firstLine="0" w:firstLineChars="0"/>
              <w:rPr>
                <w:rFonts w:hint="eastAsia" w:ascii="宋体" w:hAnsi="宋体" w:eastAsia="宋体" w:cs="宋体"/>
                <w:color w:val="auto"/>
                <w:kern w:val="0"/>
                <w:sz w:val="18"/>
                <w:szCs w:val="18"/>
                <w:highlight w:val="none"/>
                <w:lang w:eastAsia="zh-CN"/>
              </w:rPr>
            </w:pPr>
          </w:p>
          <w:p w14:paraId="70E8D313">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成本节约率=[（计划成本-实际成本）/计划成本]×100%。</w:t>
            </w:r>
          </w:p>
          <w:p w14:paraId="523BA5EA">
            <w:pPr>
              <w:widowControl/>
              <w:spacing w:line="0" w:lineRule="atLeast"/>
              <w:ind w:firstLine="0" w:firstLineChars="0"/>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实际成本：项目实施单位如期、保质、保量完成既定工作目标实际所耗费的支出。</w:t>
            </w:r>
          </w:p>
          <w:p w14:paraId="3D5FF753">
            <w:pPr>
              <w:widowControl/>
              <w:spacing w:line="0" w:lineRule="atLeast"/>
              <w:ind w:firstLine="0" w:firstLineChars="0"/>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计划成本：项目实施单位为完成工作目标计划安排的支出，一般以项目预算为参考。</w:t>
            </w:r>
          </w:p>
        </w:tc>
        <w:tc>
          <w:tcPr>
            <w:tcW w:w="785" w:type="dxa"/>
            <w:shd w:val="clear" w:color="auto" w:fill="auto"/>
            <w:noWrap w:val="0"/>
            <w:vAlign w:val="center"/>
          </w:tcPr>
          <w:p w14:paraId="34971B0B">
            <w:pPr>
              <w:widowControl/>
              <w:spacing w:line="0" w:lineRule="atLeast"/>
              <w:ind w:firstLine="0" w:firstLineChars="0"/>
              <w:rPr>
                <w:rFonts w:hint="default" w:cs="宋体"/>
                <w:color w:val="auto"/>
                <w:kern w:val="0"/>
                <w:sz w:val="18"/>
                <w:szCs w:val="18"/>
                <w:highlight w:val="none"/>
                <w:lang w:val="en-US" w:eastAsia="zh-CN"/>
              </w:rPr>
            </w:pPr>
            <w:r>
              <w:rPr>
                <w:rFonts w:hint="eastAsia" w:cs="宋体"/>
                <w:color w:val="auto"/>
                <w:kern w:val="0"/>
                <w:sz w:val="18"/>
                <w:szCs w:val="18"/>
                <w:highlight w:val="none"/>
                <w:lang w:val="en-US" w:eastAsia="zh-CN"/>
              </w:rPr>
              <w:t>6</w:t>
            </w:r>
          </w:p>
        </w:tc>
        <w:tc>
          <w:tcPr>
            <w:tcW w:w="769" w:type="dxa"/>
            <w:shd w:val="clear" w:color="auto" w:fill="auto"/>
            <w:noWrap w:val="0"/>
            <w:vAlign w:val="center"/>
          </w:tcPr>
          <w:p w14:paraId="154BD504">
            <w:pPr>
              <w:widowControl/>
              <w:spacing w:line="0" w:lineRule="atLeast"/>
              <w:ind w:firstLine="0" w:firstLineChars="0"/>
              <w:rPr>
                <w:rFonts w:hint="default" w:cs="宋体"/>
                <w:color w:val="auto"/>
                <w:kern w:val="0"/>
                <w:sz w:val="18"/>
                <w:szCs w:val="18"/>
                <w:highlight w:val="none"/>
                <w:lang w:val="en-US" w:eastAsia="zh-CN"/>
              </w:rPr>
            </w:pPr>
            <w:r>
              <w:rPr>
                <w:rFonts w:hint="eastAsia" w:cs="宋体"/>
                <w:color w:val="auto"/>
                <w:kern w:val="0"/>
                <w:sz w:val="18"/>
                <w:szCs w:val="18"/>
                <w:highlight w:val="none"/>
                <w:lang w:val="en-US" w:eastAsia="zh-CN"/>
              </w:rPr>
              <w:t>6</w:t>
            </w:r>
          </w:p>
        </w:tc>
      </w:tr>
      <w:tr w14:paraId="1DBA69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48C1354D">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效益</w:t>
            </w:r>
          </w:p>
        </w:tc>
        <w:tc>
          <w:tcPr>
            <w:tcW w:w="727" w:type="dxa"/>
            <w:shd w:val="clear" w:color="auto" w:fill="auto"/>
            <w:noWrap w:val="0"/>
            <w:vAlign w:val="center"/>
          </w:tcPr>
          <w:p w14:paraId="752ACC75">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经济效益指标</w:t>
            </w:r>
          </w:p>
        </w:tc>
        <w:tc>
          <w:tcPr>
            <w:tcW w:w="820" w:type="dxa"/>
            <w:shd w:val="clear" w:color="auto" w:fill="auto"/>
            <w:noWrap w:val="0"/>
            <w:vAlign w:val="center"/>
          </w:tcPr>
          <w:p w14:paraId="673F3C29">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有效解决天池景区基础设施建设资金不足问题</w:t>
            </w:r>
          </w:p>
        </w:tc>
        <w:tc>
          <w:tcPr>
            <w:tcW w:w="2141" w:type="dxa"/>
            <w:shd w:val="clear" w:color="auto" w:fill="auto"/>
            <w:noWrap w:val="0"/>
            <w:vAlign w:val="center"/>
          </w:tcPr>
          <w:p w14:paraId="372DA664">
            <w:pPr>
              <w:widowControl/>
              <w:spacing w:line="0" w:lineRule="atLeast"/>
              <w:ind w:firstLine="0" w:firstLineChars="0"/>
              <w:jc w:val="left"/>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项目实施所产生的效益。</w:t>
            </w:r>
          </w:p>
        </w:tc>
        <w:tc>
          <w:tcPr>
            <w:tcW w:w="7821" w:type="dxa"/>
            <w:shd w:val="clear" w:color="auto" w:fill="auto"/>
            <w:noWrap w:val="0"/>
            <w:vAlign w:val="center"/>
          </w:tcPr>
          <w:p w14:paraId="3DDC722B">
            <w:pPr>
              <w:widowControl/>
              <w:spacing w:line="0" w:lineRule="atLeast"/>
              <w:ind w:firstLine="0" w:firstLineChars="0"/>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63DCC0A2">
            <w:pPr>
              <w:widowControl/>
              <w:spacing w:line="0" w:lineRule="atLeast"/>
              <w:ind w:firstLine="0" w:firstLineChars="0"/>
              <w:rPr>
                <w:rFonts w:hint="default" w:cs="宋体"/>
                <w:color w:val="auto"/>
                <w:kern w:val="0"/>
                <w:sz w:val="18"/>
                <w:szCs w:val="18"/>
                <w:highlight w:val="none"/>
                <w:lang w:val="en-US" w:eastAsia="zh-CN"/>
              </w:rPr>
            </w:pPr>
            <w:r>
              <w:rPr>
                <w:rFonts w:hint="eastAsia" w:cs="宋体"/>
                <w:color w:val="auto"/>
                <w:kern w:val="0"/>
                <w:sz w:val="18"/>
                <w:szCs w:val="18"/>
                <w:highlight w:val="none"/>
                <w:lang w:val="en-US" w:eastAsia="zh-CN"/>
              </w:rPr>
              <w:t>15</w:t>
            </w:r>
          </w:p>
        </w:tc>
        <w:tc>
          <w:tcPr>
            <w:tcW w:w="769" w:type="dxa"/>
            <w:shd w:val="clear" w:color="auto" w:fill="auto"/>
            <w:noWrap w:val="0"/>
            <w:vAlign w:val="center"/>
          </w:tcPr>
          <w:p w14:paraId="058AE0AF">
            <w:pPr>
              <w:widowControl/>
              <w:spacing w:line="0" w:lineRule="atLeast"/>
              <w:ind w:firstLine="0" w:firstLineChars="0"/>
              <w:rPr>
                <w:rFonts w:hint="default" w:cs="宋体"/>
                <w:color w:val="auto"/>
                <w:kern w:val="0"/>
                <w:sz w:val="18"/>
                <w:szCs w:val="18"/>
                <w:highlight w:val="none"/>
                <w:lang w:val="en-US" w:eastAsia="zh-CN"/>
              </w:rPr>
            </w:pPr>
            <w:r>
              <w:rPr>
                <w:rFonts w:hint="eastAsia" w:cs="宋体"/>
                <w:color w:val="auto"/>
                <w:kern w:val="0"/>
                <w:sz w:val="18"/>
                <w:szCs w:val="18"/>
                <w:highlight w:val="none"/>
                <w:lang w:val="en-US" w:eastAsia="zh-CN"/>
              </w:rPr>
              <w:t>15</w:t>
            </w:r>
          </w:p>
        </w:tc>
      </w:tr>
      <w:tr w14:paraId="3CBED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48C87B69">
            <w:pPr>
              <w:widowControl/>
              <w:spacing w:line="0" w:lineRule="atLeast"/>
              <w:ind w:firstLine="0" w:firstLineChars="0"/>
              <w:jc w:val="center"/>
              <w:rPr>
                <w:rFonts w:ascii="宋体" w:hAnsi="宋体" w:eastAsia="宋体" w:cs="宋体"/>
                <w:color w:val="auto"/>
                <w:kern w:val="0"/>
                <w:sz w:val="18"/>
                <w:szCs w:val="18"/>
                <w:highlight w:val="none"/>
              </w:rPr>
            </w:pPr>
          </w:p>
        </w:tc>
        <w:tc>
          <w:tcPr>
            <w:tcW w:w="727" w:type="dxa"/>
            <w:shd w:val="clear" w:color="auto" w:fill="auto"/>
            <w:noWrap w:val="0"/>
            <w:vAlign w:val="center"/>
          </w:tcPr>
          <w:p w14:paraId="1EB65C5E">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生态效益指标</w:t>
            </w:r>
          </w:p>
        </w:tc>
        <w:tc>
          <w:tcPr>
            <w:tcW w:w="820" w:type="dxa"/>
            <w:shd w:val="clear" w:color="auto" w:fill="auto"/>
            <w:noWrap w:val="0"/>
            <w:vAlign w:val="center"/>
          </w:tcPr>
          <w:p w14:paraId="6154A847">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提升景区绿化生态品质和旅游品质</w:t>
            </w:r>
          </w:p>
        </w:tc>
        <w:tc>
          <w:tcPr>
            <w:tcW w:w="2141" w:type="dxa"/>
            <w:shd w:val="clear" w:color="auto" w:fill="auto"/>
            <w:noWrap w:val="0"/>
            <w:vAlign w:val="center"/>
          </w:tcPr>
          <w:p w14:paraId="175A320C">
            <w:pPr>
              <w:widowControl/>
              <w:spacing w:line="0" w:lineRule="atLeast"/>
              <w:ind w:firstLine="0" w:firstLineChars="0"/>
              <w:jc w:val="left"/>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项目实施所产生的效益。</w:t>
            </w:r>
          </w:p>
        </w:tc>
        <w:tc>
          <w:tcPr>
            <w:tcW w:w="7821" w:type="dxa"/>
            <w:shd w:val="clear" w:color="auto" w:fill="auto"/>
            <w:noWrap w:val="0"/>
            <w:vAlign w:val="center"/>
          </w:tcPr>
          <w:p w14:paraId="6BDE0564">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11D74444">
            <w:pPr>
              <w:widowControl/>
              <w:spacing w:line="0" w:lineRule="atLeast"/>
              <w:ind w:firstLine="0" w:firstLineChars="0"/>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10</w:t>
            </w:r>
          </w:p>
        </w:tc>
        <w:tc>
          <w:tcPr>
            <w:tcW w:w="769" w:type="dxa"/>
            <w:shd w:val="clear" w:color="auto" w:fill="auto"/>
            <w:noWrap w:val="0"/>
            <w:vAlign w:val="center"/>
          </w:tcPr>
          <w:p w14:paraId="23E20D70">
            <w:pPr>
              <w:widowControl/>
              <w:spacing w:line="0" w:lineRule="atLeast"/>
              <w:ind w:firstLine="0" w:firstLineChars="0"/>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10</w:t>
            </w:r>
          </w:p>
        </w:tc>
      </w:tr>
      <w:tr w14:paraId="460B6E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02175507">
            <w:pPr>
              <w:widowControl/>
              <w:spacing w:line="0" w:lineRule="atLeast"/>
              <w:ind w:firstLine="0" w:firstLineChars="0"/>
              <w:jc w:val="center"/>
              <w:rPr>
                <w:rFonts w:ascii="宋体" w:hAnsi="宋体" w:eastAsia="宋体" w:cs="宋体"/>
                <w:color w:val="auto"/>
                <w:kern w:val="0"/>
                <w:sz w:val="18"/>
                <w:szCs w:val="18"/>
                <w:highlight w:val="none"/>
              </w:rPr>
            </w:pPr>
          </w:p>
        </w:tc>
        <w:tc>
          <w:tcPr>
            <w:tcW w:w="727" w:type="dxa"/>
            <w:shd w:val="clear" w:color="auto" w:fill="auto"/>
            <w:noWrap w:val="0"/>
            <w:vAlign w:val="center"/>
          </w:tcPr>
          <w:p w14:paraId="009F011C">
            <w:pPr>
              <w:widowControl/>
              <w:spacing w:line="0" w:lineRule="atLeast"/>
              <w:ind w:firstLine="0" w:firstLineChars="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满意度</w:t>
            </w:r>
          </w:p>
          <w:p w14:paraId="15831B28">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指标</w:t>
            </w:r>
          </w:p>
        </w:tc>
        <w:tc>
          <w:tcPr>
            <w:tcW w:w="820" w:type="dxa"/>
            <w:shd w:val="clear" w:color="auto" w:fill="auto"/>
            <w:noWrap w:val="0"/>
            <w:vAlign w:val="center"/>
          </w:tcPr>
          <w:p w14:paraId="55DAAE70">
            <w:pPr>
              <w:widowControl/>
              <w:spacing w:line="0" w:lineRule="atLeast"/>
              <w:ind w:firstLine="0" w:firstLineChars="0"/>
              <w:jc w:val="center"/>
              <w:rPr>
                <w:rFonts w:ascii="宋体" w:hAnsi="宋体" w:eastAsia="宋体" w:cs="宋体"/>
                <w:color w:val="auto"/>
                <w:kern w:val="0"/>
                <w:sz w:val="18"/>
                <w:szCs w:val="18"/>
                <w:highlight w:val="none"/>
              </w:rPr>
            </w:pPr>
            <w:r>
              <w:rPr>
                <w:rFonts w:hint="eastAsia" w:cs="宋体"/>
                <w:color w:val="auto"/>
                <w:kern w:val="0"/>
                <w:sz w:val="18"/>
                <w:szCs w:val="18"/>
                <w:highlight w:val="none"/>
                <w:lang w:val="en-US" w:eastAsia="zh-CN"/>
              </w:rPr>
              <w:t>工商银行</w:t>
            </w:r>
            <w:r>
              <w:rPr>
                <w:rFonts w:hint="eastAsia" w:ascii="宋体" w:hAnsi="宋体" w:eastAsia="宋体" w:cs="宋体"/>
                <w:color w:val="auto"/>
                <w:kern w:val="0"/>
                <w:sz w:val="18"/>
                <w:szCs w:val="18"/>
                <w:highlight w:val="none"/>
              </w:rPr>
              <w:t>满意度</w:t>
            </w:r>
          </w:p>
        </w:tc>
        <w:tc>
          <w:tcPr>
            <w:tcW w:w="2141" w:type="dxa"/>
            <w:shd w:val="clear" w:color="auto" w:fill="auto"/>
            <w:noWrap w:val="0"/>
            <w:vAlign w:val="center"/>
          </w:tcPr>
          <w:p w14:paraId="3CB25FDA">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社会公众或服务对象对项目实施效果的满意程度。</w:t>
            </w:r>
          </w:p>
        </w:tc>
        <w:tc>
          <w:tcPr>
            <w:tcW w:w="7821" w:type="dxa"/>
            <w:shd w:val="clear" w:color="auto" w:fill="auto"/>
            <w:noWrap w:val="0"/>
            <w:vAlign w:val="center"/>
          </w:tcPr>
          <w:p w14:paraId="495029B3">
            <w:pPr>
              <w:widowControl/>
              <w:spacing w:line="0" w:lineRule="atLeas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社会公众或服务对象是指因该项目实施而受到影响的部门（单位）、群体或个人</w:t>
            </w:r>
            <w:r>
              <w:rPr>
                <w:rFonts w:hint="eastAsia" w:cs="宋体"/>
                <w:color w:val="auto"/>
                <w:kern w:val="0"/>
                <w:sz w:val="18"/>
                <w:szCs w:val="18"/>
                <w:highlight w:val="none"/>
                <w:lang w:eastAsia="zh-CN"/>
              </w:rPr>
              <w:t>，</w:t>
            </w:r>
            <w:r>
              <w:rPr>
                <w:rFonts w:hint="eastAsia" w:ascii="宋体" w:hAnsi="宋体" w:eastAsia="宋体" w:cs="宋体"/>
                <w:color w:val="auto"/>
                <w:kern w:val="0"/>
                <w:sz w:val="18"/>
                <w:szCs w:val="18"/>
                <w:highlight w:val="none"/>
              </w:rPr>
              <w:t>一般采取社会调查的方式。</w:t>
            </w:r>
          </w:p>
        </w:tc>
        <w:tc>
          <w:tcPr>
            <w:tcW w:w="785" w:type="dxa"/>
            <w:shd w:val="clear" w:color="auto" w:fill="auto"/>
            <w:noWrap w:val="0"/>
            <w:vAlign w:val="center"/>
          </w:tcPr>
          <w:p w14:paraId="53B44533">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5</w:t>
            </w:r>
          </w:p>
        </w:tc>
        <w:tc>
          <w:tcPr>
            <w:tcW w:w="769" w:type="dxa"/>
            <w:shd w:val="clear" w:color="auto" w:fill="auto"/>
            <w:noWrap w:val="0"/>
            <w:vAlign w:val="center"/>
          </w:tcPr>
          <w:p w14:paraId="7229E632">
            <w:pPr>
              <w:widowControl/>
              <w:spacing w:line="0" w:lineRule="atLeast"/>
              <w:ind w:firstLine="0" w:firstLineChars="0"/>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5</w:t>
            </w:r>
          </w:p>
        </w:tc>
      </w:tr>
      <w:tr w14:paraId="2591DC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29968E9E">
            <w:pPr>
              <w:widowControl/>
              <w:spacing w:line="0" w:lineRule="atLeast"/>
              <w:ind w:firstLine="0" w:firstLineChars="0"/>
              <w:jc w:val="center"/>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合计</w:t>
            </w:r>
          </w:p>
        </w:tc>
        <w:tc>
          <w:tcPr>
            <w:tcW w:w="7821" w:type="dxa"/>
            <w:shd w:val="clear" w:color="auto" w:fill="auto"/>
            <w:noWrap w:val="0"/>
            <w:vAlign w:val="center"/>
          </w:tcPr>
          <w:p w14:paraId="4250DE01">
            <w:pPr>
              <w:widowControl/>
              <w:spacing w:line="0" w:lineRule="atLeast"/>
              <w:ind w:firstLine="0" w:firstLineChars="0"/>
              <w:rPr>
                <w:rFonts w:hint="eastAsia" w:ascii="宋体" w:hAnsi="宋体" w:eastAsia="宋体" w:cs="宋体"/>
                <w:color w:val="auto"/>
                <w:kern w:val="0"/>
                <w:sz w:val="18"/>
                <w:szCs w:val="18"/>
                <w:highlight w:val="none"/>
              </w:rPr>
            </w:pPr>
          </w:p>
        </w:tc>
        <w:tc>
          <w:tcPr>
            <w:tcW w:w="785" w:type="dxa"/>
            <w:shd w:val="clear" w:color="auto" w:fill="auto"/>
            <w:noWrap w:val="0"/>
            <w:vAlign w:val="center"/>
          </w:tcPr>
          <w:p w14:paraId="5D292553">
            <w:pPr>
              <w:widowControl/>
              <w:spacing w:line="0" w:lineRule="atLeast"/>
              <w:ind w:firstLine="0" w:firstLineChars="0"/>
              <w:jc w:val="both"/>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100</w:t>
            </w:r>
          </w:p>
        </w:tc>
        <w:tc>
          <w:tcPr>
            <w:tcW w:w="769" w:type="dxa"/>
            <w:shd w:val="clear" w:color="auto" w:fill="auto"/>
            <w:noWrap w:val="0"/>
            <w:vAlign w:val="center"/>
          </w:tcPr>
          <w:p w14:paraId="1B09FAAA">
            <w:pPr>
              <w:widowControl/>
              <w:spacing w:line="0" w:lineRule="atLeast"/>
              <w:ind w:firstLine="0" w:firstLineChars="0"/>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98.84</w:t>
            </w:r>
          </w:p>
        </w:tc>
      </w:tr>
    </w:tbl>
    <w:p w14:paraId="2B29BB86">
      <w:pPr>
        <w:spacing w:line="240" w:lineRule="auto"/>
        <w:ind w:firstLine="0" w:firstLineChars="0"/>
        <w:rPr>
          <w:rFonts w:ascii="Times New Roman" w:hAnsi="Times New Roman" w:eastAsia="仿宋_GB2312" w:cs="Times New Roman"/>
          <w:color w:val="auto"/>
          <w:sz w:val="18"/>
          <w:szCs w:val="18"/>
          <w:highlight w:val="none"/>
        </w:rPr>
      </w:pPr>
    </w:p>
    <w:p w14:paraId="1CF85208">
      <w:pPr>
        <w:rPr>
          <w:rFonts w:hint="default"/>
          <w:color w:val="auto"/>
          <w:sz w:val="18"/>
          <w:szCs w:val="18"/>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A585A">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63CCAA">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D63CCAA">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CDA2FC"/>
    <w:multiLevelType w:val="singleLevel"/>
    <w:tmpl w:val="CBCDA2FC"/>
    <w:lvl w:ilvl="0" w:tentative="0">
      <w:start w:val="1"/>
      <w:numFmt w:val="chineseCounting"/>
      <w:suff w:val="nothing"/>
      <w:lvlText w:val="（%1）"/>
      <w:lvlJc w:val="left"/>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1F66A5"/>
    <w:rsid w:val="01253350"/>
    <w:rsid w:val="01282E62"/>
    <w:rsid w:val="014029CF"/>
    <w:rsid w:val="01470C4C"/>
    <w:rsid w:val="02200440"/>
    <w:rsid w:val="02284B43"/>
    <w:rsid w:val="028D3C94"/>
    <w:rsid w:val="02B015E2"/>
    <w:rsid w:val="02DC08FA"/>
    <w:rsid w:val="033B569D"/>
    <w:rsid w:val="039C3BA0"/>
    <w:rsid w:val="03A845BB"/>
    <w:rsid w:val="03B45AD1"/>
    <w:rsid w:val="03D35307"/>
    <w:rsid w:val="03DF6027"/>
    <w:rsid w:val="04AC5B58"/>
    <w:rsid w:val="04D12EE4"/>
    <w:rsid w:val="04D63993"/>
    <w:rsid w:val="05D51582"/>
    <w:rsid w:val="07890F4F"/>
    <w:rsid w:val="08892439"/>
    <w:rsid w:val="08EB30F3"/>
    <w:rsid w:val="09237408"/>
    <w:rsid w:val="09781BD6"/>
    <w:rsid w:val="09F359DF"/>
    <w:rsid w:val="0A575E65"/>
    <w:rsid w:val="0ACA0AB6"/>
    <w:rsid w:val="0C032502"/>
    <w:rsid w:val="0C27698C"/>
    <w:rsid w:val="0D4452F3"/>
    <w:rsid w:val="0F5E5042"/>
    <w:rsid w:val="0FE95707"/>
    <w:rsid w:val="10510571"/>
    <w:rsid w:val="10787A20"/>
    <w:rsid w:val="108672DE"/>
    <w:rsid w:val="10EC685A"/>
    <w:rsid w:val="11FA6155"/>
    <w:rsid w:val="12CF0947"/>
    <w:rsid w:val="12F1313F"/>
    <w:rsid w:val="136C678E"/>
    <w:rsid w:val="13B50586"/>
    <w:rsid w:val="13EB2FF5"/>
    <w:rsid w:val="14185F29"/>
    <w:rsid w:val="15A46B04"/>
    <w:rsid w:val="15BE773A"/>
    <w:rsid w:val="163B2924"/>
    <w:rsid w:val="165825BC"/>
    <w:rsid w:val="16BC5D73"/>
    <w:rsid w:val="176F36D7"/>
    <w:rsid w:val="1795226D"/>
    <w:rsid w:val="18456B1E"/>
    <w:rsid w:val="1C1171C5"/>
    <w:rsid w:val="1D265138"/>
    <w:rsid w:val="1D7B6BCA"/>
    <w:rsid w:val="1DA41A79"/>
    <w:rsid w:val="1DF53469"/>
    <w:rsid w:val="1E2F24F2"/>
    <w:rsid w:val="1E58492F"/>
    <w:rsid w:val="1E5B6757"/>
    <w:rsid w:val="1E8326F8"/>
    <w:rsid w:val="1ED10AC6"/>
    <w:rsid w:val="1F89225F"/>
    <w:rsid w:val="1F900A1F"/>
    <w:rsid w:val="1FC0575D"/>
    <w:rsid w:val="206132C7"/>
    <w:rsid w:val="21B00C1D"/>
    <w:rsid w:val="22BB36DF"/>
    <w:rsid w:val="23031BEB"/>
    <w:rsid w:val="23917691"/>
    <w:rsid w:val="244D65B8"/>
    <w:rsid w:val="245E1E24"/>
    <w:rsid w:val="25AD5E5D"/>
    <w:rsid w:val="2732478D"/>
    <w:rsid w:val="27407A32"/>
    <w:rsid w:val="27661469"/>
    <w:rsid w:val="27900EAD"/>
    <w:rsid w:val="279B538A"/>
    <w:rsid w:val="279D25D9"/>
    <w:rsid w:val="286F545C"/>
    <w:rsid w:val="29314FBC"/>
    <w:rsid w:val="29F12CB0"/>
    <w:rsid w:val="2C024B86"/>
    <w:rsid w:val="2C712816"/>
    <w:rsid w:val="2C927671"/>
    <w:rsid w:val="2D1A4CAB"/>
    <w:rsid w:val="2D7C5CD6"/>
    <w:rsid w:val="2E483E7E"/>
    <w:rsid w:val="2E690493"/>
    <w:rsid w:val="2E9854BD"/>
    <w:rsid w:val="2F0D407F"/>
    <w:rsid w:val="2F454B19"/>
    <w:rsid w:val="310224D9"/>
    <w:rsid w:val="31B4621C"/>
    <w:rsid w:val="31E3230A"/>
    <w:rsid w:val="330957E0"/>
    <w:rsid w:val="33356F64"/>
    <w:rsid w:val="33944516"/>
    <w:rsid w:val="346F60D7"/>
    <w:rsid w:val="34B62907"/>
    <w:rsid w:val="350C723C"/>
    <w:rsid w:val="350C7DCA"/>
    <w:rsid w:val="36BD137C"/>
    <w:rsid w:val="385D37E7"/>
    <w:rsid w:val="38782EDD"/>
    <w:rsid w:val="3B42664A"/>
    <w:rsid w:val="3D836A4E"/>
    <w:rsid w:val="3EA37E97"/>
    <w:rsid w:val="3FBE0BC5"/>
    <w:rsid w:val="4048103A"/>
    <w:rsid w:val="40736643"/>
    <w:rsid w:val="40AA591A"/>
    <w:rsid w:val="40D24A7A"/>
    <w:rsid w:val="42621029"/>
    <w:rsid w:val="43505326"/>
    <w:rsid w:val="435241E2"/>
    <w:rsid w:val="43975C51"/>
    <w:rsid w:val="439E3FA7"/>
    <w:rsid w:val="44B32266"/>
    <w:rsid w:val="44FC64F4"/>
    <w:rsid w:val="45A8769B"/>
    <w:rsid w:val="467F4585"/>
    <w:rsid w:val="470628CB"/>
    <w:rsid w:val="47555BD4"/>
    <w:rsid w:val="47E96399"/>
    <w:rsid w:val="48E12B50"/>
    <w:rsid w:val="496978C2"/>
    <w:rsid w:val="499441BE"/>
    <w:rsid w:val="499A6C1C"/>
    <w:rsid w:val="49D60664"/>
    <w:rsid w:val="4A2138F0"/>
    <w:rsid w:val="4A583887"/>
    <w:rsid w:val="4AE01685"/>
    <w:rsid w:val="4AE121DA"/>
    <w:rsid w:val="4B9F6E02"/>
    <w:rsid w:val="4C89637B"/>
    <w:rsid w:val="4DE03287"/>
    <w:rsid w:val="4E6E48A8"/>
    <w:rsid w:val="4EEC036B"/>
    <w:rsid w:val="501D2673"/>
    <w:rsid w:val="5060511C"/>
    <w:rsid w:val="50C80BF1"/>
    <w:rsid w:val="51020E9E"/>
    <w:rsid w:val="51852833"/>
    <w:rsid w:val="51FA127E"/>
    <w:rsid w:val="52F11AC8"/>
    <w:rsid w:val="534F49D9"/>
    <w:rsid w:val="53555F0F"/>
    <w:rsid w:val="535D23D5"/>
    <w:rsid w:val="54F634CD"/>
    <w:rsid w:val="55A52421"/>
    <w:rsid w:val="56F4341A"/>
    <w:rsid w:val="57364E8D"/>
    <w:rsid w:val="575A7321"/>
    <w:rsid w:val="578053C5"/>
    <w:rsid w:val="580C3AB9"/>
    <w:rsid w:val="583C7AE0"/>
    <w:rsid w:val="586C1E9A"/>
    <w:rsid w:val="586E0800"/>
    <w:rsid w:val="59216F96"/>
    <w:rsid w:val="598C4145"/>
    <w:rsid w:val="59957D1B"/>
    <w:rsid w:val="59D4294E"/>
    <w:rsid w:val="5AA61F61"/>
    <w:rsid w:val="5B3515D6"/>
    <w:rsid w:val="5B634312"/>
    <w:rsid w:val="5B9D2CCD"/>
    <w:rsid w:val="5B9D300A"/>
    <w:rsid w:val="5B9E71EA"/>
    <w:rsid w:val="5C3B2BBF"/>
    <w:rsid w:val="5D107BA8"/>
    <w:rsid w:val="5E226FBC"/>
    <w:rsid w:val="5EC211A3"/>
    <w:rsid w:val="5F3F6C61"/>
    <w:rsid w:val="5FE72BD2"/>
    <w:rsid w:val="60120613"/>
    <w:rsid w:val="60F31CBA"/>
    <w:rsid w:val="618D5292"/>
    <w:rsid w:val="62220CBD"/>
    <w:rsid w:val="622E78FA"/>
    <w:rsid w:val="63063EC2"/>
    <w:rsid w:val="63343F70"/>
    <w:rsid w:val="64296E1C"/>
    <w:rsid w:val="649E64A2"/>
    <w:rsid w:val="65E30280"/>
    <w:rsid w:val="65E5270A"/>
    <w:rsid w:val="663D3C54"/>
    <w:rsid w:val="66862C89"/>
    <w:rsid w:val="66BB486D"/>
    <w:rsid w:val="67394C7D"/>
    <w:rsid w:val="68126B38"/>
    <w:rsid w:val="68291A1A"/>
    <w:rsid w:val="68352BB8"/>
    <w:rsid w:val="69196036"/>
    <w:rsid w:val="691B1594"/>
    <w:rsid w:val="693A016B"/>
    <w:rsid w:val="695243D2"/>
    <w:rsid w:val="6A17429C"/>
    <w:rsid w:val="6A567EA3"/>
    <w:rsid w:val="6B4B4368"/>
    <w:rsid w:val="6B79100E"/>
    <w:rsid w:val="6BAE515B"/>
    <w:rsid w:val="6C844C00"/>
    <w:rsid w:val="6E10212C"/>
    <w:rsid w:val="6E43561A"/>
    <w:rsid w:val="6E557973"/>
    <w:rsid w:val="6E9568DB"/>
    <w:rsid w:val="6EDD3662"/>
    <w:rsid w:val="6EE15B07"/>
    <w:rsid w:val="6F0D6C22"/>
    <w:rsid w:val="6F47657F"/>
    <w:rsid w:val="6FAF23D9"/>
    <w:rsid w:val="70635CF6"/>
    <w:rsid w:val="70670707"/>
    <w:rsid w:val="720E3691"/>
    <w:rsid w:val="724E244C"/>
    <w:rsid w:val="72DA6946"/>
    <w:rsid w:val="732764B3"/>
    <w:rsid w:val="7343558D"/>
    <w:rsid w:val="74026044"/>
    <w:rsid w:val="74746410"/>
    <w:rsid w:val="748C0004"/>
    <w:rsid w:val="75E5007C"/>
    <w:rsid w:val="76571F4C"/>
    <w:rsid w:val="76FC66BF"/>
    <w:rsid w:val="77813724"/>
    <w:rsid w:val="77861774"/>
    <w:rsid w:val="78F31435"/>
    <w:rsid w:val="79300B45"/>
    <w:rsid w:val="794D3E18"/>
    <w:rsid w:val="79547047"/>
    <w:rsid w:val="79F3729A"/>
    <w:rsid w:val="7A880722"/>
    <w:rsid w:val="7ACB0498"/>
    <w:rsid w:val="7AED0B4D"/>
    <w:rsid w:val="7C1E4487"/>
    <w:rsid w:val="7C215E02"/>
    <w:rsid w:val="7CA103C5"/>
    <w:rsid w:val="7CF23764"/>
    <w:rsid w:val="7E1370A0"/>
    <w:rsid w:val="7E26450F"/>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6"/>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autoRedefine/>
    <w:qFormat/>
    <w:uiPriority w:val="99"/>
    <w:pPr>
      <w:ind w:firstLine="640" w:firstLineChars="200"/>
    </w:p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4">
    <w:name w:val="Strong"/>
    <w:basedOn w:val="13"/>
    <w:autoRedefine/>
    <w:qFormat/>
    <w:uiPriority w:val="0"/>
    <w:rPr>
      <w:b/>
      <w:bCs/>
    </w:rPr>
  </w:style>
  <w:style w:type="paragraph" w:customStyle="1" w:styleId="15">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标题 2 Char"/>
    <w:link w:val="4"/>
    <w:autoRedefine/>
    <w:qFormat/>
    <w:uiPriority w:val="0"/>
    <w:rPr>
      <w:rFonts w:ascii="Arial" w:hAnsi="Arial" w:eastAsia="楷体"/>
      <w:b/>
      <w:sz w:val="32"/>
    </w:rPr>
  </w:style>
  <w:style w:type="paragraph" w:customStyle="1" w:styleId="17">
    <w:name w:val="WPSOffice手动目录 1"/>
    <w:autoRedefine/>
    <w:qFormat/>
    <w:uiPriority w:val="0"/>
    <w:pPr>
      <w:ind w:leftChars="0"/>
    </w:pPr>
    <w:rPr>
      <w:rFonts w:ascii="Times New Roman" w:hAnsi="Times New Roman" w:eastAsia="宋体" w:cs="Times New Roman"/>
      <w:sz w:val="20"/>
      <w:szCs w:val="20"/>
    </w:rPr>
  </w:style>
  <w:style w:type="paragraph" w:customStyle="1" w:styleId="18">
    <w:name w:val="WPSOffice手动目录 2"/>
    <w:autoRedefine/>
    <w:qFormat/>
    <w:uiPriority w:val="0"/>
    <w:pPr>
      <w:ind w:leftChars="200"/>
    </w:pPr>
    <w:rPr>
      <w:rFonts w:ascii="Times New Roman" w:hAnsi="Times New Roman" w:eastAsia="宋体" w:cs="Times New Roman"/>
      <w:sz w:val="20"/>
      <w:szCs w:val="20"/>
    </w:rPr>
  </w:style>
  <w:style w:type="paragraph" w:customStyle="1" w:styleId="19">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13413</Words>
  <Characters>14354</Characters>
  <Lines>0</Lines>
  <Paragraphs>0</Paragraphs>
  <TotalTime>2</TotalTime>
  <ScaleCrop>false</ScaleCrop>
  <LinksUpToDate>false</LinksUpToDate>
  <CharactersWithSpaces>14434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2024-10-17T07:35:57Z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1D17C581B7B649E79D2BCA767FA9A472_13</vt:lpwstr>
  </property>
</Properties>
</file>