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57AEFD">
      <w:pPr>
        <w:pageBreakBefore w:val="0"/>
        <w:kinsoku/>
        <w:wordWrap/>
        <w:overflowPunct/>
        <w:topLinePunct w:val="0"/>
        <w:autoSpaceDE/>
        <w:autoSpaceDN/>
        <w:bidi w:val="0"/>
        <w:adjustRightInd/>
        <w:spacing w:line="560" w:lineRule="exact"/>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75AB1D9E">
      <w:pPr>
        <w:pageBreakBefore w:val="0"/>
        <w:kinsoku/>
        <w:wordWrap/>
        <w:overflowPunct/>
        <w:topLinePunct w:val="0"/>
        <w:autoSpaceDE/>
        <w:autoSpaceDN/>
        <w:bidi w:val="0"/>
        <w:adjustRightInd/>
        <w:spacing w:line="560" w:lineRule="exact"/>
        <w:jc w:val="center"/>
        <w:textAlignment w:val="auto"/>
        <w:rPr>
          <w:rFonts w:hint="eastAsia" w:ascii="宋体" w:hAnsi="宋体" w:eastAsia="宋体" w:cs="宋体"/>
          <w:b/>
          <w:bCs/>
          <w:color w:val="auto"/>
          <w:sz w:val="36"/>
          <w:szCs w:val="36"/>
          <w:highlight w:val="none"/>
          <w:shd w:val="clear" w:color="auto" w:fill="auto"/>
        </w:rPr>
      </w:pPr>
    </w:p>
    <w:p w14:paraId="1AB87AF9">
      <w:pPr>
        <w:pageBreakBefore w:val="0"/>
        <w:kinsoku/>
        <w:wordWrap/>
        <w:overflowPunct/>
        <w:topLinePunct w:val="0"/>
        <w:autoSpaceDE/>
        <w:autoSpaceDN/>
        <w:bidi w:val="0"/>
        <w:adjustRightInd/>
        <w:spacing w:line="560" w:lineRule="exact"/>
        <w:jc w:val="center"/>
        <w:textAlignment w:val="auto"/>
        <w:rPr>
          <w:rFonts w:hint="eastAsia" w:ascii="宋体" w:hAnsi="宋体" w:eastAsia="宋体" w:cs="宋体"/>
          <w:b/>
          <w:bCs/>
          <w:color w:val="auto"/>
          <w:sz w:val="36"/>
          <w:szCs w:val="36"/>
          <w:highlight w:val="none"/>
          <w:shd w:val="clear" w:color="auto" w:fill="auto"/>
        </w:rPr>
      </w:pPr>
    </w:p>
    <w:p w14:paraId="740F1AC0">
      <w:pPr>
        <w:keepNext w:val="0"/>
        <w:keepLines w:val="0"/>
        <w:pageBreakBefore w:val="0"/>
        <w:widowControl w:val="0"/>
        <w:kinsoku/>
        <w:wordWrap/>
        <w:overflowPunct/>
        <w:topLinePunct w:val="0"/>
        <w:autoSpaceDE/>
        <w:autoSpaceDN/>
        <w:bidi w:val="0"/>
        <w:adjustRightInd/>
        <w:snapToGrid/>
        <w:spacing w:line="560" w:lineRule="exact"/>
        <w:ind w:firstLine="803" w:firstLineChars="200"/>
        <w:jc w:val="center"/>
        <w:textAlignment w:val="auto"/>
        <w:rPr>
          <w:rFonts w:hint="eastAsia" w:ascii="宋体" w:hAnsi="宋体" w:eastAsia="宋体" w:cs="宋体"/>
          <w:b/>
          <w:bCs/>
          <w:color w:val="auto"/>
          <w:sz w:val="36"/>
          <w:szCs w:val="36"/>
          <w:highlight w:val="none"/>
          <w:shd w:val="clear" w:color="auto" w:fill="auto"/>
        </w:rPr>
      </w:pPr>
      <w:r>
        <w:rPr>
          <w:rFonts w:hint="eastAsia" w:cs="宋体"/>
          <w:b/>
          <w:bCs/>
          <w:color w:val="auto"/>
          <w:sz w:val="40"/>
          <w:szCs w:val="40"/>
          <w:highlight w:val="none"/>
          <w:shd w:val="clear" w:color="auto" w:fill="auto"/>
          <w:lang w:val="en-US" w:eastAsia="zh-CN"/>
        </w:rPr>
        <w:t>阜康市滋泥泉子镇化债项目支出绩效评价报告</w:t>
      </w:r>
    </w:p>
    <w:p w14:paraId="5A5B38F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36"/>
          <w:szCs w:val="36"/>
          <w:highlight w:val="none"/>
          <w:shd w:val="clear" w:color="auto" w:fill="auto"/>
        </w:rPr>
      </w:pPr>
    </w:p>
    <w:p w14:paraId="4ED3185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36"/>
          <w:szCs w:val="36"/>
          <w:highlight w:val="none"/>
          <w:shd w:val="clear" w:color="auto" w:fill="auto"/>
        </w:rPr>
      </w:pPr>
    </w:p>
    <w:p w14:paraId="338E056E">
      <w:pPr>
        <w:pStyle w:val="2"/>
        <w:rPr>
          <w:rFonts w:hint="eastAsia" w:ascii="宋体" w:hAnsi="宋体" w:eastAsia="宋体" w:cs="宋体"/>
          <w:b/>
          <w:bCs/>
          <w:color w:val="auto"/>
          <w:sz w:val="36"/>
          <w:szCs w:val="36"/>
          <w:highlight w:val="none"/>
          <w:shd w:val="clear" w:color="auto" w:fill="auto"/>
        </w:rPr>
      </w:pPr>
    </w:p>
    <w:p w14:paraId="495CCD2E">
      <w:pPr>
        <w:rPr>
          <w:rFonts w:hint="eastAsia" w:ascii="宋体" w:hAnsi="宋体" w:eastAsia="宋体" w:cs="宋体"/>
          <w:b/>
          <w:bCs/>
          <w:color w:val="auto"/>
          <w:sz w:val="36"/>
          <w:szCs w:val="36"/>
          <w:highlight w:val="none"/>
          <w:shd w:val="clear" w:color="auto" w:fill="auto"/>
        </w:rPr>
      </w:pPr>
    </w:p>
    <w:p w14:paraId="624EA308">
      <w:pPr>
        <w:pStyle w:val="2"/>
        <w:rPr>
          <w:rFonts w:hint="eastAsia" w:ascii="宋体" w:hAnsi="宋体" w:eastAsia="宋体" w:cs="宋体"/>
          <w:b/>
          <w:bCs/>
          <w:color w:val="auto"/>
          <w:sz w:val="36"/>
          <w:szCs w:val="36"/>
          <w:highlight w:val="none"/>
          <w:shd w:val="clear" w:color="auto" w:fill="auto"/>
        </w:rPr>
      </w:pPr>
    </w:p>
    <w:p w14:paraId="0B6BCD98">
      <w:pPr>
        <w:rPr>
          <w:rFonts w:hint="eastAsia" w:ascii="宋体" w:hAnsi="宋体" w:eastAsia="宋体" w:cs="宋体"/>
          <w:b/>
          <w:bCs/>
          <w:color w:val="auto"/>
          <w:sz w:val="36"/>
          <w:szCs w:val="36"/>
          <w:highlight w:val="none"/>
          <w:shd w:val="clear" w:color="auto" w:fill="auto"/>
        </w:rPr>
      </w:pPr>
    </w:p>
    <w:p w14:paraId="6BADE8BD">
      <w:pPr>
        <w:pStyle w:val="2"/>
        <w:rPr>
          <w:rFonts w:hint="eastAsia"/>
          <w:color w:val="auto"/>
          <w:highlight w:val="none"/>
        </w:rPr>
      </w:pPr>
    </w:p>
    <w:p w14:paraId="51C6722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14:paraId="5AD52EA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36"/>
          <w:szCs w:val="36"/>
          <w:highlight w:val="none"/>
          <w:shd w:val="clear" w:color="auto" w:fill="auto"/>
        </w:rPr>
      </w:pPr>
    </w:p>
    <w:p w14:paraId="1E05AB0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36"/>
          <w:szCs w:val="36"/>
          <w:highlight w:val="none"/>
          <w:shd w:val="clear" w:color="auto" w:fill="auto"/>
        </w:rPr>
      </w:pPr>
    </w:p>
    <w:p w14:paraId="2A72784C">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7313F5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562" w:firstLineChars="200"/>
        <w:jc w:val="center"/>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项目名称：阜康市滋泥泉子镇化债项目</w:t>
      </w:r>
    </w:p>
    <w:p w14:paraId="5FD1C75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562" w:firstLineChars="200"/>
        <w:jc w:val="center"/>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阜康市滋泥泉子镇人民政府</w:t>
      </w:r>
    </w:p>
    <w:p w14:paraId="5F63A68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562" w:firstLineChars="200"/>
        <w:jc w:val="center"/>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阜康市滋泥泉子镇人民政府</w:t>
      </w:r>
    </w:p>
    <w:p w14:paraId="12F79D15">
      <w:pPr>
        <w:pStyle w:val="2"/>
        <w:pageBreakBefore w:val="0"/>
        <w:kinsoku/>
        <w:wordWrap/>
        <w:overflowPunct/>
        <w:topLinePunct w:val="0"/>
        <w:autoSpaceDE/>
        <w:autoSpaceDN/>
        <w:bidi w:val="0"/>
        <w:spacing w:line="560" w:lineRule="exact"/>
        <w:outlineLvl w:val="9"/>
        <w:rPr>
          <w:rFonts w:hint="eastAsia" w:ascii="宋体" w:hAnsi="宋体" w:eastAsia="宋体" w:cs="宋体"/>
          <w:b/>
          <w:color w:val="auto"/>
          <w:kern w:val="2"/>
          <w:sz w:val="28"/>
          <w:szCs w:val="28"/>
          <w:highlight w:val="none"/>
          <w:shd w:val="clear" w:color="auto" w:fill="auto"/>
          <w:lang w:val="en-US" w:eastAsia="zh-CN"/>
        </w:rPr>
      </w:pPr>
    </w:p>
    <w:p w14:paraId="0AB8EF24">
      <w:pPr>
        <w:pageBreakBefore w:val="0"/>
        <w:kinsoku/>
        <w:wordWrap/>
        <w:overflowPunct/>
        <w:topLinePunct w:val="0"/>
        <w:autoSpaceDE/>
        <w:autoSpaceDN/>
        <w:bidi w:val="0"/>
        <w:spacing w:line="560" w:lineRule="exact"/>
        <w:rPr>
          <w:rFonts w:hint="eastAsia"/>
          <w:color w:val="auto"/>
          <w:highlight w:val="none"/>
          <w:lang w:val="en-US" w:eastAsia="zh-CN"/>
        </w:rPr>
      </w:pPr>
      <w:r>
        <w:rPr>
          <w:rFonts w:hint="eastAsia"/>
          <w:color w:val="auto"/>
          <w:highlight w:val="none"/>
          <w:lang w:val="en-US" w:eastAsia="zh-CN"/>
        </w:rPr>
        <w:br w:type="page"/>
      </w:r>
    </w:p>
    <w:p w14:paraId="149D04E5">
      <w:pPr>
        <w:pageBreakBefore w:val="0"/>
        <w:kinsoku/>
        <w:wordWrap/>
        <w:overflowPunct/>
        <w:topLinePunct w:val="0"/>
        <w:autoSpaceDE/>
        <w:autoSpaceDN/>
        <w:bidi w:val="0"/>
        <w:spacing w:line="560" w:lineRule="exact"/>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76F39ED0">
          <w:pPr>
            <w:keepNext w:val="0"/>
            <w:keepLines w:val="0"/>
            <w:pageBreakBefore w:val="0"/>
            <w:shd w:val="clear"/>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37443E39">
          <w:pPr>
            <w:pStyle w:val="16"/>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71DCB676">
          <w:pPr>
            <w:pStyle w:val="16"/>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419D7D6">
          <w:pPr>
            <w:pStyle w:val="17"/>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48D8CFC4">
          <w:pPr>
            <w:pStyle w:val="17"/>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1309073B">
          <w:pPr>
            <w:pStyle w:val="16"/>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E1764BB">
          <w:pPr>
            <w:pStyle w:val="17"/>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5CB8688D">
          <w:pPr>
            <w:pStyle w:val="17"/>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67391893">
          <w:pPr>
            <w:pStyle w:val="18"/>
            <w:keepNext w:val="0"/>
            <w:keepLines w:val="0"/>
            <w:pageBreakBefore w:val="0"/>
            <w:shd w:val="clear"/>
            <w:tabs>
              <w:tab w:val="right" w:leader="dot" w:pos="8844"/>
            </w:tabs>
            <w:kinsoku/>
            <w:wordWrap/>
            <w:overflowPunct/>
            <w:topLinePunct w:val="0"/>
            <w:autoSpaceDE/>
            <w:autoSpaceDN/>
            <w:bidi w:val="0"/>
            <w:adjustRightInd/>
            <w:snapToGrid/>
            <w:spacing w:line="56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26016E59">
          <w:pPr>
            <w:pStyle w:val="16"/>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DEA41C2">
          <w:pPr>
            <w:pStyle w:val="16"/>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F0D1710">
          <w:pPr>
            <w:pStyle w:val="17"/>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16A22269">
          <w:pPr>
            <w:pStyle w:val="17"/>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4B3BD25F">
          <w:pPr>
            <w:pStyle w:val="17"/>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14:paraId="327AD648">
          <w:pPr>
            <w:pStyle w:val="17"/>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137764CE">
          <w:pPr>
            <w:pStyle w:val="16"/>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A453150">
          <w:pPr>
            <w:pStyle w:val="16"/>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6DAB8AA">
          <w:pPr>
            <w:pStyle w:val="17"/>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369CA481">
          <w:pPr>
            <w:pStyle w:val="17"/>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rFonts w:hint="default"/>
              <w:color w:val="auto"/>
              <w:sz w:val="28"/>
              <w:szCs w:val="28"/>
              <w:highlight w:val="none"/>
              <w:lang w:val="en-US"/>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rFonts w:hint="eastAsia"/>
              <w:color w:val="auto"/>
              <w:sz w:val="28"/>
              <w:szCs w:val="28"/>
              <w:highlight w:val="none"/>
              <w:lang w:val="en-US" w:eastAsia="zh-CN"/>
            </w:rPr>
            <w:t>1</w:t>
          </w:r>
          <w:r>
            <w:rPr>
              <w:rFonts w:hint="eastAsia"/>
              <w:color w:val="auto"/>
              <w:sz w:val="28"/>
              <w:szCs w:val="28"/>
              <w:highlight w:val="none"/>
              <w:lang w:val="en-US" w:eastAsia="zh-CN"/>
            </w:rPr>
            <w:fldChar w:fldCharType="end"/>
          </w:r>
          <w:r>
            <w:rPr>
              <w:rFonts w:hint="eastAsia"/>
              <w:color w:val="auto"/>
              <w:sz w:val="28"/>
              <w:szCs w:val="28"/>
              <w:highlight w:val="none"/>
              <w:lang w:val="en-US" w:eastAsia="zh-CN"/>
            </w:rPr>
            <w:t>9</w:t>
          </w:r>
        </w:p>
        <w:p w14:paraId="5D18CE26">
          <w:pPr>
            <w:pStyle w:val="16"/>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rFonts w:hint="default"/>
              <w:b/>
              <w:bCs/>
              <w:color w:val="auto"/>
              <w:sz w:val="28"/>
              <w:szCs w:val="28"/>
              <w:highlight w:val="none"/>
              <w:lang w:val="en-US"/>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rFonts w:hint="eastAsia"/>
              <w:b/>
              <w:bCs/>
              <w:color w:val="auto"/>
              <w:sz w:val="28"/>
              <w:szCs w:val="28"/>
              <w:highlight w:val="none"/>
              <w:lang w:val="en-US" w:eastAsia="zh-CN"/>
            </w:rPr>
            <w:t>1</w:t>
          </w:r>
          <w:r>
            <w:rPr>
              <w:rFonts w:hint="eastAsia"/>
              <w:b/>
              <w:bCs/>
              <w:color w:val="auto"/>
              <w:sz w:val="28"/>
              <w:szCs w:val="28"/>
              <w:highlight w:val="none"/>
              <w:lang w:val="en-US" w:eastAsia="zh-CN"/>
            </w:rPr>
            <w:fldChar w:fldCharType="end"/>
          </w:r>
          <w:r>
            <w:rPr>
              <w:rFonts w:hint="eastAsia"/>
              <w:b/>
              <w:bCs/>
              <w:color w:val="auto"/>
              <w:sz w:val="28"/>
              <w:szCs w:val="28"/>
              <w:highlight w:val="none"/>
              <w:lang w:val="en-US" w:eastAsia="zh-CN"/>
            </w:rPr>
            <w:t>9</w:t>
          </w:r>
        </w:p>
        <w:p w14:paraId="44AE4866">
          <w:pPr>
            <w:pStyle w:val="16"/>
            <w:keepNext w:val="0"/>
            <w:keepLines w:val="0"/>
            <w:pageBreakBefore w:val="0"/>
            <w:shd w:val="clear"/>
            <w:tabs>
              <w:tab w:val="right" w:leader="dot" w:pos="8844"/>
            </w:tabs>
            <w:kinsoku/>
            <w:wordWrap/>
            <w:overflowPunct/>
            <w:topLinePunct w:val="0"/>
            <w:autoSpaceDE/>
            <w:autoSpaceDN/>
            <w:bidi w:val="0"/>
            <w:adjustRightInd/>
            <w:snapToGrid/>
            <w:spacing w:line="56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r>
            <w:rPr>
              <w:rFonts w:hint="eastAsia"/>
              <w:color w:val="auto"/>
              <w:sz w:val="28"/>
              <w:szCs w:val="28"/>
              <w:highlight w:val="none"/>
              <w:lang w:val="en-US" w:eastAsia="zh-CN"/>
            </w:rPr>
            <w:fldChar w:fldCharType="end"/>
          </w:r>
        </w:p>
      </w:sdtContent>
    </w:sdt>
    <w:p w14:paraId="554E581E">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宋体" w:hAnsi="宋体" w:eastAsia="宋体" w:cs="宋体"/>
          <w:b/>
          <w:bCs/>
          <w:color w:val="auto"/>
          <w:highlight w:val="none"/>
          <w:shd w:val="clear" w:color="auto" w:fill="auto"/>
        </w:rPr>
      </w:pPr>
      <w:bookmarkStart w:id="0" w:name="_Toc1194"/>
      <w:r>
        <w:rPr>
          <w:rFonts w:hint="eastAsia" w:ascii="宋体" w:hAnsi="宋体" w:eastAsia="宋体" w:cs="宋体"/>
          <w:b/>
          <w:bCs/>
          <w:color w:val="auto"/>
          <w:sz w:val="36"/>
          <w:szCs w:val="36"/>
          <w:highlight w:val="none"/>
          <w:shd w:val="clear" w:color="auto" w:fill="auto"/>
          <w:lang w:val="en-US" w:eastAsia="zh-CN"/>
        </w:rPr>
        <w:t>阜康市滋泥泉子镇化债项目</w:t>
      </w:r>
      <w:r>
        <w:rPr>
          <w:rFonts w:hint="eastAsia" w:ascii="宋体" w:hAnsi="宋体" w:eastAsia="宋体" w:cs="宋体"/>
          <w:b/>
          <w:bCs/>
          <w:color w:val="auto"/>
          <w:sz w:val="36"/>
          <w:szCs w:val="36"/>
          <w:highlight w:val="none"/>
          <w:shd w:val="clear" w:color="auto" w:fill="auto"/>
        </w:rPr>
        <w:t>支出绩效评价报告</w:t>
      </w:r>
      <w:bookmarkEnd w:id="0"/>
    </w:p>
    <w:p w14:paraId="013B8254">
      <w:pPr>
        <w:pStyle w:val="3"/>
        <w:pageBreakBefore w:val="0"/>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auto"/>
          <w:highlight w:val="none"/>
          <w:shd w:val="clear" w:color="auto" w:fill="auto"/>
        </w:rPr>
      </w:pPr>
      <w:bookmarkStart w:id="1" w:name="_Toc17540"/>
      <w:r>
        <w:rPr>
          <w:rFonts w:hint="eastAsia" w:ascii="宋体" w:hAnsi="宋体" w:eastAsia="宋体" w:cs="宋体"/>
          <w:b/>
          <w:bCs/>
          <w:color w:val="auto"/>
          <w:highlight w:val="none"/>
          <w:shd w:val="clear" w:color="auto" w:fill="auto"/>
        </w:rPr>
        <w:t>一、基本情况</w:t>
      </w:r>
      <w:bookmarkEnd w:id="1"/>
    </w:p>
    <w:p w14:paraId="4DEBFECB">
      <w:pPr>
        <w:pStyle w:val="4"/>
        <w:keepNext/>
        <w:keepLines/>
        <w:pageBreakBefore w:val="0"/>
        <w:widowControl w:val="0"/>
        <w:kinsoku/>
        <w:wordWrap/>
        <w:overflowPunct/>
        <w:topLinePunct w:val="0"/>
        <w:autoSpaceDE/>
        <w:autoSpaceDN/>
        <w:bidi w:val="0"/>
        <w:adjustRightInd/>
        <w:snapToGrid/>
        <w:spacing w:beforeLines="0" w:afterLines="0" w:line="560" w:lineRule="exact"/>
        <w:textAlignment w:val="auto"/>
        <w:rPr>
          <w:rFonts w:hint="eastAsia" w:ascii="宋体" w:hAnsi="宋体" w:eastAsia="宋体" w:cs="宋体"/>
          <w:color w:val="auto"/>
          <w:highlight w:val="none"/>
          <w:shd w:val="clear" w:color="auto" w:fill="auto"/>
        </w:rPr>
      </w:pPr>
      <w:bookmarkStart w:id="2" w:name="_Toc18966"/>
      <w:r>
        <w:rPr>
          <w:rFonts w:hint="eastAsia" w:ascii="宋体" w:hAnsi="宋体" w:eastAsia="宋体" w:cs="宋体"/>
          <w:color w:val="auto"/>
          <w:highlight w:val="none"/>
          <w:shd w:val="clear" w:color="auto" w:fill="auto"/>
        </w:rPr>
        <w:t>（一）项目概况</w:t>
      </w:r>
      <w:bookmarkEnd w:id="2"/>
    </w:p>
    <w:p w14:paraId="7E4F22ED">
      <w:pPr>
        <w:pStyle w:val="5"/>
        <w:pageBreakBefore w:val="0"/>
        <w:kinsoku/>
        <w:wordWrap/>
        <w:overflowPunct/>
        <w:topLinePunct w:val="0"/>
        <w:autoSpaceDE/>
        <w:autoSpaceDN/>
        <w:bidi w:val="0"/>
        <w:adjustRightInd/>
        <w:spacing w:line="560" w:lineRule="exact"/>
        <w:textAlignment w:val="auto"/>
        <w:rPr>
          <w:rFonts w:hint="eastAsia" w:ascii="宋体" w:hAnsi="宋体" w:eastAsia="宋体" w:cs="宋体"/>
          <w:color w:val="auto"/>
          <w:highlight w:val="none"/>
          <w:shd w:val="clear" w:color="auto" w:fill="auto"/>
        </w:rPr>
      </w:pPr>
      <w:bookmarkStart w:id="3"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p>
    <w:bookmarkEnd w:id="3"/>
    <w:p w14:paraId="6BA6777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s="宋体"/>
          <w:b w:val="0"/>
          <w:bCs w:val="0"/>
          <w:color w:val="auto"/>
          <w:kern w:val="2"/>
          <w:sz w:val="28"/>
          <w:szCs w:val="28"/>
          <w:highlight w:val="none"/>
          <w:shd w:val="clear" w:color="auto" w:fill="auto"/>
          <w:lang w:val="en-US" w:eastAsia="zh-CN" w:bidi="ar-SA"/>
        </w:rPr>
      </w:pPr>
      <w:bookmarkStart w:id="4" w:name="_Toc27343"/>
      <w:r>
        <w:rPr>
          <w:rFonts w:hint="eastAsia" w:cs="宋体"/>
          <w:b w:val="0"/>
          <w:bCs w:val="0"/>
          <w:color w:val="auto"/>
          <w:kern w:val="2"/>
          <w:sz w:val="28"/>
          <w:szCs w:val="28"/>
          <w:highlight w:val="none"/>
          <w:shd w:val="clear" w:color="auto" w:fill="auto"/>
          <w:lang w:val="en-US" w:eastAsia="zh-CN" w:bidi="ar-SA"/>
        </w:rPr>
        <w:t>阜康市滋泥泉子镇农村幸福大院建设项目在滋泥泉子镇计生站北侧新建容纳68人规模的农村幸福大院，用地面积24.99亩；建设规模为2101.4平米，一层、砖混结构，生活服务及功能用房及简装修（34间住房为两人标准间，配建食堂、洗衣房、活动室、医务室等）,配套完成水、电、暖、粪化池、消防水池、硬化、亮化等基础设施；阜康市滋泥泉子镇镇区、何家湾村污水处理站配套设施项目实施污水处理站配套设施安装。</w:t>
      </w:r>
    </w:p>
    <w:p w14:paraId="602572E9">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eastAsia="宋体"/>
          <w:color w:val="auto"/>
          <w:highlight w:val="none"/>
          <w:lang w:val="en-US" w:eastAsia="zh-CN"/>
        </w:rPr>
      </w:pPr>
      <w:r>
        <w:rPr>
          <w:rFonts w:hint="eastAsia" w:cs="宋体"/>
          <w:b w:val="0"/>
          <w:bCs w:val="0"/>
          <w:color w:val="auto"/>
          <w:kern w:val="2"/>
          <w:sz w:val="28"/>
          <w:szCs w:val="28"/>
          <w:highlight w:val="none"/>
          <w:shd w:val="clear" w:color="auto" w:fill="auto"/>
          <w:lang w:val="en-US" w:eastAsia="zh-CN" w:bidi="ar-SA"/>
        </w:rPr>
        <w:t>2023年</w:t>
      </w:r>
      <w:r>
        <w:rPr>
          <w:rFonts w:hint="eastAsia" w:ascii="宋体" w:hAnsi="宋体" w:eastAsia="宋体" w:cs="宋体"/>
          <w:b w:val="0"/>
          <w:bCs w:val="0"/>
          <w:color w:val="auto"/>
          <w:kern w:val="2"/>
          <w:sz w:val="28"/>
          <w:szCs w:val="28"/>
          <w:highlight w:val="none"/>
          <w:shd w:val="clear" w:color="auto" w:fill="auto"/>
          <w:lang w:val="en-US" w:eastAsia="zh-CN" w:bidi="ar-SA"/>
        </w:rPr>
        <w:t>偿还阜康市滋泥泉子镇化债项目</w:t>
      </w:r>
      <w:r>
        <w:rPr>
          <w:rFonts w:hint="eastAsia" w:cs="宋体"/>
          <w:b w:val="0"/>
          <w:bCs w:val="0"/>
          <w:color w:val="auto"/>
          <w:kern w:val="2"/>
          <w:sz w:val="28"/>
          <w:szCs w:val="28"/>
          <w:highlight w:val="none"/>
          <w:shd w:val="clear" w:color="auto" w:fill="auto"/>
          <w:lang w:val="en-US" w:eastAsia="zh-CN" w:bidi="ar-SA"/>
        </w:rPr>
        <w:t>244.48</w:t>
      </w:r>
      <w:r>
        <w:rPr>
          <w:rFonts w:hint="eastAsia" w:ascii="宋体" w:hAnsi="宋体" w:eastAsia="宋体" w:cs="宋体"/>
          <w:b w:val="0"/>
          <w:bCs w:val="0"/>
          <w:color w:val="auto"/>
          <w:kern w:val="2"/>
          <w:sz w:val="28"/>
          <w:szCs w:val="28"/>
          <w:highlight w:val="none"/>
          <w:shd w:val="clear" w:color="auto" w:fill="auto"/>
          <w:lang w:val="en-US" w:eastAsia="zh-CN" w:bidi="ar-SA"/>
        </w:rPr>
        <w:t>万元，增加与企业之间的信任度，保证后期工程质量。</w:t>
      </w:r>
    </w:p>
    <w:p w14:paraId="318C5576">
      <w:pPr>
        <w:pStyle w:val="5"/>
        <w:pageBreakBefore w:val="0"/>
        <w:kinsoku/>
        <w:wordWrap/>
        <w:overflowPunct/>
        <w:topLinePunct w:val="0"/>
        <w:autoSpaceDE/>
        <w:autoSpaceDN/>
        <w:bidi w:val="0"/>
        <w:adjustRightInd/>
        <w:spacing w:line="560" w:lineRule="exact"/>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4"/>
    </w:p>
    <w:p w14:paraId="381547F3">
      <w:pPr>
        <w:pStyle w:val="5"/>
        <w:pageBreakBefore w:val="0"/>
        <w:kinsoku/>
        <w:wordWrap/>
        <w:overflowPunct/>
        <w:topLinePunct w:val="0"/>
        <w:autoSpaceDE/>
        <w:autoSpaceDN/>
        <w:bidi w:val="0"/>
        <w:adjustRightInd/>
        <w:spacing w:line="560" w:lineRule="exact"/>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5"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5"/>
      <w:r>
        <w:rPr>
          <w:rFonts w:hint="eastAsia" w:ascii="宋体" w:hAnsi="宋体" w:eastAsia="宋体" w:cs="宋体"/>
          <w:b w:val="0"/>
          <w:bCs w:val="0"/>
          <w:color w:val="auto"/>
          <w:kern w:val="2"/>
          <w:sz w:val="28"/>
          <w:szCs w:val="28"/>
          <w:highlight w:val="none"/>
          <w:shd w:val="clear" w:color="auto" w:fill="auto"/>
          <w:lang w:val="en-US" w:eastAsia="zh-CN" w:bidi="ar-SA"/>
        </w:rPr>
        <w:t>阜康市滋泥泉子镇农村幸福大院建设项目自2020年4月24日经阜发改投资【2020】102号关于《阜康市滋泥泉子镇农村幸福大院建设项目可行性研究报告》的批复；阜康市滋泥泉子镇镇区、何家湾村污水处理站配套设施项目自2019年4月24日经阜发改投资【2019】47号关于《阜康市滋泥泉子镇镇区、何家湾村污水处理站配套设施项目可行性研究报告的》批复；</w:t>
      </w:r>
    </w:p>
    <w:p w14:paraId="07FD349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eastAsia="zh-CN"/>
        </w:rPr>
      </w:pPr>
      <w:r>
        <w:rPr>
          <w:rFonts w:hint="eastAsia" w:cs="宋体"/>
          <w:b w:val="0"/>
          <w:bCs w:val="0"/>
          <w:color w:val="auto"/>
          <w:kern w:val="2"/>
          <w:sz w:val="28"/>
          <w:szCs w:val="28"/>
          <w:highlight w:val="none"/>
          <w:shd w:val="clear" w:color="auto" w:fill="auto"/>
          <w:lang w:val="en-US" w:eastAsia="zh-CN" w:bidi="ar-SA"/>
        </w:rPr>
        <w:t>项目建设内容：阜康市滋泥泉子镇农村幸福大院建设项目在滋泥泉子镇计生站北侧新建容纳68人规模的农村幸福大院，用地面积24.99亩；建设规模为2101.4平米，一层、砖混结构，生活服务及功能用房及简装修（34间住房为两人标准间，配建食堂、洗衣房、活动室、医务室等）,配套完成水、电、暖、粪化池、消防水池、硬化、亮化等基础设施；阜康市滋泥泉子镇镇区、何家湾村污水处理站配套设施项目实施污水处理站配套设施安装。</w:t>
      </w:r>
    </w:p>
    <w:p w14:paraId="57AD1A1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s="宋体"/>
          <w:b w:val="0"/>
          <w:bCs w:val="0"/>
          <w:color w:val="auto"/>
          <w:kern w:val="2"/>
          <w:sz w:val="28"/>
          <w:szCs w:val="28"/>
          <w:highlight w:val="none"/>
          <w:shd w:val="clear" w:color="auto" w:fill="auto"/>
          <w:lang w:val="en-US" w:eastAsia="zh-CN" w:bidi="ar-SA"/>
        </w:rPr>
      </w:pPr>
      <w:r>
        <w:rPr>
          <w:rFonts w:hint="eastAsia" w:cs="宋体"/>
          <w:b/>
          <w:bCs/>
          <w:color w:val="auto"/>
          <w:kern w:val="2"/>
          <w:sz w:val="28"/>
          <w:szCs w:val="28"/>
          <w:highlight w:val="none"/>
          <w:shd w:val="clear" w:color="auto" w:fill="auto"/>
          <w:lang w:val="en-US" w:eastAsia="zh-CN" w:bidi="ar-SA"/>
        </w:rPr>
        <w:t>组织实施</w:t>
      </w:r>
      <w:r>
        <w:rPr>
          <w:rFonts w:hint="eastAsia" w:cs="宋体"/>
          <w:b w:val="0"/>
          <w:bCs w:val="0"/>
          <w:color w:val="auto"/>
          <w:kern w:val="2"/>
          <w:sz w:val="28"/>
          <w:szCs w:val="28"/>
          <w:highlight w:val="none"/>
          <w:shd w:val="clear" w:color="auto" w:fill="auto"/>
          <w:lang w:val="en-US" w:eastAsia="zh-CN" w:bidi="ar-SA"/>
        </w:rPr>
        <w:t>：经镇党委会议，确定了项目领导小组，明确了责任分工：组长为赵伟，副组长为李晓刚，项目负责人为李群，组员为李群、赵晓丽，其中：李群负责项目档案资料整理及项目监管工作，赵晓丽负责资金拨付工作。</w:t>
      </w:r>
    </w:p>
    <w:p w14:paraId="1970B250">
      <w:pPr>
        <w:pStyle w:val="5"/>
        <w:pageBreakBefore w:val="0"/>
        <w:kinsoku/>
        <w:wordWrap/>
        <w:overflowPunct/>
        <w:topLinePunct w:val="0"/>
        <w:autoSpaceDE/>
        <w:autoSpaceDN/>
        <w:bidi w:val="0"/>
        <w:adjustRightInd/>
        <w:spacing w:line="560" w:lineRule="exact"/>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bookmarkStart w:id="6" w:name="_Toc1858"/>
      <w:r>
        <w:rPr>
          <w:rFonts w:hint="eastAsia" w:ascii="宋体" w:hAnsi="宋体" w:eastAsia="宋体" w:cs="宋体"/>
          <w:color w:val="auto"/>
          <w:highlight w:val="none"/>
          <w:shd w:val="clear" w:color="auto" w:fill="auto"/>
          <w:lang w:val="en-US" w:eastAsia="zh-CN"/>
        </w:rPr>
        <w:t>项目完成情况：</w:t>
      </w:r>
      <w:r>
        <w:rPr>
          <w:rFonts w:hint="eastAsia" w:cs="宋体"/>
          <w:b w:val="0"/>
          <w:bCs w:val="0"/>
          <w:color w:val="auto"/>
          <w:kern w:val="2"/>
          <w:sz w:val="28"/>
          <w:szCs w:val="28"/>
          <w:highlight w:val="none"/>
          <w:shd w:val="clear" w:color="auto" w:fill="auto"/>
          <w:lang w:val="en-US" w:eastAsia="zh-CN" w:bidi="ar-SA"/>
        </w:rPr>
        <w:t>阜</w:t>
      </w:r>
      <w:r>
        <w:rPr>
          <w:rFonts w:hint="eastAsia" w:ascii="宋体" w:hAnsi="宋体" w:eastAsia="宋体" w:cs="宋体"/>
          <w:b w:val="0"/>
          <w:bCs w:val="0"/>
          <w:color w:val="auto"/>
          <w:kern w:val="2"/>
          <w:sz w:val="28"/>
          <w:szCs w:val="28"/>
          <w:highlight w:val="none"/>
          <w:shd w:val="clear" w:color="auto" w:fill="auto"/>
          <w:lang w:val="en-US" w:eastAsia="zh-CN" w:bidi="ar-SA"/>
        </w:rPr>
        <w:t>康市滋泥泉子镇农村幸福大院建设项目、阜康市滋泥泉子镇镇区、何家湾村污水处理站配套设施项目完成工程款支付224.48万元。</w:t>
      </w:r>
    </w:p>
    <w:p w14:paraId="4685B29A">
      <w:pPr>
        <w:pStyle w:val="5"/>
        <w:pageBreakBefore w:val="0"/>
        <w:kinsoku/>
        <w:wordWrap/>
        <w:overflowPunct/>
        <w:topLinePunct w:val="0"/>
        <w:autoSpaceDE/>
        <w:autoSpaceDN/>
        <w:bidi w:val="0"/>
        <w:adjustRightIn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6"/>
    </w:p>
    <w:p w14:paraId="6B9EABD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13D29D6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b w:val="0"/>
          <w:bCs w:val="0"/>
          <w:color w:val="auto"/>
          <w:kern w:val="2"/>
          <w:sz w:val="28"/>
          <w:szCs w:val="28"/>
          <w:highlight w:val="none"/>
          <w:shd w:val="clear" w:color="auto" w:fill="auto"/>
          <w:lang w:val="en-US" w:eastAsia="zh-CN" w:bidi="ar-SA"/>
        </w:rPr>
        <w:t>阜康市滋泥泉子镇化债项目</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244.48</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金244.48</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244.48</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1F46ABB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4C5DBBE3">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b w:val="0"/>
          <w:bCs w:val="0"/>
          <w:color w:val="auto"/>
          <w:kern w:val="2"/>
          <w:sz w:val="28"/>
          <w:szCs w:val="28"/>
          <w:highlight w:val="none"/>
          <w:shd w:val="clear" w:color="auto" w:fill="auto"/>
          <w:lang w:val="en-US" w:eastAsia="zh-CN" w:bidi="ar-SA"/>
        </w:rPr>
        <w:t>阜康市滋泥泉子镇化债项目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244.48</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rPr>
        <w:t>项目资金主要用于</w:t>
      </w:r>
      <w:r>
        <w:rPr>
          <w:rFonts w:hint="eastAsia" w:ascii="宋体" w:hAnsi="宋体" w:eastAsia="宋体" w:cs="宋体"/>
          <w:b w:val="0"/>
          <w:bCs w:val="0"/>
          <w:color w:val="auto"/>
          <w:kern w:val="2"/>
          <w:sz w:val="28"/>
          <w:szCs w:val="28"/>
          <w:highlight w:val="none"/>
          <w:shd w:val="clear" w:color="auto" w:fill="auto"/>
          <w:lang w:val="en-US" w:eastAsia="zh-CN" w:bidi="ar-SA"/>
        </w:rPr>
        <w:t>偿还阜康市滋泥泉子镇化债项目</w:t>
      </w:r>
      <w:r>
        <w:rPr>
          <w:rFonts w:hint="eastAsia" w:cs="宋体"/>
          <w:b w:val="0"/>
          <w:bCs w:val="0"/>
          <w:color w:val="auto"/>
          <w:kern w:val="2"/>
          <w:sz w:val="28"/>
          <w:szCs w:val="28"/>
          <w:highlight w:val="none"/>
          <w:shd w:val="clear" w:color="auto" w:fill="auto"/>
          <w:lang w:val="en-US" w:eastAsia="zh-CN" w:bidi="ar-SA"/>
        </w:rPr>
        <w:t>244.48</w:t>
      </w:r>
      <w:r>
        <w:rPr>
          <w:rFonts w:hint="eastAsia" w:ascii="宋体" w:hAnsi="宋体" w:eastAsia="宋体" w:cs="宋体"/>
          <w:b w:val="0"/>
          <w:bCs w:val="0"/>
          <w:color w:val="auto"/>
          <w:kern w:val="2"/>
          <w:sz w:val="28"/>
          <w:szCs w:val="28"/>
          <w:highlight w:val="none"/>
          <w:shd w:val="clear" w:color="auto" w:fill="auto"/>
          <w:lang w:val="en-US" w:eastAsia="zh-CN" w:bidi="ar-SA"/>
        </w:rPr>
        <w:t>万元</w:t>
      </w:r>
      <w:r>
        <w:rPr>
          <w:rFonts w:hint="eastAsia" w:cs="宋体"/>
          <w:color w:val="auto"/>
          <w:highlight w:val="none"/>
          <w:shd w:val="clear" w:color="auto" w:fill="auto"/>
          <w:lang w:val="en-US" w:eastAsia="zh-CN"/>
        </w:rPr>
        <w:t>。</w:t>
      </w:r>
    </w:p>
    <w:p w14:paraId="697C93C8">
      <w:pPr>
        <w:pStyle w:val="4"/>
        <w:pageBreakBefore w:val="0"/>
        <w:numPr>
          <w:ilvl w:val="0"/>
          <w:numId w:val="1"/>
        </w:numPr>
        <w:kinsoku/>
        <w:wordWrap/>
        <w:overflowPunct/>
        <w:topLinePunct w:val="0"/>
        <w:autoSpaceDE/>
        <w:autoSpaceDN/>
        <w:bidi w:val="0"/>
        <w:adjustRightInd/>
        <w:spacing w:beforeLines="0" w:afterLines="0" w:line="560" w:lineRule="exact"/>
        <w:ind w:left="-404" w:leftChars="0" w:firstLineChars="0"/>
        <w:textAlignment w:val="auto"/>
        <w:rPr>
          <w:rFonts w:hint="eastAsia" w:ascii="宋体" w:hAnsi="宋体" w:eastAsia="宋体" w:cs="宋体"/>
          <w:color w:val="auto"/>
          <w:highlight w:val="none"/>
          <w:shd w:val="clear" w:color="auto" w:fill="auto"/>
        </w:rPr>
      </w:pPr>
      <w:bookmarkStart w:id="7" w:name="_Toc2879"/>
      <w:r>
        <w:rPr>
          <w:rFonts w:hint="eastAsia" w:ascii="宋体" w:hAnsi="宋体" w:eastAsia="宋体" w:cs="宋体"/>
          <w:color w:val="auto"/>
          <w:highlight w:val="none"/>
          <w:shd w:val="clear" w:color="auto" w:fill="auto"/>
        </w:rPr>
        <w:t>项目绩效目标</w:t>
      </w:r>
      <w:bookmarkEnd w:id="7"/>
    </w:p>
    <w:p w14:paraId="44C31FB0">
      <w:pPr>
        <w:pStyle w:val="5"/>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bookmarkStart w:id="8" w:name="_Toc10047"/>
      <w:r>
        <w:rPr>
          <w:rFonts w:hint="eastAsia" w:ascii="宋体" w:hAnsi="宋体" w:eastAsia="宋体" w:cs="宋体"/>
          <w:color w:val="auto"/>
          <w:highlight w:val="none"/>
          <w:shd w:val="clear" w:color="auto" w:fill="auto"/>
          <w:lang w:val="en-US" w:eastAsia="zh-CN"/>
        </w:rPr>
        <w:t>1.总体目标</w:t>
      </w:r>
      <w:bookmarkEnd w:id="8"/>
    </w:p>
    <w:p w14:paraId="51123E2E">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b w:val="0"/>
          <w:bCs w:val="0"/>
          <w:color w:val="auto"/>
          <w:kern w:val="2"/>
          <w:sz w:val="28"/>
          <w:szCs w:val="28"/>
          <w:highlight w:val="none"/>
          <w:shd w:val="clear" w:color="auto" w:fill="auto"/>
          <w:lang w:val="en-US" w:eastAsia="zh-CN" w:bidi="ar-SA"/>
        </w:rPr>
        <w:t>阜康市滋泥泉子镇化债项目</w:t>
      </w:r>
      <w:r>
        <w:rPr>
          <w:rFonts w:hint="eastAsia" w:cs="宋体"/>
          <w:color w:val="auto"/>
          <w:highlight w:val="none"/>
          <w:shd w:val="clear" w:color="auto" w:fill="auto"/>
          <w:lang w:val="en-US" w:eastAsia="zh-CN"/>
        </w:rPr>
        <w:t>绩效总体目标为：偿还镇区、何家湾中心村污水处理站配套设施项目工程尾款105.10万元，农村幸福大院建设项目设计施工一体化工程尾款139.38万元，资金支付及时，增加与企业之间信任度，保证后期工程质量。</w:t>
      </w:r>
    </w:p>
    <w:p w14:paraId="34C9AA55">
      <w:pPr>
        <w:pStyle w:val="5"/>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bookmarkStart w:id="9" w:name="_Toc4487"/>
      <w:r>
        <w:rPr>
          <w:rFonts w:hint="eastAsia" w:ascii="宋体" w:hAnsi="宋体" w:eastAsia="宋体" w:cs="宋体"/>
          <w:color w:val="auto"/>
          <w:highlight w:val="none"/>
          <w:shd w:val="clear" w:color="auto" w:fill="auto"/>
          <w:lang w:val="en-US" w:eastAsia="zh-CN"/>
        </w:rPr>
        <w:t>2.阶段性目标</w:t>
      </w:r>
      <w:bookmarkEnd w:id="9"/>
    </w:p>
    <w:p w14:paraId="5FEDDBC1">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371C99B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15F8D30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431A53C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支付项目工程尾款企业数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w:t>
      </w:r>
      <w:r>
        <w:rPr>
          <w:rFonts w:hint="eastAsia" w:cs="宋体"/>
          <w:color w:val="auto"/>
          <w:highlight w:val="none"/>
          <w:shd w:val="clear" w:color="auto" w:fill="auto"/>
          <w:lang w:val="en-US" w:eastAsia="zh-CN"/>
        </w:rPr>
        <w:t>个</w:t>
      </w:r>
      <w:r>
        <w:rPr>
          <w:rFonts w:hint="eastAsia" w:ascii="宋体" w:hAnsi="宋体" w:eastAsia="宋体" w:cs="宋体"/>
          <w:color w:val="auto"/>
          <w:highlight w:val="none"/>
          <w:shd w:val="clear" w:color="auto" w:fill="auto"/>
          <w:lang w:val="en-US" w:eastAsia="zh-CN"/>
        </w:rPr>
        <w:t>；</w:t>
      </w:r>
    </w:p>
    <w:p w14:paraId="191AA7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524C95B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项目资金支付率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14:paraId="5ED95FE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4328508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资金支付及时率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≥95%</w:t>
      </w:r>
      <w:r>
        <w:rPr>
          <w:rFonts w:hint="eastAsia" w:ascii="宋体" w:hAnsi="宋体" w:eastAsia="宋体" w:cs="宋体"/>
          <w:color w:val="auto"/>
          <w:highlight w:val="none"/>
          <w:shd w:val="clear" w:color="auto" w:fill="auto"/>
          <w:lang w:val="en-US" w:eastAsia="zh-CN"/>
        </w:rPr>
        <w:t>；</w:t>
      </w:r>
    </w:p>
    <w:p w14:paraId="512A99B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资金支付完成时间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指标，预期指标值为</w:t>
      </w:r>
      <w:r>
        <w:rPr>
          <w:rFonts w:hint="eastAsia" w:cs="宋体"/>
          <w:color w:val="auto"/>
          <w:highlight w:val="none"/>
          <w:shd w:val="clear" w:color="auto" w:fill="auto"/>
          <w:lang w:val="en-US" w:eastAsia="zh-CN"/>
        </w:rPr>
        <w:t>2023年6月30日</w:t>
      </w:r>
      <w:r>
        <w:rPr>
          <w:rFonts w:hint="eastAsia" w:ascii="宋体" w:hAnsi="宋体" w:eastAsia="宋体" w:cs="宋体"/>
          <w:color w:val="auto"/>
          <w:highlight w:val="none"/>
          <w:shd w:val="clear" w:color="auto" w:fill="auto"/>
          <w:lang w:val="en-US" w:eastAsia="zh-CN"/>
        </w:rPr>
        <w:t>；</w:t>
      </w:r>
    </w:p>
    <w:p w14:paraId="6531702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2A18AD2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支付新疆凯信博远建设工程有限公司工程尾款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为≤139.28万元；</w:t>
      </w:r>
    </w:p>
    <w:p w14:paraId="7FE015B0">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“支付阜康市第二建筑安装有限责任公司工程尾款”指标，预期目标值为≤105.10万元；</w:t>
      </w:r>
    </w:p>
    <w:p w14:paraId="3E08325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7021A40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2054FDFF">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w:t>
      </w:r>
    </w:p>
    <w:p w14:paraId="5E34A37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75FE39BE">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提升居民生活质量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为提升；</w:t>
      </w:r>
    </w:p>
    <w:p w14:paraId="2589CAD8">
      <w:pPr>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有效改善人居环境</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为有效改善；</w:t>
      </w:r>
    </w:p>
    <w:p w14:paraId="36E116D9">
      <w:pPr>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7D841B51">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w:t>
      </w:r>
    </w:p>
    <w:p w14:paraId="78CA0E4B">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21F937B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效益</w:t>
      </w:r>
    </w:p>
    <w:p w14:paraId="647DC4CE">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20D72F0D">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bookmarkStart w:id="10" w:name="_Toc2549"/>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满意度指标</w:t>
      </w:r>
    </w:p>
    <w:p w14:paraId="281CDF93">
      <w:pPr>
        <w:pStyle w:val="3"/>
        <w:pageBreakBefore w:val="0"/>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二、绩效评价工作开展情况</w:t>
      </w:r>
      <w:bookmarkEnd w:id="10"/>
    </w:p>
    <w:p w14:paraId="500BB2C6">
      <w:pPr>
        <w:pStyle w:val="4"/>
        <w:pageBreakBefore w:val="0"/>
        <w:numPr>
          <w:ilvl w:val="0"/>
          <w:numId w:val="2"/>
        </w:numPr>
        <w:kinsoku/>
        <w:wordWrap/>
        <w:overflowPunct/>
        <w:topLinePunct w:val="0"/>
        <w:autoSpaceDE/>
        <w:autoSpaceDN/>
        <w:bidi w:val="0"/>
        <w:adjustRightInd/>
        <w:spacing w:beforeLines="0" w:beforeAutospacing="0" w:afterLines="0" w:afterAutospacing="0" w:line="560" w:lineRule="exact"/>
        <w:ind w:left="-2" w:leftChars="0" w:firstLine="643" w:firstLineChars="0"/>
        <w:jc w:val="both"/>
        <w:textAlignment w:val="auto"/>
        <w:rPr>
          <w:rFonts w:hint="eastAsia" w:ascii="宋体" w:hAnsi="宋体" w:eastAsia="宋体" w:cs="宋体"/>
          <w:color w:val="auto"/>
          <w:sz w:val="32"/>
          <w:szCs w:val="32"/>
          <w:highlight w:val="none"/>
          <w:shd w:val="clear" w:color="auto" w:fill="auto"/>
          <w:lang w:eastAsia="zh-CN"/>
        </w:rPr>
      </w:pPr>
      <w:bookmarkStart w:id="11" w:name="_Toc26632"/>
      <w:bookmarkStart w:id="12" w:name="_Toc22169_WPSOffice_Level2"/>
      <w:bookmarkStart w:id="13" w:name="_Toc22922"/>
      <w:bookmarkStart w:id="14" w:name="_Toc5258"/>
      <w:bookmarkStart w:id="15" w:name="_Toc5462343"/>
      <w:bookmarkStart w:id="16" w:name="_Toc12868"/>
      <w:bookmarkStart w:id="17" w:name="_Toc21664"/>
      <w:bookmarkStart w:id="18" w:name="_Toc480473081"/>
      <w:bookmarkStart w:id="19" w:name="_Toc21778"/>
      <w:r>
        <w:rPr>
          <w:rFonts w:hint="eastAsia" w:ascii="宋体" w:hAnsi="宋体" w:eastAsia="宋体" w:cs="宋体"/>
          <w:color w:val="auto"/>
          <w:sz w:val="32"/>
          <w:szCs w:val="32"/>
          <w:highlight w:val="none"/>
          <w:shd w:val="clear" w:color="auto" w:fill="auto"/>
          <w:lang w:eastAsia="zh-CN"/>
        </w:rPr>
        <w:t>绩效评价的目的</w:t>
      </w:r>
      <w:bookmarkEnd w:id="11"/>
      <w:bookmarkEnd w:id="12"/>
      <w:bookmarkEnd w:id="13"/>
      <w:bookmarkEnd w:id="14"/>
      <w:bookmarkEnd w:id="15"/>
      <w:bookmarkEnd w:id="16"/>
      <w:bookmarkEnd w:id="17"/>
      <w:bookmarkEnd w:id="18"/>
      <w:r>
        <w:rPr>
          <w:rFonts w:hint="eastAsia" w:ascii="宋体" w:hAnsi="宋体" w:eastAsia="宋体" w:cs="宋体"/>
          <w:color w:val="auto"/>
          <w:sz w:val="32"/>
          <w:szCs w:val="32"/>
          <w:highlight w:val="none"/>
          <w:shd w:val="clear" w:color="auto" w:fill="auto"/>
          <w:lang w:eastAsia="zh-CN"/>
        </w:rPr>
        <w:t>、对象和范围</w:t>
      </w:r>
      <w:bookmarkEnd w:id="19"/>
    </w:p>
    <w:p w14:paraId="1C55690B">
      <w:pPr>
        <w:pStyle w:val="5"/>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bookmarkStart w:id="20"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0"/>
    </w:p>
    <w:p w14:paraId="2112D4E4">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543391A0">
      <w:pPr>
        <w:pStyle w:val="5"/>
        <w:pageBreakBefore w:val="0"/>
        <w:kinsoku/>
        <w:wordWrap/>
        <w:overflowPunct/>
        <w:topLinePunct w:val="0"/>
        <w:autoSpaceDE/>
        <w:autoSpaceDN/>
        <w:bidi w:val="0"/>
        <w:adjustRightInd/>
        <w:spacing w:line="560" w:lineRule="exact"/>
        <w:textAlignment w:val="auto"/>
        <w:rPr>
          <w:rFonts w:hint="eastAsia" w:ascii="宋体" w:hAnsi="宋体" w:eastAsia="宋体" w:cs="宋体"/>
          <w:color w:val="auto"/>
          <w:highlight w:val="none"/>
          <w:shd w:val="clear" w:color="auto" w:fill="auto"/>
          <w:lang w:val="en-US" w:eastAsia="zh-CN"/>
        </w:rPr>
      </w:pPr>
      <w:bookmarkStart w:id="21" w:name="_Toc30609"/>
      <w:r>
        <w:rPr>
          <w:rFonts w:hint="eastAsia" w:ascii="宋体" w:hAnsi="宋体" w:eastAsia="宋体" w:cs="宋体"/>
          <w:color w:val="auto"/>
          <w:highlight w:val="none"/>
          <w:shd w:val="clear" w:color="auto" w:fill="auto"/>
          <w:lang w:val="en-US" w:eastAsia="zh-CN"/>
        </w:rPr>
        <w:t>2.绩效评价的对象和范围</w:t>
      </w:r>
      <w:bookmarkEnd w:id="21"/>
    </w:p>
    <w:p w14:paraId="3566F82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ascii="宋体" w:hAnsi="宋体" w:eastAsia="宋体" w:cs="宋体"/>
          <w:b w:val="0"/>
          <w:bCs w:val="0"/>
          <w:color w:val="auto"/>
          <w:kern w:val="2"/>
          <w:sz w:val="28"/>
          <w:szCs w:val="28"/>
          <w:highlight w:val="none"/>
          <w:shd w:val="clear" w:color="auto" w:fill="auto"/>
          <w:lang w:val="en-US" w:eastAsia="zh-CN" w:bidi="ar-SA"/>
        </w:rPr>
        <w:t>阜康市滋泥泉子镇化债项目</w:t>
      </w:r>
      <w:r>
        <w:rPr>
          <w:rFonts w:hint="eastAsia" w:ascii="宋体" w:hAnsi="宋体" w:eastAsia="宋体" w:cs="宋体"/>
          <w:color w:val="auto"/>
          <w:highlight w:val="none"/>
          <w:shd w:val="clear" w:color="auto" w:fill="auto"/>
          <w:lang w:val="en-US" w:eastAsia="zh-CN"/>
        </w:rPr>
        <w:t>开展部门绩效评价。</w:t>
      </w:r>
    </w:p>
    <w:p w14:paraId="023ECFB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11EBF909">
      <w:pPr>
        <w:pStyle w:val="4"/>
        <w:pageBreakBefore w:val="0"/>
        <w:numPr>
          <w:ilvl w:val="0"/>
          <w:numId w:val="2"/>
        </w:numPr>
        <w:kinsoku/>
        <w:wordWrap/>
        <w:overflowPunct/>
        <w:topLinePunct w:val="0"/>
        <w:autoSpaceDE/>
        <w:autoSpaceDN/>
        <w:bidi w:val="0"/>
        <w:adjustRightInd/>
        <w:spacing w:beforeLines="0" w:beforeAutospacing="0" w:afterLines="0" w:afterAutospacing="0" w:line="560" w:lineRule="exact"/>
        <w:ind w:left="-2" w:leftChars="0" w:firstLine="643" w:firstLineChars="0"/>
        <w:jc w:val="both"/>
        <w:textAlignment w:val="auto"/>
        <w:rPr>
          <w:rFonts w:hint="eastAsia" w:ascii="宋体" w:hAnsi="宋体" w:eastAsia="宋体" w:cs="宋体"/>
          <w:color w:val="auto"/>
          <w:sz w:val="32"/>
          <w:szCs w:val="32"/>
          <w:highlight w:val="none"/>
          <w:shd w:val="clear" w:color="auto" w:fill="auto"/>
          <w:lang w:val="en-US" w:eastAsia="zh-CN"/>
        </w:rPr>
      </w:pPr>
      <w:bookmarkStart w:id="22"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2"/>
    </w:p>
    <w:p w14:paraId="530F07C9">
      <w:pPr>
        <w:pStyle w:val="5"/>
        <w:pageBreakBefore w:val="0"/>
        <w:kinsoku/>
        <w:wordWrap/>
        <w:overflowPunct/>
        <w:topLinePunct w:val="0"/>
        <w:autoSpaceDE/>
        <w:autoSpaceDN/>
        <w:bidi w:val="0"/>
        <w:adjustRightInd/>
        <w:spacing w:line="560" w:lineRule="exact"/>
        <w:textAlignment w:val="auto"/>
        <w:rPr>
          <w:rFonts w:hint="eastAsia" w:ascii="宋体" w:hAnsi="宋体" w:eastAsia="宋体" w:cs="宋体"/>
          <w:color w:val="auto"/>
          <w:highlight w:val="none"/>
          <w:shd w:val="clear" w:color="auto" w:fill="auto"/>
        </w:rPr>
      </w:pPr>
      <w:bookmarkStart w:id="23"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3"/>
    </w:p>
    <w:p w14:paraId="5CF0BBA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b w:val="0"/>
          <w:bCs w:val="0"/>
          <w:color w:val="auto"/>
          <w:kern w:val="2"/>
          <w:sz w:val="28"/>
          <w:szCs w:val="28"/>
          <w:highlight w:val="none"/>
          <w:shd w:val="clear" w:color="auto" w:fill="auto"/>
          <w:lang w:val="en-US" w:eastAsia="zh-CN" w:bidi="ar-SA"/>
        </w:rPr>
        <w:t>阜康市滋泥泉子镇化债项目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50E57BF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27214B7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0FD0A4B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2A5FCEE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08D89A9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53CB8404">
      <w:pPr>
        <w:pStyle w:val="5"/>
        <w:pageBreakBefore w:val="0"/>
        <w:kinsoku/>
        <w:wordWrap/>
        <w:overflowPunct/>
        <w:topLinePunct w:val="0"/>
        <w:autoSpaceDE/>
        <w:autoSpaceDN/>
        <w:bidi w:val="0"/>
        <w:adjustRightInd/>
        <w:spacing w:line="560" w:lineRule="exact"/>
        <w:textAlignment w:val="auto"/>
        <w:rPr>
          <w:rFonts w:hint="eastAsia" w:ascii="宋体" w:hAnsi="宋体" w:eastAsia="宋体" w:cs="宋体"/>
          <w:color w:val="auto"/>
          <w:highlight w:val="none"/>
          <w:shd w:val="clear" w:color="auto" w:fill="auto"/>
          <w:lang w:eastAsia="zh-CN"/>
        </w:rPr>
      </w:pPr>
      <w:bookmarkStart w:id="24" w:name="_Toc1913"/>
      <w:bookmarkStart w:id="25" w:name="_Toc26131"/>
      <w:bookmarkStart w:id="26" w:name="_Toc419984722"/>
      <w:bookmarkStart w:id="27" w:name="_Toc428278230"/>
      <w:bookmarkStart w:id="28"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4"/>
      <w:bookmarkEnd w:id="25"/>
      <w:bookmarkEnd w:id="26"/>
      <w:bookmarkEnd w:id="27"/>
      <w:r>
        <w:rPr>
          <w:rFonts w:hint="eastAsia" w:ascii="宋体" w:hAnsi="宋体" w:eastAsia="宋体" w:cs="宋体"/>
          <w:color w:val="auto"/>
          <w:highlight w:val="none"/>
          <w:shd w:val="clear" w:color="auto" w:fill="auto"/>
          <w:lang w:val="en-US" w:eastAsia="zh-CN"/>
        </w:rPr>
        <w:t>标准</w:t>
      </w:r>
      <w:bookmarkEnd w:id="28"/>
    </w:p>
    <w:p w14:paraId="6775770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7844CA2C">
      <w:pPr>
        <w:pageBreakBefore w:val="0"/>
        <w:kinsoku/>
        <w:wordWrap/>
        <w:overflowPunct/>
        <w:topLinePunct w:val="0"/>
        <w:autoSpaceDE/>
        <w:autoSpaceDN/>
        <w:bidi w:val="0"/>
        <w:spacing w:line="560" w:lineRule="exact"/>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2CA0E0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6E8CBE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792FE6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5C5569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73BFB0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107E8D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211308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5BAC73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2419CD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67C7FD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63748B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0C43A4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4593A52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F3450D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2F1C7A4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1C60E6E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2FB62CB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5DC3D6C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7BE00E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4E65DB2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62DC4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B8110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093C16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3111FD4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63B9826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9FD12C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17DFDD6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11B8FD9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0610CB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57B8837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39998B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09E0E4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179787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75533B0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6C6806C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D4E20C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31445A5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7642401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2F6BAD1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246E0A4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337165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7697C5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CFF7F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6A8BB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559220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08AEA6D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4DE4B4E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D2C9E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6F1A0D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213928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39872A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78A7642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9BCD0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1DF657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4A0432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2DF98E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5DAF6D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73069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4C72E96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1E0508C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140516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17B83D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7F1DF8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27396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FC860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752186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7C53A8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6C44E9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5B526D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794BEE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31AF55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323DDA2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0A4226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5D9ECC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2397F6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776FA4D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0ACDA76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6E9EAEA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6BCF6E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68BC707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568833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0025C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1713BD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47B5CC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10CDAF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5FAC29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7EFADB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2F4FA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D6B3E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1DA70A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6B7E3D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506203F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1399F4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00E50B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156BC2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69D83C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108C4F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4644967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D4EB9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776BBD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22823E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2EB5291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6543DCF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0A59F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032DC9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158BBB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24F4CC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B4177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4A631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27714E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24637F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4236A87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DDD84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4E942B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1FD0873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23B3294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56E5D7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5524E5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4AFAAB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5FD4A1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75BC07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708CEE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14696B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00918D6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735FBC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74F99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7611D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3C1D4E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06D5ED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0CB3FD8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08ACE7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8C9EE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3D05E3A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C555B3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1A0E45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5C3B12B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14F498B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2F72EB6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699DD7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798D66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F3829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4A2571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2C300A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2CB692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7165DF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3245EA1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34D84F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143520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2C401A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675F60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7BAA1BF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031DE4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7CD0EE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5ED063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F28E4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1E03A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02C321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063189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416FD19F">
      <w:pPr>
        <w:pStyle w:val="5"/>
        <w:pageBreakBefore w:val="0"/>
        <w:kinsoku/>
        <w:wordWrap/>
        <w:overflowPunct/>
        <w:topLinePunct w:val="0"/>
        <w:autoSpaceDE/>
        <w:autoSpaceDN/>
        <w:bidi w:val="0"/>
        <w:adjustRightInd/>
        <w:spacing w:line="560" w:lineRule="exact"/>
        <w:textAlignment w:val="auto"/>
        <w:rPr>
          <w:rFonts w:hint="eastAsia" w:ascii="宋体" w:hAnsi="宋体" w:eastAsia="宋体" w:cs="宋体"/>
          <w:color w:val="auto"/>
          <w:highlight w:val="none"/>
          <w:shd w:val="clear" w:color="auto" w:fill="auto"/>
          <w:lang w:val="en-US" w:eastAsia="zh-CN"/>
        </w:rPr>
      </w:pPr>
      <w:bookmarkStart w:id="29"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29"/>
    </w:p>
    <w:p w14:paraId="16F566F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ascii="宋体" w:hAnsi="宋体" w:eastAsia="宋体" w:cs="宋体"/>
          <w:b w:val="0"/>
          <w:bCs w:val="0"/>
          <w:color w:val="auto"/>
          <w:kern w:val="2"/>
          <w:sz w:val="28"/>
          <w:szCs w:val="28"/>
          <w:highlight w:val="none"/>
          <w:shd w:val="clear" w:color="auto" w:fill="auto"/>
          <w:lang w:val="en-US" w:eastAsia="zh-CN" w:bidi="ar-SA"/>
        </w:rPr>
        <w:t>阜康市滋泥泉子镇化债项目</w:t>
      </w:r>
      <w:r>
        <w:rPr>
          <w:rFonts w:hint="eastAsia" w:ascii="宋体" w:hAnsi="宋体" w:eastAsia="宋体" w:cs="宋体"/>
          <w:color w:val="auto"/>
          <w:highlight w:val="none"/>
          <w:shd w:val="clear" w:color="auto" w:fill="auto"/>
          <w:lang w:val="en-US" w:eastAsia="zh-CN"/>
        </w:rPr>
        <w:t>进行评价。</w:t>
      </w:r>
    </w:p>
    <w:p w14:paraId="7B0B4E38">
      <w:pPr>
        <w:pStyle w:val="5"/>
        <w:pageBreakBefore w:val="0"/>
        <w:kinsoku/>
        <w:wordWrap/>
        <w:overflowPunct/>
        <w:topLinePunct w:val="0"/>
        <w:autoSpaceDE/>
        <w:autoSpaceDN/>
        <w:bidi w:val="0"/>
        <w:spacing w:line="560" w:lineRule="exact"/>
        <w:rPr>
          <w:rFonts w:hint="default" w:ascii="宋体" w:hAnsi="宋体" w:eastAsia="宋体" w:cs="宋体"/>
          <w:color w:val="auto"/>
          <w:highlight w:val="none"/>
          <w:shd w:val="clear" w:color="auto" w:fill="auto"/>
          <w:lang w:val="en-US" w:eastAsia="zh-CN"/>
        </w:rPr>
      </w:pPr>
      <w:bookmarkStart w:id="30" w:name="_Toc25391"/>
      <w:r>
        <w:rPr>
          <w:rFonts w:hint="eastAsia" w:ascii="宋体" w:hAnsi="宋体" w:eastAsia="宋体" w:cs="宋体"/>
          <w:color w:val="auto"/>
          <w:highlight w:val="none"/>
          <w:shd w:val="clear" w:color="auto" w:fill="auto"/>
          <w:lang w:val="en-US" w:eastAsia="zh-CN"/>
        </w:rPr>
        <w:t>4.评价标准</w:t>
      </w:r>
      <w:bookmarkEnd w:id="30"/>
    </w:p>
    <w:p w14:paraId="1788C5D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171AB67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2907514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12133557">
      <w:pPr>
        <w:pageBreakBefore w:val="0"/>
        <w:kinsoku/>
        <w:wordWrap/>
        <w:overflowPunct/>
        <w:topLinePunct w:val="0"/>
        <w:autoSpaceDE/>
        <w:autoSpaceDN/>
        <w:bidi w:val="0"/>
        <w:spacing w:line="560" w:lineRule="exact"/>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0EA9FD0A">
      <w:pPr>
        <w:pStyle w:val="5"/>
        <w:pageBreakBefore w:val="0"/>
        <w:kinsoku/>
        <w:wordWrap/>
        <w:overflowPunct/>
        <w:topLinePunct w:val="0"/>
        <w:autoSpaceDE/>
        <w:autoSpaceDN/>
        <w:bidi w:val="0"/>
        <w:spacing w:line="560" w:lineRule="exact"/>
        <w:outlineLvl w:val="1"/>
        <w:rPr>
          <w:rFonts w:hint="default" w:ascii="宋体" w:hAnsi="宋体" w:eastAsia="宋体" w:cs="宋体"/>
          <w:color w:val="auto"/>
          <w:highlight w:val="none"/>
          <w:shd w:val="clear" w:color="auto" w:fill="auto"/>
          <w:lang w:val="en-US" w:eastAsia="zh-CN"/>
        </w:rPr>
      </w:pPr>
      <w:bookmarkStart w:id="31" w:name="_Toc1070"/>
      <w:r>
        <w:rPr>
          <w:rFonts w:hint="eastAsia" w:ascii="宋体" w:hAnsi="宋体" w:eastAsia="宋体" w:cs="宋体"/>
          <w:color w:val="auto"/>
          <w:highlight w:val="none"/>
          <w:shd w:val="clear" w:color="auto" w:fill="auto"/>
          <w:lang w:val="en-US" w:eastAsia="zh-CN"/>
        </w:rPr>
        <w:t>（三）绩效评价工作过程</w:t>
      </w:r>
      <w:bookmarkEnd w:id="31"/>
    </w:p>
    <w:p w14:paraId="714C9836">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2"/>
        <w:rPr>
          <w:rFonts w:hint="eastAsia" w:ascii="宋体" w:hAnsi="宋体" w:eastAsia="宋体" w:cs="宋体"/>
          <w:color w:val="auto"/>
          <w:highlight w:val="none"/>
          <w:shd w:val="clear" w:color="auto" w:fill="auto"/>
          <w:lang w:val="en-US" w:eastAsia="zh-CN"/>
        </w:rPr>
      </w:pPr>
      <w:bookmarkStart w:id="32" w:name="_Toc12862"/>
      <w:r>
        <w:rPr>
          <w:rFonts w:hint="eastAsia" w:ascii="宋体" w:hAnsi="宋体" w:eastAsia="宋体" w:cs="宋体"/>
          <w:color w:val="auto"/>
          <w:highlight w:val="none"/>
          <w:shd w:val="clear" w:color="auto" w:fill="auto"/>
          <w:lang w:val="en-US" w:eastAsia="zh-CN"/>
        </w:rPr>
        <w:t>1.前期准备</w:t>
      </w:r>
      <w:bookmarkEnd w:id="32"/>
    </w:p>
    <w:p w14:paraId="3445C3A8">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7B18E5A5">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4D81969A">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3"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3"/>
    </w:p>
    <w:p w14:paraId="6A3FCE6B">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eastAsia="宋体" w:cs="宋体"/>
          <w:b w:val="0"/>
          <w:bCs w:val="0"/>
          <w:color w:val="auto"/>
          <w:kern w:val="2"/>
          <w:sz w:val="28"/>
          <w:szCs w:val="28"/>
          <w:highlight w:val="none"/>
          <w:shd w:val="clear" w:color="auto" w:fill="auto"/>
          <w:lang w:val="en-US" w:eastAsia="zh-CN" w:bidi="ar-SA"/>
        </w:rPr>
        <w:t>阜康市滋泥泉子镇化债项目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4"/>
    </w:p>
    <w:p w14:paraId="0F81D58A">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5"/>
    </w:p>
    <w:p w14:paraId="3D7078B6">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6"/>
    </w:p>
    <w:p w14:paraId="525F7B9D">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7"/>
    </w:p>
    <w:p w14:paraId="7521896C">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8"/>
    </w:p>
    <w:p w14:paraId="245823E0">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39"/>
    </w:p>
    <w:p w14:paraId="25ABA8BD">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0"/>
    </w:p>
    <w:p w14:paraId="2AB29B80">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1"/>
    </w:p>
    <w:p w14:paraId="26402F27">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2"/>
    </w:p>
    <w:p w14:paraId="4E5B26BB">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3"/>
    </w:p>
    <w:p w14:paraId="2E4DBC5F">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4"/>
    </w:p>
    <w:p w14:paraId="070C172E">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5"/>
    </w:p>
    <w:p w14:paraId="35CEA9EA">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6"/>
    </w:p>
    <w:p w14:paraId="6C48EEE9">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7"/>
    </w:p>
    <w:p w14:paraId="217120D6">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8"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8"/>
    </w:p>
    <w:p w14:paraId="4F5DE0BA">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49"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49"/>
    </w:p>
    <w:p w14:paraId="7BC4C0BB">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0"/>
    </w:p>
    <w:p w14:paraId="7016ED24">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1"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1"/>
    </w:p>
    <w:p w14:paraId="1B2A945F">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2"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2"/>
    </w:p>
    <w:p w14:paraId="61FC9A7A">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3"/>
    </w:p>
    <w:p w14:paraId="5BCCC365">
      <w:pPr>
        <w:pStyle w:val="3"/>
        <w:pageBreakBefore w:val="0"/>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auto"/>
          <w:highlight w:val="none"/>
          <w:shd w:val="clear" w:color="auto" w:fill="auto"/>
        </w:rPr>
      </w:pPr>
      <w:bookmarkStart w:id="54"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4"/>
    </w:p>
    <w:p w14:paraId="259235D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b w:val="0"/>
          <w:bCs w:val="0"/>
          <w:color w:val="auto"/>
          <w:kern w:val="2"/>
          <w:sz w:val="28"/>
          <w:szCs w:val="28"/>
          <w:highlight w:val="none"/>
          <w:shd w:val="clear" w:color="auto" w:fill="auto"/>
          <w:lang w:val="en-US" w:eastAsia="zh-CN" w:bidi="ar-SA"/>
        </w:rPr>
        <w:t>阜康市滋泥泉子镇化债项目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99.4</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493BBDBB">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75AAC0C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表3-1：阜康市滋泥泉子镇化债项目得分表</w:t>
            </w:r>
          </w:p>
        </w:tc>
      </w:tr>
      <w:tr w14:paraId="0B33FB05">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1DA8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561A5">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17FD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472A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50B1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F642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5FB06D93">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4BF5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EB7C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D7FA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19A2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D2BE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9B58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122A2184">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4737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F1DB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19.4</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D7E7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74F2C">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AC47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CD0C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99.4</w:t>
            </w:r>
          </w:p>
        </w:tc>
      </w:tr>
      <w:tr w14:paraId="3CFBBF7A">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ECB1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1CEA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E387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D2163">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3859C">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87EA3">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99.4</w:t>
            </w:r>
            <w:r>
              <w:rPr>
                <w:rFonts w:hint="eastAsia" w:ascii="宋体" w:hAnsi="宋体" w:eastAsia="宋体" w:cs="宋体"/>
                <w:color w:val="auto"/>
                <w:kern w:val="0"/>
                <w:sz w:val="21"/>
                <w:szCs w:val="21"/>
                <w:highlight w:val="none"/>
                <w:shd w:val="clear" w:color="auto" w:fill="auto"/>
                <w:lang w:val="en-US" w:eastAsia="zh-CN"/>
              </w:rPr>
              <w:t>%</w:t>
            </w:r>
          </w:p>
        </w:tc>
      </w:tr>
    </w:tbl>
    <w:p w14:paraId="1B0208F2">
      <w:pPr>
        <w:pStyle w:val="3"/>
        <w:pageBreakBefore w:val="0"/>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auto"/>
          <w:highlight w:val="none"/>
          <w:shd w:val="clear" w:color="auto" w:fill="auto"/>
          <w:lang w:val="en-US" w:eastAsia="zh-CN"/>
        </w:rPr>
      </w:pPr>
      <w:bookmarkStart w:id="55" w:name="_Toc9421"/>
      <w:r>
        <w:rPr>
          <w:rFonts w:hint="eastAsia" w:ascii="宋体" w:hAnsi="宋体" w:eastAsia="宋体" w:cs="宋体"/>
          <w:b/>
          <w:bCs/>
          <w:color w:val="auto"/>
          <w:highlight w:val="none"/>
          <w:shd w:val="clear" w:color="auto" w:fill="auto"/>
          <w:lang w:val="en-US" w:eastAsia="zh-CN"/>
        </w:rPr>
        <w:t>四、绩效评价指标分析</w:t>
      </w:r>
      <w:bookmarkEnd w:id="55"/>
    </w:p>
    <w:p w14:paraId="06A9D42C">
      <w:pPr>
        <w:pStyle w:val="4"/>
        <w:keepNext/>
        <w:keepLines/>
        <w:pageBreakBefore w:val="0"/>
        <w:widowControl w:val="0"/>
        <w:kinsoku/>
        <w:wordWrap/>
        <w:overflowPunct/>
        <w:topLinePunct w:val="0"/>
        <w:autoSpaceDE/>
        <w:autoSpaceDN/>
        <w:bidi w:val="0"/>
        <w:adjustRightInd/>
        <w:snapToGrid/>
        <w:spacing w:beforeLines="0" w:afterLines="0" w:line="560" w:lineRule="exact"/>
        <w:textAlignment w:val="auto"/>
        <w:rPr>
          <w:rFonts w:hint="eastAsia" w:ascii="宋体" w:hAnsi="宋体" w:eastAsia="宋体" w:cs="宋体"/>
          <w:color w:val="auto"/>
          <w:highlight w:val="none"/>
          <w:shd w:val="clear" w:color="auto" w:fill="auto"/>
        </w:rPr>
      </w:pPr>
      <w:bookmarkStart w:id="56" w:name="_Toc15355"/>
      <w:r>
        <w:rPr>
          <w:rFonts w:hint="eastAsia" w:ascii="宋体" w:hAnsi="宋体" w:eastAsia="宋体" w:cs="宋体"/>
          <w:color w:val="auto"/>
          <w:highlight w:val="none"/>
          <w:shd w:val="clear" w:color="auto" w:fill="auto"/>
        </w:rPr>
        <w:t>（一）项目决策情况</w:t>
      </w:r>
      <w:bookmarkEnd w:id="56"/>
    </w:p>
    <w:p w14:paraId="3DECF694">
      <w:pPr>
        <w:keepNext w:val="0"/>
        <w:keepLines w:val="0"/>
        <w:pageBreakBefore w:val="0"/>
        <w:widowControl w:val="0"/>
        <w:kinsoku/>
        <w:wordWrap/>
        <w:overflowPunct/>
        <w:topLinePunct w:val="0"/>
        <w:autoSpaceDE/>
        <w:autoSpaceDN/>
        <w:bidi w:val="0"/>
        <w:adjustRightInd/>
        <w:snapToGrid/>
        <w:spacing w:line="560" w:lineRule="exact"/>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19.4</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286FE88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4A73B3C1">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C4E53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BF292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C3E9DE">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AF1F55">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3BD2E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20775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C71DAB">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E5120A9">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1EC2DC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CD9D7F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5CEABD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753064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D5FD9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85DDE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B7C30B">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D646BC8">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DF2E343">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F7D306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5B2F8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31017E">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C248D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7A93D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1EB21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2.4</w:t>
            </w:r>
          </w:p>
        </w:tc>
      </w:tr>
      <w:tr w14:paraId="19FD0FA1">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6CAF81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380EFD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AEED4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E4D955">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22E52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0D1EE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072A05">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C38C476">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F610D1B">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0705AD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08484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55556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FB4AD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97EE35">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B63FA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33DCA03">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006395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2E90A4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7DABA0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B68474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32D68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D6D4F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5227A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D5C9DEF">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E6B2C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4B940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C9ADA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16BD3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54E49C">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20596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4EB53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13119C1">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645CF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0EDF7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2A362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DC54A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E6F3F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19.4</w:t>
            </w:r>
          </w:p>
        </w:tc>
      </w:tr>
    </w:tbl>
    <w:p w14:paraId="215CF45F">
      <w:pPr>
        <w:pageBreakBefore w:val="0"/>
        <w:kinsoku/>
        <w:wordWrap/>
        <w:overflowPunct/>
        <w:topLinePunct w:val="0"/>
        <w:autoSpaceDE/>
        <w:autoSpaceDN/>
        <w:bidi w:val="0"/>
        <w:spacing w:line="560" w:lineRule="exact"/>
        <w:outlineLvl w:val="2"/>
        <w:rPr>
          <w:rFonts w:hint="default"/>
          <w:b/>
          <w:bCs/>
          <w:color w:val="auto"/>
          <w:highlight w:val="none"/>
          <w:lang w:val="en-US" w:eastAsia="zh-CN"/>
        </w:rPr>
      </w:pPr>
      <w:bookmarkStart w:id="57" w:name="_Toc13522"/>
      <w:r>
        <w:rPr>
          <w:rFonts w:hint="eastAsia"/>
          <w:b/>
          <w:bCs/>
          <w:color w:val="auto"/>
          <w:highlight w:val="none"/>
          <w:lang w:val="en-US" w:eastAsia="zh-CN"/>
        </w:rPr>
        <w:t>1.立项依据充分性</w:t>
      </w:r>
      <w:bookmarkEnd w:id="57"/>
    </w:p>
    <w:p w14:paraId="3888A38A">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①项目立项符合《国务院关于投资体制改革的决定》；</w:t>
      </w:r>
    </w:p>
    <w:p w14:paraId="688ADBF5">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②项目立项符合乡镇建设发展规划和政府投资建设的项目政策要求；</w:t>
      </w:r>
    </w:p>
    <w:p w14:paraId="632BC9C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highlight w:val="none"/>
          <w:lang w:eastAsia="zh-CN"/>
        </w:rPr>
      </w:pPr>
      <w:r>
        <w:rPr>
          <w:rFonts w:hint="eastAsia"/>
          <w:color w:val="auto"/>
          <w:highlight w:val="none"/>
          <w:lang w:eastAsia="zh-CN"/>
        </w:rPr>
        <w:t>③项目立项与部门职责</w:t>
      </w:r>
      <w:r>
        <w:rPr>
          <w:rFonts w:hint="eastAsia" w:ascii="宋体" w:hAnsi="宋体" w:eastAsia="宋体" w:cs="宋体"/>
          <w:color w:val="auto"/>
          <w:highlight w:val="none"/>
          <w:lang w:val="en-US" w:eastAsia="zh-CN"/>
        </w:rPr>
        <w:t>讨论决定滋泥泉子镇经济建设、政治建设、文化建设、社会建设、生态文明建设和党的建设以及乡村振兴中的重大问题；加强滋泥泉子镇党委自身建设和村(社区)党组织建设等</w:t>
      </w:r>
      <w:r>
        <w:rPr>
          <w:rFonts w:hint="eastAsia"/>
          <w:color w:val="auto"/>
          <w:highlight w:val="none"/>
          <w:lang w:eastAsia="zh-CN"/>
        </w:rPr>
        <w:t>范围相符，属于部门履职所需；</w:t>
      </w:r>
    </w:p>
    <w:p w14:paraId="6673FD3D">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39562299">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0DDA4497">
      <w:pPr>
        <w:pageBreakBefore w:val="0"/>
        <w:kinsoku/>
        <w:wordWrap/>
        <w:overflowPunct/>
        <w:topLinePunct w:val="0"/>
        <w:autoSpaceDE/>
        <w:autoSpaceDN/>
        <w:bidi w:val="0"/>
        <w:spacing w:line="560" w:lineRule="exact"/>
        <w:rPr>
          <w:rFonts w:hint="default"/>
          <w:color w:val="auto"/>
          <w:highlight w:val="none"/>
          <w:lang w:val="en-US" w:eastAsia="zh-CN"/>
        </w:rPr>
      </w:pPr>
      <w:r>
        <w:rPr>
          <w:rFonts w:hint="eastAsia"/>
          <w:b/>
          <w:bCs/>
          <w:color w:val="auto"/>
          <w:highlight w:val="none"/>
          <w:lang w:val="en-US" w:eastAsia="zh-CN"/>
        </w:rPr>
        <w:t>综上，该项指标满分2分，得分2分。</w:t>
      </w:r>
    </w:p>
    <w:p w14:paraId="2E528433">
      <w:pPr>
        <w:pageBreakBefore w:val="0"/>
        <w:kinsoku/>
        <w:wordWrap/>
        <w:overflowPunct/>
        <w:topLinePunct w:val="0"/>
        <w:autoSpaceDE/>
        <w:autoSpaceDN/>
        <w:bidi w:val="0"/>
        <w:spacing w:line="560" w:lineRule="exact"/>
        <w:outlineLvl w:val="2"/>
        <w:rPr>
          <w:rFonts w:hint="default"/>
          <w:b/>
          <w:bCs/>
          <w:color w:val="auto"/>
          <w:highlight w:val="none"/>
          <w:lang w:val="en-US" w:eastAsia="zh-CN"/>
        </w:rPr>
      </w:pPr>
      <w:bookmarkStart w:id="58" w:name="_Toc21976"/>
      <w:r>
        <w:rPr>
          <w:rFonts w:hint="eastAsia"/>
          <w:b/>
          <w:bCs/>
          <w:color w:val="auto"/>
          <w:highlight w:val="none"/>
          <w:lang w:val="en-US" w:eastAsia="zh-CN"/>
        </w:rPr>
        <w:t>2.立项程序规范性</w:t>
      </w:r>
      <w:bookmarkEnd w:id="58"/>
    </w:p>
    <w:p w14:paraId="3BB7013A">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①项目按照政府投资类项目规定的程序申请设立；</w:t>
      </w:r>
    </w:p>
    <w:p w14:paraId="0E00D522">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②项目递交审批文件、材料符合《国家发展改革委关于印发审批地方政府投资项目有关规定（暂行）的通知》的相关要求；</w:t>
      </w:r>
    </w:p>
    <w:p w14:paraId="6367451D">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③项目事前经过必要的可行性研究、集体决策，</w:t>
      </w:r>
      <w:r>
        <w:rPr>
          <w:rFonts w:hint="eastAsia" w:cs="宋体"/>
          <w:b w:val="0"/>
          <w:bCs w:val="0"/>
          <w:color w:val="auto"/>
          <w:kern w:val="2"/>
          <w:sz w:val="28"/>
          <w:szCs w:val="28"/>
          <w:highlight w:val="none"/>
          <w:shd w:val="clear" w:color="auto" w:fill="auto"/>
          <w:lang w:val="en-US" w:eastAsia="zh-CN" w:bidi="ar-SA"/>
        </w:rPr>
        <w:t>阜康市滋泥泉子镇农村幸福大院建设项目于2020年4月24日经阜发改投资【2020】102号关于《阜康市滋泥泉子镇农村幸福大院建设项目可行性研究报告》的批复；阜康市滋泥泉子镇镇区、何家湾村污水处理站配套设施项目于2019年4月24日经阜发改投资【2019】47号关于《阜康市滋泥泉子镇镇区、何家湾村污水处理站配套设施项目可行性研究报告的》批复，未经过</w:t>
      </w:r>
      <w:r>
        <w:rPr>
          <w:rFonts w:hint="eastAsia"/>
          <w:color w:val="auto"/>
          <w:highlight w:val="none"/>
          <w:lang w:eastAsia="zh-CN"/>
        </w:rPr>
        <w:t>专家论证、风险评估、绩效评估。</w:t>
      </w:r>
    </w:p>
    <w:p w14:paraId="15B69347">
      <w:pPr>
        <w:pageBreakBefore w:val="0"/>
        <w:kinsoku/>
        <w:wordWrap/>
        <w:overflowPunct/>
        <w:topLinePunct w:val="0"/>
        <w:autoSpaceDE/>
        <w:autoSpaceDN/>
        <w:bidi w:val="0"/>
        <w:spacing w:line="560" w:lineRule="exact"/>
        <w:rPr>
          <w:rFonts w:hint="eastAsia"/>
          <w:color w:val="auto"/>
          <w:highlight w:val="none"/>
          <w:lang w:eastAsia="zh-CN"/>
        </w:rPr>
      </w:pPr>
      <w:r>
        <w:rPr>
          <w:rFonts w:hint="eastAsia"/>
          <w:b/>
          <w:bCs/>
          <w:color w:val="auto"/>
          <w:highlight w:val="none"/>
          <w:lang w:val="en-US" w:eastAsia="zh-CN"/>
        </w:rPr>
        <w:t>综上，该项指标满分3分，得分2.4分。</w:t>
      </w:r>
    </w:p>
    <w:p w14:paraId="36DAB7A2">
      <w:pPr>
        <w:pageBreakBefore w:val="0"/>
        <w:kinsoku/>
        <w:wordWrap/>
        <w:overflowPunct/>
        <w:topLinePunct w:val="0"/>
        <w:autoSpaceDE/>
        <w:autoSpaceDN/>
        <w:bidi w:val="0"/>
        <w:spacing w:line="560" w:lineRule="exact"/>
        <w:outlineLvl w:val="2"/>
        <w:rPr>
          <w:rFonts w:hint="default"/>
          <w:b/>
          <w:bCs/>
          <w:color w:val="auto"/>
          <w:highlight w:val="none"/>
          <w:lang w:val="en-US" w:eastAsia="zh-CN"/>
        </w:rPr>
      </w:pPr>
      <w:bookmarkStart w:id="59" w:name="_Toc15382"/>
      <w:r>
        <w:rPr>
          <w:rFonts w:hint="eastAsia"/>
          <w:b/>
          <w:bCs/>
          <w:color w:val="auto"/>
          <w:highlight w:val="none"/>
          <w:lang w:val="en-US" w:eastAsia="zh-CN"/>
        </w:rPr>
        <w:t>3.绩效目标合理性</w:t>
      </w:r>
      <w:bookmarkEnd w:id="59"/>
    </w:p>
    <w:p w14:paraId="0496E582">
      <w:pPr>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eastAsia="zh-CN"/>
        </w:rPr>
      </w:pPr>
      <w:r>
        <w:rPr>
          <w:rFonts w:hint="eastAsia"/>
          <w:color w:val="auto"/>
          <w:highlight w:val="none"/>
          <w:lang w:eastAsia="zh-CN"/>
        </w:rPr>
        <w:t>①项目有绩效目标</w:t>
      </w:r>
      <w:r>
        <w:rPr>
          <w:rFonts w:hint="eastAsia" w:cs="宋体"/>
          <w:color w:val="auto"/>
          <w:highlight w:val="none"/>
          <w:shd w:val="clear" w:color="auto" w:fill="auto"/>
          <w:lang w:val="en-US" w:eastAsia="zh-CN"/>
        </w:rPr>
        <w:t>；</w:t>
      </w:r>
    </w:p>
    <w:p w14:paraId="44D54893">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②项目绩效目标</w:t>
      </w:r>
      <w:r>
        <w:rPr>
          <w:rFonts w:hint="eastAsia" w:cs="宋体"/>
          <w:color w:val="auto"/>
          <w:highlight w:val="none"/>
          <w:shd w:val="clear" w:color="auto" w:fill="auto"/>
          <w:lang w:val="en-US" w:eastAsia="zh-CN"/>
        </w:rPr>
        <w:t>偿还镇区、何家湾中心村污水处理站配套设施项目工程尾款105.10万元，农村幸福大院建设项目设计施工一体化工程尾款139.38万元</w:t>
      </w:r>
      <w:r>
        <w:rPr>
          <w:rFonts w:hint="eastAsia"/>
          <w:color w:val="auto"/>
          <w:highlight w:val="none"/>
          <w:lang w:eastAsia="zh-CN"/>
        </w:rPr>
        <w:t>与实际工作内容相符；</w:t>
      </w:r>
    </w:p>
    <w:p w14:paraId="2C7F7E1B">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③项目预期产出效益和效果符合正常的业绩水平，项目绩效申报表已明确了产出、效益指标；</w:t>
      </w:r>
    </w:p>
    <w:p w14:paraId="2AA4221C">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④与年初预算确定的项目投资额相匹配，有效控制投资概算，达到预期目标。</w:t>
      </w:r>
    </w:p>
    <w:p w14:paraId="656CE1D0">
      <w:pPr>
        <w:pageBreakBefore w:val="0"/>
        <w:kinsoku/>
        <w:wordWrap/>
        <w:overflowPunct/>
        <w:topLinePunct w:val="0"/>
        <w:autoSpaceDE/>
        <w:autoSpaceDN/>
        <w:bidi w:val="0"/>
        <w:spacing w:line="560" w:lineRule="exact"/>
        <w:rPr>
          <w:rFonts w:hint="eastAsia"/>
          <w:color w:val="auto"/>
          <w:highlight w:val="none"/>
          <w:lang w:eastAsia="zh-CN"/>
        </w:rPr>
      </w:pPr>
      <w:r>
        <w:rPr>
          <w:rFonts w:hint="eastAsia"/>
          <w:b/>
          <w:bCs/>
          <w:color w:val="auto"/>
          <w:highlight w:val="none"/>
          <w:lang w:val="en-US" w:eastAsia="zh-CN"/>
        </w:rPr>
        <w:t>综上，该项指标满分5分，得分5分。</w:t>
      </w:r>
    </w:p>
    <w:p w14:paraId="4EC69B6D">
      <w:pPr>
        <w:pageBreakBefore w:val="0"/>
        <w:kinsoku/>
        <w:wordWrap/>
        <w:overflowPunct/>
        <w:topLinePunct w:val="0"/>
        <w:autoSpaceDE/>
        <w:autoSpaceDN/>
        <w:bidi w:val="0"/>
        <w:spacing w:line="560" w:lineRule="exact"/>
        <w:outlineLvl w:val="2"/>
        <w:rPr>
          <w:rFonts w:hint="default"/>
          <w:b/>
          <w:bCs/>
          <w:color w:val="auto"/>
          <w:highlight w:val="none"/>
          <w:lang w:val="en-US" w:eastAsia="zh-CN"/>
        </w:rPr>
      </w:pPr>
      <w:bookmarkStart w:id="60" w:name="_Toc10650"/>
      <w:r>
        <w:rPr>
          <w:rFonts w:hint="eastAsia"/>
          <w:b/>
          <w:bCs/>
          <w:color w:val="auto"/>
          <w:highlight w:val="none"/>
          <w:lang w:val="en-US" w:eastAsia="zh-CN"/>
        </w:rPr>
        <w:t>4.绩效指标明确性</w:t>
      </w:r>
      <w:bookmarkEnd w:id="60"/>
    </w:p>
    <w:p w14:paraId="77D283F8">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①将项目绩效目标细化分解为具体的绩效指标，分为</w:t>
      </w:r>
      <w:r>
        <w:rPr>
          <w:rFonts w:hint="eastAsia"/>
          <w:color w:val="auto"/>
          <w:highlight w:val="none"/>
          <w:lang w:val="en-US" w:eastAsia="zh-CN"/>
        </w:rPr>
        <w:t>3个一级指标，5个二级指标，8个三级指标</w:t>
      </w:r>
      <w:r>
        <w:rPr>
          <w:rFonts w:hint="eastAsia"/>
          <w:color w:val="auto"/>
          <w:highlight w:val="none"/>
          <w:lang w:eastAsia="zh-CN"/>
        </w:rPr>
        <w:t>；</w:t>
      </w:r>
    </w:p>
    <w:p w14:paraId="383D5525">
      <w:pPr>
        <w:pageBreakBefore w:val="0"/>
        <w:kinsoku/>
        <w:wordWrap/>
        <w:overflowPunct/>
        <w:topLinePunct w:val="0"/>
        <w:autoSpaceDE/>
        <w:autoSpaceDN/>
        <w:bidi w:val="0"/>
        <w:spacing w:line="560" w:lineRule="exact"/>
        <w:rPr>
          <w:rFonts w:hint="default"/>
          <w:color w:val="auto"/>
          <w:highlight w:val="none"/>
          <w:lang w:val="en-US" w:eastAsia="zh-CN"/>
        </w:rPr>
      </w:pPr>
      <w:r>
        <w:rPr>
          <w:rFonts w:hint="eastAsia"/>
          <w:color w:val="auto"/>
          <w:highlight w:val="none"/>
          <w:lang w:eastAsia="zh-CN"/>
        </w:rPr>
        <w:t>②通过清晰、可衡量的指标值予以体现；</w:t>
      </w:r>
      <w:r>
        <w:rPr>
          <w:rFonts w:hint="eastAsia"/>
          <w:color w:val="auto"/>
          <w:highlight w:val="none"/>
          <w:lang w:val="en-US" w:eastAsia="zh-CN"/>
        </w:rPr>
        <w:t>项目有8个三级指标，其中6个定量指标，2个定性指标，量化率75%；</w:t>
      </w:r>
    </w:p>
    <w:p w14:paraId="5E8ABD73">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③与项目年初绩效目标申报表计划数相对应。</w:t>
      </w:r>
    </w:p>
    <w:p w14:paraId="11513625">
      <w:pPr>
        <w:pageBreakBefore w:val="0"/>
        <w:kinsoku/>
        <w:wordWrap/>
        <w:overflowPunct/>
        <w:topLinePunct w:val="0"/>
        <w:autoSpaceDE/>
        <w:autoSpaceDN/>
        <w:bidi w:val="0"/>
        <w:spacing w:line="560" w:lineRule="exact"/>
        <w:rPr>
          <w:rFonts w:hint="eastAsia"/>
          <w:color w:val="auto"/>
          <w:highlight w:val="none"/>
          <w:lang w:eastAsia="zh-CN"/>
        </w:rPr>
      </w:pPr>
      <w:r>
        <w:rPr>
          <w:rFonts w:hint="eastAsia"/>
          <w:b/>
          <w:bCs/>
          <w:color w:val="auto"/>
          <w:highlight w:val="none"/>
          <w:lang w:val="en-US" w:eastAsia="zh-CN"/>
        </w:rPr>
        <w:t>综上，该项指标满分5分，得分5分。</w:t>
      </w:r>
    </w:p>
    <w:p w14:paraId="57CC543C">
      <w:pPr>
        <w:pageBreakBefore w:val="0"/>
        <w:kinsoku/>
        <w:wordWrap/>
        <w:overflowPunct/>
        <w:topLinePunct w:val="0"/>
        <w:autoSpaceDE/>
        <w:autoSpaceDN/>
        <w:bidi w:val="0"/>
        <w:spacing w:line="560" w:lineRule="exact"/>
        <w:outlineLvl w:val="2"/>
        <w:rPr>
          <w:rFonts w:hint="default"/>
          <w:b/>
          <w:bCs/>
          <w:color w:val="auto"/>
          <w:highlight w:val="none"/>
          <w:lang w:val="en-US" w:eastAsia="zh-CN"/>
        </w:rPr>
      </w:pPr>
      <w:bookmarkStart w:id="61" w:name="_Toc19401"/>
      <w:r>
        <w:rPr>
          <w:rFonts w:hint="eastAsia"/>
          <w:b/>
          <w:bCs/>
          <w:color w:val="auto"/>
          <w:highlight w:val="none"/>
          <w:lang w:val="en-US" w:eastAsia="zh-CN"/>
        </w:rPr>
        <w:t>5.预算编制科学性</w:t>
      </w:r>
      <w:bookmarkEnd w:id="61"/>
    </w:p>
    <w:p w14:paraId="21C48E54">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①预算编制经过第三方专业评估单位科学论证；</w:t>
      </w:r>
    </w:p>
    <w:p w14:paraId="4C7D56ED">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②预算内容</w:t>
      </w:r>
      <w:r>
        <w:rPr>
          <w:rFonts w:hint="eastAsia" w:cs="宋体"/>
          <w:color w:val="auto"/>
          <w:highlight w:val="none"/>
          <w:shd w:val="clear" w:color="auto" w:fill="auto"/>
          <w:lang w:val="en-US" w:eastAsia="zh-CN"/>
        </w:rPr>
        <w:t>偿还镇区、何家湾中心村污水处理站配套设施项目工程尾款105.10万元，农村幸福大院建设项目设计施工一体化工程尾款139.38万元</w:t>
      </w:r>
      <w:r>
        <w:rPr>
          <w:rFonts w:hint="eastAsia"/>
          <w:color w:val="auto"/>
          <w:highlight w:val="none"/>
          <w:lang w:eastAsia="zh-CN"/>
        </w:rPr>
        <w:t>与项目内容相匹配；</w:t>
      </w:r>
    </w:p>
    <w:p w14:paraId="5E2E2ED0">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③预算额度测算依据项目还款化解协议及实际拖欠工程款金额，按照标准编制；</w:t>
      </w:r>
    </w:p>
    <w:p w14:paraId="282D2E04">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④预算确定的项目投资额</w:t>
      </w:r>
      <w:r>
        <w:rPr>
          <w:rFonts w:hint="eastAsia"/>
          <w:color w:val="auto"/>
          <w:highlight w:val="none"/>
          <w:lang w:val="en-US" w:eastAsia="zh-CN"/>
        </w:rPr>
        <w:t>244.48万元</w:t>
      </w:r>
      <w:r>
        <w:rPr>
          <w:rFonts w:hint="eastAsia"/>
          <w:color w:val="auto"/>
          <w:highlight w:val="none"/>
          <w:lang w:eastAsia="zh-CN"/>
        </w:rPr>
        <w:t>与工作任务相匹配。</w:t>
      </w:r>
    </w:p>
    <w:p w14:paraId="38994CDC">
      <w:pPr>
        <w:pageBreakBefore w:val="0"/>
        <w:kinsoku/>
        <w:wordWrap/>
        <w:overflowPunct/>
        <w:topLinePunct w:val="0"/>
        <w:autoSpaceDE/>
        <w:autoSpaceDN/>
        <w:bidi w:val="0"/>
        <w:spacing w:line="560" w:lineRule="exact"/>
        <w:rPr>
          <w:rFonts w:hint="eastAsia"/>
          <w:color w:val="auto"/>
          <w:highlight w:val="none"/>
          <w:lang w:eastAsia="zh-CN"/>
        </w:rPr>
      </w:pPr>
      <w:r>
        <w:rPr>
          <w:rFonts w:hint="eastAsia"/>
          <w:b/>
          <w:bCs/>
          <w:color w:val="auto"/>
          <w:highlight w:val="none"/>
          <w:lang w:val="en-US" w:eastAsia="zh-CN"/>
        </w:rPr>
        <w:t>综上，该项指标满分2分，得分2分。</w:t>
      </w:r>
    </w:p>
    <w:p w14:paraId="6A4F565D">
      <w:pPr>
        <w:pageBreakBefore w:val="0"/>
        <w:kinsoku/>
        <w:wordWrap/>
        <w:overflowPunct/>
        <w:topLinePunct w:val="0"/>
        <w:autoSpaceDE/>
        <w:autoSpaceDN/>
        <w:bidi w:val="0"/>
        <w:spacing w:line="560" w:lineRule="exact"/>
        <w:outlineLvl w:val="2"/>
        <w:rPr>
          <w:rFonts w:hint="default"/>
          <w:b/>
          <w:bCs/>
          <w:color w:val="auto"/>
          <w:highlight w:val="none"/>
          <w:lang w:val="en-US" w:eastAsia="zh-CN"/>
        </w:rPr>
      </w:pPr>
      <w:bookmarkStart w:id="62" w:name="_Toc697"/>
      <w:r>
        <w:rPr>
          <w:rFonts w:hint="eastAsia"/>
          <w:b/>
          <w:bCs/>
          <w:color w:val="auto"/>
          <w:highlight w:val="none"/>
          <w:lang w:val="en-US" w:eastAsia="zh-CN"/>
        </w:rPr>
        <w:t>6.资金分配合理性</w:t>
      </w:r>
      <w:bookmarkEnd w:id="62"/>
    </w:p>
    <w:p w14:paraId="5EF02CE5">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①预算资金分配项目还款化解协议内容及实际拖欠工程款金额；</w:t>
      </w:r>
    </w:p>
    <w:p w14:paraId="49096CDA">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②资金分配</w:t>
      </w:r>
      <w:r>
        <w:rPr>
          <w:rFonts w:hint="eastAsia" w:cs="宋体"/>
          <w:color w:val="auto"/>
          <w:highlight w:val="none"/>
          <w:shd w:val="clear" w:color="auto" w:fill="auto"/>
          <w:lang w:val="en-US" w:eastAsia="zh-CN"/>
        </w:rPr>
        <w:t>偿还镇区、何家湾中心村污水处理站配套设施项目工程尾款105.10万元，农村幸福大院建设项目设计施工一体化工程尾款139.38万元</w:t>
      </w:r>
      <w:r>
        <w:rPr>
          <w:rFonts w:hint="eastAsia"/>
          <w:color w:val="auto"/>
          <w:highlight w:val="none"/>
          <w:lang w:eastAsia="zh-CN"/>
        </w:rPr>
        <w:t>额度合理，与项目单位实际相适应。</w:t>
      </w:r>
    </w:p>
    <w:p w14:paraId="0B25FB07">
      <w:pPr>
        <w:pageBreakBefore w:val="0"/>
        <w:kinsoku/>
        <w:wordWrap/>
        <w:overflowPunct/>
        <w:topLinePunct w:val="0"/>
        <w:autoSpaceDE/>
        <w:autoSpaceDN/>
        <w:bidi w:val="0"/>
        <w:spacing w:line="560" w:lineRule="exact"/>
        <w:rPr>
          <w:rFonts w:hint="eastAsia"/>
          <w:color w:val="auto"/>
          <w:highlight w:val="none"/>
          <w:lang w:eastAsia="zh-CN"/>
        </w:rPr>
      </w:pPr>
      <w:r>
        <w:rPr>
          <w:rFonts w:hint="eastAsia"/>
          <w:b/>
          <w:bCs/>
          <w:color w:val="auto"/>
          <w:highlight w:val="none"/>
          <w:lang w:val="en-US" w:eastAsia="zh-CN"/>
        </w:rPr>
        <w:t>综上，该项指标满分3分，得分3分。</w:t>
      </w:r>
    </w:p>
    <w:p w14:paraId="0CA91C18">
      <w:pPr>
        <w:pStyle w:val="4"/>
        <w:keepNext/>
        <w:keepLines/>
        <w:pageBreakBefore w:val="0"/>
        <w:widowControl w:val="0"/>
        <w:kinsoku/>
        <w:wordWrap/>
        <w:overflowPunct/>
        <w:topLinePunct w:val="0"/>
        <w:autoSpaceDE/>
        <w:autoSpaceDN/>
        <w:bidi w:val="0"/>
        <w:adjustRightInd/>
        <w:snapToGrid/>
        <w:spacing w:beforeLines="0" w:afterLines="0" w:line="560" w:lineRule="exact"/>
        <w:textAlignment w:val="auto"/>
        <w:rPr>
          <w:rFonts w:hint="eastAsia" w:ascii="宋体" w:hAnsi="宋体" w:eastAsia="宋体" w:cs="宋体"/>
          <w:color w:val="auto"/>
          <w:highlight w:val="none"/>
          <w:shd w:val="clear" w:color="auto" w:fill="auto"/>
        </w:rPr>
      </w:pPr>
      <w:bookmarkStart w:id="63"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3"/>
    </w:p>
    <w:p w14:paraId="17CD439A">
      <w:pPr>
        <w:pageBreakBefore w:val="0"/>
        <w:widowControl w:val="0"/>
        <w:kinsoku/>
        <w:wordWrap/>
        <w:overflowPunct/>
        <w:topLinePunct w:val="0"/>
        <w:autoSpaceDE/>
        <w:autoSpaceDN/>
        <w:bidi w:val="0"/>
        <w:adjustRightInd/>
        <w:spacing w:line="560" w:lineRule="exact"/>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C1629F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60FDD638">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CA5CFE">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17DA1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68C94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09597E">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92174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3149D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DFD02E">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8682050">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ED7D0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57F9E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4176C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867C9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79507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458CC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9FA15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141FCCC">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B3ABEB">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734C75">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AB2B5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281DA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EFF4A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320BB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FBB7C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3DEFB8A">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2E84D3">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9CF57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8E729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D1561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8C5BA3">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300B7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EB71C3">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52889E8">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92999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34816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4BEF4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D0C00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E3017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01B3A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307493">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381A81A">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35459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C9C96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7B2AB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F19DA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78615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9ABC7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0EBAC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color w:val="auto"/>
                <w:highlight w:val="none"/>
                <w:lang w:val="en-US" w:eastAsia="zh-CN"/>
              </w:rPr>
            </w:pPr>
            <w:r>
              <w:rPr>
                <w:rFonts w:hint="eastAsia" w:cs="宋体"/>
                <w:color w:val="auto"/>
                <w:kern w:val="0"/>
                <w:sz w:val="20"/>
                <w:szCs w:val="20"/>
                <w:highlight w:val="none"/>
                <w:shd w:val="clear" w:color="auto" w:fill="auto"/>
                <w:lang w:val="en-US" w:eastAsia="zh-CN"/>
              </w:rPr>
              <w:t>4</w:t>
            </w:r>
          </w:p>
        </w:tc>
      </w:tr>
      <w:tr w14:paraId="0DADA2F8">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DA4A3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E89CF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729D6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C3AD8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37678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7BFA796A">
      <w:pPr>
        <w:pageBreakBefore w:val="0"/>
        <w:kinsoku/>
        <w:wordWrap/>
        <w:overflowPunct/>
        <w:topLinePunct w:val="0"/>
        <w:autoSpaceDE/>
        <w:autoSpaceDN/>
        <w:bidi w:val="0"/>
        <w:spacing w:line="560" w:lineRule="exact"/>
        <w:outlineLvl w:val="2"/>
        <w:rPr>
          <w:rFonts w:hint="default"/>
          <w:b/>
          <w:bCs/>
          <w:color w:val="auto"/>
          <w:highlight w:val="none"/>
          <w:lang w:val="en-US" w:eastAsia="zh-CN"/>
        </w:rPr>
      </w:pPr>
      <w:bookmarkStart w:id="64" w:name="_Toc3886"/>
      <w:r>
        <w:rPr>
          <w:rFonts w:hint="eastAsia"/>
          <w:b/>
          <w:bCs/>
          <w:color w:val="auto"/>
          <w:highlight w:val="none"/>
          <w:lang w:val="en-US" w:eastAsia="zh-CN"/>
        </w:rPr>
        <w:t>1.资金到位率</w:t>
      </w:r>
      <w:bookmarkEnd w:id="64"/>
    </w:p>
    <w:p w14:paraId="53FE70FA">
      <w:pPr>
        <w:pageBreakBefore w:val="0"/>
        <w:kinsoku/>
        <w:wordWrap/>
        <w:overflowPunct/>
        <w:topLinePunct w:val="0"/>
        <w:autoSpaceDE/>
        <w:autoSpaceDN/>
        <w:bidi w:val="0"/>
        <w:spacing w:line="560" w:lineRule="exact"/>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244.48万元</w:t>
      </w:r>
      <w:r>
        <w:rPr>
          <w:rFonts w:hint="eastAsia"/>
          <w:color w:val="auto"/>
          <w:highlight w:val="none"/>
          <w:lang w:eastAsia="zh-CN"/>
        </w:rPr>
        <w:t>/</w:t>
      </w:r>
      <w:r>
        <w:rPr>
          <w:rFonts w:hint="eastAsia"/>
          <w:color w:val="auto"/>
          <w:highlight w:val="none"/>
          <w:lang w:val="en-US" w:eastAsia="zh-CN"/>
        </w:rPr>
        <w:t>244.48万元</w:t>
      </w:r>
      <w:r>
        <w:rPr>
          <w:rFonts w:hint="eastAsia"/>
          <w:color w:val="auto"/>
          <w:highlight w:val="none"/>
          <w:lang w:eastAsia="zh-CN"/>
        </w:rPr>
        <w:t>）×100%。</w:t>
      </w:r>
      <w:r>
        <w:rPr>
          <w:rFonts w:hint="eastAsia"/>
          <w:b/>
          <w:bCs/>
          <w:color w:val="auto"/>
          <w:highlight w:val="none"/>
          <w:lang w:val="en-US" w:eastAsia="zh-CN"/>
        </w:rPr>
        <w:t>=100%</w:t>
      </w:r>
    </w:p>
    <w:p w14:paraId="34AED5A8">
      <w:pPr>
        <w:pageBreakBefore w:val="0"/>
        <w:kinsoku/>
        <w:wordWrap/>
        <w:overflowPunct/>
        <w:topLinePunct w:val="0"/>
        <w:autoSpaceDE/>
        <w:autoSpaceDN/>
        <w:bidi w:val="0"/>
        <w:spacing w:line="560" w:lineRule="exact"/>
        <w:rPr>
          <w:rFonts w:hint="eastAsia"/>
          <w:color w:val="auto"/>
          <w:highlight w:val="none"/>
          <w:lang w:eastAsia="zh-CN"/>
        </w:rPr>
      </w:pPr>
      <w:r>
        <w:rPr>
          <w:rFonts w:hint="eastAsia"/>
          <w:b/>
          <w:bCs/>
          <w:color w:val="auto"/>
          <w:highlight w:val="none"/>
          <w:lang w:val="en-US" w:eastAsia="zh-CN"/>
        </w:rPr>
        <w:t>综上，该项指标满分4分，得分4分。</w:t>
      </w:r>
    </w:p>
    <w:p w14:paraId="4E43B69F">
      <w:pPr>
        <w:pageBreakBefore w:val="0"/>
        <w:kinsoku/>
        <w:wordWrap/>
        <w:overflowPunct/>
        <w:topLinePunct w:val="0"/>
        <w:autoSpaceDE/>
        <w:autoSpaceDN/>
        <w:bidi w:val="0"/>
        <w:spacing w:line="560" w:lineRule="exact"/>
        <w:outlineLvl w:val="2"/>
        <w:rPr>
          <w:rFonts w:hint="default"/>
          <w:b/>
          <w:bCs/>
          <w:color w:val="auto"/>
          <w:highlight w:val="none"/>
          <w:lang w:val="en-US" w:eastAsia="zh-CN"/>
        </w:rPr>
      </w:pPr>
      <w:bookmarkStart w:id="65" w:name="_Toc9705"/>
      <w:r>
        <w:rPr>
          <w:rFonts w:hint="eastAsia"/>
          <w:b/>
          <w:bCs/>
          <w:color w:val="auto"/>
          <w:highlight w:val="none"/>
          <w:lang w:val="en-US" w:eastAsia="zh-CN"/>
        </w:rPr>
        <w:t>2.预算执行率</w:t>
      </w:r>
      <w:bookmarkEnd w:id="65"/>
    </w:p>
    <w:p w14:paraId="10BD8811">
      <w:pPr>
        <w:pageBreakBefore w:val="0"/>
        <w:kinsoku/>
        <w:wordWrap/>
        <w:overflowPunct/>
        <w:topLinePunct w:val="0"/>
        <w:autoSpaceDE/>
        <w:autoSpaceDN/>
        <w:bidi w:val="0"/>
        <w:spacing w:line="560" w:lineRule="exact"/>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244.48万元</w:t>
      </w:r>
      <w:r>
        <w:rPr>
          <w:rFonts w:hint="eastAsia"/>
          <w:color w:val="auto"/>
          <w:highlight w:val="none"/>
          <w:lang w:eastAsia="zh-CN"/>
        </w:rPr>
        <w:t>/</w:t>
      </w:r>
      <w:r>
        <w:rPr>
          <w:rFonts w:hint="eastAsia"/>
          <w:color w:val="auto"/>
          <w:highlight w:val="none"/>
          <w:lang w:val="en-US" w:eastAsia="zh-CN"/>
        </w:rPr>
        <w:t>244.48万元</w:t>
      </w:r>
      <w:r>
        <w:rPr>
          <w:rFonts w:hint="eastAsia"/>
          <w:color w:val="auto"/>
          <w:highlight w:val="none"/>
          <w:lang w:eastAsia="zh-CN"/>
        </w:rPr>
        <w:t>）×100%。</w:t>
      </w:r>
      <w:r>
        <w:rPr>
          <w:rFonts w:hint="eastAsia"/>
          <w:b/>
          <w:bCs/>
          <w:color w:val="auto"/>
          <w:highlight w:val="none"/>
          <w:lang w:val="en-US" w:eastAsia="zh-CN"/>
        </w:rPr>
        <w:t>=100%</w:t>
      </w:r>
    </w:p>
    <w:p w14:paraId="1F7F7886">
      <w:pPr>
        <w:pageBreakBefore w:val="0"/>
        <w:kinsoku/>
        <w:wordWrap/>
        <w:overflowPunct/>
        <w:topLinePunct w:val="0"/>
        <w:autoSpaceDE/>
        <w:autoSpaceDN/>
        <w:bidi w:val="0"/>
        <w:spacing w:line="560" w:lineRule="exact"/>
        <w:rPr>
          <w:rFonts w:hint="eastAsia"/>
          <w:color w:val="auto"/>
          <w:highlight w:val="none"/>
          <w:lang w:eastAsia="zh-CN"/>
        </w:rPr>
      </w:pPr>
      <w:r>
        <w:rPr>
          <w:rFonts w:hint="eastAsia"/>
          <w:b/>
          <w:bCs/>
          <w:color w:val="auto"/>
          <w:highlight w:val="none"/>
          <w:lang w:val="en-US" w:eastAsia="zh-CN"/>
        </w:rPr>
        <w:t>综上，该项指标满分4分，得分4分。</w:t>
      </w:r>
    </w:p>
    <w:p w14:paraId="13B0422B">
      <w:pPr>
        <w:pageBreakBefore w:val="0"/>
        <w:kinsoku/>
        <w:wordWrap/>
        <w:overflowPunct/>
        <w:topLinePunct w:val="0"/>
        <w:autoSpaceDE/>
        <w:autoSpaceDN/>
        <w:bidi w:val="0"/>
        <w:spacing w:line="560" w:lineRule="exact"/>
        <w:outlineLvl w:val="2"/>
        <w:rPr>
          <w:rFonts w:hint="default"/>
          <w:b/>
          <w:bCs/>
          <w:color w:val="auto"/>
          <w:highlight w:val="none"/>
          <w:lang w:val="en-US" w:eastAsia="zh-CN"/>
        </w:rPr>
      </w:pPr>
      <w:bookmarkStart w:id="66" w:name="_Toc18691"/>
      <w:r>
        <w:rPr>
          <w:rFonts w:hint="eastAsia"/>
          <w:b/>
          <w:bCs/>
          <w:color w:val="auto"/>
          <w:highlight w:val="none"/>
          <w:lang w:val="en-US" w:eastAsia="zh-CN"/>
        </w:rPr>
        <w:t>3.资金使用合规性</w:t>
      </w:r>
      <w:bookmarkEnd w:id="66"/>
    </w:p>
    <w:p w14:paraId="11A19371">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①符合《</w:t>
      </w:r>
      <w:r>
        <w:rPr>
          <w:color w:val="auto"/>
          <w:highlight w:val="none"/>
          <w:lang w:val="en-US" w:eastAsia="zh-CN"/>
        </w:rPr>
        <w:t>阜康市</w:t>
      </w:r>
      <w:r>
        <w:rPr>
          <w:rFonts w:hint="eastAsia"/>
          <w:color w:val="auto"/>
          <w:highlight w:val="none"/>
          <w:lang w:val="en-US" w:eastAsia="zh-CN"/>
        </w:rPr>
        <w:t>滋泥泉子镇</w:t>
      </w:r>
      <w:r>
        <w:rPr>
          <w:color w:val="auto"/>
          <w:highlight w:val="none"/>
          <w:lang w:val="en-US" w:eastAsia="zh-CN"/>
        </w:rPr>
        <w:t>人民政府</w:t>
      </w:r>
      <w:r>
        <w:rPr>
          <w:rFonts w:hint="eastAsia"/>
          <w:color w:val="auto"/>
          <w:highlight w:val="none"/>
          <w:lang w:val="en-US" w:eastAsia="zh-CN"/>
        </w:rPr>
        <w:t>财务</w:t>
      </w:r>
      <w:r>
        <w:rPr>
          <w:rFonts w:hint="eastAsia"/>
          <w:color w:val="auto"/>
          <w:highlight w:val="none"/>
          <w:lang w:val="zh-TW" w:eastAsia="zh-TW"/>
        </w:rPr>
        <w:t>管理办法》</w:t>
      </w:r>
      <w:r>
        <w:rPr>
          <w:rFonts w:hint="eastAsia"/>
          <w:color w:val="auto"/>
          <w:highlight w:val="none"/>
          <w:lang w:val="zh-TW" w:eastAsia="zh-CN"/>
        </w:rPr>
        <w:t>，《阜康市滋泥泉子镇建设项目管理制度》</w:t>
      </w:r>
      <w:r>
        <w:rPr>
          <w:rFonts w:hint="eastAsia"/>
          <w:color w:val="auto"/>
          <w:highlight w:val="none"/>
          <w:lang w:eastAsia="zh-CN"/>
        </w:rPr>
        <w:t>；</w:t>
      </w:r>
    </w:p>
    <w:p w14:paraId="5943C89E">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②资金的拨付有完整的审批程序和手续，经镇党委会、财经会通过后再行支付；</w:t>
      </w:r>
    </w:p>
    <w:p w14:paraId="57711A5D">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③符合项目预算批复或合同规定的用途；</w:t>
      </w:r>
    </w:p>
    <w:p w14:paraId="53F7A199">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④项目资金独立核算，做到专款专用，支出依法合规，</w:t>
      </w:r>
      <w:r>
        <w:rPr>
          <w:rFonts w:hint="eastAsia"/>
          <w:color w:val="auto"/>
          <w:highlight w:val="none"/>
          <w:lang w:val="en-US" w:eastAsia="zh-CN"/>
        </w:rPr>
        <w:t>不</w:t>
      </w:r>
      <w:r>
        <w:rPr>
          <w:rFonts w:hint="eastAsia"/>
          <w:color w:val="auto"/>
          <w:highlight w:val="none"/>
          <w:lang w:eastAsia="zh-CN"/>
        </w:rPr>
        <w:t>存在截留、挤占、挪用、虚列支出等情况。</w:t>
      </w:r>
    </w:p>
    <w:p w14:paraId="58E810B5">
      <w:pPr>
        <w:pageBreakBefore w:val="0"/>
        <w:kinsoku/>
        <w:wordWrap/>
        <w:overflowPunct/>
        <w:topLinePunct w:val="0"/>
        <w:autoSpaceDE/>
        <w:autoSpaceDN/>
        <w:bidi w:val="0"/>
        <w:spacing w:line="560" w:lineRule="exact"/>
        <w:rPr>
          <w:rFonts w:hint="eastAsia"/>
          <w:color w:val="auto"/>
          <w:highlight w:val="none"/>
          <w:lang w:eastAsia="zh-CN"/>
        </w:rPr>
      </w:pPr>
      <w:r>
        <w:rPr>
          <w:rFonts w:hint="eastAsia"/>
          <w:b/>
          <w:bCs/>
          <w:color w:val="auto"/>
          <w:highlight w:val="none"/>
          <w:lang w:val="en-US" w:eastAsia="zh-CN"/>
        </w:rPr>
        <w:t>综上，该项指标满分4分，得分4分。</w:t>
      </w:r>
    </w:p>
    <w:p w14:paraId="23B448CF">
      <w:pPr>
        <w:pageBreakBefore w:val="0"/>
        <w:numPr>
          <w:ilvl w:val="0"/>
          <w:numId w:val="0"/>
        </w:numPr>
        <w:kinsoku/>
        <w:wordWrap/>
        <w:overflowPunct/>
        <w:topLinePunct w:val="0"/>
        <w:autoSpaceDE/>
        <w:autoSpaceDN/>
        <w:bidi w:val="0"/>
        <w:spacing w:line="560" w:lineRule="exact"/>
        <w:ind w:firstLine="562" w:firstLineChars="200"/>
        <w:rPr>
          <w:rFonts w:hint="eastAsia"/>
          <w:b/>
          <w:bCs/>
          <w:color w:val="auto"/>
          <w:highlight w:val="none"/>
          <w:lang w:val="en-US" w:eastAsia="zh-CN"/>
        </w:rPr>
      </w:pPr>
      <w:r>
        <w:rPr>
          <w:rFonts w:hint="eastAsia"/>
          <w:b/>
          <w:bCs/>
          <w:color w:val="auto"/>
          <w:highlight w:val="none"/>
          <w:lang w:val="en-US" w:eastAsia="zh-CN"/>
        </w:rPr>
        <w:t>4.管理制度健全性</w:t>
      </w:r>
    </w:p>
    <w:p w14:paraId="359FBBB5">
      <w:pPr>
        <w:pageBreakBefore w:val="0"/>
        <w:numPr>
          <w:ilvl w:val="0"/>
          <w:numId w:val="0"/>
        </w:numPr>
        <w:kinsoku/>
        <w:wordWrap/>
        <w:overflowPunct/>
        <w:topLinePunct w:val="0"/>
        <w:autoSpaceDE/>
        <w:autoSpaceDN/>
        <w:bidi w:val="0"/>
        <w:spacing w:line="560" w:lineRule="exact"/>
        <w:ind w:firstLine="560" w:firstLineChars="200"/>
        <w:rPr>
          <w:rFonts w:hint="eastAsia"/>
          <w:color w:val="auto"/>
          <w:highlight w:val="none"/>
          <w:lang w:eastAsia="zh-CN"/>
        </w:rPr>
      </w:pPr>
      <w:r>
        <w:rPr>
          <w:rFonts w:hint="eastAsia"/>
          <w:color w:val="auto"/>
          <w:highlight w:val="none"/>
          <w:lang w:eastAsia="zh-CN"/>
        </w:rPr>
        <w:t>①已制定</w:t>
      </w:r>
      <w:r>
        <w:rPr>
          <w:rFonts w:hint="eastAsia"/>
          <w:color w:val="auto"/>
          <w:highlight w:val="none"/>
          <w:lang w:val="zh-TW" w:eastAsia="zh-TW"/>
        </w:rPr>
        <w:t>《</w:t>
      </w:r>
      <w:r>
        <w:rPr>
          <w:color w:val="auto"/>
          <w:highlight w:val="none"/>
          <w:lang w:val="en-US" w:eastAsia="zh-CN"/>
        </w:rPr>
        <w:t>阜康市</w:t>
      </w:r>
      <w:r>
        <w:rPr>
          <w:rFonts w:hint="eastAsia"/>
          <w:color w:val="auto"/>
          <w:highlight w:val="none"/>
          <w:lang w:val="en-US" w:eastAsia="zh-CN"/>
        </w:rPr>
        <w:t>滋泥泉子镇</w:t>
      </w:r>
      <w:r>
        <w:rPr>
          <w:color w:val="auto"/>
          <w:highlight w:val="none"/>
          <w:lang w:val="en-US" w:eastAsia="zh-CN"/>
        </w:rPr>
        <w:t>人民政府</w:t>
      </w:r>
      <w:r>
        <w:rPr>
          <w:rFonts w:hint="eastAsia"/>
          <w:color w:val="auto"/>
          <w:highlight w:val="none"/>
          <w:lang w:val="en-US" w:eastAsia="zh-CN"/>
        </w:rPr>
        <w:t>财务</w:t>
      </w:r>
      <w:r>
        <w:rPr>
          <w:rFonts w:hint="eastAsia"/>
          <w:color w:val="auto"/>
          <w:highlight w:val="none"/>
          <w:lang w:val="zh-TW" w:eastAsia="zh-TW"/>
        </w:rPr>
        <w:t>管理办法》</w:t>
      </w:r>
      <w:r>
        <w:rPr>
          <w:rFonts w:hint="eastAsia"/>
          <w:color w:val="auto"/>
          <w:highlight w:val="none"/>
          <w:lang w:val="zh-TW" w:eastAsia="zh-CN"/>
        </w:rPr>
        <w:t>，《阜康市滋泥泉子镇建设项目管理制度》</w:t>
      </w:r>
      <w:r>
        <w:rPr>
          <w:rFonts w:hint="eastAsia"/>
          <w:color w:val="auto"/>
          <w:highlight w:val="none"/>
          <w:lang w:eastAsia="zh-CN"/>
        </w:rPr>
        <w:t>；</w:t>
      </w:r>
    </w:p>
    <w:p w14:paraId="1398352B">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②财务和业务管理制度合法、合规、完整。</w:t>
      </w:r>
    </w:p>
    <w:p w14:paraId="713A2CFE">
      <w:pPr>
        <w:pageBreakBefore w:val="0"/>
        <w:kinsoku/>
        <w:wordWrap/>
        <w:overflowPunct/>
        <w:topLinePunct w:val="0"/>
        <w:autoSpaceDE/>
        <w:autoSpaceDN/>
        <w:bidi w:val="0"/>
        <w:spacing w:line="560" w:lineRule="exact"/>
        <w:rPr>
          <w:rFonts w:hint="eastAsia"/>
          <w:color w:val="auto"/>
          <w:highlight w:val="none"/>
          <w:lang w:eastAsia="zh-CN"/>
        </w:rPr>
      </w:pPr>
      <w:r>
        <w:rPr>
          <w:rFonts w:hint="eastAsia"/>
          <w:b/>
          <w:bCs/>
          <w:color w:val="auto"/>
          <w:highlight w:val="none"/>
          <w:lang w:val="en-US" w:eastAsia="zh-CN"/>
        </w:rPr>
        <w:t>综上，该项指标满分4分，得分4分。</w:t>
      </w:r>
    </w:p>
    <w:p w14:paraId="1895F368">
      <w:pPr>
        <w:pageBreakBefore w:val="0"/>
        <w:kinsoku/>
        <w:wordWrap/>
        <w:overflowPunct/>
        <w:topLinePunct w:val="0"/>
        <w:autoSpaceDE/>
        <w:autoSpaceDN/>
        <w:bidi w:val="0"/>
        <w:spacing w:line="560" w:lineRule="exact"/>
        <w:ind w:left="1403" w:leftChars="200" w:hanging="843" w:hangingChars="300"/>
        <w:outlineLvl w:val="2"/>
        <w:rPr>
          <w:rFonts w:hint="eastAsia"/>
          <w:b/>
          <w:bCs/>
          <w:color w:val="auto"/>
          <w:highlight w:val="none"/>
          <w:lang w:val="en-US" w:eastAsia="zh-CN"/>
        </w:rPr>
      </w:pPr>
      <w:bookmarkStart w:id="67" w:name="_Toc31684"/>
      <w:r>
        <w:rPr>
          <w:rFonts w:hint="eastAsia"/>
          <w:b/>
          <w:bCs/>
          <w:color w:val="auto"/>
          <w:highlight w:val="none"/>
          <w:lang w:val="en-US" w:eastAsia="zh-CN"/>
        </w:rPr>
        <w:t>5.制度执行有效性</w:t>
      </w:r>
      <w:bookmarkEnd w:id="67"/>
    </w:p>
    <w:p w14:paraId="5763DE0D">
      <w:pPr>
        <w:bidi w:val="0"/>
        <w:rPr>
          <w:rFonts w:hint="eastAsia"/>
          <w:color w:val="auto"/>
          <w:highlight w:val="none"/>
          <w:lang w:eastAsia="zh-CN"/>
        </w:rPr>
      </w:pPr>
      <w:r>
        <w:rPr>
          <w:rFonts w:hint="eastAsia"/>
          <w:color w:val="auto"/>
          <w:highlight w:val="none"/>
          <w:lang w:eastAsia="zh-CN"/>
        </w:rPr>
        <w:t>①遵守相关法律法规和相关管理规定，根据《中华人民共和国建筑法》及总体实施方案规定，本项目建设管理全面实行“招投标制”和“工程监理制”，招投标和工程监理制按照国家有关规定办理；</w:t>
      </w:r>
    </w:p>
    <w:p w14:paraId="41E22B33">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未</w:t>
      </w:r>
      <w:r>
        <w:rPr>
          <w:rFonts w:hint="eastAsia"/>
          <w:color w:val="auto"/>
          <w:highlight w:val="none"/>
          <w:lang w:eastAsia="zh-CN"/>
        </w:rPr>
        <w:t>调整；</w:t>
      </w:r>
    </w:p>
    <w:p w14:paraId="5928231E">
      <w:pPr>
        <w:bidi w:val="0"/>
        <w:rPr>
          <w:rFonts w:hint="eastAsia"/>
          <w:color w:val="auto"/>
          <w:highlight w:val="none"/>
          <w:lang w:eastAsia="zh-CN"/>
        </w:rPr>
      </w:pPr>
      <w:r>
        <w:rPr>
          <w:rFonts w:hint="eastAsia"/>
          <w:color w:val="auto"/>
          <w:highlight w:val="none"/>
          <w:lang w:eastAsia="zh-CN"/>
        </w:rPr>
        <w:t>③项目合同书、验收报告、技术鉴定等资料齐全并及时归档，项目中标通知书、合同书、验收报告、工程进度确认单等资料齐全并已及时归档；</w:t>
      </w:r>
    </w:p>
    <w:p w14:paraId="74322A5D">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eastAsia="zh-CN"/>
        </w:rPr>
        <w:t>④项目实施的人员条件</w:t>
      </w:r>
      <w:r>
        <w:rPr>
          <w:rFonts w:hint="eastAsia"/>
          <w:color w:val="auto"/>
          <w:highlight w:val="none"/>
          <w:shd w:val="clear"/>
          <w:lang w:eastAsia="zh-CN"/>
        </w:rPr>
        <w:t>、场地设备、信息支撑等落实到</w:t>
      </w:r>
      <w:r>
        <w:rPr>
          <w:rFonts w:hint="eastAsia"/>
          <w:color w:val="auto"/>
          <w:highlight w:val="none"/>
          <w:lang w:eastAsia="zh-CN"/>
        </w:rPr>
        <w:t>位，项目由阜康市滋泥泉子镇人民政府实施，具体由项目办负责，项目负责人为李群，主要负责项目的实地勘察、验收、资金拨付、档案整理、后期管理等。</w:t>
      </w:r>
    </w:p>
    <w:p w14:paraId="5A893AFE">
      <w:pPr>
        <w:pageBreakBefore w:val="0"/>
        <w:kinsoku/>
        <w:wordWrap/>
        <w:overflowPunct/>
        <w:topLinePunct w:val="0"/>
        <w:autoSpaceDE/>
        <w:autoSpaceDN/>
        <w:bidi w:val="0"/>
        <w:spacing w:line="560" w:lineRule="exact"/>
        <w:rPr>
          <w:rFonts w:hint="eastAsia"/>
          <w:color w:val="auto"/>
          <w:highlight w:val="none"/>
          <w:lang w:eastAsia="zh-CN"/>
        </w:rPr>
      </w:pPr>
      <w:r>
        <w:rPr>
          <w:rFonts w:hint="eastAsia"/>
          <w:b/>
          <w:bCs/>
          <w:color w:val="auto"/>
          <w:highlight w:val="none"/>
          <w:lang w:val="en-US" w:eastAsia="zh-CN"/>
        </w:rPr>
        <w:t>综上，该项指标满分4分，得分4分。</w:t>
      </w:r>
    </w:p>
    <w:p w14:paraId="121E8FD4">
      <w:pPr>
        <w:pStyle w:val="4"/>
        <w:pageBreakBefore w:val="0"/>
        <w:numPr>
          <w:ilvl w:val="0"/>
          <w:numId w:val="0"/>
        </w:numPr>
        <w:kinsoku/>
        <w:wordWrap/>
        <w:overflowPunct/>
        <w:topLinePunct w:val="0"/>
        <w:autoSpaceDE/>
        <w:autoSpaceDN/>
        <w:bidi w:val="0"/>
        <w:adjustRightInd/>
        <w:spacing w:beforeLines="0" w:afterLines="0" w:line="560" w:lineRule="exact"/>
        <w:ind w:leftChars="200"/>
        <w:textAlignment w:val="auto"/>
        <w:rPr>
          <w:rFonts w:hint="eastAsia" w:ascii="宋体" w:hAnsi="宋体" w:eastAsia="宋体" w:cs="宋体"/>
          <w:color w:val="auto"/>
          <w:highlight w:val="none"/>
          <w:shd w:val="clear" w:color="auto" w:fill="auto"/>
        </w:rPr>
      </w:pPr>
      <w:bookmarkStart w:id="68"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8"/>
    </w:p>
    <w:p w14:paraId="44F5C84D">
      <w:pPr>
        <w:pageBreakBefore w:val="0"/>
        <w:widowControl w:val="0"/>
        <w:kinsoku/>
        <w:wordWrap/>
        <w:overflowPunct/>
        <w:topLinePunct w:val="0"/>
        <w:autoSpaceDE/>
        <w:autoSpaceDN/>
        <w:bidi w:val="0"/>
        <w:adjustRightInd/>
        <w:spacing w:line="560" w:lineRule="exact"/>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7A08BC3">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7ACC48BF">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1EF0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00413">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57D0B">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AC16B">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F68CB">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F2EB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B090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72AE7D58">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35B5A6B">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442E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6E9A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支付项目工程尾款企业数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09FB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7801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AE6BA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A7DAE">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r>
      <w:tr w14:paraId="597202ED">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D7E8BB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B149C">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0729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项目资金支付率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BA80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2E695">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9072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B466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1CD310D">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97D1AE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2879C9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0AAD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资金支付及时率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60A9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908DE">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7965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D9F8D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7455697">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9EF6C0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6B18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5449B">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资金支付完成时间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4775A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w:t>
            </w:r>
            <w:r>
              <w:rPr>
                <w:rFonts w:hint="eastAsia" w:ascii="宋体" w:hAnsi="宋体" w:eastAsia="宋体" w:cs="宋体"/>
                <w:color w:val="auto"/>
                <w:kern w:val="0"/>
                <w:sz w:val="20"/>
                <w:szCs w:val="20"/>
                <w:highlight w:val="none"/>
                <w:shd w:val="clear" w:color="auto" w:fill="auto"/>
                <w:lang w:val="en-US" w:eastAsia="zh-CN"/>
              </w:rPr>
              <w:t>6</w:t>
            </w:r>
            <w:r>
              <w:rPr>
                <w:rFonts w:hint="eastAsia" w:cs="宋体"/>
                <w:color w:val="auto"/>
                <w:kern w:val="0"/>
                <w:sz w:val="20"/>
                <w:szCs w:val="20"/>
                <w:highlight w:val="none"/>
                <w:shd w:val="clear" w:color="auto" w:fill="auto"/>
                <w:lang w:val="en-US" w:eastAsia="zh-CN"/>
              </w:rPr>
              <w:t>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6CDC3">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585F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w:t>
            </w:r>
            <w:r>
              <w:rPr>
                <w:rFonts w:hint="eastAsia" w:ascii="宋体" w:hAnsi="宋体" w:eastAsia="宋体" w:cs="宋体"/>
                <w:color w:val="auto"/>
                <w:kern w:val="0"/>
                <w:sz w:val="20"/>
                <w:szCs w:val="20"/>
                <w:highlight w:val="none"/>
                <w:shd w:val="clear" w:color="auto" w:fill="auto"/>
                <w:lang w:val="en-US" w:eastAsia="zh-CN"/>
              </w:rPr>
              <w:t>6</w:t>
            </w:r>
            <w:r>
              <w:rPr>
                <w:rFonts w:hint="eastAsia" w:cs="宋体"/>
                <w:color w:val="auto"/>
                <w:kern w:val="0"/>
                <w:sz w:val="20"/>
                <w:szCs w:val="20"/>
                <w:highlight w:val="none"/>
                <w:shd w:val="clear" w:color="auto" w:fill="auto"/>
                <w:lang w:val="en-US" w:eastAsia="zh-CN"/>
              </w:rPr>
              <w:t>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68F0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29CA238">
        <w:tblPrEx>
          <w:tblCellMar>
            <w:top w:w="0" w:type="dxa"/>
            <w:left w:w="0" w:type="dxa"/>
            <w:bottom w:w="0" w:type="dxa"/>
            <w:right w:w="0" w:type="dxa"/>
          </w:tblCellMar>
        </w:tblPrEx>
        <w:trPr>
          <w:trHeight w:val="403"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CC5F85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4F5BDE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1239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支付新疆凯信博远建设工程有限公司工程尾款</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7A81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≤139.28万元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4DC4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D92B5">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139.28</w:t>
            </w:r>
            <w:r>
              <w:rPr>
                <w:rFonts w:hint="eastAsia" w:ascii="宋体" w:hAnsi="宋体" w:eastAsia="宋体" w:cs="宋体"/>
                <w:color w:val="auto"/>
                <w:kern w:val="0"/>
                <w:sz w:val="20"/>
                <w:szCs w:val="20"/>
                <w:highlight w:val="none"/>
                <w:shd w:val="clear" w:color="auto" w:fill="auto"/>
                <w:lang w:val="en-US" w:eastAsia="zh-CN"/>
              </w:rPr>
              <w:t>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FE3E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r>
      <w:tr w14:paraId="382E5C5A">
        <w:tblPrEx>
          <w:tblCellMar>
            <w:top w:w="0" w:type="dxa"/>
            <w:left w:w="0" w:type="dxa"/>
            <w:bottom w:w="0" w:type="dxa"/>
            <w:right w:w="0" w:type="dxa"/>
          </w:tblCellMar>
        </w:tblPrEx>
        <w:trPr>
          <w:trHeight w:val="523"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3A79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bookmarkStart w:id="69" w:name="_Toc11067"/>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F877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9B6B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支付阜康市第二建筑安装有限责任公司工程尾款</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71C9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≤105.10万元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3240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7D56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105.10万元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9B28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8EB6F0C">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B4DB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1863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44EE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E71E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3FAE9685">
      <w:pPr>
        <w:pageBreakBefore w:val="0"/>
        <w:kinsoku/>
        <w:wordWrap/>
        <w:overflowPunct/>
        <w:topLinePunct w:val="0"/>
        <w:autoSpaceDE/>
        <w:autoSpaceDN/>
        <w:bidi w:val="0"/>
        <w:spacing w:line="560" w:lineRule="exact"/>
        <w:outlineLvl w:val="2"/>
        <w:rPr>
          <w:rFonts w:hint="eastAsia"/>
          <w:b/>
          <w:bCs/>
          <w:color w:val="auto"/>
          <w:highlight w:val="none"/>
          <w:lang w:val="en-US" w:eastAsia="zh-CN"/>
        </w:rPr>
      </w:pPr>
      <w:r>
        <w:rPr>
          <w:rFonts w:hint="eastAsia"/>
          <w:b/>
          <w:bCs/>
          <w:color w:val="auto"/>
          <w:highlight w:val="none"/>
          <w:lang w:val="en-US" w:eastAsia="zh-CN"/>
        </w:rPr>
        <w:t>1.项目完成数量</w:t>
      </w:r>
      <w:bookmarkEnd w:id="69"/>
    </w:p>
    <w:p w14:paraId="530DFD99">
      <w:pPr>
        <w:pageBreakBefore w:val="0"/>
        <w:kinsoku/>
        <w:wordWrap/>
        <w:overflowPunct/>
        <w:topLinePunct w:val="0"/>
        <w:autoSpaceDE/>
        <w:autoSpaceDN/>
        <w:bidi w:val="0"/>
        <w:spacing w:line="560" w:lineRule="exact"/>
        <w:rPr>
          <w:rFonts w:hint="eastAsia" w:ascii="宋体" w:hAnsi="宋体" w:eastAsia="宋体" w:cs="宋体"/>
          <w:color w:val="auto"/>
          <w:highlight w:val="none"/>
          <w:lang w:val="en-US" w:eastAsia="zh-CN"/>
        </w:rPr>
      </w:pPr>
      <w:r>
        <w:rPr>
          <w:rFonts w:hint="eastAsia"/>
          <w:color w:val="auto"/>
          <w:highlight w:val="none"/>
          <w:lang w:eastAsia="zh-CN"/>
        </w:rPr>
        <w:t>“</w:t>
      </w:r>
      <w:r>
        <w:rPr>
          <w:rFonts w:hint="eastAsia" w:ascii="宋体" w:hAnsi="宋体" w:eastAsia="宋体" w:cs="宋体"/>
          <w:color w:val="auto"/>
          <w:highlight w:val="none"/>
          <w:lang w:val="en-US" w:eastAsia="zh-CN"/>
        </w:rPr>
        <w:t>支付项目工程尾款企业数”</w:t>
      </w:r>
      <w:r>
        <w:rPr>
          <w:rFonts w:hint="eastAsia"/>
          <w:color w:val="auto"/>
          <w:highlight w:val="none"/>
          <w:lang w:val="en-US" w:eastAsia="zh-CN"/>
        </w:rPr>
        <w:t>指标，预期目标值为</w:t>
      </w:r>
      <w:r>
        <w:rPr>
          <w:rFonts w:hint="eastAsia" w:ascii="宋体" w:hAnsi="宋体" w:eastAsia="宋体" w:cs="宋体"/>
          <w:color w:val="auto"/>
          <w:highlight w:val="none"/>
          <w:lang w:val="en-US" w:eastAsia="zh-CN"/>
        </w:rPr>
        <w:t>2个，实际完成为2个。实际完成率=（2</w:t>
      </w:r>
      <w:r>
        <w:rPr>
          <w:rFonts w:hint="eastAsia" w:cs="宋体"/>
          <w:color w:val="auto"/>
          <w:highlight w:val="none"/>
          <w:lang w:val="en-US" w:eastAsia="zh-CN"/>
        </w:rPr>
        <w:t>个</w:t>
      </w:r>
      <w:r>
        <w:rPr>
          <w:rFonts w:hint="eastAsia" w:ascii="宋体" w:hAnsi="宋体" w:eastAsia="宋体" w:cs="宋体"/>
          <w:color w:val="auto"/>
          <w:highlight w:val="none"/>
          <w:lang w:val="en-US" w:eastAsia="zh-CN"/>
        </w:rPr>
        <w:t>/2</w:t>
      </w:r>
      <w:r>
        <w:rPr>
          <w:rFonts w:hint="eastAsia" w:cs="宋体"/>
          <w:color w:val="auto"/>
          <w:highlight w:val="none"/>
          <w:lang w:val="en-US" w:eastAsia="zh-CN"/>
        </w:rPr>
        <w:t>个</w:t>
      </w:r>
      <w:r>
        <w:rPr>
          <w:rFonts w:hint="eastAsia" w:ascii="宋体" w:hAnsi="宋体" w:eastAsia="宋体" w:cs="宋体"/>
          <w:color w:val="auto"/>
          <w:highlight w:val="none"/>
          <w:lang w:val="en-US" w:eastAsia="zh-CN"/>
        </w:rPr>
        <w:t>）×100%=100%。</w:t>
      </w:r>
    </w:p>
    <w:p w14:paraId="206DB930">
      <w:pPr>
        <w:pageBreakBefore w:val="0"/>
        <w:kinsoku/>
        <w:wordWrap/>
        <w:overflowPunct/>
        <w:topLinePunct w:val="0"/>
        <w:autoSpaceDE/>
        <w:autoSpaceDN/>
        <w:bidi w:val="0"/>
        <w:spacing w:line="560" w:lineRule="exact"/>
        <w:rPr>
          <w:rFonts w:hint="eastAsia"/>
          <w:color w:val="auto"/>
          <w:highlight w:val="none"/>
          <w:lang w:eastAsia="zh-CN"/>
        </w:rPr>
      </w:pPr>
      <w:r>
        <w:rPr>
          <w:rFonts w:hint="eastAsia"/>
          <w:b/>
          <w:bCs/>
          <w:color w:val="auto"/>
          <w:highlight w:val="none"/>
          <w:lang w:val="en-US" w:eastAsia="zh-CN"/>
        </w:rPr>
        <w:t>综上，该项指标满分7分，得分7分。</w:t>
      </w:r>
    </w:p>
    <w:p w14:paraId="6E1F9092">
      <w:pPr>
        <w:pageBreakBefore w:val="0"/>
        <w:kinsoku/>
        <w:wordWrap/>
        <w:overflowPunct/>
        <w:topLinePunct w:val="0"/>
        <w:autoSpaceDE/>
        <w:autoSpaceDN/>
        <w:bidi w:val="0"/>
        <w:spacing w:line="560" w:lineRule="exact"/>
        <w:outlineLvl w:val="2"/>
        <w:rPr>
          <w:rFonts w:hint="default"/>
          <w:b/>
          <w:bCs/>
          <w:color w:val="auto"/>
          <w:highlight w:val="none"/>
          <w:lang w:val="en-US" w:eastAsia="zh-CN"/>
        </w:rPr>
      </w:pPr>
      <w:bookmarkStart w:id="70" w:name="_Toc31739"/>
      <w:r>
        <w:rPr>
          <w:rFonts w:hint="eastAsia"/>
          <w:b/>
          <w:bCs/>
          <w:color w:val="auto"/>
          <w:highlight w:val="none"/>
          <w:lang w:val="en-US" w:eastAsia="zh-CN"/>
        </w:rPr>
        <w:t>2.项目完成质量</w:t>
      </w:r>
      <w:bookmarkEnd w:id="70"/>
    </w:p>
    <w:p w14:paraId="1450B422">
      <w:pPr>
        <w:pageBreakBefore w:val="0"/>
        <w:kinsoku/>
        <w:wordWrap/>
        <w:overflowPunct/>
        <w:topLinePunct w:val="0"/>
        <w:autoSpaceDE/>
        <w:autoSpaceDN/>
        <w:bidi w:val="0"/>
        <w:spacing w:line="56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“项目资金支付率”指标，预期目标值为≥95%，实际完成为100%。</w:t>
      </w:r>
    </w:p>
    <w:p w14:paraId="2EC3B824">
      <w:pPr>
        <w:pageBreakBefore w:val="0"/>
        <w:kinsoku/>
        <w:wordWrap/>
        <w:overflowPunct/>
        <w:topLinePunct w:val="0"/>
        <w:autoSpaceDE/>
        <w:autoSpaceDN/>
        <w:bidi w:val="0"/>
        <w:spacing w:line="560" w:lineRule="exact"/>
        <w:rPr>
          <w:rFonts w:hint="eastAsia"/>
          <w:color w:val="auto"/>
          <w:highlight w:val="none"/>
          <w:lang w:eastAsia="zh-CN"/>
        </w:rPr>
      </w:pPr>
      <w:r>
        <w:rPr>
          <w:rFonts w:hint="eastAsia"/>
          <w:b/>
          <w:bCs/>
          <w:color w:val="auto"/>
          <w:highlight w:val="none"/>
          <w:lang w:val="en-US" w:eastAsia="zh-CN"/>
        </w:rPr>
        <w:t>综上，该项指标满分5分，得分5分。</w:t>
      </w:r>
    </w:p>
    <w:p w14:paraId="6A28612F">
      <w:pPr>
        <w:pageBreakBefore w:val="0"/>
        <w:kinsoku/>
        <w:wordWrap/>
        <w:overflowPunct/>
        <w:topLinePunct w:val="0"/>
        <w:autoSpaceDE/>
        <w:autoSpaceDN/>
        <w:bidi w:val="0"/>
        <w:spacing w:line="560" w:lineRule="exact"/>
        <w:outlineLvl w:val="2"/>
        <w:rPr>
          <w:rFonts w:hint="default"/>
          <w:b/>
          <w:bCs/>
          <w:color w:val="auto"/>
          <w:highlight w:val="none"/>
          <w:lang w:val="en-US" w:eastAsia="zh-CN"/>
        </w:rPr>
      </w:pPr>
      <w:bookmarkStart w:id="71" w:name="_Toc18307"/>
      <w:r>
        <w:rPr>
          <w:rFonts w:hint="eastAsia"/>
          <w:b/>
          <w:bCs/>
          <w:color w:val="auto"/>
          <w:highlight w:val="none"/>
          <w:lang w:val="en-US" w:eastAsia="zh-CN"/>
        </w:rPr>
        <w:t>3.项目完成时效</w:t>
      </w:r>
      <w:bookmarkEnd w:id="71"/>
    </w:p>
    <w:p w14:paraId="58D1ECA9">
      <w:pPr>
        <w:pageBreakBefore w:val="0"/>
        <w:kinsoku/>
        <w:wordWrap/>
        <w:overflowPunct/>
        <w:topLinePunct w:val="0"/>
        <w:autoSpaceDE/>
        <w:autoSpaceDN/>
        <w:bidi w:val="0"/>
        <w:spacing w:line="560" w:lineRule="exact"/>
        <w:rPr>
          <w:rFonts w:hint="eastAsia"/>
          <w:color w:val="auto"/>
          <w:highlight w:val="none"/>
          <w:lang w:val="en-US" w:eastAsia="zh-CN"/>
        </w:rPr>
      </w:pPr>
      <w:r>
        <w:rPr>
          <w:rFonts w:hint="eastAsia" w:ascii="宋体" w:hAnsi="宋体" w:eastAsia="宋体" w:cs="宋体"/>
          <w:color w:val="auto"/>
          <w:highlight w:val="none"/>
          <w:lang w:val="en-US" w:eastAsia="zh-CN"/>
        </w:rPr>
        <w:t>“资金支付及时率”指标，预期目标值为≥95%，实际完成</w:t>
      </w:r>
      <w:r>
        <w:rPr>
          <w:rFonts w:hint="eastAsia"/>
          <w:color w:val="auto"/>
          <w:highlight w:val="none"/>
          <w:lang w:val="en-US" w:eastAsia="zh-CN"/>
        </w:rPr>
        <w:t>为</w:t>
      </w:r>
      <w:r>
        <w:rPr>
          <w:rFonts w:hint="eastAsia" w:ascii="宋体" w:hAnsi="宋体" w:eastAsia="宋体" w:cs="宋体"/>
          <w:color w:val="auto"/>
          <w:highlight w:val="none"/>
          <w:lang w:val="en-US" w:eastAsia="zh-CN"/>
        </w:rPr>
        <w:t>100%</w:t>
      </w:r>
      <w:r>
        <w:rPr>
          <w:rFonts w:hint="eastAsia"/>
          <w:color w:val="auto"/>
          <w:highlight w:val="none"/>
          <w:lang w:val="en-US" w:eastAsia="zh-CN"/>
        </w:rPr>
        <w:t>。</w:t>
      </w:r>
    </w:p>
    <w:p w14:paraId="7D30DB68">
      <w:pPr>
        <w:pageBreakBefore w:val="0"/>
        <w:kinsoku/>
        <w:wordWrap/>
        <w:overflowPunct/>
        <w:topLinePunct w:val="0"/>
        <w:autoSpaceDE/>
        <w:autoSpaceDN/>
        <w:bidi w:val="0"/>
        <w:spacing w:line="560" w:lineRule="exact"/>
        <w:rPr>
          <w:rFonts w:hint="eastAsia"/>
          <w:color w:val="auto"/>
          <w:highlight w:val="none"/>
          <w:lang w:eastAsia="zh-CN"/>
        </w:rPr>
      </w:pPr>
      <w:r>
        <w:rPr>
          <w:rFonts w:hint="eastAsia"/>
          <w:b/>
          <w:bCs/>
          <w:color w:val="auto"/>
          <w:highlight w:val="none"/>
          <w:lang w:val="en-US" w:eastAsia="zh-CN"/>
        </w:rPr>
        <w:t>综上，该项指标满分5分，得分5分。</w:t>
      </w:r>
    </w:p>
    <w:p w14:paraId="6093C36C">
      <w:pPr>
        <w:pageBreakBefore w:val="0"/>
        <w:kinsoku/>
        <w:wordWrap/>
        <w:overflowPunct/>
        <w:topLinePunct w:val="0"/>
        <w:autoSpaceDE/>
        <w:autoSpaceDN/>
        <w:bidi w:val="0"/>
        <w:spacing w:line="56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“资金支付完成时间”指标，预期目标值为2023年6月，实际完成为2023年6月</w:t>
      </w:r>
      <w:r>
        <w:rPr>
          <w:rFonts w:hint="eastAsia" w:cs="宋体"/>
          <w:color w:val="auto"/>
          <w:highlight w:val="none"/>
          <w:lang w:val="en-US" w:eastAsia="zh-CN"/>
        </w:rPr>
        <w:t>，实际完成率为100%</w:t>
      </w:r>
      <w:r>
        <w:rPr>
          <w:rFonts w:hint="eastAsia" w:ascii="宋体" w:hAnsi="宋体" w:eastAsia="宋体" w:cs="宋体"/>
          <w:color w:val="auto"/>
          <w:highlight w:val="none"/>
          <w:lang w:val="en-US" w:eastAsia="zh-CN"/>
        </w:rPr>
        <w:t>。</w:t>
      </w:r>
    </w:p>
    <w:p w14:paraId="27AA253B">
      <w:pPr>
        <w:pageBreakBefore w:val="0"/>
        <w:kinsoku/>
        <w:wordWrap/>
        <w:overflowPunct/>
        <w:topLinePunct w:val="0"/>
        <w:autoSpaceDE/>
        <w:autoSpaceDN/>
        <w:bidi w:val="0"/>
        <w:spacing w:line="560" w:lineRule="exact"/>
        <w:rPr>
          <w:rFonts w:hint="eastAsia"/>
          <w:color w:val="auto"/>
          <w:highlight w:val="none"/>
          <w:lang w:eastAsia="zh-CN"/>
        </w:rPr>
      </w:pPr>
      <w:r>
        <w:rPr>
          <w:rFonts w:hint="eastAsia"/>
          <w:b/>
          <w:bCs/>
          <w:color w:val="auto"/>
          <w:highlight w:val="none"/>
          <w:lang w:val="en-US" w:eastAsia="zh-CN"/>
        </w:rPr>
        <w:t>综上，该项指标满分3分，得分3分。</w:t>
      </w:r>
    </w:p>
    <w:p w14:paraId="72076A53">
      <w:pPr>
        <w:pageBreakBefore w:val="0"/>
        <w:kinsoku/>
        <w:wordWrap/>
        <w:overflowPunct/>
        <w:topLinePunct w:val="0"/>
        <w:autoSpaceDE/>
        <w:autoSpaceDN/>
        <w:bidi w:val="0"/>
        <w:spacing w:line="560" w:lineRule="exact"/>
        <w:outlineLvl w:val="2"/>
        <w:rPr>
          <w:rFonts w:hint="default"/>
          <w:b/>
          <w:bCs/>
          <w:color w:val="auto"/>
          <w:highlight w:val="none"/>
          <w:lang w:val="en-US" w:eastAsia="zh-CN"/>
        </w:rPr>
      </w:pPr>
      <w:bookmarkStart w:id="72" w:name="_Toc32765"/>
      <w:r>
        <w:rPr>
          <w:rFonts w:hint="eastAsia"/>
          <w:b/>
          <w:bCs/>
          <w:color w:val="auto"/>
          <w:highlight w:val="none"/>
          <w:lang w:val="en-US" w:eastAsia="zh-CN"/>
        </w:rPr>
        <w:t>4.项目完成成本</w:t>
      </w:r>
      <w:bookmarkEnd w:id="72"/>
    </w:p>
    <w:p w14:paraId="7A4E3C4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“支付新疆凯信博远建设工程有限公司工程尾款”指标，预期目标值为≤139.28万元，实际完成为139.28万元。实际完成率=（139.28</w:t>
      </w:r>
      <w:r>
        <w:rPr>
          <w:rFonts w:hint="eastAsia" w:cs="宋体"/>
          <w:color w:val="auto"/>
          <w:highlight w:val="none"/>
          <w:lang w:val="en-US" w:eastAsia="zh-CN"/>
        </w:rPr>
        <w:t>万元</w:t>
      </w:r>
      <w:r>
        <w:rPr>
          <w:rFonts w:hint="eastAsia" w:ascii="宋体" w:hAnsi="宋体" w:eastAsia="宋体" w:cs="宋体"/>
          <w:color w:val="auto"/>
          <w:highlight w:val="none"/>
          <w:lang w:val="en-US" w:eastAsia="zh-CN"/>
        </w:rPr>
        <w:t>/139.28</w:t>
      </w:r>
      <w:r>
        <w:rPr>
          <w:rFonts w:hint="eastAsia" w:cs="宋体"/>
          <w:color w:val="auto"/>
          <w:highlight w:val="none"/>
          <w:lang w:val="en-US" w:eastAsia="zh-CN"/>
        </w:rPr>
        <w:t>万元</w:t>
      </w:r>
      <w:r>
        <w:rPr>
          <w:rFonts w:hint="eastAsia" w:ascii="宋体" w:hAnsi="宋体" w:eastAsia="宋体" w:cs="宋体"/>
          <w:color w:val="auto"/>
          <w:highlight w:val="none"/>
          <w:lang w:val="en-US" w:eastAsia="zh-CN"/>
        </w:rPr>
        <w:t>）×100%=</w:t>
      </w:r>
      <w:r>
        <w:rPr>
          <w:rFonts w:hint="eastAsia" w:cs="宋体"/>
          <w:color w:val="auto"/>
          <w:highlight w:val="none"/>
          <w:lang w:val="en-US" w:eastAsia="zh-CN"/>
        </w:rPr>
        <w:t>100</w:t>
      </w:r>
      <w:r>
        <w:rPr>
          <w:rFonts w:hint="eastAsia" w:ascii="宋体" w:hAnsi="宋体" w:eastAsia="宋体" w:cs="宋体"/>
          <w:color w:val="auto"/>
          <w:highlight w:val="none"/>
          <w:lang w:val="en-US" w:eastAsia="zh-CN"/>
        </w:rPr>
        <w:t>%。</w:t>
      </w:r>
    </w:p>
    <w:p w14:paraId="67BB62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b/>
          <w:bCs/>
          <w:color w:val="auto"/>
          <w:highlight w:val="none"/>
          <w:lang w:val="en-US" w:eastAsia="zh-CN"/>
        </w:rPr>
        <w:t>综上，该项指标满分6分，得分6分。</w:t>
      </w:r>
    </w:p>
    <w:p w14:paraId="2515C4CD">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“支付阜康市第二建筑安装有限责任公司工程尾款”指标，预期目标值为≤105.10万元，实际完成为105.10万元。实际完成率=（105.10</w:t>
      </w:r>
      <w:r>
        <w:rPr>
          <w:rFonts w:hint="eastAsia" w:ascii="宋体" w:hAnsi="宋体" w:cs="宋体"/>
          <w:b w:val="0"/>
          <w:bCs w:val="0"/>
          <w:color w:val="auto"/>
          <w:kern w:val="2"/>
          <w:sz w:val="28"/>
          <w:szCs w:val="28"/>
          <w:highlight w:val="none"/>
          <w:lang w:val="en-US" w:eastAsia="zh-CN" w:bidi="ar-SA"/>
        </w:rPr>
        <w:t>万元</w:t>
      </w:r>
      <w:r>
        <w:rPr>
          <w:rFonts w:hint="eastAsia" w:ascii="宋体" w:hAnsi="宋体" w:eastAsia="宋体" w:cs="宋体"/>
          <w:b w:val="0"/>
          <w:bCs w:val="0"/>
          <w:color w:val="auto"/>
          <w:kern w:val="2"/>
          <w:sz w:val="28"/>
          <w:szCs w:val="28"/>
          <w:highlight w:val="none"/>
          <w:lang w:val="en-US" w:eastAsia="zh-CN" w:bidi="ar-SA"/>
        </w:rPr>
        <w:t>/105.10</w:t>
      </w:r>
      <w:r>
        <w:rPr>
          <w:rFonts w:hint="eastAsia" w:ascii="宋体" w:hAnsi="宋体" w:cs="宋体"/>
          <w:b w:val="0"/>
          <w:bCs w:val="0"/>
          <w:color w:val="auto"/>
          <w:kern w:val="2"/>
          <w:sz w:val="28"/>
          <w:szCs w:val="28"/>
          <w:highlight w:val="none"/>
          <w:lang w:val="en-US" w:eastAsia="zh-CN" w:bidi="ar-SA"/>
        </w:rPr>
        <w:t>万元</w:t>
      </w:r>
      <w:r>
        <w:rPr>
          <w:rFonts w:hint="eastAsia" w:ascii="宋体" w:hAnsi="宋体" w:eastAsia="宋体" w:cs="宋体"/>
          <w:b w:val="0"/>
          <w:bCs w:val="0"/>
          <w:color w:val="auto"/>
          <w:kern w:val="2"/>
          <w:sz w:val="28"/>
          <w:szCs w:val="28"/>
          <w:highlight w:val="none"/>
          <w:lang w:val="en-US" w:eastAsia="zh-CN" w:bidi="ar-SA"/>
        </w:rPr>
        <w:t>）×100%=100%。</w:t>
      </w:r>
    </w:p>
    <w:p w14:paraId="76F492D2">
      <w:pPr>
        <w:pageBreakBefore w:val="0"/>
        <w:kinsoku/>
        <w:wordWrap/>
        <w:overflowPunct/>
        <w:topLinePunct w:val="0"/>
        <w:autoSpaceDE/>
        <w:autoSpaceDN/>
        <w:bidi w:val="0"/>
        <w:spacing w:line="560" w:lineRule="exact"/>
        <w:rPr>
          <w:rFonts w:hint="eastAsia"/>
          <w:color w:val="auto"/>
          <w:highlight w:val="none"/>
          <w:lang w:eastAsia="zh-CN"/>
        </w:rPr>
      </w:pPr>
      <w:r>
        <w:rPr>
          <w:rFonts w:hint="eastAsia"/>
          <w:b/>
          <w:bCs/>
          <w:color w:val="auto"/>
          <w:highlight w:val="none"/>
          <w:lang w:val="en-US" w:eastAsia="zh-CN"/>
        </w:rPr>
        <w:t>综上，该项指标满分4分，得分4分。</w:t>
      </w:r>
    </w:p>
    <w:p w14:paraId="1705321A">
      <w:pPr>
        <w:pStyle w:val="4"/>
        <w:pageBreakBefore w:val="0"/>
        <w:numPr>
          <w:ilvl w:val="0"/>
          <w:numId w:val="0"/>
        </w:numPr>
        <w:kinsoku/>
        <w:wordWrap/>
        <w:overflowPunct/>
        <w:topLinePunct w:val="0"/>
        <w:autoSpaceDE/>
        <w:autoSpaceDN/>
        <w:bidi w:val="0"/>
        <w:adjustRightInd/>
        <w:spacing w:beforeLines="0" w:afterLines="0" w:line="560" w:lineRule="exact"/>
        <w:ind w:leftChars="200"/>
        <w:textAlignment w:val="auto"/>
        <w:rPr>
          <w:rFonts w:hint="eastAsia" w:ascii="宋体" w:hAnsi="宋体" w:eastAsia="宋体" w:cs="宋体"/>
          <w:color w:val="auto"/>
          <w:highlight w:val="none"/>
          <w:shd w:val="clear" w:color="auto" w:fill="auto"/>
        </w:rPr>
      </w:pPr>
      <w:bookmarkStart w:id="73"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3"/>
    </w:p>
    <w:p w14:paraId="276A559E">
      <w:pPr>
        <w:pageBreakBefore w:val="0"/>
        <w:widowControl w:val="0"/>
        <w:kinsoku/>
        <w:wordWrap/>
        <w:overflowPunct/>
        <w:topLinePunct w:val="0"/>
        <w:autoSpaceDE/>
        <w:autoSpaceDN/>
        <w:bidi w:val="0"/>
        <w:adjustRightInd/>
        <w:spacing w:line="560" w:lineRule="exact"/>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1</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461DB1D">
      <w:pPr>
        <w:pageBreakBefore w:val="0"/>
        <w:widowControl w:val="0"/>
        <w:kinsoku/>
        <w:wordWrap/>
        <w:overflowPunct/>
        <w:topLinePunct w:val="0"/>
        <w:autoSpaceDE/>
        <w:autoSpaceDN/>
        <w:bidi w:val="0"/>
        <w:adjustRightInd/>
        <w:spacing w:line="560" w:lineRule="exact"/>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1F11B69E">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B3BCF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bookmarkStart w:id="74" w:name="_Toc8010"/>
            <w:r>
              <w:rPr>
                <w:rFonts w:hint="eastAsia" w:ascii="宋体" w:hAnsi="宋体" w:eastAsia="宋体" w:cs="宋体"/>
                <w:b/>
                <w:bCs/>
                <w:color w:val="auto"/>
                <w:kern w:val="0"/>
                <w:sz w:val="20"/>
                <w:szCs w:val="20"/>
                <w:highlight w:val="none"/>
                <w:shd w:val="clear" w:color="auto" w:fill="auto"/>
                <w:lang w:val="en-US" w:eastAsia="zh-CN"/>
              </w:rPr>
              <w:t>一级</w:t>
            </w:r>
          </w:p>
          <w:p w14:paraId="5E7269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32E55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E4E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0C8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0DAE43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0CB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0B713F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2D6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014709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F62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46B207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806008D">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017F6D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8CC3E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7BD13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9AB6D">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25D58">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8FB67">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8ECB7">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14:paraId="17615BAE">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48AF6A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3610A0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903FA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提升居民生活质量</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9FA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96D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700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7F3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r>
      <w:tr w14:paraId="7D53C414">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46BF6E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29017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96787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有效改善人居环境</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503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AE2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724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0EC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r>
      <w:tr w14:paraId="3F11FB01">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7E3C9E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689D47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9BB8ED4">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6FA7D">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45719">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23DFD">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B5C20">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14:paraId="2FA3AAA5">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138935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F9A27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4539B86">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FC7FC">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0B3E0">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5F06A">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2D993">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14:paraId="63A542F0">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4D4D4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228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5EA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企业满意度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A02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7B0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511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17F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r>
      <w:tr w14:paraId="4BE25A19">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3AA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8BB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1B9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013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r>
    </w:tbl>
    <w:p w14:paraId="4E6CA462">
      <w:pPr>
        <w:bidi w:val="0"/>
        <w:outlineLvl w:val="2"/>
        <w:rPr>
          <w:rFonts w:hint="default"/>
          <w:b/>
          <w:bCs/>
          <w:color w:val="auto"/>
          <w:highlight w:val="none"/>
          <w:lang w:val="en-US" w:eastAsia="zh-CN"/>
        </w:rPr>
      </w:pPr>
      <w:r>
        <w:rPr>
          <w:rFonts w:hint="eastAsia"/>
          <w:b/>
          <w:bCs/>
          <w:color w:val="auto"/>
          <w:highlight w:val="none"/>
          <w:lang w:val="en-US" w:eastAsia="zh-CN"/>
        </w:rPr>
        <w:t>1.经济效益指标</w:t>
      </w:r>
    </w:p>
    <w:p w14:paraId="526B0F1C">
      <w:pPr>
        <w:bidi w:val="0"/>
        <w:rPr>
          <w:rFonts w:hint="eastAsia"/>
          <w:b/>
          <w:bCs/>
          <w:color w:val="auto"/>
          <w:highlight w:val="none"/>
          <w:lang w:val="en-US" w:eastAsia="zh-CN"/>
        </w:rPr>
      </w:pPr>
      <w:r>
        <w:rPr>
          <w:rFonts w:hint="eastAsia"/>
          <w:color w:val="auto"/>
          <w:highlight w:val="none"/>
          <w:lang w:val="en-US" w:eastAsia="zh-CN"/>
        </w:rPr>
        <w:t>本项目不涉及经济效益指标。</w:t>
      </w:r>
    </w:p>
    <w:p w14:paraId="4F4992D7">
      <w:pPr>
        <w:bidi w:val="0"/>
        <w:outlineLvl w:val="2"/>
        <w:rPr>
          <w:rFonts w:hint="eastAsia"/>
          <w:b/>
          <w:bCs/>
          <w:color w:val="auto"/>
          <w:highlight w:val="none"/>
          <w:lang w:val="en-US" w:eastAsia="zh-CN"/>
        </w:rPr>
      </w:pPr>
      <w:r>
        <w:rPr>
          <w:rFonts w:hint="eastAsia"/>
          <w:b/>
          <w:bCs/>
          <w:color w:val="auto"/>
          <w:highlight w:val="none"/>
          <w:lang w:val="en-US" w:eastAsia="zh-CN"/>
        </w:rPr>
        <w:t>2.社会效益指标</w:t>
      </w:r>
    </w:p>
    <w:p w14:paraId="5A3BE4EB">
      <w:pPr>
        <w:bidi w:val="0"/>
        <w:rPr>
          <w:rFonts w:hint="eastAsia"/>
          <w:b w:val="0"/>
          <w:bCs w:val="0"/>
          <w:color w:val="auto"/>
          <w:highlight w:val="none"/>
          <w:lang w:val="en-US" w:eastAsia="zh-CN"/>
        </w:rPr>
      </w:pPr>
      <w:r>
        <w:rPr>
          <w:rFonts w:hint="eastAsia" w:ascii="宋体" w:hAnsi="宋体" w:eastAsia="宋体" w:cs="宋体"/>
          <w:color w:val="auto"/>
          <w:highlight w:val="none"/>
          <w:lang w:val="en-US" w:eastAsia="zh-CN"/>
        </w:rPr>
        <w:t>“提升居民生活质量”指标，预期目标值为提升，实际完成为100%。</w:t>
      </w:r>
    </w:p>
    <w:p w14:paraId="04DBE071">
      <w:pPr>
        <w:pageBreakBefore w:val="0"/>
        <w:kinsoku/>
        <w:wordWrap/>
        <w:overflowPunct/>
        <w:topLinePunct w:val="0"/>
        <w:autoSpaceDE/>
        <w:autoSpaceDN/>
        <w:bidi w:val="0"/>
        <w:spacing w:line="560" w:lineRule="exact"/>
        <w:rPr>
          <w:rFonts w:hint="eastAsia"/>
          <w:color w:val="auto"/>
          <w:highlight w:val="none"/>
          <w:lang w:val="en-US" w:eastAsia="zh-CN"/>
        </w:rPr>
      </w:pPr>
      <w:r>
        <w:rPr>
          <w:rFonts w:hint="eastAsia"/>
          <w:b w:val="0"/>
          <w:bCs w:val="0"/>
          <w:color w:val="auto"/>
          <w:highlight w:val="none"/>
          <w:lang w:val="en-US" w:eastAsia="zh-CN"/>
        </w:rPr>
        <w:t>通过项目的实施，增加与企业之间的信任度，保证后期工程质量，提高人民满意度。</w:t>
      </w:r>
    </w:p>
    <w:p w14:paraId="2D4ECDEE">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4C8B23A2">
      <w:pPr>
        <w:bidi w:val="0"/>
        <w:rPr>
          <w:rFonts w:hint="eastAsia"/>
          <w:b w:val="0"/>
          <w:bCs w:val="0"/>
          <w:color w:val="auto"/>
          <w:highlight w:val="none"/>
          <w:lang w:val="en-US" w:eastAsia="zh-CN"/>
        </w:rPr>
      </w:pPr>
      <w:bookmarkStart w:id="75" w:name="_Toc23106"/>
      <w:r>
        <w:rPr>
          <w:rFonts w:hint="eastAsia" w:ascii="宋体" w:hAnsi="宋体" w:eastAsia="宋体" w:cs="宋体"/>
          <w:color w:val="auto"/>
          <w:highlight w:val="none"/>
          <w:lang w:val="en-US" w:eastAsia="zh-CN"/>
        </w:rPr>
        <w:t>“有效改善人居环境”指标，预期目标值为有效改善，实际完成为100%。</w:t>
      </w:r>
    </w:p>
    <w:p w14:paraId="71321FF0">
      <w:pPr>
        <w:pageBreakBefore w:val="0"/>
        <w:kinsoku/>
        <w:wordWrap/>
        <w:overflowPunct/>
        <w:topLinePunct w:val="0"/>
        <w:autoSpaceDE/>
        <w:autoSpaceDN/>
        <w:bidi w:val="0"/>
        <w:spacing w:line="560" w:lineRule="exact"/>
        <w:rPr>
          <w:rFonts w:hint="eastAsia"/>
          <w:color w:val="auto"/>
          <w:highlight w:val="none"/>
          <w:lang w:val="en-US" w:eastAsia="zh-CN"/>
        </w:rPr>
      </w:pPr>
      <w:r>
        <w:rPr>
          <w:rFonts w:hint="eastAsia"/>
          <w:b w:val="0"/>
          <w:bCs w:val="0"/>
          <w:color w:val="auto"/>
          <w:highlight w:val="none"/>
          <w:lang w:val="en-US" w:eastAsia="zh-CN"/>
        </w:rPr>
        <w:t>通过项目的实施，增加与企业之间的信任度，保证后期工程质量，提高人民满意度。</w:t>
      </w:r>
    </w:p>
    <w:p w14:paraId="2AF1E9BA">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349D45CD">
      <w:pPr>
        <w:bidi w:val="0"/>
        <w:outlineLvl w:val="2"/>
        <w:rPr>
          <w:rFonts w:hint="eastAsia"/>
          <w:color w:val="auto"/>
          <w:highlight w:val="none"/>
          <w:lang w:val="en-US" w:eastAsia="zh-CN"/>
        </w:rPr>
      </w:pPr>
      <w:r>
        <w:rPr>
          <w:rFonts w:hint="eastAsia"/>
          <w:b/>
          <w:bCs/>
          <w:color w:val="auto"/>
          <w:highlight w:val="none"/>
          <w:lang w:val="en-US" w:eastAsia="zh-CN"/>
        </w:rPr>
        <w:t>3.生态效益指标</w:t>
      </w:r>
      <w:bookmarkEnd w:id="75"/>
    </w:p>
    <w:p w14:paraId="110B5673">
      <w:pPr>
        <w:bidi w:val="0"/>
        <w:rPr>
          <w:rFonts w:hint="eastAsia"/>
          <w:b/>
          <w:bCs/>
          <w:color w:val="auto"/>
          <w:highlight w:val="none"/>
          <w:lang w:val="en-US" w:eastAsia="zh-CN"/>
        </w:rPr>
      </w:pPr>
      <w:bookmarkStart w:id="76" w:name="_Toc3271"/>
      <w:r>
        <w:rPr>
          <w:rFonts w:hint="eastAsia"/>
          <w:color w:val="auto"/>
          <w:highlight w:val="none"/>
          <w:lang w:val="en-US" w:eastAsia="zh-CN"/>
        </w:rPr>
        <w:t>本项目不涉及生态效益指标。</w:t>
      </w:r>
    </w:p>
    <w:p w14:paraId="4D9271CD">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6"/>
    </w:p>
    <w:p w14:paraId="463D48B4">
      <w:pPr>
        <w:bidi w:val="0"/>
        <w:rPr>
          <w:rFonts w:hint="eastAsia"/>
          <w:b/>
          <w:bCs/>
          <w:color w:val="auto"/>
          <w:highlight w:val="none"/>
          <w:lang w:val="en-US" w:eastAsia="zh-CN"/>
        </w:rPr>
      </w:pPr>
      <w:r>
        <w:rPr>
          <w:rFonts w:hint="eastAsia"/>
          <w:color w:val="auto"/>
          <w:highlight w:val="none"/>
          <w:lang w:eastAsia="zh-CN"/>
        </w:rPr>
        <w:t>“</w:t>
      </w:r>
      <w:r>
        <w:rPr>
          <w:rFonts w:hint="eastAsia" w:ascii="宋体" w:hAnsi="宋体" w:eastAsia="宋体" w:cs="宋体"/>
          <w:color w:val="auto"/>
          <w:highlight w:val="none"/>
          <w:lang w:val="en-US" w:eastAsia="zh-CN"/>
        </w:rPr>
        <w:t>企业满意度</w:t>
      </w:r>
      <w:r>
        <w:rPr>
          <w:rFonts w:hint="eastAsia"/>
          <w:color w:val="auto"/>
          <w:highlight w:val="none"/>
          <w:lang w:eastAsia="zh-CN"/>
        </w:rPr>
        <w:t>”</w:t>
      </w:r>
      <w:r>
        <w:rPr>
          <w:rFonts w:hint="eastAsia"/>
          <w:color w:val="auto"/>
          <w:highlight w:val="none"/>
          <w:lang w:val="en-US" w:eastAsia="zh-CN"/>
        </w:rPr>
        <w:t>指标</w:t>
      </w:r>
      <w:r>
        <w:rPr>
          <w:rFonts w:hint="eastAsia" w:ascii="宋体" w:hAnsi="宋体" w:eastAsia="宋体" w:cs="宋体"/>
          <w:color w:val="auto"/>
          <w:highlight w:val="none"/>
          <w:lang w:val="en-US" w:eastAsia="zh-CN"/>
        </w:rPr>
        <w:t>，预期目标值为≥90%，实际完成为100%</w:t>
      </w:r>
      <w:r>
        <w:rPr>
          <w:rFonts w:hint="eastAsia"/>
          <w:color w:val="auto"/>
          <w:highlight w:val="none"/>
          <w:lang w:val="en-US" w:eastAsia="zh-CN"/>
        </w:rPr>
        <w:t>。</w:t>
      </w:r>
    </w:p>
    <w:p w14:paraId="6BF558FD">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bookmarkEnd w:id="74"/>
    <w:p w14:paraId="0D650D34">
      <w:pPr>
        <w:pStyle w:val="3"/>
        <w:pageBreakBefore w:val="0"/>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auto"/>
          <w:highlight w:val="none"/>
          <w:shd w:val="clear" w:color="auto" w:fill="auto"/>
          <w:lang w:val="en-US" w:eastAsia="zh-CN"/>
        </w:rPr>
      </w:pPr>
      <w:bookmarkStart w:id="77" w:name="_Toc19962"/>
      <w:r>
        <w:rPr>
          <w:rFonts w:hint="eastAsia" w:ascii="宋体" w:hAnsi="宋体" w:eastAsia="宋体" w:cs="宋体"/>
          <w:b/>
          <w:bCs/>
          <w:color w:val="auto"/>
          <w:highlight w:val="none"/>
          <w:shd w:val="clear" w:color="auto" w:fill="auto"/>
          <w:lang w:val="en-US" w:eastAsia="zh-CN"/>
        </w:rPr>
        <w:t>五、预算执行进度与指标偏差</w:t>
      </w:r>
      <w:bookmarkEnd w:id="77"/>
    </w:p>
    <w:p w14:paraId="0F2DB36C">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cs="仿宋_GB2312"/>
          <w:b w:val="0"/>
          <w:bCs w:val="0"/>
          <w:color w:val="auto"/>
          <w:sz w:val="28"/>
          <w:szCs w:val="28"/>
          <w:highlight w:val="none"/>
          <w:lang w:val="en-US" w:eastAsia="zh-CN"/>
        </w:rPr>
      </w:pPr>
      <w:r>
        <w:rPr>
          <w:rFonts w:hint="eastAsia" w:cs="仿宋_GB2312"/>
          <w:b w:val="0"/>
          <w:bCs w:val="0"/>
          <w:color w:val="auto"/>
          <w:sz w:val="28"/>
          <w:szCs w:val="28"/>
          <w:highlight w:val="none"/>
          <w:lang w:val="en-US" w:eastAsia="zh-CN"/>
        </w:rPr>
        <w:t>该</w:t>
      </w:r>
      <w:r>
        <w:rPr>
          <w:rFonts w:hint="eastAsia" w:cs="仿宋_GB2312"/>
          <w:b w:val="0"/>
          <w:bCs w:val="0"/>
          <w:color w:val="auto"/>
          <w:sz w:val="28"/>
          <w:szCs w:val="28"/>
          <w:highlight w:val="none"/>
          <w:lang w:eastAsia="zh-CN"/>
        </w:rPr>
        <w:t>项目预算资金总额为</w:t>
      </w:r>
      <w:r>
        <w:rPr>
          <w:rFonts w:hint="eastAsia"/>
          <w:b w:val="0"/>
          <w:bCs w:val="0"/>
          <w:color w:val="auto"/>
          <w:highlight w:val="none"/>
          <w:lang w:val="en-US" w:eastAsia="zh-CN"/>
        </w:rPr>
        <w:t>244.48</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244.48</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14:paraId="65CF2B2E">
      <w:pPr>
        <w:pStyle w:val="3"/>
        <w:pageBreakBefore w:val="0"/>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auto"/>
          <w:highlight w:val="none"/>
          <w:shd w:val="clear" w:color="auto" w:fill="auto"/>
          <w:lang w:val="en-US" w:eastAsia="zh-CN"/>
        </w:rPr>
      </w:pPr>
      <w:bookmarkStart w:id="78"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8"/>
    </w:p>
    <w:p w14:paraId="689B37F9">
      <w:pPr>
        <w:pageBreakBefore w:val="0"/>
        <w:numPr>
          <w:ilvl w:val="0"/>
          <w:numId w:val="0"/>
        </w:numPr>
        <w:kinsoku/>
        <w:wordWrap/>
        <w:overflowPunct/>
        <w:topLinePunct w:val="0"/>
        <w:autoSpaceDE/>
        <w:autoSpaceDN/>
        <w:bidi w:val="0"/>
        <w:spacing w:line="560" w:lineRule="exact"/>
        <w:ind w:left="560" w:leftChars="0"/>
        <w:outlineLvl w:val="1"/>
        <w:rPr>
          <w:rFonts w:hint="eastAsia"/>
          <w:b/>
          <w:bCs/>
          <w:color w:val="auto"/>
          <w:highlight w:val="none"/>
          <w:lang w:eastAsia="zh-CN"/>
        </w:rPr>
      </w:pPr>
      <w:bookmarkStart w:id="79" w:name="_Toc13160"/>
      <w:bookmarkStart w:id="80" w:name="_Toc1921"/>
      <w:bookmarkStart w:id="81"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79"/>
    </w:p>
    <w:p w14:paraId="43B44A99">
      <w:pPr>
        <w:pageBreakBefore w:val="0"/>
        <w:kinsoku/>
        <w:wordWrap/>
        <w:overflowPunct/>
        <w:topLinePunct w:val="0"/>
        <w:autoSpaceDE/>
        <w:autoSpaceDN/>
        <w:bidi w:val="0"/>
        <w:spacing w:line="560" w:lineRule="exact"/>
        <w:rPr>
          <w:rFonts w:hint="eastAsia"/>
          <w:color w:val="auto"/>
          <w:highlight w:val="none"/>
          <w:lang w:eastAsia="zh-CN"/>
        </w:rPr>
      </w:pPr>
      <w:r>
        <w:rPr>
          <w:rFonts w:hint="eastAsia" w:ascii="宋体" w:hAnsi="宋体" w:eastAsia="宋体" w:cs="宋体"/>
          <w:b w:val="0"/>
          <w:bCs w:val="0"/>
          <w:color w:val="auto"/>
          <w:kern w:val="2"/>
          <w:sz w:val="28"/>
          <w:szCs w:val="28"/>
          <w:highlight w:val="none"/>
          <w:shd w:val="clear" w:color="auto" w:fill="auto"/>
          <w:lang w:val="en-US" w:eastAsia="zh-CN" w:bidi="ar-SA"/>
        </w:rPr>
        <w:t>阜康市滋泥泉子镇化债项目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244.48</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244.48</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6D02BA6D">
      <w:pPr>
        <w:pageBreakBefore w:val="0"/>
        <w:kinsoku/>
        <w:wordWrap/>
        <w:overflowPunct/>
        <w:topLinePunct w:val="0"/>
        <w:autoSpaceDE/>
        <w:autoSpaceDN/>
        <w:bidi w:val="0"/>
        <w:spacing w:line="560" w:lineRule="exact"/>
        <w:rPr>
          <w:rFonts w:hint="eastAsia"/>
          <w:color w:val="auto"/>
          <w:highlight w:val="none"/>
          <w:lang w:eastAsia="zh-CN"/>
        </w:rPr>
      </w:pPr>
      <w:r>
        <w:rPr>
          <w:rFonts w:hint="eastAsia"/>
          <w:color w:val="auto"/>
          <w:highlight w:val="none"/>
          <w:lang w:val="en-US" w:eastAsia="zh-CN"/>
        </w:rPr>
        <w:t>阜康市滋泥泉子镇人民政府</w:t>
      </w:r>
      <w:r>
        <w:rPr>
          <w:rFonts w:hint="eastAsia"/>
          <w:color w:val="auto"/>
          <w:highlight w:val="none"/>
          <w:lang w:eastAsia="zh-CN"/>
        </w:rPr>
        <w:t>建立健全了预算管理规章制度，各部门严格按预算编制的原则和要求做好当年预算编制工作</w:t>
      </w:r>
      <w:bookmarkStart w:id="84" w:name="_GoBack"/>
      <w:bookmarkEnd w:id="84"/>
      <w:r>
        <w:rPr>
          <w:rFonts w:hint="eastAsia"/>
          <w:color w:val="auto"/>
          <w:highlight w:val="none"/>
          <w:lang w:eastAsia="zh-CN"/>
        </w:rPr>
        <w:t>，在预算绩效管理工作中，做到合理安排各项资金，重点保障基本支出，按轻重缓急顺序原则，优先安排了</w:t>
      </w:r>
      <w:r>
        <w:rPr>
          <w:rFonts w:hint="eastAsia"/>
          <w:color w:val="auto"/>
          <w:highlight w:val="none"/>
          <w:lang w:val="en-US" w:eastAsia="zh-CN"/>
        </w:rPr>
        <w:t>阜康市滋泥泉子镇人民政府</w:t>
      </w:r>
      <w:r>
        <w:rPr>
          <w:rFonts w:hint="eastAsia"/>
          <w:color w:val="auto"/>
          <w:highlight w:val="none"/>
          <w:lang w:eastAsia="zh-CN"/>
        </w:rPr>
        <w:t>事业发展中关系民生与稳定的项目，切实优化资源配置，提高了资金使用的效率和效果。</w:t>
      </w:r>
    </w:p>
    <w:p w14:paraId="1140245F">
      <w:pPr>
        <w:pageBreakBefore w:val="0"/>
        <w:numPr>
          <w:ilvl w:val="0"/>
          <w:numId w:val="2"/>
        </w:numPr>
        <w:kinsoku/>
        <w:wordWrap/>
        <w:overflowPunct/>
        <w:topLinePunct w:val="0"/>
        <w:autoSpaceDE/>
        <w:autoSpaceDN/>
        <w:bidi w:val="0"/>
        <w:spacing w:line="560" w:lineRule="exact"/>
        <w:ind w:left="-2" w:leftChars="0" w:firstLine="562" w:firstLineChars="0"/>
        <w:outlineLvl w:val="1"/>
        <w:rPr>
          <w:rFonts w:hint="eastAsia"/>
          <w:b/>
          <w:bCs/>
          <w:color w:val="auto"/>
          <w:highlight w:val="none"/>
          <w:lang w:val="en-US" w:eastAsia="zh-CN"/>
        </w:rPr>
      </w:pPr>
      <w:r>
        <w:rPr>
          <w:rFonts w:hint="eastAsia"/>
          <w:b/>
          <w:bCs/>
          <w:color w:val="auto"/>
          <w:highlight w:val="none"/>
          <w:lang w:val="en-US" w:eastAsia="zh-CN"/>
        </w:rPr>
        <w:t>存在的问题及原因分析</w:t>
      </w:r>
    </w:p>
    <w:p w14:paraId="5F4BE6B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highlight w:val="none"/>
        </w:rPr>
      </w:pPr>
      <w:r>
        <w:rPr>
          <w:rFonts w:hint="eastAsia" w:cs="宋体"/>
          <w:color w:val="auto"/>
          <w:highlight w:val="none"/>
          <w:lang w:val="en-US" w:eastAsia="zh-CN"/>
        </w:rPr>
        <w:t>1、是</w:t>
      </w:r>
      <w:r>
        <w:rPr>
          <w:rFonts w:hint="eastAsia" w:cs="宋体"/>
          <w:color w:val="auto"/>
          <w:highlight w:val="none"/>
          <w:lang w:eastAsia="zh-CN"/>
        </w:rPr>
        <w:t>项目人员在项目档案管理方面有所欠缺，管理制度不够完善，原因是项目人员专业不对口</w:t>
      </w:r>
      <w:r>
        <w:rPr>
          <w:rFonts w:hint="eastAsia" w:ascii="宋体" w:hAnsi="宋体" w:eastAsia="宋体" w:cs="宋体"/>
          <w:color w:val="auto"/>
          <w:highlight w:val="none"/>
        </w:rPr>
        <w:t>。</w:t>
      </w:r>
    </w:p>
    <w:p w14:paraId="410B00A4">
      <w:pPr>
        <w:pageBreakBefore w:val="0"/>
        <w:kinsoku/>
        <w:wordWrap/>
        <w:overflowPunct/>
        <w:topLinePunct w:val="0"/>
        <w:autoSpaceDE/>
        <w:autoSpaceDN/>
        <w:bidi w:val="0"/>
        <w:spacing w:line="560" w:lineRule="exact"/>
        <w:rPr>
          <w:rFonts w:hint="default"/>
          <w:color w:val="auto"/>
          <w:highlight w:val="none"/>
          <w:lang w:val="en-US"/>
        </w:rPr>
      </w:pPr>
      <w:r>
        <w:rPr>
          <w:rFonts w:hint="eastAsia"/>
          <w:color w:val="auto"/>
          <w:highlight w:val="none"/>
          <w:lang w:val="en-US" w:eastAsia="zh-CN"/>
        </w:rPr>
        <w:t>2、项目管理相关规章制度完善度有所欠缺，领导对项目管理不够重视，项目进度缓慢，档案资料不够完善，审批手续有所缺失，管理水平有待提高。</w:t>
      </w:r>
    </w:p>
    <w:p w14:paraId="43B0ECB9">
      <w:pPr>
        <w:pStyle w:val="3"/>
        <w:pageBreakBefore w:val="0"/>
        <w:kinsoku/>
        <w:wordWrap/>
        <w:overflowPunct/>
        <w:topLinePunct w:val="0"/>
        <w:autoSpaceDE/>
        <w:autoSpaceDN/>
        <w:bidi w:val="0"/>
        <w:spacing w:line="560" w:lineRule="exact"/>
        <w:ind w:firstLine="643"/>
        <w:rPr>
          <w:rFonts w:ascii="宋体" w:hAnsi="宋体" w:eastAsia="宋体"/>
          <w:b/>
          <w:bCs/>
          <w:color w:val="auto"/>
          <w:highlight w:val="none"/>
        </w:rPr>
      </w:pPr>
      <w:r>
        <w:rPr>
          <w:rFonts w:hint="eastAsia" w:ascii="宋体" w:hAnsi="宋体" w:eastAsia="宋体"/>
          <w:b/>
          <w:bCs/>
          <w:color w:val="auto"/>
          <w:highlight w:val="none"/>
          <w:lang w:eastAsia="zh-CN"/>
        </w:rPr>
        <w:t>七</w:t>
      </w:r>
      <w:r>
        <w:rPr>
          <w:rFonts w:hint="eastAsia" w:ascii="宋体" w:hAnsi="宋体" w:eastAsia="宋体"/>
          <w:b/>
          <w:bCs/>
          <w:color w:val="auto"/>
          <w:highlight w:val="none"/>
        </w:rPr>
        <w:t>、有关建议</w:t>
      </w:r>
    </w:p>
    <w:p w14:paraId="7D8852D3">
      <w:pPr>
        <w:pageBreakBefore w:val="0"/>
        <w:kinsoku/>
        <w:wordWrap/>
        <w:overflowPunct/>
        <w:topLinePunct w:val="0"/>
        <w:autoSpaceDE/>
        <w:autoSpaceDN/>
        <w:bidi w:val="0"/>
        <w:spacing w:line="560" w:lineRule="exact"/>
        <w:ind w:firstLine="560"/>
        <w:rPr>
          <w:rFonts w:hint="eastAsia" w:ascii="宋体" w:hAnsi="宋体" w:eastAsia="宋体" w:cs="宋体"/>
          <w:color w:val="auto"/>
          <w:highlight w:val="none"/>
          <w:lang w:val="en-US" w:eastAsia="zh-CN"/>
        </w:rPr>
      </w:pPr>
      <w:r>
        <w:rPr>
          <w:rFonts w:hint="eastAsia" w:cs="宋体"/>
          <w:color w:val="auto"/>
          <w:highlight w:val="none"/>
          <w:lang w:val="en-US" w:eastAsia="zh-CN"/>
        </w:rPr>
        <w:t>一是加强项目档案管理，确保项目实施全过程留痕，所有合同及检查都应留有相应资料，便于后续查验</w:t>
      </w:r>
      <w:r>
        <w:rPr>
          <w:rFonts w:hint="eastAsia" w:ascii="宋体" w:hAnsi="宋体" w:eastAsia="宋体" w:cs="宋体"/>
          <w:color w:val="auto"/>
          <w:highlight w:val="none"/>
          <w:lang w:val="en-US" w:eastAsia="zh-CN"/>
        </w:rPr>
        <w:t>。</w:t>
      </w:r>
    </w:p>
    <w:p w14:paraId="70E0EDCB">
      <w:pPr>
        <w:pageBreakBefore w:val="0"/>
        <w:kinsoku/>
        <w:wordWrap/>
        <w:overflowPunct/>
        <w:topLinePunct w:val="0"/>
        <w:autoSpaceDE/>
        <w:autoSpaceDN/>
        <w:bidi w:val="0"/>
        <w:spacing w:line="560" w:lineRule="exact"/>
        <w:rPr>
          <w:rFonts w:hint="eastAsia"/>
          <w:color w:val="auto"/>
          <w:highlight w:val="none"/>
          <w:lang w:val="en-US" w:eastAsia="zh-CN"/>
        </w:rPr>
      </w:pPr>
      <w:r>
        <w:rPr>
          <w:rFonts w:hint="eastAsia"/>
          <w:color w:val="auto"/>
          <w:highlight w:val="none"/>
          <w:lang w:val="en-US" w:eastAsia="zh-CN"/>
        </w:rPr>
        <w:t>二是建立健全项目管理相关规章制度，在工程建设中，重视工程项目管理，是做好项目管理工作的基础和前提，严格规范招投标制度，加强项目管理，提高管理水平，最重要的措施是严格执行项目法人责任制度，这是保障项目顺利开展的最关键因素。</w:t>
      </w:r>
    </w:p>
    <w:bookmarkEnd w:id="80"/>
    <w:bookmarkEnd w:id="81"/>
    <w:p w14:paraId="63C2C5DE">
      <w:pPr>
        <w:pStyle w:val="3"/>
        <w:pageBreakBefore w:val="0"/>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auto"/>
          <w:highlight w:val="none"/>
          <w:shd w:val="clear" w:color="auto" w:fill="auto"/>
          <w:lang w:val="en-US" w:eastAsia="zh-CN"/>
        </w:rPr>
      </w:pPr>
      <w:bookmarkStart w:id="82" w:name="_Toc15618"/>
      <w:r>
        <w:rPr>
          <w:rFonts w:hint="eastAsia" w:ascii="宋体" w:hAnsi="宋体" w:eastAsia="宋体" w:cs="宋体"/>
          <w:b/>
          <w:bCs/>
          <w:color w:val="auto"/>
          <w:highlight w:val="none"/>
          <w:shd w:val="clear" w:color="auto" w:fill="auto"/>
          <w:lang w:val="en-US" w:eastAsia="zh-CN"/>
        </w:rPr>
        <w:t>八、其他需要说明的问题</w:t>
      </w:r>
      <w:bookmarkEnd w:id="82"/>
    </w:p>
    <w:p w14:paraId="2A58C733">
      <w:pPr>
        <w:pageBreakBefore w:val="0"/>
        <w:kinsoku/>
        <w:wordWrap/>
        <w:overflowPunct/>
        <w:topLinePunct w:val="0"/>
        <w:autoSpaceDE/>
        <w:autoSpaceDN/>
        <w:bidi w:val="0"/>
        <w:spacing w:line="560" w:lineRule="exac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18FDE87D">
      <w:pPr>
        <w:pageBreakBefore w:val="0"/>
        <w:kinsoku/>
        <w:wordWrap/>
        <w:overflowPunct/>
        <w:topLinePunct w:val="0"/>
        <w:autoSpaceDE/>
        <w:autoSpaceDN/>
        <w:bidi w:val="0"/>
        <w:spacing w:line="560" w:lineRule="exact"/>
        <w:rPr>
          <w:rFonts w:hint="eastAsia" w:cs="宋体"/>
          <w:color w:val="auto"/>
          <w:highlight w:val="none"/>
          <w:shd w:val="clear" w:color="auto" w:fill="auto"/>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3D4D582B">
      <w:pPr>
        <w:pageBreakBefore w:val="0"/>
        <w:kinsoku/>
        <w:wordWrap/>
        <w:overflowPunct/>
        <w:topLinePunct w:val="0"/>
        <w:autoSpaceDE/>
        <w:autoSpaceDN/>
        <w:bidi w:val="0"/>
        <w:spacing w:line="560" w:lineRule="exact"/>
        <w:ind w:left="0" w:leftChars="0" w:firstLine="0" w:firstLineChars="0"/>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附件一、项目支出绩效自评表</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16"/>
        <w:gridCol w:w="717"/>
        <w:gridCol w:w="932"/>
        <w:gridCol w:w="1334"/>
        <w:gridCol w:w="1203"/>
        <w:gridCol w:w="942"/>
        <w:gridCol w:w="692"/>
        <w:gridCol w:w="711"/>
        <w:gridCol w:w="1024"/>
        <w:gridCol w:w="1022"/>
        <w:gridCol w:w="802"/>
        <w:gridCol w:w="1062"/>
        <w:gridCol w:w="1014"/>
        <w:gridCol w:w="2003"/>
      </w:tblGrid>
      <w:tr w14:paraId="442E1A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l2br w:val="nil"/>
              <w:tr2bl w:val="nil"/>
            </w:tcBorders>
            <w:shd w:val="clear" w:color="auto" w:fill="auto"/>
            <w:vAlign w:val="center"/>
          </w:tcPr>
          <w:p w14:paraId="42825342">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39B06D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l2br w:val="nil"/>
              <w:tr2bl w:val="nil"/>
            </w:tcBorders>
            <w:shd w:val="clear" w:color="auto" w:fill="auto"/>
            <w:vAlign w:val="center"/>
          </w:tcPr>
          <w:p w14:paraId="3966A6E4">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3B07A9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33" w:type="dxa"/>
            <w:gridSpan w:val="2"/>
            <w:tcBorders>
              <w:top w:val="single" w:color="auto" w:sz="4" w:space="0"/>
              <w:tl2br w:val="nil"/>
              <w:tr2bl w:val="nil"/>
            </w:tcBorders>
            <w:shd w:val="clear" w:color="auto" w:fill="auto"/>
            <w:vAlign w:val="center"/>
          </w:tcPr>
          <w:p w14:paraId="442D48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41" w:type="dxa"/>
            <w:gridSpan w:val="12"/>
            <w:tcBorders>
              <w:top w:val="single" w:color="auto" w:sz="4" w:space="0"/>
              <w:tl2br w:val="nil"/>
              <w:tr2bl w:val="nil"/>
            </w:tcBorders>
            <w:shd w:val="clear" w:color="auto" w:fill="auto"/>
            <w:vAlign w:val="center"/>
          </w:tcPr>
          <w:p w14:paraId="690088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阜康市滋泥泉子镇化债项目</w:t>
            </w:r>
          </w:p>
        </w:tc>
      </w:tr>
      <w:tr w14:paraId="5F050F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433" w:type="dxa"/>
            <w:gridSpan w:val="2"/>
            <w:tcBorders>
              <w:tl2br w:val="nil"/>
              <w:tr2bl w:val="nil"/>
            </w:tcBorders>
            <w:shd w:val="clear" w:color="auto" w:fill="auto"/>
            <w:vAlign w:val="center"/>
          </w:tcPr>
          <w:p w14:paraId="77ABFB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03" w:type="dxa"/>
            <w:gridSpan w:val="5"/>
            <w:tcBorders>
              <w:tl2br w:val="nil"/>
              <w:tr2bl w:val="nil"/>
            </w:tcBorders>
            <w:shd w:val="clear" w:color="auto" w:fill="auto"/>
            <w:vAlign w:val="center"/>
          </w:tcPr>
          <w:p w14:paraId="102E57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阜康市滋泥泉子镇人民政府</w:t>
            </w:r>
          </w:p>
        </w:tc>
        <w:tc>
          <w:tcPr>
            <w:tcW w:w="1735" w:type="dxa"/>
            <w:gridSpan w:val="2"/>
            <w:tcBorders>
              <w:tl2br w:val="nil"/>
              <w:tr2bl w:val="nil"/>
            </w:tcBorders>
            <w:shd w:val="clear" w:color="auto" w:fill="auto"/>
            <w:vAlign w:val="center"/>
          </w:tcPr>
          <w:p w14:paraId="17860B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903" w:type="dxa"/>
            <w:gridSpan w:val="5"/>
            <w:tcBorders>
              <w:tl2br w:val="nil"/>
              <w:tr2bl w:val="nil"/>
            </w:tcBorders>
            <w:shd w:val="clear" w:color="auto" w:fill="auto"/>
            <w:vAlign w:val="center"/>
          </w:tcPr>
          <w:p w14:paraId="7739FF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阜康市滋泥泉子镇人民政府</w:t>
            </w:r>
          </w:p>
        </w:tc>
      </w:tr>
      <w:tr w14:paraId="1F9A97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433" w:type="dxa"/>
            <w:gridSpan w:val="2"/>
            <w:vMerge w:val="restart"/>
            <w:tcBorders>
              <w:tl2br w:val="nil"/>
              <w:tr2bl w:val="nil"/>
            </w:tcBorders>
            <w:shd w:val="clear" w:color="auto" w:fill="auto"/>
            <w:vAlign w:val="center"/>
          </w:tcPr>
          <w:p w14:paraId="0E7A43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66" w:type="dxa"/>
            <w:gridSpan w:val="2"/>
            <w:tcBorders>
              <w:tl2br w:val="nil"/>
              <w:tr2bl w:val="nil"/>
            </w:tcBorders>
            <w:shd w:val="clear" w:color="auto" w:fill="auto"/>
            <w:vAlign w:val="center"/>
          </w:tcPr>
          <w:p w14:paraId="58A01F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203" w:type="dxa"/>
            <w:tcBorders>
              <w:tl2br w:val="nil"/>
              <w:tr2bl w:val="nil"/>
            </w:tcBorders>
            <w:shd w:val="clear" w:color="auto" w:fill="auto"/>
            <w:vAlign w:val="center"/>
          </w:tcPr>
          <w:p w14:paraId="3B896F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34" w:type="dxa"/>
            <w:gridSpan w:val="2"/>
            <w:tcBorders>
              <w:tl2br w:val="nil"/>
              <w:tr2bl w:val="nil"/>
            </w:tcBorders>
            <w:shd w:val="clear" w:color="auto" w:fill="auto"/>
            <w:vAlign w:val="center"/>
          </w:tcPr>
          <w:p w14:paraId="27DF0C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735" w:type="dxa"/>
            <w:gridSpan w:val="2"/>
            <w:tcBorders>
              <w:tl2br w:val="nil"/>
              <w:tr2bl w:val="nil"/>
            </w:tcBorders>
            <w:shd w:val="clear" w:color="auto" w:fill="auto"/>
            <w:vAlign w:val="center"/>
          </w:tcPr>
          <w:p w14:paraId="12033D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824" w:type="dxa"/>
            <w:gridSpan w:val="2"/>
            <w:tcBorders>
              <w:tl2br w:val="nil"/>
              <w:tr2bl w:val="nil"/>
            </w:tcBorders>
            <w:shd w:val="clear" w:color="auto" w:fill="auto"/>
            <w:vAlign w:val="center"/>
          </w:tcPr>
          <w:p w14:paraId="23C278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76" w:type="dxa"/>
            <w:gridSpan w:val="2"/>
            <w:tcBorders>
              <w:tl2br w:val="nil"/>
              <w:tr2bl w:val="nil"/>
            </w:tcBorders>
            <w:shd w:val="clear" w:color="auto" w:fill="auto"/>
            <w:vAlign w:val="center"/>
          </w:tcPr>
          <w:p w14:paraId="0AB536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003" w:type="dxa"/>
            <w:tcBorders>
              <w:tl2br w:val="nil"/>
              <w:tr2bl w:val="nil"/>
            </w:tcBorders>
            <w:shd w:val="clear" w:color="auto" w:fill="auto"/>
            <w:vAlign w:val="center"/>
          </w:tcPr>
          <w:p w14:paraId="53E540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6F3DBD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33" w:type="dxa"/>
            <w:gridSpan w:val="2"/>
            <w:vMerge w:val="continue"/>
            <w:tcBorders>
              <w:tl2br w:val="nil"/>
              <w:tr2bl w:val="nil"/>
            </w:tcBorders>
            <w:shd w:val="clear" w:color="auto" w:fill="auto"/>
            <w:vAlign w:val="center"/>
          </w:tcPr>
          <w:p w14:paraId="13ADC175">
            <w:pPr>
              <w:jc w:val="center"/>
              <w:rPr>
                <w:rFonts w:hint="eastAsia" w:ascii="宋体" w:hAnsi="宋体" w:eastAsia="宋体" w:cs="宋体"/>
                <w:i w:val="0"/>
                <w:iCs w:val="0"/>
                <w:color w:val="000000"/>
                <w:sz w:val="20"/>
                <w:szCs w:val="20"/>
                <w:u w:val="none"/>
              </w:rPr>
            </w:pPr>
          </w:p>
        </w:tc>
        <w:tc>
          <w:tcPr>
            <w:tcW w:w="2266" w:type="dxa"/>
            <w:gridSpan w:val="2"/>
            <w:tcBorders>
              <w:tl2br w:val="nil"/>
              <w:tr2bl w:val="nil"/>
            </w:tcBorders>
            <w:shd w:val="clear" w:color="auto" w:fill="auto"/>
            <w:vAlign w:val="center"/>
          </w:tcPr>
          <w:p w14:paraId="3DC003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03" w:type="dxa"/>
            <w:tcBorders>
              <w:tl2br w:val="nil"/>
              <w:tr2bl w:val="nil"/>
            </w:tcBorders>
            <w:shd w:val="clear" w:color="auto" w:fill="auto"/>
            <w:vAlign w:val="center"/>
          </w:tcPr>
          <w:p w14:paraId="39DF14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244.48 </w:t>
            </w:r>
          </w:p>
        </w:tc>
        <w:tc>
          <w:tcPr>
            <w:tcW w:w="1634" w:type="dxa"/>
            <w:gridSpan w:val="2"/>
            <w:tcBorders>
              <w:tl2br w:val="nil"/>
              <w:tr2bl w:val="nil"/>
            </w:tcBorders>
            <w:shd w:val="clear" w:color="auto" w:fill="auto"/>
            <w:vAlign w:val="center"/>
          </w:tcPr>
          <w:p w14:paraId="09558D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244.48 </w:t>
            </w:r>
          </w:p>
        </w:tc>
        <w:tc>
          <w:tcPr>
            <w:tcW w:w="1735" w:type="dxa"/>
            <w:gridSpan w:val="2"/>
            <w:tcBorders>
              <w:tl2br w:val="nil"/>
              <w:tr2bl w:val="nil"/>
            </w:tcBorders>
            <w:shd w:val="clear" w:color="auto" w:fill="auto"/>
            <w:vAlign w:val="center"/>
          </w:tcPr>
          <w:p w14:paraId="0356FD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244.48 </w:t>
            </w:r>
          </w:p>
        </w:tc>
        <w:tc>
          <w:tcPr>
            <w:tcW w:w="1824" w:type="dxa"/>
            <w:gridSpan w:val="2"/>
            <w:tcBorders>
              <w:tl2br w:val="nil"/>
              <w:tr2bl w:val="nil"/>
            </w:tcBorders>
            <w:shd w:val="clear" w:color="auto" w:fill="auto"/>
            <w:vAlign w:val="center"/>
          </w:tcPr>
          <w:p w14:paraId="5F9CB0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76" w:type="dxa"/>
            <w:gridSpan w:val="2"/>
            <w:tcBorders>
              <w:tl2br w:val="nil"/>
              <w:tr2bl w:val="nil"/>
            </w:tcBorders>
            <w:shd w:val="clear" w:color="auto" w:fill="auto"/>
            <w:vAlign w:val="center"/>
          </w:tcPr>
          <w:p w14:paraId="47A266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003" w:type="dxa"/>
            <w:tcBorders>
              <w:tl2br w:val="nil"/>
              <w:tr2bl w:val="nil"/>
            </w:tcBorders>
            <w:shd w:val="clear" w:color="auto" w:fill="auto"/>
            <w:vAlign w:val="center"/>
          </w:tcPr>
          <w:p w14:paraId="44E6C3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48A98A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433" w:type="dxa"/>
            <w:gridSpan w:val="2"/>
            <w:vMerge w:val="continue"/>
            <w:tcBorders>
              <w:tl2br w:val="nil"/>
              <w:tr2bl w:val="nil"/>
            </w:tcBorders>
            <w:shd w:val="clear" w:color="auto" w:fill="auto"/>
            <w:vAlign w:val="center"/>
          </w:tcPr>
          <w:p w14:paraId="2736F228">
            <w:pPr>
              <w:jc w:val="center"/>
              <w:rPr>
                <w:rFonts w:hint="eastAsia" w:ascii="宋体" w:hAnsi="宋体" w:eastAsia="宋体" w:cs="宋体"/>
                <w:i w:val="0"/>
                <w:iCs w:val="0"/>
                <w:color w:val="000000"/>
                <w:sz w:val="20"/>
                <w:szCs w:val="20"/>
                <w:u w:val="none"/>
              </w:rPr>
            </w:pPr>
          </w:p>
        </w:tc>
        <w:tc>
          <w:tcPr>
            <w:tcW w:w="2266" w:type="dxa"/>
            <w:gridSpan w:val="2"/>
            <w:tcBorders>
              <w:tl2br w:val="nil"/>
              <w:tr2bl w:val="nil"/>
            </w:tcBorders>
            <w:shd w:val="clear" w:color="auto" w:fill="auto"/>
            <w:vAlign w:val="center"/>
          </w:tcPr>
          <w:p w14:paraId="3D4C1A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03" w:type="dxa"/>
            <w:tcBorders>
              <w:tl2br w:val="nil"/>
              <w:tr2bl w:val="nil"/>
            </w:tcBorders>
            <w:shd w:val="clear" w:color="auto" w:fill="auto"/>
            <w:vAlign w:val="center"/>
          </w:tcPr>
          <w:p w14:paraId="2B37CA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244.48 </w:t>
            </w:r>
          </w:p>
        </w:tc>
        <w:tc>
          <w:tcPr>
            <w:tcW w:w="1634" w:type="dxa"/>
            <w:gridSpan w:val="2"/>
            <w:tcBorders>
              <w:tl2br w:val="nil"/>
              <w:tr2bl w:val="nil"/>
            </w:tcBorders>
            <w:shd w:val="clear" w:color="auto" w:fill="auto"/>
            <w:vAlign w:val="center"/>
          </w:tcPr>
          <w:p w14:paraId="028848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244.48 </w:t>
            </w:r>
          </w:p>
        </w:tc>
        <w:tc>
          <w:tcPr>
            <w:tcW w:w="1735" w:type="dxa"/>
            <w:gridSpan w:val="2"/>
            <w:tcBorders>
              <w:tl2br w:val="nil"/>
              <w:tr2bl w:val="nil"/>
            </w:tcBorders>
            <w:shd w:val="clear" w:color="auto" w:fill="auto"/>
            <w:vAlign w:val="center"/>
          </w:tcPr>
          <w:p w14:paraId="0990DC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244.48 </w:t>
            </w:r>
          </w:p>
        </w:tc>
        <w:tc>
          <w:tcPr>
            <w:tcW w:w="1824" w:type="dxa"/>
            <w:gridSpan w:val="2"/>
            <w:tcBorders>
              <w:tl2br w:val="nil"/>
              <w:tr2bl w:val="nil"/>
            </w:tcBorders>
            <w:shd w:val="clear" w:color="auto" w:fill="auto"/>
            <w:vAlign w:val="center"/>
          </w:tcPr>
          <w:p w14:paraId="4A3BD4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76" w:type="dxa"/>
            <w:gridSpan w:val="2"/>
            <w:tcBorders>
              <w:tl2br w:val="nil"/>
              <w:tr2bl w:val="nil"/>
            </w:tcBorders>
            <w:shd w:val="clear" w:color="auto" w:fill="auto"/>
            <w:vAlign w:val="center"/>
          </w:tcPr>
          <w:p w14:paraId="76F253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03" w:type="dxa"/>
            <w:tcBorders>
              <w:tl2br w:val="nil"/>
              <w:tr2bl w:val="nil"/>
            </w:tcBorders>
            <w:shd w:val="clear" w:color="auto" w:fill="auto"/>
            <w:vAlign w:val="center"/>
          </w:tcPr>
          <w:p w14:paraId="373599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3F28D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1433" w:type="dxa"/>
            <w:gridSpan w:val="2"/>
            <w:vMerge w:val="continue"/>
            <w:tcBorders>
              <w:tl2br w:val="nil"/>
              <w:tr2bl w:val="nil"/>
            </w:tcBorders>
            <w:shd w:val="clear" w:color="auto" w:fill="auto"/>
            <w:vAlign w:val="center"/>
          </w:tcPr>
          <w:p w14:paraId="234E98F1">
            <w:pPr>
              <w:jc w:val="center"/>
              <w:rPr>
                <w:rFonts w:hint="eastAsia" w:ascii="宋体" w:hAnsi="宋体" w:eastAsia="宋体" w:cs="宋体"/>
                <w:i w:val="0"/>
                <w:iCs w:val="0"/>
                <w:color w:val="000000"/>
                <w:sz w:val="20"/>
                <w:szCs w:val="20"/>
                <w:u w:val="none"/>
              </w:rPr>
            </w:pPr>
          </w:p>
        </w:tc>
        <w:tc>
          <w:tcPr>
            <w:tcW w:w="2266" w:type="dxa"/>
            <w:gridSpan w:val="2"/>
            <w:tcBorders>
              <w:tl2br w:val="nil"/>
              <w:tr2bl w:val="nil"/>
            </w:tcBorders>
            <w:shd w:val="clear" w:color="auto" w:fill="auto"/>
            <w:vAlign w:val="center"/>
          </w:tcPr>
          <w:p w14:paraId="548B6C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03" w:type="dxa"/>
            <w:tcBorders>
              <w:tl2br w:val="nil"/>
              <w:tr2bl w:val="nil"/>
            </w:tcBorders>
            <w:shd w:val="clear" w:color="auto" w:fill="auto"/>
            <w:vAlign w:val="center"/>
          </w:tcPr>
          <w:p w14:paraId="24F2CA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34" w:type="dxa"/>
            <w:gridSpan w:val="2"/>
            <w:tcBorders>
              <w:tl2br w:val="nil"/>
              <w:tr2bl w:val="nil"/>
            </w:tcBorders>
            <w:shd w:val="clear" w:color="auto" w:fill="auto"/>
            <w:vAlign w:val="center"/>
          </w:tcPr>
          <w:p w14:paraId="4553B2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35" w:type="dxa"/>
            <w:gridSpan w:val="2"/>
            <w:tcBorders>
              <w:tl2br w:val="nil"/>
              <w:tr2bl w:val="nil"/>
            </w:tcBorders>
            <w:shd w:val="clear" w:color="auto" w:fill="auto"/>
            <w:vAlign w:val="center"/>
          </w:tcPr>
          <w:p w14:paraId="68B0CD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24" w:type="dxa"/>
            <w:gridSpan w:val="2"/>
            <w:tcBorders>
              <w:tl2br w:val="nil"/>
              <w:tr2bl w:val="nil"/>
            </w:tcBorders>
            <w:shd w:val="clear" w:color="auto" w:fill="auto"/>
            <w:vAlign w:val="center"/>
          </w:tcPr>
          <w:p w14:paraId="5D5BD9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76" w:type="dxa"/>
            <w:gridSpan w:val="2"/>
            <w:tcBorders>
              <w:tl2br w:val="nil"/>
              <w:tr2bl w:val="nil"/>
            </w:tcBorders>
            <w:shd w:val="clear" w:color="auto" w:fill="auto"/>
            <w:vAlign w:val="center"/>
          </w:tcPr>
          <w:p w14:paraId="2C4EF9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03" w:type="dxa"/>
            <w:tcBorders>
              <w:tl2br w:val="nil"/>
              <w:tr2bl w:val="nil"/>
            </w:tcBorders>
            <w:shd w:val="clear" w:color="auto" w:fill="auto"/>
            <w:vAlign w:val="center"/>
          </w:tcPr>
          <w:p w14:paraId="156AA8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D63C1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716" w:type="dxa"/>
            <w:vMerge w:val="restart"/>
            <w:tcBorders>
              <w:tl2br w:val="nil"/>
              <w:tr2bl w:val="nil"/>
            </w:tcBorders>
            <w:shd w:val="clear" w:color="auto" w:fill="auto"/>
            <w:vAlign w:val="center"/>
          </w:tcPr>
          <w:p w14:paraId="36E520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555" w:type="dxa"/>
            <w:gridSpan w:val="8"/>
            <w:tcBorders>
              <w:tl2br w:val="nil"/>
              <w:tr2bl w:val="nil"/>
            </w:tcBorders>
            <w:shd w:val="clear" w:color="auto" w:fill="auto"/>
            <w:vAlign w:val="center"/>
          </w:tcPr>
          <w:p w14:paraId="525A51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903" w:type="dxa"/>
            <w:gridSpan w:val="5"/>
            <w:tcBorders>
              <w:tl2br w:val="nil"/>
              <w:tr2bl w:val="nil"/>
            </w:tcBorders>
            <w:shd w:val="clear" w:color="auto" w:fill="auto"/>
            <w:vAlign w:val="center"/>
          </w:tcPr>
          <w:p w14:paraId="1BAFD0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61A0C4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trPr>
        <w:tc>
          <w:tcPr>
            <w:tcW w:w="716" w:type="dxa"/>
            <w:vMerge w:val="continue"/>
            <w:tcBorders>
              <w:tl2br w:val="nil"/>
              <w:tr2bl w:val="nil"/>
            </w:tcBorders>
            <w:shd w:val="clear" w:color="auto" w:fill="auto"/>
            <w:vAlign w:val="center"/>
          </w:tcPr>
          <w:p w14:paraId="65312765">
            <w:pPr>
              <w:jc w:val="center"/>
              <w:rPr>
                <w:rFonts w:hint="eastAsia" w:ascii="宋体" w:hAnsi="宋体" w:eastAsia="宋体" w:cs="宋体"/>
                <w:i w:val="0"/>
                <w:iCs w:val="0"/>
                <w:color w:val="000000"/>
                <w:sz w:val="20"/>
                <w:szCs w:val="20"/>
                <w:u w:val="none"/>
              </w:rPr>
            </w:pPr>
          </w:p>
        </w:tc>
        <w:tc>
          <w:tcPr>
            <w:tcW w:w="7555" w:type="dxa"/>
            <w:gridSpan w:val="8"/>
            <w:tcBorders>
              <w:tl2br w:val="nil"/>
              <w:tr2bl w:val="nil"/>
            </w:tcBorders>
            <w:shd w:val="clear" w:color="auto" w:fill="auto"/>
            <w:vAlign w:val="center"/>
          </w:tcPr>
          <w:p w14:paraId="6EF5F1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偿还镇区、何家湾中心村污水处理站配套设施项目工程尾款105.10万元，农村幸福大院建设项目设计施工一体化工程尾款139.38万元，资金支付及时，增加与企业之间信任度，保证后期工程质量。</w:t>
            </w:r>
          </w:p>
        </w:tc>
        <w:tc>
          <w:tcPr>
            <w:tcW w:w="5903" w:type="dxa"/>
            <w:gridSpan w:val="5"/>
            <w:tcBorders>
              <w:tl2br w:val="nil"/>
              <w:tr2bl w:val="nil"/>
            </w:tcBorders>
            <w:shd w:val="clear" w:color="auto" w:fill="auto"/>
            <w:vAlign w:val="center"/>
          </w:tcPr>
          <w:p w14:paraId="749FBF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单位完成偿还镇区、何家湾中心村污水处理站配套设施项目尾款105.10万元、阜康市滋泥泉子镇农村幸福大院建设项目设计施工一体化工程工程尾款139.38万元，资金支付及时，增加与企业之间信任度，保证后期工程质量。</w:t>
            </w:r>
          </w:p>
        </w:tc>
      </w:tr>
      <w:tr w14:paraId="28C82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0" w:hRule="atLeast"/>
        </w:trPr>
        <w:tc>
          <w:tcPr>
            <w:tcW w:w="716" w:type="dxa"/>
            <w:tcBorders>
              <w:tl2br w:val="nil"/>
              <w:tr2bl w:val="nil"/>
            </w:tcBorders>
            <w:shd w:val="clear" w:color="auto" w:fill="auto"/>
            <w:vAlign w:val="center"/>
          </w:tcPr>
          <w:p w14:paraId="289F646A">
            <w:pPr>
              <w:jc w:val="center"/>
              <w:rPr>
                <w:rFonts w:hint="eastAsia" w:ascii="宋体" w:hAnsi="宋体" w:eastAsia="宋体" w:cs="宋体"/>
                <w:i w:val="0"/>
                <w:iCs w:val="0"/>
                <w:color w:val="000000"/>
                <w:sz w:val="20"/>
                <w:szCs w:val="20"/>
                <w:u w:val="none"/>
              </w:rPr>
            </w:pPr>
          </w:p>
        </w:tc>
        <w:tc>
          <w:tcPr>
            <w:tcW w:w="717" w:type="dxa"/>
            <w:tcBorders>
              <w:tl2br w:val="nil"/>
              <w:tr2bl w:val="nil"/>
            </w:tcBorders>
            <w:shd w:val="clear" w:color="auto" w:fill="auto"/>
            <w:vAlign w:val="center"/>
          </w:tcPr>
          <w:p w14:paraId="2F487E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32" w:type="dxa"/>
            <w:tcBorders>
              <w:tl2br w:val="nil"/>
              <w:tr2bl w:val="nil"/>
            </w:tcBorders>
            <w:shd w:val="clear" w:color="auto" w:fill="auto"/>
            <w:vAlign w:val="center"/>
          </w:tcPr>
          <w:p w14:paraId="221013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334" w:type="dxa"/>
            <w:tcBorders>
              <w:tl2br w:val="nil"/>
              <w:tr2bl w:val="nil"/>
            </w:tcBorders>
            <w:shd w:val="clear" w:color="auto" w:fill="auto"/>
            <w:vAlign w:val="center"/>
          </w:tcPr>
          <w:p w14:paraId="503628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03" w:type="dxa"/>
            <w:tcBorders>
              <w:tl2br w:val="nil"/>
              <w:tr2bl w:val="nil"/>
            </w:tcBorders>
            <w:shd w:val="clear" w:color="auto" w:fill="auto"/>
            <w:vAlign w:val="center"/>
          </w:tcPr>
          <w:p w14:paraId="51ED72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42" w:type="dxa"/>
            <w:tcBorders>
              <w:tl2br w:val="nil"/>
              <w:tr2bl w:val="nil"/>
            </w:tcBorders>
            <w:shd w:val="clear" w:color="auto" w:fill="auto"/>
            <w:vAlign w:val="center"/>
          </w:tcPr>
          <w:p w14:paraId="6227EA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692" w:type="dxa"/>
            <w:tcBorders>
              <w:tl2br w:val="nil"/>
              <w:tr2bl w:val="nil"/>
            </w:tcBorders>
            <w:shd w:val="clear" w:color="auto" w:fill="auto"/>
            <w:vAlign w:val="center"/>
          </w:tcPr>
          <w:p w14:paraId="183218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711" w:type="dxa"/>
            <w:tcBorders>
              <w:tl2br w:val="nil"/>
              <w:tr2bl w:val="nil"/>
            </w:tcBorders>
            <w:shd w:val="clear" w:color="auto" w:fill="auto"/>
            <w:vAlign w:val="center"/>
          </w:tcPr>
          <w:p w14:paraId="3148AC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24" w:type="dxa"/>
            <w:tcBorders>
              <w:tl2br w:val="nil"/>
              <w:tr2bl w:val="nil"/>
            </w:tcBorders>
            <w:shd w:val="clear" w:color="auto" w:fill="auto"/>
            <w:vAlign w:val="center"/>
          </w:tcPr>
          <w:p w14:paraId="588753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22" w:type="dxa"/>
            <w:tcBorders>
              <w:tl2br w:val="nil"/>
              <w:tr2bl w:val="nil"/>
            </w:tcBorders>
            <w:shd w:val="clear" w:color="auto" w:fill="auto"/>
            <w:vAlign w:val="center"/>
          </w:tcPr>
          <w:p w14:paraId="1A8BBC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802" w:type="dxa"/>
            <w:tcBorders>
              <w:tl2br w:val="nil"/>
              <w:tr2bl w:val="nil"/>
            </w:tcBorders>
            <w:shd w:val="clear" w:color="auto" w:fill="auto"/>
            <w:vAlign w:val="center"/>
          </w:tcPr>
          <w:p w14:paraId="0263B9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62" w:type="dxa"/>
            <w:tcBorders>
              <w:tl2br w:val="nil"/>
              <w:tr2bl w:val="nil"/>
            </w:tcBorders>
            <w:shd w:val="clear" w:color="auto" w:fill="auto"/>
            <w:vAlign w:val="center"/>
          </w:tcPr>
          <w:p w14:paraId="733AFF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14" w:type="dxa"/>
            <w:tcBorders>
              <w:tl2br w:val="nil"/>
              <w:tr2bl w:val="nil"/>
            </w:tcBorders>
            <w:shd w:val="clear" w:color="auto" w:fill="auto"/>
            <w:vAlign w:val="center"/>
          </w:tcPr>
          <w:p w14:paraId="2C4B55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2003" w:type="dxa"/>
            <w:tcBorders>
              <w:tl2br w:val="nil"/>
              <w:tr2bl w:val="nil"/>
            </w:tcBorders>
            <w:shd w:val="clear" w:color="auto" w:fill="auto"/>
            <w:vAlign w:val="center"/>
          </w:tcPr>
          <w:p w14:paraId="356CF8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66124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0" w:hRule="atLeast"/>
        </w:trPr>
        <w:tc>
          <w:tcPr>
            <w:tcW w:w="716" w:type="dxa"/>
            <w:vMerge w:val="restart"/>
            <w:tcBorders>
              <w:tl2br w:val="nil"/>
              <w:tr2bl w:val="nil"/>
            </w:tcBorders>
            <w:shd w:val="clear" w:color="auto" w:fill="auto"/>
            <w:vAlign w:val="center"/>
          </w:tcPr>
          <w:p w14:paraId="641005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17" w:type="dxa"/>
            <w:vMerge w:val="restart"/>
            <w:tcBorders>
              <w:tl2br w:val="nil"/>
              <w:tr2bl w:val="nil"/>
            </w:tcBorders>
            <w:shd w:val="clear" w:color="auto" w:fill="auto"/>
            <w:vAlign w:val="center"/>
          </w:tcPr>
          <w:p w14:paraId="6B062B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32" w:type="dxa"/>
            <w:tcBorders>
              <w:tl2br w:val="nil"/>
              <w:tr2bl w:val="nil"/>
            </w:tcBorders>
            <w:shd w:val="clear" w:color="auto" w:fill="auto"/>
            <w:vAlign w:val="center"/>
          </w:tcPr>
          <w:p w14:paraId="6B6EA6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334" w:type="dxa"/>
            <w:tcBorders>
              <w:tl2br w:val="nil"/>
              <w:tr2bl w:val="nil"/>
            </w:tcBorders>
            <w:shd w:val="clear" w:color="auto" w:fill="auto"/>
            <w:vAlign w:val="center"/>
          </w:tcPr>
          <w:p w14:paraId="2D4ED053">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支付项目工程尾款企业数</w:t>
            </w:r>
          </w:p>
        </w:tc>
        <w:tc>
          <w:tcPr>
            <w:tcW w:w="1203" w:type="dxa"/>
            <w:tcBorders>
              <w:tl2br w:val="nil"/>
              <w:tr2bl w:val="nil"/>
            </w:tcBorders>
            <w:shd w:val="clear" w:color="auto" w:fill="auto"/>
            <w:vAlign w:val="center"/>
          </w:tcPr>
          <w:p w14:paraId="2F7F54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w:t>
            </w:r>
          </w:p>
        </w:tc>
        <w:tc>
          <w:tcPr>
            <w:tcW w:w="942" w:type="dxa"/>
            <w:tcBorders>
              <w:tl2br w:val="nil"/>
              <w:tr2bl w:val="nil"/>
            </w:tcBorders>
            <w:shd w:val="clear" w:color="auto" w:fill="auto"/>
            <w:vAlign w:val="center"/>
          </w:tcPr>
          <w:p w14:paraId="4C1530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2" w:type="dxa"/>
            <w:tcBorders>
              <w:tl2br w:val="nil"/>
              <w:tr2bl w:val="nil"/>
            </w:tcBorders>
            <w:shd w:val="clear" w:color="auto" w:fill="auto"/>
            <w:vAlign w:val="center"/>
          </w:tcPr>
          <w:p w14:paraId="44B188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1" w:type="dxa"/>
            <w:tcBorders>
              <w:tl2br w:val="nil"/>
              <w:tr2bl w:val="nil"/>
            </w:tcBorders>
            <w:shd w:val="clear" w:color="auto" w:fill="auto"/>
            <w:vAlign w:val="center"/>
          </w:tcPr>
          <w:p w14:paraId="4400CB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24" w:type="dxa"/>
            <w:tcBorders>
              <w:tl2br w:val="nil"/>
              <w:tr2bl w:val="nil"/>
            </w:tcBorders>
            <w:shd w:val="clear" w:color="auto" w:fill="auto"/>
            <w:vAlign w:val="center"/>
          </w:tcPr>
          <w:p w14:paraId="33AB69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2" w:type="dxa"/>
            <w:tcBorders>
              <w:tl2br w:val="nil"/>
              <w:tr2bl w:val="nil"/>
            </w:tcBorders>
            <w:shd w:val="clear" w:color="auto" w:fill="auto"/>
            <w:vAlign w:val="center"/>
          </w:tcPr>
          <w:p w14:paraId="0473AB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802" w:type="dxa"/>
            <w:tcBorders>
              <w:tl2br w:val="nil"/>
              <w:tr2bl w:val="nil"/>
            </w:tcBorders>
            <w:shd w:val="clear" w:color="auto" w:fill="auto"/>
            <w:vAlign w:val="center"/>
          </w:tcPr>
          <w:p w14:paraId="513058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w:t>
            </w:r>
          </w:p>
        </w:tc>
        <w:tc>
          <w:tcPr>
            <w:tcW w:w="1062" w:type="dxa"/>
            <w:tcBorders>
              <w:tl2br w:val="nil"/>
              <w:tr2bl w:val="nil"/>
            </w:tcBorders>
            <w:shd w:val="clear" w:color="auto" w:fill="auto"/>
            <w:vAlign w:val="center"/>
          </w:tcPr>
          <w:p w14:paraId="6B1835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4" w:type="dxa"/>
            <w:tcBorders>
              <w:tl2br w:val="nil"/>
              <w:tr2bl w:val="nil"/>
            </w:tcBorders>
            <w:shd w:val="clear" w:color="auto" w:fill="auto"/>
            <w:vAlign w:val="center"/>
          </w:tcPr>
          <w:p w14:paraId="73FACE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3" w:type="dxa"/>
            <w:tcBorders>
              <w:tl2br w:val="nil"/>
              <w:tr2bl w:val="nil"/>
            </w:tcBorders>
            <w:shd w:val="clear" w:color="auto" w:fill="auto"/>
            <w:vAlign w:val="center"/>
          </w:tcPr>
          <w:p w14:paraId="7ABDED4E">
            <w:pPr>
              <w:jc w:val="center"/>
              <w:rPr>
                <w:rFonts w:hint="eastAsia" w:ascii="宋体" w:hAnsi="宋体" w:eastAsia="宋体" w:cs="宋体"/>
                <w:i w:val="0"/>
                <w:iCs w:val="0"/>
                <w:color w:val="000000"/>
                <w:sz w:val="20"/>
                <w:szCs w:val="20"/>
                <w:u w:val="none"/>
              </w:rPr>
            </w:pPr>
          </w:p>
        </w:tc>
      </w:tr>
      <w:tr w14:paraId="222D9B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0" w:hRule="atLeast"/>
        </w:trPr>
        <w:tc>
          <w:tcPr>
            <w:tcW w:w="716" w:type="dxa"/>
            <w:vMerge w:val="continue"/>
            <w:tcBorders>
              <w:tl2br w:val="nil"/>
              <w:tr2bl w:val="nil"/>
            </w:tcBorders>
            <w:shd w:val="clear" w:color="auto" w:fill="auto"/>
            <w:vAlign w:val="center"/>
          </w:tcPr>
          <w:p w14:paraId="4CD56505">
            <w:pPr>
              <w:jc w:val="center"/>
              <w:rPr>
                <w:rFonts w:hint="eastAsia" w:ascii="宋体" w:hAnsi="宋体" w:eastAsia="宋体" w:cs="宋体"/>
                <w:i w:val="0"/>
                <w:iCs w:val="0"/>
                <w:color w:val="000000"/>
                <w:sz w:val="20"/>
                <w:szCs w:val="20"/>
                <w:u w:val="none"/>
              </w:rPr>
            </w:pPr>
          </w:p>
        </w:tc>
        <w:tc>
          <w:tcPr>
            <w:tcW w:w="717" w:type="dxa"/>
            <w:vMerge w:val="continue"/>
            <w:tcBorders>
              <w:tl2br w:val="nil"/>
              <w:tr2bl w:val="nil"/>
            </w:tcBorders>
            <w:shd w:val="clear" w:color="auto" w:fill="auto"/>
            <w:vAlign w:val="center"/>
          </w:tcPr>
          <w:p w14:paraId="48E00838">
            <w:pPr>
              <w:jc w:val="center"/>
              <w:rPr>
                <w:rFonts w:hint="eastAsia" w:ascii="宋体" w:hAnsi="宋体" w:eastAsia="宋体" w:cs="宋体"/>
                <w:i w:val="0"/>
                <w:iCs w:val="0"/>
                <w:color w:val="000000"/>
                <w:sz w:val="20"/>
                <w:szCs w:val="20"/>
                <w:u w:val="none"/>
              </w:rPr>
            </w:pPr>
          </w:p>
        </w:tc>
        <w:tc>
          <w:tcPr>
            <w:tcW w:w="932" w:type="dxa"/>
            <w:tcBorders>
              <w:tl2br w:val="nil"/>
              <w:tr2bl w:val="nil"/>
            </w:tcBorders>
            <w:shd w:val="clear" w:color="auto" w:fill="auto"/>
            <w:vAlign w:val="center"/>
          </w:tcPr>
          <w:p w14:paraId="260A52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334" w:type="dxa"/>
            <w:tcBorders>
              <w:tl2br w:val="nil"/>
              <w:tr2bl w:val="nil"/>
            </w:tcBorders>
            <w:shd w:val="clear" w:color="auto" w:fill="auto"/>
            <w:vAlign w:val="center"/>
          </w:tcPr>
          <w:p w14:paraId="375B48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项目资金支付率</w:t>
            </w:r>
          </w:p>
        </w:tc>
        <w:tc>
          <w:tcPr>
            <w:tcW w:w="1203" w:type="dxa"/>
            <w:tcBorders>
              <w:tl2br w:val="nil"/>
              <w:tr2bl w:val="nil"/>
            </w:tcBorders>
            <w:shd w:val="clear" w:color="auto" w:fill="auto"/>
            <w:vAlign w:val="center"/>
          </w:tcPr>
          <w:p w14:paraId="1251D2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42" w:type="dxa"/>
            <w:tcBorders>
              <w:tl2br w:val="nil"/>
              <w:tr2bl w:val="nil"/>
            </w:tcBorders>
            <w:shd w:val="clear" w:color="auto" w:fill="auto"/>
            <w:vAlign w:val="center"/>
          </w:tcPr>
          <w:p w14:paraId="555D66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2" w:type="dxa"/>
            <w:tcBorders>
              <w:tl2br w:val="nil"/>
              <w:tr2bl w:val="nil"/>
            </w:tcBorders>
            <w:shd w:val="clear" w:color="auto" w:fill="auto"/>
            <w:vAlign w:val="center"/>
          </w:tcPr>
          <w:p w14:paraId="4DCF98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1" w:type="dxa"/>
            <w:tcBorders>
              <w:tl2br w:val="nil"/>
              <w:tr2bl w:val="nil"/>
            </w:tcBorders>
            <w:shd w:val="clear" w:color="auto" w:fill="auto"/>
            <w:vAlign w:val="center"/>
          </w:tcPr>
          <w:p w14:paraId="018534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24" w:type="dxa"/>
            <w:tcBorders>
              <w:tl2br w:val="nil"/>
              <w:tr2bl w:val="nil"/>
            </w:tcBorders>
            <w:shd w:val="clear" w:color="auto" w:fill="auto"/>
            <w:vAlign w:val="center"/>
          </w:tcPr>
          <w:p w14:paraId="33F36B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2" w:type="dxa"/>
            <w:tcBorders>
              <w:tl2br w:val="nil"/>
              <w:tr2bl w:val="nil"/>
            </w:tcBorders>
            <w:shd w:val="clear" w:color="auto" w:fill="auto"/>
            <w:vAlign w:val="center"/>
          </w:tcPr>
          <w:p w14:paraId="5F0BF1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802" w:type="dxa"/>
            <w:tcBorders>
              <w:tl2br w:val="nil"/>
              <w:tr2bl w:val="nil"/>
            </w:tcBorders>
            <w:shd w:val="clear" w:color="auto" w:fill="auto"/>
            <w:vAlign w:val="center"/>
          </w:tcPr>
          <w:p w14:paraId="1B0AFF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2" w:type="dxa"/>
            <w:tcBorders>
              <w:tl2br w:val="nil"/>
              <w:tr2bl w:val="nil"/>
            </w:tcBorders>
            <w:shd w:val="clear" w:color="auto" w:fill="auto"/>
            <w:vAlign w:val="center"/>
          </w:tcPr>
          <w:p w14:paraId="0D6874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4" w:type="dxa"/>
            <w:tcBorders>
              <w:tl2br w:val="nil"/>
              <w:tr2bl w:val="nil"/>
            </w:tcBorders>
            <w:shd w:val="clear" w:color="auto" w:fill="auto"/>
            <w:vAlign w:val="center"/>
          </w:tcPr>
          <w:p w14:paraId="0671E2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3" w:type="dxa"/>
            <w:tcBorders>
              <w:tl2br w:val="nil"/>
              <w:tr2bl w:val="nil"/>
            </w:tcBorders>
            <w:shd w:val="clear" w:color="auto" w:fill="auto"/>
            <w:vAlign w:val="center"/>
          </w:tcPr>
          <w:p w14:paraId="31A0DCBD">
            <w:pPr>
              <w:jc w:val="center"/>
              <w:rPr>
                <w:rFonts w:hint="eastAsia" w:ascii="宋体" w:hAnsi="宋体" w:eastAsia="宋体" w:cs="宋体"/>
                <w:i w:val="0"/>
                <w:iCs w:val="0"/>
                <w:color w:val="000000"/>
                <w:sz w:val="20"/>
                <w:szCs w:val="20"/>
                <w:u w:val="none"/>
              </w:rPr>
            </w:pPr>
          </w:p>
        </w:tc>
      </w:tr>
      <w:tr w14:paraId="730FC6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900" w:hRule="atLeast"/>
        </w:trPr>
        <w:tc>
          <w:tcPr>
            <w:tcW w:w="716" w:type="dxa"/>
            <w:vMerge w:val="continue"/>
            <w:tcBorders>
              <w:tl2br w:val="nil"/>
              <w:tr2bl w:val="nil"/>
            </w:tcBorders>
            <w:shd w:val="clear" w:color="auto" w:fill="auto"/>
            <w:vAlign w:val="center"/>
          </w:tcPr>
          <w:p w14:paraId="1BF4F0A6">
            <w:pPr>
              <w:jc w:val="center"/>
              <w:rPr>
                <w:rFonts w:hint="eastAsia" w:ascii="宋体" w:hAnsi="宋体" w:eastAsia="宋体" w:cs="宋体"/>
                <w:i w:val="0"/>
                <w:iCs w:val="0"/>
                <w:color w:val="000000"/>
                <w:sz w:val="20"/>
                <w:szCs w:val="20"/>
                <w:u w:val="none"/>
              </w:rPr>
            </w:pPr>
          </w:p>
        </w:tc>
        <w:tc>
          <w:tcPr>
            <w:tcW w:w="717" w:type="dxa"/>
            <w:vMerge w:val="continue"/>
            <w:tcBorders>
              <w:tl2br w:val="nil"/>
              <w:tr2bl w:val="nil"/>
            </w:tcBorders>
            <w:shd w:val="clear" w:color="auto" w:fill="auto"/>
            <w:vAlign w:val="center"/>
          </w:tcPr>
          <w:p w14:paraId="0FE3B808">
            <w:pPr>
              <w:jc w:val="center"/>
              <w:rPr>
                <w:rFonts w:hint="eastAsia" w:ascii="宋体" w:hAnsi="宋体" w:eastAsia="宋体" w:cs="宋体"/>
                <w:i w:val="0"/>
                <w:iCs w:val="0"/>
                <w:color w:val="000000"/>
                <w:sz w:val="20"/>
                <w:szCs w:val="20"/>
                <w:u w:val="none"/>
              </w:rPr>
            </w:pPr>
          </w:p>
        </w:tc>
        <w:tc>
          <w:tcPr>
            <w:tcW w:w="932" w:type="dxa"/>
            <w:vMerge w:val="restart"/>
            <w:tcBorders>
              <w:tl2br w:val="nil"/>
              <w:tr2bl w:val="nil"/>
            </w:tcBorders>
            <w:shd w:val="clear" w:color="auto" w:fill="auto"/>
            <w:vAlign w:val="center"/>
          </w:tcPr>
          <w:p w14:paraId="5A4B65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334" w:type="dxa"/>
            <w:tcBorders>
              <w:tl2br w:val="nil"/>
              <w:tr2bl w:val="nil"/>
            </w:tcBorders>
            <w:shd w:val="clear" w:color="auto" w:fill="auto"/>
            <w:vAlign w:val="center"/>
          </w:tcPr>
          <w:p w14:paraId="78F2F2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1203" w:type="dxa"/>
            <w:tcBorders>
              <w:tl2br w:val="nil"/>
              <w:tr2bl w:val="nil"/>
            </w:tcBorders>
            <w:shd w:val="clear" w:color="auto" w:fill="auto"/>
            <w:vAlign w:val="center"/>
          </w:tcPr>
          <w:p w14:paraId="440D25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42" w:type="dxa"/>
            <w:tcBorders>
              <w:tl2br w:val="nil"/>
              <w:tr2bl w:val="nil"/>
            </w:tcBorders>
            <w:shd w:val="clear" w:color="auto" w:fill="auto"/>
            <w:vAlign w:val="center"/>
          </w:tcPr>
          <w:p w14:paraId="27F913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2" w:type="dxa"/>
            <w:tcBorders>
              <w:tl2br w:val="nil"/>
              <w:tr2bl w:val="nil"/>
            </w:tcBorders>
            <w:shd w:val="clear" w:color="auto" w:fill="auto"/>
            <w:vAlign w:val="center"/>
          </w:tcPr>
          <w:p w14:paraId="16AAEC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1" w:type="dxa"/>
            <w:tcBorders>
              <w:tl2br w:val="nil"/>
              <w:tr2bl w:val="nil"/>
            </w:tcBorders>
            <w:shd w:val="clear" w:color="auto" w:fill="auto"/>
            <w:vAlign w:val="center"/>
          </w:tcPr>
          <w:p w14:paraId="4B5DD8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24" w:type="dxa"/>
            <w:tcBorders>
              <w:tl2br w:val="nil"/>
              <w:tr2bl w:val="nil"/>
            </w:tcBorders>
            <w:shd w:val="clear" w:color="auto" w:fill="auto"/>
            <w:vAlign w:val="center"/>
          </w:tcPr>
          <w:p w14:paraId="3694AB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022" w:type="dxa"/>
            <w:tcBorders>
              <w:tl2br w:val="nil"/>
              <w:tr2bl w:val="nil"/>
            </w:tcBorders>
            <w:shd w:val="clear" w:color="auto" w:fill="auto"/>
            <w:vAlign w:val="center"/>
          </w:tcPr>
          <w:p w14:paraId="038E81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802" w:type="dxa"/>
            <w:tcBorders>
              <w:tl2br w:val="nil"/>
              <w:tr2bl w:val="nil"/>
            </w:tcBorders>
            <w:shd w:val="clear" w:color="auto" w:fill="auto"/>
            <w:vAlign w:val="center"/>
          </w:tcPr>
          <w:p w14:paraId="0C85DB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2" w:type="dxa"/>
            <w:tcBorders>
              <w:tl2br w:val="nil"/>
              <w:tr2bl w:val="nil"/>
            </w:tcBorders>
            <w:shd w:val="clear" w:color="auto" w:fill="auto"/>
            <w:vAlign w:val="center"/>
          </w:tcPr>
          <w:p w14:paraId="78BCA2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4" w:type="dxa"/>
            <w:tcBorders>
              <w:tl2br w:val="nil"/>
              <w:tr2bl w:val="nil"/>
            </w:tcBorders>
            <w:shd w:val="clear" w:color="auto" w:fill="auto"/>
            <w:vAlign w:val="center"/>
          </w:tcPr>
          <w:p w14:paraId="057726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3" w:type="dxa"/>
            <w:tcBorders>
              <w:tl2br w:val="nil"/>
              <w:tr2bl w:val="nil"/>
            </w:tcBorders>
            <w:shd w:val="clear" w:color="auto" w:fill="auto"/>
            <w:vAlign w:val="center"/>
          </w:tcPr>
          <w:p w14:paraId="1C6DF117">
            <w:pPr>
              <w:jc w:val="center"/>
              <w:rPr>
                <w:rFonts w:hint="eastAsia" w:ascii="宋体" w:hAnsi="宋体" w:eastAsia="宋体" w:cs="宋体"/>
                <w:i w:val="0"/>
                <w:iCs w:val="0"/>
                <w:color w:val="000000"/>
                <w:sz w:val="20"/>
                <w:szCs w:val="20"/>
                <w:u w:val="none"/>
              </w:rPr>
            </w:pPr>
          </w:p>
        </w:tc>
      </w:tr>
      <w:tr w14:paraId="610CB5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atLeast"/>
        </w:trPr>
        <w:tc>
          <w:tcPr>
            <w:tcW w:w="716" w:type="dxa"/>
            <w:vMerge w:val="continue"/>
            <w:tcBorders>
              <w:tl2br w:val="nil"/>
              <w:tr2bl w:val="nil"/>
            </w:tcBorders>
            <w:shd w:val="clear" w:color="auto" w:fill="auto"/>
            <w:vAlign w:val="center"/>
          </w:tcPr>
          <w:p w14:paraId="74D3D6C3">
            <w:pPr>
              <w:jc w:val="center"/>
              <w:rPr>
                <w:rFonts w:hint="eastAsia" w:ascii="宋体" w:hAnsi="宋体" w:eastAsia="宋体" w:cs="宋体"/>
                <w:i w:val="0"/>
                <w:iCs w:val="0"/>
                <w:color w:val="000000"/>
                <w:sz w:val="20"/>
                <w:szCs w:val="20"/>
                <w:u w:val="none"/>
              </w:rPr>
            </w:pPr>
          </w:p>
        </w:tc>
        <w:tc>
          <w:tcPr>
            <w:tcW w:w="717" w:type="dxa"/>
            <w:vMerge w:val="continue"/>
            <w:tcBorders>
              <w:tl2br w:val="nil"/>
              <w:tr2bl w:val="nil"/>
            </w:tcBorders>
            <w:shd w:val="clear" w:color="auto" w:fill="auto"/>
            <w:vAlign w:val="center"/>
          </w:tcPr>
          <w:p w14:paraId="4D8314ED">
            <w:pPr>
              <w:jc w:val="center"/>
              <w:rPr>
                <w:rFonts w:hint="eastAsia" w:ascii="宋体" w:hAnsi="宋体" w:eastAsia="宋体" w:cs="宋体"/>
                <w:i w:val="0"/>
                <w:iCs w:val="0"/>
                <w:color w:val="000000"/>
                <w:sz w:val="20"/>
                <w:szCs w:val="20"/>
                <w:u w:val="none"/>
              </w:rPr>
            </w:pPr>
          </w:p>
        </w:tc>
        <w:tc>
          <w:tcPr>
            <w:tcW w:w="932" w:type="dxa"/>
            <w:vMerge w:val="continue"/>
            <w:tcBorders>
              <w:tl2br w:val="nil"/>
              <w:tr2bl w:val="nil"/>
            </w:tcBorders>
            <w:shd w:val="clear" w:color="auto" w:fill="auto"/>
            <w:vAlign w:val="center"/>
          </w:tcPr>
          <w:p w14:paraId="165A6E99">
            <w:pPr>
              <w:jc w:val="center"/>
              <w:rPr>
                <w:rFonts w:hint="eastAsia" w:ascii="宋体" w:hAnsi="宋体" w:eastAsia="宋体" w:cs="宋体"/>
                <w:i w:val="0"/>
                <w:iCs w:val="0"/>
                <w:color w:val="000000"/>
                <w:sz w:val="20"/>
                <w:szCs w:val="20"/>
                <w:u w:val="none"/>
              </w:rPr>
            </w:pPr>
          </w:p>
        </w:tc>
        <w:tc>
          <w:tcPr>
            <w:tcW w:w="1334" w:type="dxa"/>
            <w:tcBorders>
              <w:tl2br w:val="nil"/>
              <w:tr2bl w:val="nil"/>
            </w:tcBorders>
            <w:shd w:val="clear" w:color="auto" w:fill="auto"/>
            <w:vAlign w:val="center"/>
          </w:tcPr>
          <w:p w14:paraId="6DC665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资金支付完成时间</w:t>
            </w:r>
          </w:p>
        </w:tc>
        <w:tc>
          <w:tcPr>
            <w:tcW w:w="1203" w:type="dxa"/>
            <w:tcBorders>
              <w:tl2br w:val="nil"/>
              <w:tr2bl w:val="nil"/>
            </w:tcBorders>
            <w:shd w:val="clear" w:color="auto" w:fill="auto"/>
            <w:vAlign w:val="center"/>
          </w:tcPr>
          <w:p w14:paraId="558875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2023年6月</w:t>
            </w:r>
          </w:p>
        </w:tc>
        <w:tc>
          <w:tcPr>
            <w:tcW w:w="942" w:type="dxa"/>
            <w:tcBorders>
              <w:tl2br w:val="nil"/>
              <w:tr2bl w:val="nil"/>
            </w:tcBorders>
            <w:shd w:val="clear" w:color="auto" w:fill="auto"/>
            <w:vAlign w:val="center"/>
          </w:tcPr>
          <w:p w14:paraId="5BD23E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2" w:type="dxa"/>
            <w:tcBorders>
              <w:tl2br w:val="nil"/>
              <w:tr2bl w:val="nil"/>
            </w:tcBorders>
            <w:shd w:val="clear" w:color="auto" w:fill="auto"/>
            <w:vAlign w:val="center"/>
          </w:tcPr>
          <w:p w14:paraId="3773C4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1" w:type="dxa"/>
            <w:tcBorders>
              <w:tl2br w:val="nil"/>
              <w:tr2bl w:val="nil"/>
            </w:tcBorders>
            <w:shd w:val="clear" w:color="auto" w:fill="auto"/>
            <w:vAlign w:val="center"/>
          </w:tcPr>
          <w:p w14:paraId="27F96F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24" w:type="dxa"/>
            <w:tcBorders>
              <w:tl2br w:val="nil"/>
              <w:tr2bl w:val="nil"/>
            </w:tcBorders>
            <w:shd w:val="clear" w:color="auto" w:fill="auto"/>
            <w:vAlign w:val="center"/>
          </w:tcPr>
          <w:p w14:paraId="33DB9B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022" w:type="dxa"/>
            <w:tcBorders>
              <w:tl2br w:val="nil"/>
              <w:tr2bl w:val="nil"/>
            </w:tcBorders>
            <w:shd w:val="clear" w:color="auto" w:fill="auto"/>
            <w:vAlign w:val="center"/>
          </w:tcPr>
          <w:p w14:paraId="2A4265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802" w:type="dxa"/>
            <w:tcBorders>
              <w:tl2br w:val="nil"/>
              <w:tr2bl w:val="nil"/>
            </w:tcBorders>
            <w:shd w:val="clear" w:color="auto" w:fill="auto"/>
            <w:vAlign w:val="center"/>
          </w:tcPr>
          <w:p w14:paraId="3CD446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2023年6月</w:t>
            </w:r>
          </w:p>
        </w:tc>
        <w:tc>
          <w:tcPr>
            <w:tcW w:w="1062" w:type="dxa"/>
            <w:tcBorders>
              <w:tl2br w:val="nil"/>
              <w:tr2bl w:val="nil"/>
            </w:tcBorders>
            <w:shd w:val="clear" w:color="auto" w:fill="auto"/>
            <w:vAlign w:val="center"/>
          </w:tcPr>
          <w:p w14:paraId="2D440B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4" w:type="dxa"/>
            <w:tcBorders>
              <w:tl2br w:val="nil"/>
              <w:tr2bl w:val="nil"/>
            </w:tcBorders>
            <w:shd w:val="clear" w:color="auto" w:fill="auto"/>
            <w:vAlign w:val="center"/>
          </w:tcPr>
          <w:p w14:paraId="6EBD00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3" w:type="dxa"/>
            <w:tcBorders>
              <w:tl2br w:val="nil"/>
              <w:tr2bl w:val="nil"/>
            </w:tcBorders>
            <w:shd w:val="clear" w:color="auto" w:fill="auto"/>
            <w:vAlign w:val="center"/>
          </w:tcPr>
          <w:p w14:paraId="1FF56CDF">
            <w:pPr>
              <w:jc w:val="center"/>
              <w:rPr>
                <w:rFonts w:hint="eastAsia" w:ascii="宋体" w:hAnsi="宋体" w:eastAsia="宋体" w:cs="宋体"/>
                <w:b/>
                <w:bCs/>
                <w:i w:val="0"/>
                <w:iCs w:val="0"/>
                <w:color w:val="000000"/>
                <w:sz w:val="20"/>
                <w:szCs w:val="20"/>
                <w:u w:val="none"/>
              </w:rPr>
            </w:pPr>
          </w:p>
        </w:tc>
      </w:tr>
      <w:tr w14:paraId="713905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atLeast"/>
        </w:trPr>
        <w:tc>
          <w:tcPr>
            <w:tcW w:w="716" w:type="dxa"/>
            <w:vMerge w:val="continue"/>
            <w:tcBorders>
              <w:tl2br w:val="nil"/>
              <w:tr2bl w:val="nil"/>
            </w:tcBorders>
            <w:shd w:val="clear" w:color="auto" w:fill="auto"/>
            <w:vAlign w:val="center"/>
          </w:tcPr>
          <w:p w14:paraId="649D8459">
            <w:pPr>
              <w:jc w:val="center"/>
              <w:rPr>
                <w:rFonts w:hint="eastAsia" w:ascii="宋体" w:hAnsi="宋体" w:eastAsia="宋体" w:cs="宋体"/>
                <w:i w:val="0"/>
                <w:iCs w:val="0"/>
                <w:color w:val="000000"/>
                <w:sz w:val="20"/>
                <w:szCs w:val="20"/>
                <w:u w:val="none"/>
              </w:rPr>
            </w:pPr>
          </w:p>
        </w:tc>
        <w:tc>
          <w:tcPr>
            <w:tcW w:w="717" w:type="dxa"/>
            <w:vMerge w:val="restart"/>
            <w:tcBorders>
              <w:tl2br w:val="nil"/>
              <w:tr2bl w:val="nil"/>
            </w:tcBorders>
            <w:shd w:val="clear" w:color="auto" w:fill="auto"/>
            <w:vAlign w:val="center"/>
          </w:tcPr>
          <w:p w14:paraId="536EFF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32" w:type="dxa"/>
            <w:vMerge w:val="restart"/>
            <w:tcBorders>
              <w:tl2br w:val="nil"/>
              <w:tr2bl w:val="nil"/>
            </w:tcBorders>
            <w:shd w:val="clear" w:color="auto" w:fill="auto"/>
            <w:vAlign w:val="center"/>
          </w:tcPr>
          <w:p w14:paraId="42C4F1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334" w:type="dxa"/>
            <w:tcBorders>
              <w:tl2br w:val="nil"/>
              <w:tr2bl w:val="nil"/>
            </w:tcBorders>
            <w:shd w:val="clear" w:color="auto" w:fill="auto"/>
            <w:vAlign w:val="center"/>
          </w:tcPr>
          <w:p w14:paraId="72246D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支付新疆凯信博远建设工程有限公司工程尾款</w:t>
            </w:r>
          </w:p>
        </w:tc>
        <w:tc>
          <w:tcPr>
            <w:tcW w:w="1203" w:type="dxa"/>
            <w:tcBorders>
              <w:tl2br w:val="nil"/>
              <w:tr2bl w:val="nil"/>
            </w:tcBorders>
            <w:shd w:val="clear" w:color="auto" w:fill="auto"/>
            <w:vAlign w:val="center"/>
          </w:tcPr>
          <w:p w14:paraId="02E2146A">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≤139.28万元</w:t>
            </w:r>
          </w:p>
        </w:tc>
        <w:tc>
          <w:tcPr>
            <w:tcW w:w="942" w:type="dxa"/>
            <w:tcBorders>
              <w:tl2br w:val="nil"/>
              <w:tr2bl w:val="nil"/>
            </w:tcBorders>
            <w:shd w:val="clear" w:color="auto" w:fill="auto"/>
            <w:vAlign w:val="center"/>
          </w:tcPr>
          <w:p w14:paraId="5C6449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692" w:type="dxa"/>
            <w:tcBorders>
              <w:tl2br w:val="nil"/>
              <w:tr2bl w:val="nil"/>
            </w:tcBorders>
            <w:shd w:val="clear" w:color="auto" w:fill="auto"/>
            <w:vAlign w:val="center"/>
          </w:tcPr>
          <w:p w14:paraId="4179E5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1" w:type="dxa"/>
            <w:tcBorders>
              <w:tl2br w:val="nil"/>
              <w:tr2bl w:val="nil"/>
            </w:tcBorders>
            <w:shd w:val="clear" w:color="auto" w:fill="auto"/>
            <w:vAlign w:val="center"/>
          </w:tcPr>
          <w:p w14:paraId="1E3C4C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24" w:type="dxa"/>
            <w:tcBorders>
              <w:tl2br w:val="nil"/>
              <w:tr2bl w:val="nil"/>
            </w:tcBorders>
            <w:shd w:val="clear" w:color="auto" w:fill="auto"/>
            <w:vAlign w:val="center"/>
          </w:tcPr>
          <w:p w14:paraId="4AA553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2" w:type="dxa"/>
            <w:tcBorders>
              <w:tl2br w:val="nil"/>
              <w:tr2bl w:val="nil"/>
            </w:tcBorders>
            <w:shd w:val="clear" w:color="auto" w:fill="auto"/>
            <w:vAlign w:val="center"/>
          </w:tcPr>
          <w:p w14:paraId="4C1681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正式资料</w:t>
            </w:r>
          </w:p>
        </w:tc>
        <w:tc>
          <w:tcPr>
            <w:tcW w:w="802" w:type="dxa"/>
            <w:tcBorders>
              <w:tl2br w:val="nil"/>
              <w:tr2bl w:val="nil"/>
            </w:tcBorders>
            <w:shd w:val="clear" w:color="auto" w:fill="auto"/>
            <w:vAlign w:val="center"/>
          </w:tcPr>
          <w:p w14:paraId="2A1F6C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119万元</w:t>
            </w:r>
          </w:p>
        </w:tc>
        <w:tc>
          <w:tcPr>
            <w:tcW w:w="1062" w:type="dxa"/>
            <w:tcBorders>
              <w:tl2br w:val="nil"/>
              <w:tr2bl w:val="nil"/>
            </w:tcBorders>
            <w:shd w:val="clear" w:color="auto" w:fill="auto"/>
            <w:vAlign w:val="center"/>
          </w:tcPr>
          <w:p w14:paraId="173F0D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014" w:type="dxa"/>
            <w:tcBorders>
              <w:tl2br w:val="nil"/>
              <w:tr2bl w:val="nil"/>
            </w:tcBorders>
            <w:shd w:val="clear" w:color="auto" w:fill="auto"/>
            <w:vAlign w:val="center"/>
          </w:tcPr>
          <w:p w14:paraId="0B63B9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6.36</w:t>
            </w:r>
          </w:p>
        </w:tc>
        <w:tc>
          <w:tcPr>
            <w:tcW w:w="2003" w:type="dxa"/>
            <w:tcBorders>
              <w:tl2br w:val="nil"/>
              <w:tr2bl w:val="nil"/>
            </w:tcBorders>
            <w:shd w:val="clear" w:color="auto" w:fill="auto"/>
            <w:vAlign w:val="center"/>
          </w:tcPr>
          <w:p w14:paraId="24890E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该项目部分验收未通过，目前正在进行整改中，整改完成后将支付剩余工程款</w:t>
            </w:r>
          </w:p>
        </w:tc>
      </w:tr>
      <w:tr w14:paraId="560E3E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trPr>
        <w:tc>
          <w:tcPr>
            <w:tcW w:w="716" w:type="dxa"/>
            <w:vMerge w:val="continue"/>
            <w:tcBorders>
              <w:tl2br w:val="nil"/>
              <w:tr2bl w:val="nil"/>
            </w:tcBorders>
            <w:shd w:val="clear" w:color="auto" w:fill="auto"/>
            <w:vAlign w:val="center"/>
          </w:tcPr>
          <w:p w14:paraId="5CF5AA5C">
            <w:pPr>
              <w:jc w:val="center"/>
              <w:rPr>
                <w:rFonts w:hint="eastAsia" w:ascii="宋体" w:hAnsi="宋体" w:eastAsia="宋体" w:cs="宋体"/>
                <w:i w:val="0"/>
                <w:iCs w:val="0"/>
                <w:color w:val="000000"/>
                <w:sz w:val="20"/>
                <w:szCs w:val="20"/>
                <w:u w:val="none"/>
              </w:rPr>
            </w:pPr>
          </w:p>
        </w:tc>
        <w:tc>
          <w:tcPr>
            <w:tcW w:w="717" w:type="dxa"/>
            <w:vMerge w:val="continue"/>
            <w:tcBorders>
              <w:tl2br w:val="nil"/>
              <w:tr2bl w:val="nil"/>
            </w:tcBorders>
            <w:shd w:val="clear" w:color="auto" w:fill="auto"/>
            <w:vAlign w:val="center"/>
          </w:tcPr>
          <w:p w14:paraId="524F3D1B">
            <w:pPr>
              <w:jc w:val="center"/>
              <w:rPr>
                <w:rFonts w:hint="eastAsia" w:ascii="宋体" w:hAnsi="宋体" w:eastAsia="宋体" w:cs="宋体"/>
                <w:i w:val="0"/>
                <w:iCs w:val="0"/>
                <w:color w:val="000000"/>
                <w:sz w:val="20"/>
                <w:szCs w:val="20"/>
                <w:u w:val="none"/>
              </w:rPr>
            </w:pPr>
          </w:p>
        </w:tc>
        <w:tc>
          <w:tcPr>
            <w:tcW w:w="932" w:type="dxa"/>
            <w:vMerge w:val="continue"/>
            <w:tcBorders>
              <w:tl2br w:val="nil"/>
              <w:tr2bl w:val="nil"/>
            </w:tcBorders>
            <w:shd w:val="clear" w:color="auto" w:fill="auto"/>
            <w:vAlign w:val="center"/>
          </w:tcPr>
          <w:p w14:paraId="3F67689E">
            <w:pPr>
              <w:jc w:val="center"/>
              <w:rPr>
                <w:rFonts w:hint="eastAsia" w:ascii="宋体" w:hAnsi="宋体" w:eastAsia="宋体" w:cs="宋体"/>
                <w:i w:val="0"/>
                <w:iCs w:val="0"/>
                <w:color w:val="000000"/>
                <w:sz w:val="20"/>
                <w:szCs w:val="20"/>
                <w:u w:val="none"/>
              </w:rPr>
            </w:pPr>
          </w:p>
        </w:tc>
        <w:tc>
          <w:tcPr>
            <w:tcW w:w="1334" w:type="dxa"/>
            <w:tcBorders>
              <w:tl2br w:val="nil"/>
              <w:tr2bl w:val="nil"/>
            </w:tcBorders>
            <w:shd w:val="clear" w:color="auto" w:fill="auto"/>
            <w:vAlign w:val="center"/>
          </w:tcPr>
          <w:p w14:paraId="260C4DF8">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支付阜康市第二建筑安装有限责任公司工程尾款</w:t>
            </w:r>
          </w:p>
        </w:tc>
        <w:tc>
          <w:tcPr>
            <w:tcW w:w="1203" w:type="dxa"/>
            <w:tcBorders>
              <w:tl2br w:val="nil"/>
              <w:tr2bl w:val="nil"/>
            </w:tcBorders>
            <w:shd w:val="clear" w:color="auto" w:fill="auto"/>
            <w:vAlign w:val="center"/>
          </w:tcPr>
          <w:p w14:paraId="6E6FF74A">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≤105.10万元</w:t>
            </w:r>
          </w:p>
        </w:tc>
        <w:tc>
          <w:tcPr>
            <w:tcW w:w="942" w:type="dxa"/>
            <w:tcBorders>
              <w:tl2br w:val="nil"/>
              <w:tr2bl w:val="nil"/>
            </w:tcBorders>
            <w:shd w:val="clear" w:color="auto" w:fill="auto"/>
            <w:vAlign w:val="center"/>
          </w:tcPr>
          <w:p w14:paraId="2E7149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692" w:type="dxa"/>
            <w:tcBorders>
              <w:tl2br w:val="nil"/>
              <w:tr2bl w:val="nil"/>
            </w:tcBorders>
            <w:shd w:val="clear" w:color="auto" w:fill="auto"/>
            <w:vAlign w:val="center"/>
          </w:tcPr>
          <w:p w14:paraId="7CF5EA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1" w:type="dxa"/>
            <w:tcBorders>
              <w:tl2br w:val="nil"/>
              <w:tr2bl w:val="nil"/>
            </w:tcBorders>
            <w:shd w:val="clear" w:color="auto" w:fill="auto"/>
            <w:vAlign w:val="center"/>
          </w:tcPr>
          <w:p w14:paraId="25AE34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24" w:type="dxa"/>
            <w:tcBorders>
              <w:tl2br w:val="nil"/>
              <w:tr2bl w:val="nil"/>
            </w:tcBorders>
            <w:shd w:val="clear" w:color="auto" w:fill="auto"/>
            <w:vAlign w:val="center"/>
          </w:tcPr>
          <w:p w14:paraId="19BD50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2" w:type="dxa"/>
            <w:tcBorders>
              <w:tl2br w:val="nil"/>
              <w:tr2bl w:val="nil"/>
            </w:tcBorders>
            <w:shd w:val="clear" w:color="auto" w:fill="auto"/>
            <w:vAlign w:val="center"/>
          </w:tcPr>
          <w:p w14:paraId="4EA29B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正式资料</w:t>
            </w:r>
          </w:p>
        </w:tc>
        <w:tc>
          <w:tcPr>
            <w:tcW w:w="802" w:type="dxa"/>
            <w:tcBorders>
              <w:tl2br w:val="nil"/>
              <w:tr2bl w:val="nil"/>
            </w:tcBorders>
            <w:shd w:val="clear" w:color="auto" w:fill="auto"/>
            <w:vAlign w:val="center"/>
          </w:tcPr>
          <w:p w14:paraId="50C72B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105.10万元</w:t>
            </w:r>
          </w:p>
        </w:tc>
        <w:tc>
          <w:tcPr>
            <w:tcW w:w="1062" w:type="dxa"/>
            <w:tcBorders>
              <w:tl2br w:val="nil"/>
              <w:tr2bl w:val="nil"/>
            </w:tcBorders>
            <w:shd w:val="clear" w:color="auto" w:fill="auto"/>
            <w:vAlign w:val="center"/>
          </w:tcPr>
          <w:p w14:paraId="409F7C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4" w:type="dxa"/>
            <w:tcBorders>
              <w:tl2br w:val="nil"/>
              <w:tr2bl w:val="nil"/>
            </w:tcBorders>
            <w:shd w:val="clear" w:color="auto" w:fill="auto"/>
            <w:vAlign w:val="center"/>
          </w:tcPr>
          <w:p w14:paraId="344B0C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03" w:type="dxa"/>
            <w:tcBorders>
              <w:tl2br w:val="nil"/>
              <w:tr2bl w:val="nil"/>
            </w:tcBorders>
            <w:shd w:val="clear" w:color="auto" w:fill="auto"/>
            <w:vAlign w:val="center"/>
          </w:tcPr>
          <w:p w14:paraId="2EE823C1">
            <w:pPr>
              <w:jc w:val="center"/>
              <w:rPr>
                <w:rFonts w:hint="eastAsia" w:ascii="宋体" w:hAnsi="宋体" w:eastAsia="宋体" w:cs="宋体"/>
                <w:i w:val="0"/>
                <w:iCs w:val="0"/>
                <w:color w:val="000000"/>
                <w:sz w:val="20"/>
                <w:szCs w:val="20"/>
                <w:u w:val="none"/>
              </w:rPr>
            </w:pPr>
          </w:p>
        </w:tc>
      </w:tr>
      <w:tr w14:paraId="69B00D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trPr>
        <w:tc>
          <w:tcPr>
            <w:tcW w:w="716" w:type="dxa"/>
            <w:vMerge w:val="continue"/>
            <w:tcBorders>
              <w:tl2br w:val="nil"/>
              <w:tr2bl w:val="nil"/>
            </w:tcBorders>
            <w:shd w:val="clear" w:color="auto" w:fill="auto"/>
            <w:vAlign w:val="center"/>
          </w:tcPr>
          <w:p w14:paraId="7651F7C8">
            <w:pPr>
              <w:jc w:val="center"/>
              <w:rPr>
                <w:rFonts w:hint="eastAsia" w:ascii="宋体" w:hAnsi="宋体" w:eastAsia="宋体" w:cs="宋体"/>
                <w:i w:val="0"/>
                <w:iCs w:val="0"/>
                <w:color w:val="000000"/>
                <w:sz w:val="20"/>
                <w:szCs w:val="20"/>
                <w:u w:val="none"/>
              </w:rPr>
            </w:pPr>
          </w:p>
        </w:tc>
        <w:tc>
          <w:tcPr>
            <w:tcW w:w="717" w:type="dxa"/>
            <w:vMerge w:val="restart"/>
            <w:tcBorders>
              <w:tl2br w:val="nil"/>
              <w:tr2bl w:val="nil"/>
            </w:tcBorders>
            <w:shd w:val="clear" w:color="auto" w:fill="auto"/>
            <w:vAlign w:val="center"/>
          </w:tcPr>
          <w:p w14:paraId="1EBFF3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32" w:type="dxa"/>
            <w:vMerge w:val="restart"/>
            <w:tcBorders>
              <w:tl2br w:val="nil"/>
              <w:tr2bl w:val="nil"/>
            </w:tcBorders>
            <w:shd w:val="clear" w:color="auto" w:fill="auto"/>
            <w:vAlign w:val="center"/>
          </w:tcPr>
          <w:p w14:paraId="39DBF2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34" w:type="dxa"/>
            <w:tcBorders>
              <w:tl2br w:val="nil"/>
              <w:tr2bl w:val="nil"/>
            </w:tcBorders>
            <w:shd w:val="clear" w:color="auto" w:fill="auto"/>
            <w:vAlign w:val="center"/>
          </w:tcPr>
          <w:p w14:paraId="25D989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提升居民生活质量</w:t>
            </w:r>
          </w:p>
        </w:tc>
        <w:tc>
          <w:tcPr>
            <w:tcW w:w="1203" w:type="dxa"/>
            <w:tcBorders>
              <w:tl2br w:val="nil"/>
              <w:tr2bl w:val="nil"/>
            </w:tcBorders>
            <w:shd w:val="clear" w:color="auto" w:fill="auto"/>
            <w:vAlign w:val="center"/>
          </w:tcPr>
          <w:p w14:paraId="7F5110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c>
          <w:tcPr>
            <w:tcW w:w="942" w:type="dxa"/>
            <w:tcBorders>
              <w:tl2br w:val="nil"/>
              <w:tr2bl w:val="nil"/>
            </w:tcBorders>
            <w:shd w:val="clear" w:color="auto" w:fill="auto"/>
            <w:vAlign w:val="center"/>
          </w:tcPr>
          <w:p w14:paraId="663E64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2" w:type="dxa"/>
            <w:tcBorders>
              <w:tl2br w:val="nil"/>
              <w:tr2bl w:val="nil"/>
            </w:tcBorders>
            <w:shd w:val="clear" w:color="auto" w:fill="auto"/>
            <w:vAlign w:val="center"/>
          </w:tcPr>
          <w:p w14:paraId="7C5540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1" w:type="dxa"/>
            <w:tcBorders>
              <w:tl2br w:val="nil"/>
              <w:tr2bl w:val="nil"/>
            </w:tcBorders>
            <w:shd w:val="clear" w:color="auto" w:fill="auto"/>
            <w:vAlign w:val="center"/>
          </w:tcPr>
          <w:p w14:paraId="434C18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24" w:type="dxa"/>
            <w:tcBorders>
              <w:tl2br w:val="nil"/>
              <w:tr2bl w:val="nil"/>
            </w:tcBorders>
            <w:shd w:val="clear" w:color="auto" w:fill="auto"/>
            <w:vAlign w:val="center"/>
          </w:tcPr>
          <w:p w14:paraId="553D5B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022" w:type="dxa"/>
            <w:tcBorders>
              <w:tl2br w:val="nil"/>
              <w:tr2bl w:val="nil"/>
            </w:tcBorders>
            <w:shd w:val="clear" w:color="auto" w:fill="auto"/>
            <w:vAlign w:val="center"/>
          </w:tcPr>
          <w:p w14:paraId="7CBFC9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802" w:type="dxa"/>
            <w:tcBorders>
              <w:tl2br w:val="nil"/>
              <w:tr2bl w:val="nil"/>
            </w:tcBorders>
            <w:shd w:val="clear" w:color="auto" w:fill="auto"/>
            <w:vAlign w:val="center"/>
          </w:tcPr>
          <w:p w14:paraId="19A069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2" w:type="dxa"/>
            <w:tcBorders>
              <w:tl2br w:val="nil"/>
              <w:tr2bl w:val="nil"/>
            </w:tcBorders>
            <w:shd w:val="clear" w:color="auto" w:fill="auto"/>
            <w:vAlign w:val="center"/>
          </w:tcPr>
          <w:p w14:paraId="5693A5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4" w:type="dxa"/>
            <w:tcBorders>
              <w:tl2br w:val="nil"/>
              <w:tr2bl w:val="nil"/>
            </w:tcBorders>
            <w:shd w:val="clear" w:color="auto" w:fill="auto"/>
            <w:vAlign w:val="center"/>
          </w:tcPr>
          <w:p w14:paraId="53530D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003" w:type="dxa"/>
            <w:tcBorders>
              <w:tl2br w:val="nil"/>
              <w:tr2bl w:val="nil"/>
            </w:tcBorders>
            <w:shd w:val="clear" w:color="auto" w:fill="auto"/>
            <w:vAlign w:val="center"/>
          </w:tcPr>
          <w:p w14:paraId="726D54B9">
            <w:pPr>
              <w:jc w:val="center"/>
              <w:rPr>
                <w:rFonts w:hint="eastAsia" w:ascii="宋体" w:hAnsi="宋体" w:eastAsia="宋体" w:cs="宋体"/>
                <w:i w:val="0"/>
                <w:iCs w:val="0"/>
                <w:color w:val="000000"/>
                <w:sz w:val="20"/>
                <w:szCs w:val="20"/>
                <w:u w:val="none"/>
              </w:rPr>
            </w:pPr>
          </w:p>
        </w:tc>
      </w:tr>
      <w:tr w14:paraId="55C64C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20" w:hRule="atLeast"/>
        </w:trPr>
        <w:tc>
          <w:tcPr>
            <w:tcW w:w="716" w:type="dxa"/>
            <w:vMerge w:val="continue"/>
            <w:tcBorders>
              <w:tl2br w:val="nil"/>
              <w:tr2bl w:val="nil"/>
            </w:tcBorders>
            <w:shd w:val="clear" w:color="auto" w:fill="auto"/>
            <w:vAlign w:val="center"/>
          </w:tcPr>
          <w:p w14:paraId="3FBA575B">
            <w:pPr>
              <w:jc w:val="center"/>
              <w:rPr>
                <w:rFonts w:hint="eastAsia" w:ascii="宋体" w:hAnsi="宋体" w:eastAsia="宋体" w:cs="宋体"/>
                <w:i w:val="0"/>
                <w:iCs w:val="0"/>
                <w:color w:val="000000"/>
                <w:sz w:val="20"/>
                <w:szCs w:val="20"/>
                <w:u w:val="none"/>
              </w:rPr>
            </w:pPr>
          </w:p>
        </w:tc>
        <w:tc>
          <w:tcPr>
            <w:tcW w:w="717" w:type="dxa"/>
            <w:vMerge w:val="continue"/>
            <w:tcBorders>
              <w:tl2br w:val="nil"/>
              <w:tr2bl w:val="nil"/>
            </w:tcBorders>
            <w:shd w:val="clear" w:color="auto" w:fill="auto"/>
            <w:vAlign w:val="center"/>
          </w:tcPr>
          <w:p w14:paraId="40A93657">
            <w:pPr>
              <w:jc w:val="center"/>
              <w:rPr>
                <w:rFonts w:hint="eastAsia" w:ascii="宋体" w:hAnsi="宋体" w:eastAsia="宋体" w:cs="宋体"/>
                <w:i w:val="0"/>
                <w:iCs w:val="0"/>
                <w:color w:val="000000"/>
                <w:sz w:val="20"/>
                <w:szCs w:val="20"/>
                <w:u w:val="none"/>
              </w:rPr>
            </w:pPr>
          </w:p>
        </w:tc>
        <w:tc>
          <w:tcPr>
            <w:tcW w:w="932" w:type="dxa"/>
            <w:vMerge w:val="continue"/>
            <w:tcBorders>
              <w:tl2br w:val="nil"/>
              <w:tr2bl w:val="nil"/>
            </w:tcBorders>
            <w:shd w:val="clear" w:color="auto" w:fill="auto"/>
            <w:vAlign w:val="center"/>
          </w:tcPr>
          <w:p w14:paraId="641F5156">
            <w:pPr>
              <w:jc w:val="center"/>
              <w:rPr>
                <w:rFonts w:hint="eastAsia" w:ascii="宋体" w:hAnsi="宋体" w:eastAsia="宋体" w:cs="宋体"/>
                <w:i w:val="0"/>
                <w:iCs w:val="0"/>
                <w:color w:val="000000"/>
                <w:sz w:val="20"/>
                <w:szCs w:val="20"/>
                <w:u w:val="none"/>
              </w:rPr>
            </w:pPr>
          </w:p>
        </w:tc>
        <w:tc>
          <w:tcPr>
            <w:tcW w:w="1334" w:type="dxa"/>
            <w:tcBorders>
              <w:tl2br w:val="nil"/>
              <w:tr2bl w:val="nil"/>
            </w:tcBorders>
            <w:shd w:val="clear" w:color="auto" w:fill="auto"/>
            <w:vAlign w:val="center"/>
          </w:tcPr>
          <w:p w14:paraId="4F2BE0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有效改善人居环境</w:t>
            </w:r>
          </w:p>
        </w:tc>
        <w:tc>
          <w:tcPr>
            <w:tcW w:w="1203" w:type="dxa"/>
            <w:tcBorders>
              <w:tl2br w:val="nil"/>
              <w:tr2bl w:val="nil"/>
            </w:tcBorders>
            <w:shd w:val="clear" w:color="auto" w:fill="auto"/>
            <w:vAlign w:val="center"/>
          </w:tcPr>
          <w:p w14:paraId="1F905E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有效改善</w:t>
            </w:r>
          </w:p>
        </w:tc>
        <w:tc>
          <w:tcPr>
            <w:tcW w:w="942" w:type="dxa"/>
            <w:tcBorders>
              <w:tl2br w:val="nil"/>
              <w:tr2bl w:val="nil"/>
            </w:tcBorders>
            <w:shd w:val="clear" w:color="auto" w:fill="auto"/>
            <w:vAlign w:val="center"/>
          </w:tcPr>
          <w:p w14:paraId="663222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92" w:type="dxa"/>
            <w:tcBorders>
              <w:tl2br w:val="nil"/>
              <w:tr2bl w:val="nil"/>
            </w:tcBorders>
            <w:shd w:val="clear" w:color="auto" w:fill="auto"/>
            <w:vAlign w:val="center"/>
          </w:tcPr>
          <w:p w14:paraId="0F164C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1" w:type="dxa"/>
            <w:tcBorders>
              <w:tl2br w:val="nil"/>
              <w:tr2bl w:val="nil"/>
            </w:tcBorders>
            <w:shd w:val="clear" w:color="auto" w:fill="auto"/>
            <w:vAlign w:val="center"/>
          </w:tcPr>
          <w:p w14:paraId="670C80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24" w:type="dxa"/>
            <w:tcBorders>
              <w:tl2br w:val="nil"/>
              <w:tr2bl w:val="nil"/>
            </w:tcBorders>
            <w:shd w:val="clear" w:color="auto" w:fill="auto"/>
            <w:vAlign w:val="center"/>
          </w:tcPr>
          <w:p w14:paraId="59B4C4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022" w:type="dxa"/>
            <w:tcBorders>
              <w:tl2br w:val="nil"/>
              <w:tr2bl w:val="nil"/>
            </w:tcBorders>
            <w:shd w:val="clear" w:color="auto" w:fill="auto"/>
            <w:vAlign w:val="center"/>
          </w:tcPr>
          <w:p w14:paraId="3ECEE6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802" w:type="dxa"/>
            <w:tcBorders>
              <w:tl2br w:val="nil"/>
              <w:tr2bl w:val="nil"/>
            </w:tcBorders>
            <w:shd w:val="clear" w:color="auto" w:fill="auto"/>
            <w:vAlign w:val="center"/>
          </w:tcPr>
          <w:p w14:paraId="2ED711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2" w:type="dxa"/>
            <w:tcBorders>
              <w:tl2br w:val="nil"/>
              <w:tr2bl w:val="nil"/>
            </w:tcBorders>
            <w:shd w:val="clear" w:color="auto" w:fill="auto"/>
            <w:vAlign w:val="center"/>
          </w:tcPr>
          <w:p w14:paraId="73DA2E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4" w:type="dxa"/>
            <w:tcBorders>
              <w:tl2br w:val="nil"/>
              <w:tr2bl w:val="nil"/>
            </w:tcBorders>
            <w:shd w:val="clear" w:color="auto" w:fill="auto"/>
            <w:vAlign w:val="center"/>
          </w:tcPr>
          <w:p w14:paraId="12CC03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003" w:type="dxa"/>
            <w:tcBorders>
              <w:tl2br w:val="nil"/>
              <w:tr2bl w:val="nil"/>
            </w:tcBorders>
            <w:shd w:val="clear" w:color="auto" w:fill="auto"/>
            <w:vAlign w:val="center"/>
          </w:tcPr>
          <w:p w14:paraId="3EECB6AC">
            <w:pPr>
              <w:jc w:val="center"/>
              <w:rPr>
                <w:rFonts w:hint="eastAsia" w:ascii="宋体" w:hAnsi="宋体" w:eastAsia="宋体" w:cs="宋体"/>
                <w:i w:val="0"/>
                <w:iCs w:val="0"/>
                <w:color w:val="000000"/>
                <w:sz w:val="20"/>
                <w:szCs w:val="20"/>
                <w:u w:val="none"/>
              </w:rPr>
            </w:pPr>
          </w:p>
        </w:tc>
      </w:tr>
      <w:tr w14:paraId="0F56B7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trPr>
        <w:tc>
          <w:tcPr>
            <w:tcW w:w="3699" w:type="dxa"/>
            <w:gridSpan w:val="4"/>
            <w:tcBorders>
              <w:tl2br w:val="nil"/>
              <w:tr2bl w:val="nil"/>
            </w:tcBorders>
            <w:shd w:val="clear" w:color="auto" w:fill="auto"/>
            <w:vAlign w:val="center"/>
          </w:tcPr>
          <w:p w14:paraId="4D9138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03" w:type="dxa"/>
            <w:tcBorders>
              <w:tl2br w:val="nil"/>
              <w:tr2bl w:val="nil"/>
            </w:tcBorders>
            <w:shd w:val="clear" w:color="auto" w:fill="auto"/>
            <w:vAlign w:val="center"/>
          </w:tcPr>
          <w:p w14:paraId="62AC8C71">
            <w:pPr>
              <w:jc w:val="center"/>
              <w:rPr>
                <w:rFonts w:hint="eastAsia" w:ascii="宋体" w:hAnsi="宋体" w:eastAsia="宋体" w:cs="宋体"/>
                <w:i w:val="0"/>
                <w:iCs w:val="0"/>
                <w:color w:val="000000"/>
                <w:sz w:val="20"/>
                <w:szCs w:val="20"/>
                <w:u w:val="none"/>
              </w:rPr>
            </w:pPr>
          </w:p>
        </w:tc>
        <w:tc>
          <w:tcPr>
            <w:tcW w:w="942" w:type="dxa"/>
            <w:tcBorders>
              <w:tl2br w:val="nil"/>
              <w:tr2bl w:val="nil"/>
            </w:tcBorders>
            <w:shd w:val="clear" w:color="auto" w:fill="auto"/>
            <w:vAlign w:val="center"/>
          </w:tcPr>
          <w:p w14:paraId="05BAC279">
            <w:pPr>
              <w:rPr>
                <w:rFonts w:hint="eastAsia" w:ascii="宋体" w:hAnsi="宋体" w:eastAsia="宋体" w:cs="宋体"/>
                <w:b/>
                <w:bCs/>
                <w:i w:val="0"/>
                <w:iCs w:val="0"/>
                <w:color w:val="000000"/>
                <w:sz w:val="20"/>
                <w:szCs w:val="20"/>
                <w:u w:val="none"/>
              </w:rPr>
            </w:pPr>
          </w:p>
        </w:tc>
        <w:tc>
          <w:tcPr>
            <w:tcW w:w="692" w:type="dxa"/>
            <w:tcBorders>
              <w:tl2br w:val="nil"/>
              <w:tr2bl w:val="nil"/>
            </w:tcBorders>
            <w:shd w:val="clear" w:color="auto" w:fill="auto"/>
            <w:vAlign w:val="center"/>
          </w:tcPr>
          <w:p w14:paraId="30D0802B">
            <w:pPr>
              <w:jc w:val="center"/>
              <w:rPr>
                <w:rFonts w:hint="eastAsia" w:ascii="宋体" w:hAnsi="宋体" w:eastAsia="宋体" w:cs="宋体"/>
                <w:i w:val="0"/>
                <w:iCs w:val="0"/>
                <w:color w:val="000000"/>
                <w:sz w:val="20"/>
                <w:szCs w:val="20"/>
                <w:u w:val="none"/>
              </w:rPr>
            </w:pPr>
          </w:p>
        </w:tc>
        <w:tc>
          <w:tcPr>
            <w:tcW w:w="711" w:type="dxa"/>
            <w:tcBorders>
              <w:tl2br w:val="nil"/>
              <w:tr2bl w:val="nil"/>
            </w:tcBorders>
            <w:shd w:val="clear" w:color="auto" w:fill="auto"/>
            <w:vAlign w:val="center"/>
          </w:tcPr>
          <w:p w14:paraId="56F636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024" w:type="dxa"/>
            <w:tcBorders>
              <w:tl2br w:val="nil"/>
              <w:tr2bl w:val="nil"/>
            </w:tcBorders>
            <w:shd w:val="clear" w:color="auto" w:fill="auto"/>
            <w:vAlign w:val="center"/>
          </w:tcPr>
          <w:p w14:paraId="1E6B96AC">
            <w:pPr>
              <w:jc w:val="center"/>
              <w:rPr>
                <w:rFonts w:hint="eastAsia" w:ascii="宋体" w:hAnsi="宋体" w:eastAsia="宋体" w:cs="宋体"/>
                <w:i w:val="0"/>
                <w:iCs w:val="0"/>
                <w:color w:val="000000"/>
                <w:sz w:val="20"/>
                <w:szCs w:val="20"/>
                <w:u w:val="none"/>
              </w:rPr>
            </w:pPr>
          </w:p>
        </w:tc>
        <w:tc>
          <w:tcPr>
            <w:tcW w:w="1022" w:type="dxa"/>
            <w:tcBorders>
              <w:tl2br w:val="nil"/>
              <w:tr2bl w:val="nil"/>
            </w:tcBorders>
            <w:shd w:val="clear" w:color="auto" w:fill="auto"/>
            <w:vAlign w:val="center"/>
          </w:tcPr>
          <w:p w14:paraId="74C67F59">
            <w:pPr>
              <w:rPr>
                <w:rFonts w:hint="eastAsia" w:ascii="宋体" w:hAnsi="宋体" w:eastAsia="宋体" w:cs="宋体"/>
                <w:i w:val="0"/>
                <w:iCs w:val="0"/>
                <w:color w:val="000000"/>
                <w:sz w:val="20"/>
                <w:szCs w:val="20"/>
                <w:u w:val="none"/>
              </w:rPr>
            </w:pPr>
          </w:p>
        </w:tc>
        <w:tc>
          <w:tcPr>
            <w:tcW w:w="802" w:type="dxa"/>
            <w:tcBorders>
              <w:tl2br w:val="nil"/>
              <w:tr2bl w:val="nil"/>
            </w:tcBorders>
            <w:shd w:val="clear" w:color="auto" w:fill="auto"/>
            <w:vAlign w:val="center"/>
          </w:tcPr>
          <w:p w14:paraId="5238D5C3">
            <w:pPr>
              <w:rPr>
                <w:rFonts w:hint="eastAsia" w:ascii="宋体" w:hAnsi="宋体" w:eastAsia="宋体" w:cs="宋体"/>
                <w:i w:val="0"/>
                <w:iCs w:val="0"/>
                <w:color w:val="000000"/>
                <w:sz w:val="20"/>
                <w:szCs w:val="20"/>
                <w:u w:val="none"/>
              </w:rPr>
            </w:pPr>
          </w:p>
        </w:tc>
        <w:tc>
          <w:tcPr>
            <w:tcW w:w="1062" w:type="dxa"/>
            <w:tcBorders>
              <w:tl2br w:val="nil"/>
              <w:tr2bl w:val="nil"/>
            </w:tcBorders>
            <w:shd w:val="clear" w:color="auto" w:fill="auto"/>
            <w:vAlign w:val="center"/>
          </w:tcPr>
          <w:p w14:paraId="70A87F1C">
            <w:pPr>
              <w:rPr>
                <w:rFonts w:hint="eastAsia" w:ascii="宋体" w:hAnsi="宋体" w:eastAsia="宋体" w:cs="宋体"/>
                <w:i w:val="0"/>
                <w:iCs w:val="0"/>
                <w:color w:val="000000"/>
                <w:sz w:val="20"/>
                <w:szCs w:val="20"/>
                <w:u w:val="none"/>
              </w:rPr>
            </w:pPr>
          </w:p>
        </w:tc>
        <w:tc>
          <w:tcPr>
            <w:tcW w:w="1014" w:type="dxa"/>
            <w:tcBorders>
              <w:tl2br w:val="nil"/>
              <w:tr2bl w:val="nil"/>
            </w:tcBorders>
            <w:shd w:val="clear" w:color="auto" w:fill="auto"/>
            <w:vAlign w:val="center"/>
          </w:tcPr>
          <w:p w14:paraId="5911F3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96.36</w:t>
            </w:r>
          </w:p>
        </w:tc>
        <w:tc>
          <w:tcPr>
            <w:tcW w:w="2003" w:type="dxa"/>
            <w:tcBorders>
              <w:tl2br w:val="nil"/>
              <w:tr2bl w:val="nil"/>
            </w:tcBorders>
            <w:shd w:val="clear" w:color="auto" w:fill="auto"/>
            <w:vAlign w:val="center"/>
          </w:tcPr>
          <w:p w14:paraId="64B6EECD">
            <w:pPr>
              <w:rPr>
                <w:rFonts w:hint="eastAsia" w:ascii="宋体" w:hAnsi="宋体" w:eastAsia="宋体" w:cs="宋体"/>
                <w:i w:val="0"/>
                <w:iCs w:val="0"/>
                <w:color w:val="000000"/>
                <w:sz w:val="20"/>
                <w:szCs w:val="20"/>
                <w:u w:val="none"/>
              </w:rPr>
            </w:pPr>
          </w:p>
        </w:tc>
      </w:tr>
    </w:tbl>
    <w:p w14:paraId="29C76A6F">
      <w:pPr>
        <w:pageBreakBefore w:val="0"/>
        <w:kinsoku/>
        <w:wordWrap/>
        <w:overflowPunct/>
        <w:topLinePunct w:val="0"/>
        <w:autoSpaceDE/>
        <w:autoSpaceDN/>
        <w:bidi w:val="0"/>
        <w:spacing w:line="560" w:lineRule="exact"/>
        <w:ind w:left="0" w:leftChars="0" w:firstLine="0" w:firstLineChars="0"/>
        <w:rPr>
          <w:rFonts w:hint="default"/>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62D8DA22">
      <w:pPr>
        <w:pStyle w:val="3"/>
        <w:pageBreakBefore w:val="0"/>
        <w:numPr>
          <w:ilvl w:val="0"/>
          <w:numId w:val="0"/>
        </w:numPr>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auto"/>
          <w:highlight w:val="none"/>
          <w:shd w:val="clear" w:color="auto" w:fill="auto"/>
          <w:lang w:val="en-US" w:eastAsia="zh-CN"/>
        </w:rPr>
      </w:pPr>
      <w:bookmarkStart w:id="83"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3"/>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6DA2DE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tcBorders>
              <w:tl2br w:val="nil"/>
              <w:tr2bl w:val="nil"/>
            </w:tcBorders>
            <w:shd w:val="clear" w:color="auto" w:fill="auto"/>
            <w:noWrap w:val="0"/>
            <w:vAlign w:val="center"/>
          </w:tcPr>
          <w:p w14:paraId="1058294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tcBorders>
              <w:tl2br w:val="nil"/>
              <w:tr2bl w:val="nil"/>
            </w:tcBorders>
            <w:shd w:val="clear" w:color="auto" w:fill="auto"/>
            <w:noWrap w:val="0"/>
            <w:vAlign w:val="center"/>
          </w:tcPr>
          <w:p w14:paraId="41865F4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tcBorders>
              <w:tl2br w:val="nil"/>
              <w:tr2bl w:val="nil"/>
            </w:tcBorders>
            <w:shd w:val="clear" w:color="auto" w:fill="auto"/>
            <w:noWrap w:val="0"/>
            <w:vAlign w:val="center"/>
          </w:tcPr>
          <w:p w14:paraId="7F42385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tcBorders>
              <w:tl2br w:val="nil"/>
              <w:tr2bl w:val="nil"/>
            </w:tcBorders>
            <w:shd w:val="clear" w:color="auto" w:fill="auto"/>
            <w:noWrap w:val="0"/>
            <w:vAlign w:val="center"/>
          </w:tcPr>
          <w:p w14:paraId="2F7F6F0D">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tcBorders>
              <w:tl2br w:val="nil"/>
              <w:tr2bl w:val="nil"/>
            </w:tcBorders>
            <w:shd w:val="clear" w:color="auto" w:fill="auto"/>
            <w:noWrap w:val="0"/>
            <w:vAlign w:val="center"/>
          </w:tcPr>
          <w:p w14:paraId="638E5A06">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tcBorders>
              <w:tl2br w:val="nil"/>
              <w:tr2bl w:val="nil"/>
            </w:tcBorders>
            <w:shd w:val="clear" w:color="auto" w:fill="auto"/>
            <w:noWrap w:val="0"/>
            <w:vAlign w:val="center"/>
          </w:tcPr>
          <w:p w14:paraId="57BDCBB1">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tcBorders>
              <w:tl2br w:val="nil"/>
              <w:tr2bl w:val="nil"/>
            </w:tcBorders>
            <w:shd w:val="clear" w:color="auto" w:fill="auto"/>
            <w:noWrap w:val="0"/>
            <w:vAlign w:val="center"/>
          </w:tcPr>
          <w:p w14:paraId="126A4A26">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2D3393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tcBorders>
              <w:tl2br w:val="nil"/>
              <w:tr2bl w:val="nil"/>
            </w:tcBorders>
            <w:shd w:val="clear" w:color="auto" w:fill="auto"/>
            <w:noWrap w:val="0"/>
            <w:vAlign w:val="center"/>
          </w:tcPr>
          <w:p w14:paraId="346FCE8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47D5942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08849A69">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tcBorders>
              <w:tl2br w:val="nil"/>
              <w:tr2bl w:val="nil"/>
            </w:tcBorders>
            <w:shd w:val="clear" w:color="auto" w:fill="auto"/>
            <w:noWrap w:val="0"/>
            <w:vAlign w:val="center"/>
          </w:tcPr>
          <w:p w14:paraId="1997602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tcBorders>
              <w:tl2br w:val="nil"/>
              <w:tr2bl w:val="nil"/>
            </w:tcBorders>
            <w:shd w:val="clear" w:color="auto" w:fill="auto"/>
            <w:noWrap w:val="0"/>
            <w:vAlign w:val="center"/>
          </w:tcPr>
          <w:p w14:paraId="2DEBE80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0BD7D83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tcBorders>
              <w:tl2br w:val="nil"/>
              <w:tr2bl w:val="nil"/>
            </w:tcBorders>
            <w:shd w:val="clear" w:color="auto" w:fill="auto"/>
            <w:noWrap w:val="0"/>
            <w:vAlign w:val="center"/>
          </w:tcPr>
          <w:p w14:paraId="37C6198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tcBorders>
              <w:tl2br w:val="nil"/>
              <w:tr2bl w:val="nil"/>
            </w:tcBorders>
            <w:shd w:val="clear" w:color="auto" w:fill="auto"/>
            <w:noWrap w:val="0"/>
            <w:vAlign w:val="center"/>
          </w:tcPr>
          <w:p w14:paraId="3642301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164908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3B440CF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18B8E87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69FE856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3A28E77E">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tcBorders>
              <w:tl2br w:val="nil"/>
              <w:tr2bl w:val="nil"/>
            </w:tcBorders>
            <w:shd w:val="clear" w:color="auto" w:fill="auto"/>
            <w:noWrap w:val="0"/>
            <w:vAlign w:val="center"/>
          </w:tcPr>
          <w:p w14:paraId="3ADFD1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tcBorders>
              <w:tl2br w:val="nil"/>
              <w:tr2bl w:val="nil"/>
            </w:tcBorders>
            <w:shd w:val="clear" w:color="auto" w:fill="auto"/>
            <w:noWrap w:val="0"/>
            <w:vAlign w:val="center"/>
          </w:tcPr>
          <w:p w14:paraId="322DE5C0">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2</w:t>
            </w:r>
          </w:p>
        </w:tc>
      </w:tr>
      <w:tr w14:paraId="39B6BD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tcBorders>
              <w:tl2br w:val="nil"/>
              <w:tr2bl w:val="nil"/>
            </w:tcBorders>
            <w:shd w:val="clear" w:color="auto" w:fill="auto"/>
            <w:noWrap w:val="0"/>
            <w:vAlign w:val="center"/>
          </w:tcPr>
          <w:p w14:paraId="4755B8FA">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7C0C4D6C">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7FC9546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5A701CC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tcBorders>
              <w:tl2br w:val="nil"/>
              <w:tr2bl w:val="nil"/>
            </w:tcBorders>
            <w:shd w:val="clear" w:color="auto" w:fill="auto"/>
            <w:noWrap w:val="0"/>
            <w:vAlign w:val="center"/>
          </w:tcPr>
          <w:p w14:paraId="2D3A31B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tcBorders>
              <w:tl2br w:val="nil"/>
              <w:tr2bl w:val="nil"/>
            </w:tcBorders>
            <w:shd w:val="clear" w:color="auto" w:fill="auto"/>
            <w:noWrap w:val="0"/>
            <w:vAlign w:val="center"/>
          </w:tcPr>
          <w:p w14:paraId="0701E15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2A4D53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3E4EBDF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103B9F8A">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tcBorders>
              <w:tl2br w:val="nil"/>
              <w:tr2bl w:val="nil"/>
            </w:tcBorders>
            <w:shd w:val="clear" w:color="auto" w:fill="auto"/>
            <w:noWrap w:val="0"/>
            <w:vAlign w:val="center"/>
          </w:tcPr>
          <w:p w14:paraId="02B9DF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tcBorders>
              <w:tl2br w:val="nil"/>
              <w:tr2bl w:val="nil"/>
            </w:tcBorders>
            <w:shd w:val="clear" w:color="auto" w:fill="auto"/>
            <w:noWrap w:val="0"/>
            <w:vAlign w:val="center"/>
          </w:tcPr>
          <w:p w14:paraId="519D0A0D">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2.4</w:t>
            </w:r>
          </w:p>
        </w:tc>
      </w:tr>
      <w:tr w14:paraId="7CE0FF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tcBorders>
              <w:tl2br w:val="nil"/>
              <w:tr2bl w:val="nil"/>
            </w:tcBorders>
            <w:shd w:val="clear" w:color="auto" w:fill="auto"/>
            <w:noWrap w:val="0"/>
            <w:vAlign w:val="center"/>
          </w:tcPr>
          <w:p w14:paraId="66348617">
            <w:pPr>
              <w:spacing w:line="0" w:lineRule="atLeast"/>
              <w:ind w:firstLine="0" w:firstLineChars="0"/>
              <w:jc w:val="center"/>
              <w:rPr>
                <w:rFonts w:ascii="宋体" w:hAnsi="宋体" w:eastAsia="宋体" w:cs="宋体"/>
                <w:color w:val="auto"/>
                <w:kern w:val="0"/>
                <w:sz w:val="22"/>
                <w:szCs w:val="22"/>
                <w:highlight w:val="none"/>
              </w:rPr>
            </w:pPr>
          </w:p>
        </w:tc>
        <w:tc>
          <w:tcPr>
            <w:tcW w:w="727" w:type="dxa"/>
            <w:tcBorders>
              <w:tl2br w:val="nil"/>
              <w:tr2bl w:val="nil"/>
            </w:tcBorders>
            <w:shd w:val="clear" w:color="auto" w:fill="auto"/>
            <w:noWrap w:val="0"/>
            <w:vAlign w:val="center"/>
          </w:tcPr>
          <w:p w14:paraId="677C57A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tcBorders>
              <w:tl2br w:val="nil"/>
              <w:tr2bl w:val="nil"/>
            </w:tcBorders>
            <w:shd w:val="clear" w:color="auto" w:fill="auto"/>
            <w:noWrap w:val="0"/>
            <w:vAlign w:val="center"/>
          </w:tcPr>
          <w:p w14:paraId="741C80C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738B9F2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tcBorders>
              <w:tl2br w:val="nil"/>
              <w:tr2bl w:val="nil"/>
            </w:tcBorders>
            <w:shd w:val="clear" w:color="auto" w:fill="auto"/>
            <w:noWrap w:val="0"/>
            <w:vAlign w:val="center"/>
          </w:tcPr>
          <w:p w14:paraId="1DADE31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tcBorders>
              <w:tl2br w:val="nil"/>
              <w:tr2bl w:val="nil"/>
            </w:tcBorders>
            <w:shd w:val="clear" w:color="auto" w:fill="auto"/>
            <w:noWrap w:val="0"/>
            <w:vAlign w:val="center"/>
          </w:tcPr>
          <w:p w14:paraId="64FC782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5CFE22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0690925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2FF2B6A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1A74FFA5">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0034B36E">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tcBorders>
              <w:tl2br w:val="nil"/>
              <w:tr2bl w:val="nil"/>
            </w:tcBorders>
            <w:shd w:val="clear" w:color="auto" w:fill="auto"/>
            <w:noWrap w:val="0"/>
            <w:vAlign w:val="center"/>
          </w:tcPr>
          <w:p w14:paraId="3DBEB4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tcBorders>
              <w:tl2br w:val="nil"/>
              <w:tr2bl w:val="nil"/>
            </w:tcBorders>
            <w:shd w:val="clear" w:color="auto" w:fill="auto"/>
            <w:noWrap w:val="0"/>
            <w:vAlign w:val="center"/>
          </w:tcPr>
          <w:p w14:paraId="6D6A6EFE">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r>
      <w:tr w14:paraId="14E7EC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tcBorders>
              <w:tl2br w:val="nil"/>
              <w:tr2bl w:val="nil"/>
            </w:tcBorders>
            <w:shd w:val="clear" w:color="auto" w:fill="auto"/>
            <w:noWrap w:val="0"/>
            <w:vAlign w:val="center"/>
          </w:tcPr>
          <w:p w14:paraId="65BF313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tcBorders>
              <w:tl2br w:val="nil"/>
              <w:tr2bl w:val="nil"/>
            </w:tcBorders>
            <w:shd w:val="clear" w:color="auto" w:fill="auto"/>
            <w:noWrap w:val="0"/>
            <w:vAlign w:val="center"/>
          </w:tcPr>
          <w:p w14:paraId="2D87E47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tcBorders>
              <w:tl2br w:val="nil"/>
              <w:tr2bl w:val="nil"/>
            </w:tcBorders>
            <w:shd w:val="clear" w:color="auto" w:fill="auto"/>
            <w:noWrap w:val="0"/>
            <w:vAlign w:val="center"/>
          </w:tcPr>
          <w:p w14:paraId="757B241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30B16BA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tcBorders>
              <w:tl2br w:val="nil"/>
              <w:tr2bl w:val="nil"/>
            </w:tcBorders>
            <w:shd w:val="clear" w:color="auto" w:fill="auto"/>
            <w:noWrap w:val="0"/>
            <w:vAlign w:val="center"/>
          </w:tcPr>
          <w:p w14:paraId="17FB15F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tcBorders>
              <w:tl2br w:val="nil"/>
              <w:tr2bl w:val="nil"/>
            </w:tcBorders>
            <w:shd w:val="clear" w:color="auto" w:fill="auto"/>
            <w:noWrap w:val="0"/>
            <w:vAlign w:val="center"/>
          </w:tcPr>
          <w:p w14:paraId="358B089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60E65E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29256EA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4DABCAE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094AA70A">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tcBorders>
              <w:tl2br w:val="nil"/>
              <w:tr2bl w:val="nil"/>
            </w:tcBorders>
            <w:shd w:val="clear" w:color="auto" w:fill="auto"/>
            <w:noWrap w:val="0"/>
            <w:vAlign w:val="center"/>
          </w:tcPr>
          <w:p w14:paraId="26E3D9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tcBorders>
              <w:tl2br w:val="nil"/>
              <w:tr2bl w:val="nil"/>
            </w:tcBorders>
            <w:shd w:val="clear" w:color="auto" w:fill="auto"/>
            <w:noWrap w:val="0"/>
            <w:vAlign w:val="center"/>
          </w:tcPr>
          <w:p w14:paraId="783759B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r>
      <w:tr w14:paraId="4D5F30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tcBorders>
              <w:tl2br w:val="nil"/>
              <w:tr2bl w:val="nil"/>
            </w:tcBorders>
            <w:shd w:val="clear" w:color="auto" w:fill="auto"/>
            <w:noWrap w:val="0"/>
            <w:vAlign w:val="center"/>
          </w:tcPr>
          <w:p w14:paraId="4C3F7CE2">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tcBorders>
              <w:tl2br w:val="nil"/>
              <w:tr2bl w:val="nil"/>
            </w:tcBorders>
            <w:shd w:val="clear" w:color="auto" w:fill="auto"/>
            <w:noWrap w:val="0"/>
            <w:vAlign w:val="center"/>
          </w:tcPr>
          <w:p w14:paraId="04CDF6D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3EB7578A">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tcBorders>
              <w:tl2br w:val="nil"/>
              <w:tr2bl w:val="nil"/>
            </w:tcBorders>
            <w:shd w:val="clear" w:color="auto" w:fill="auto"/>
            <w:noWrap w:val="0"/>
            <w:vAlign w:val="center"/>
          </w:tcPr>
          <w:p w14:paraId="30F19BC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55C505D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tcBorders>
              <w:tl2br w:val="nil"/>
              <w:tr2bl w:val="nil"/>
            </w:tcBorders>
            <w:shd w:val="clear" w:color="auto" w:fill="auto"/>
            <w:noWrap w:val="0"/>
            <w:vAlign w:val="center"/>
          </w:tcPr>
          <w:p w14:paraId="6F90618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tcBorders>
              <w:tl2br w:val="nil"/>
              <w:tr2bl w:val="nil"/>
            </w:tcBorders>
            <w:shd w:val="clear" w:color="auto" w:fill="auto"/>
            <w:noWrap w:val="0"/>
            <w:vAlign w:val="center"/>
          </w:tcPr>
          <w:p w14:paraId="72AF4D7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79FF03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11A0D9B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6EF0E81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01A7507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tcBorders>
              <w:tl2br w:val="nil"/>
              <w:tr2bl w:val="nil"/>
            </w:tcBorders>
            <w:shd w:val="clear" w:color="auto" w:fill="auto"/>
            <w:noWrap w:val="0"/>
            <w:vAlign w:val="center"/>
          </w:tcPr>
          <w:p w14:paraId="7D1AAB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tcBorders>
              <w:tl2br w:val="nil"/>
              <w:tr2bl w:val="nil"/>
            </w:tcBorders>
            <w:shd w:val="clear" w:color="auto" w:fill="auto"/>
            <w:noWrap w:val="0"/>
            <w:vAlign w:val="center"/>
          </w:tcPr>
          <w:p w14:paraId="01F592F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2</w:t>
            </w:r>
          </w:p>
        </w:tc>
      </w:tr>
      <w:tr w14:paraId="7DCD0C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tcBorders>
              <w:tl2br w:val="nil"/>
              <w:tr2bl w:val="nil"/>
            </w:tcBorders>
            <w:shd w:val="clear" w:color="auto" w:fill="auto"/>
            <w:noWrap w:val="0"/>
            <w:vAlign w:val="center"/>
          </w:tcPr>
          <w:p w14:paraId="1BC764A4">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352C318F">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1C002FB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38FFA1C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tcBorders>
              <w:tl2br w:val="nil"/>
              <w:tr2bl w:val="nil"/>
            </w:tcBorders>
            <w:shd w:val="clear" w:color="auto" w:fill="auto"/>
            <w:noWrap w:val="0"/>
            <w:vAlign w:val="center"/>
          </w:tcPr>
          <w:p w14:paraId="37BEE98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tcBorders>
              <w:tl2br w:val="nil"/>
              <w:tr2bl w:val="nil"/>
            </w:tcBorders>
            <w:shd w:val="clear" w:color="auto" w:fill="auto"/>
            <w:noWrap w:val="0"/>
            <w:vAlign w:val="center"/>
          </w:tcPr>
          <w:p w14:paraId="6FFD051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B44A0E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0F95B67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tcBorders>
              <w:tl2br w:val="nil"/>
              <w:tr2bl w:val="nil"/>
            </w:tcBorders>
            <w:shd w:val="clear" w:color="auto" w:fill="auto"/>
            <w:noWrap w:val="0"/>
            <w:vAlign w:val="center"/>
          </w:tcPr>
          <w:p w14:paraId="6BFBF9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tcBorders>
              <w:tl2br w:val="nil"/>
              <w:tr2bl w:val="nil"/>
            </w:tcBorders>
            <w:shd w:val="clear" w:color="auto" w:fill="auto"/>
            <w:noWrap w:val="0"/>
            <w:vAlign w:val="center"/>
          </w:tcPr>
          <w:p w14:paraId="1D9D7A7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3</w:t>
            </w:r>
          </w:p>
        </w:tc>
      </w:tr>
      <w:tr w14:paraId="7088FF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tcBorders>
              <w:tl2br w:val="nil"/>
              <w:tr2bl w:val="nil"/>
            </w:tcBorders>
            <w:shd w:val="clear" w:color="auto" w:fill="auto"/>
            <w:noWrap w:val="0"/>
            <w:vAlign w:val="center"/>
          </w:tcPr>
          <w:p w14:paraId="2A903302">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tcBorders>
              <w:tl2br w:val="nil"/>
              <w:tr2bl w:val="nil"/>
            </w:tcBorders>
            <w:shd w:val="clear" w:color="auto" w:fill="auto"/>
            <w:noWrap w:val="0"/>
            <w:vAlign w:val="center"/>
          </w:tcPr>
          <w:p w14:paraId="474105B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tcBorders>
              <w:tl2br w:val="nil"/>
              <w:tr2bl w:val="nil"/>
            </w:tcBorders>
            <w:shd w:val="clear" w:color="auto" w:fill="auto"/>
            <w:noWrap w:val="0"/>
            <w:vAlign w:val="center"/>
          </w:tcPr>
          <w:p w14:paraId="4C9C1DD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tcBorders>
              <w:tl2br w:val="nil"/>
              <w:tr2bl w:val="nil"/>
            </w:tcBorders>
            <w:shd w:val="clear" w:color="auto" w:fill="auto"/>
            <w:noWrap w:val="0"/>
            <w:vAlign w:val="center"/>
          </w:tcPr>
          <w:p w14:paraId="0CE3FFA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tcBorders>
              <w:tl2br w:val="nil"/>
              <w:tr2bl w:val="nil"/>
            </w:tcBorders>
            <w:shd w:val="clear" w:color="auto" w:fill="auto"/>
            <w:noWrap w:val="0"/>
            <w:vAlign w:val="center"/>
          </w:tcPr>
          <w:p w14:paraId="1CFAED4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0CE1D6B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70B4277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tcBorders>
              <w:tl2br w:val="nil"/>
              <w:tr2bl w:val="nil"/>
            </w:tcBorders>
            <w:shd w:val="clear" w:color="auto" w:fill="auto"/>
            <w:noWrap w:val="0"/>
            <w:vAlign w:val="center"/>
          </w:tcPr>
          <w:p w14:paraId="1DEE31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14:paraId="0216DC8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4</w:t>
            </w:r>
          </w:p>
        </w:tc>
      </w:tr>
      <w:tr w14:paraId="4936DF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tcBorders>
              <w:tl2br w:val="nil"/>
              <w:tr2bl w:val="nil"/>
            </w:tcBorders>
            <w:shd w:val="clear" w:color="auto" w:fill="auto"/>
            <w:noWrap w:val="0"/>
            <w:vAlign w:val="center"/>
          </w:tcPr>
          <w:p w14:paraId="228FA410">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34FE3A65">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1CD880B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tcBorders>
              <w:tl2br w:val="nil"/>
              <w:tr2bl w:val="nil"/>
            </w:tcBorders>
            <w:shd w:val="clear" w:color="auto" w:fill="auto"/>
            <w:noWrap w:val="0"/>
            <w:vAlign w:val="center"/>
          </w:tcPr>
          <w:p w14:paraId="4444197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tcBorders>
              <w:tl2br w:val="nil"/>
              <w:tr2bl w:val="nil"/>
            </w:tcBorders>
            <w:shd w:val="clear" w:color="auto" w:fill="auto"/>
            <w:noWrap w:val="0"/>
            <w:vAlign w:val="center"/>
          </w:tcPr>
          <w:p w14:paraId="0FB4211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294F5FA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tcBorders>
              <w:tl2br w:val="nil"/>
              <w:tr2bl w:val="nil"/>
            </w:tcBorders>
            <w:shd w:val="clear" w:color="auto" w:fill="auto"/>
            <w:noWrap w:val="0"/>
            <w:vAlign w:val="center"/>
          </w:tcPr>
          <w:p w14:paraId="71743D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14:paraId="16E3327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4</w:t>
            </w:r>
          </w:p>
        </w:tc>
      </w:tr>
      <w:tr w14:paraId="214CFF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tcBorders>
              <w:tl2br w:val="nil"/>
              <w:tr2bl w:val="nil"/>
            </w:tcBorders>
            <w:shd w:val="clear" w:color="auto" w:fill="auto"/>
            <w:noWrap w:val="0"/>
            <w:vAlign w:val="center"/>
          </w:tcPr>
          <w:p w14:paraId="124F887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78FD8381">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tcBorders>
              <w:tl2br w:val="nil"/>
              <w:tr2bl w:val="nil"/>
            </w:tcBorders>
            <w:shd w:val="clear" w:color="auto" w:fill="auto"/>
            <w:noWrap w:val="0"/>
            <w:vAlign w:val="center"/>
          </w:tcPr>
          <w:p w14:paraId="16B6CC4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tcBorders>
              <w:tl2br w:val="nil"/>
              <w:tr2bl w:val="nil"/>
            </w:tcBorders>
            <w:shd w:val="clear" w:color="auto" w:fill="auto"/>
            <w:noWrap w:val="0"/>
            <w:vAlign w:val="center"/>
          </w:tcPr>
          <w:p w14:paraId="34F2B90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173C79E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tcBorders>
              <w:tl2br w:val="nil"/>
              <w:tr2bl w:val="nil"/>
            </w:tcBorders>
            <w:shd w:val="clear" w:color="auto" w:fill="auto"/>
            <w:noWrap w:val="0"/>
            <w:vAlign w:val="center"/>
          </w:tcPr>
          <w:p w14:paraId="5086A27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tcBorders>
              <w:tl2br w:val="nil"/>
              <w:tr2bl w:val="nil"/>
            </w:tcBorders>
            <w:shd w:val="clear" w:color="auto" w:fill="auto"/>
            <w:noWrap w:val="0"/>
            <w:vAlign w:val="center"/>
          </w:tcPr>
          <w:p w14:paraId="66FDB75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B86501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4BBAA9F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64C7E63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29AB560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tcBorders>
              <w:tl2br w:val="nil"/>
              <w:tr2bl w:val="nil"/>
            </w:tcBorders>
            <w:shd w:val="clear" w:color="auto" w:fill="auto"/>
            <w:noWrap w:val="0"/>
            <w:vAlign w:val="center"/>
          </w:tcPr>
          <w:p w14:paraId="5AB008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14:paraId="7CC7DF0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4</w:t>
            </w:r>
          </w:p>
        </w:tc>
      </w:tr>
      <w:tr w14:paraId="303DDE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tcBorders>
              <w:tl2br w:val="nil"/>
              <w:tr2bl w:val="nil"/>
            </w:tcBorders>
            <w:shd w:val="clear" w:color="auto" w:fill="auto"/>
            <w:noWrap w:val="0"/>
            <w:vAlign w:val="center"/>
          </w:tcPr>
          <w:p w14:paraId="3C5524D1">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tcBorders>
              <w:tl2br w:val="nil"/>
              <w:tr2bl w:val="nil"/>
            </w:tcBorders>
            <w:shd w:val="clear" w:color="auto" w:fill="auto"/>
            <w:noWrap w:val="0"/>
            <w:vAlign w:val="center"/>
          </w:tcPr>
          <w:p w14:paraId="609EA37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3FDDA5E1">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tcBorders>
              <w:tl2br w:val="nil"/>
              <w:tr2bl w:val="nil"/>
            </w:tcBorders>
            <w:shd w:val="clear" w:color="auto" w:fill="auto"/>
            <w:noWrap w:val="0"/>
            <w:vAlign w:val="center"/>
          </w:tcPr>
          <w:p w14:paraId="33CDE74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757C82E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tcBorders>
              <w:tl2br w:val="nil"/>
              <w:tr2bl w:val="nil"/>
            </w:tcBorders>
            <w:shd w:val="clear" w:color="auto" w:fill="auto"/>
            <w:noWrap w:val="0"/>
            <w:vAlign w:val="center"/>
          </w:tcPr>
          <w:p w14:paraId="68ECFD4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tcBorders>
              <w:tl2br w:val="nil"/>
              <w:tr2bl w:val="nil"/>
            </w:tcBorders>
            <w:shd w:val="clear" w:color="auto" w:fill="auto"/>
            <w:noWrap w:val="0"/>
            <w:vAlign w:val="center"/>
          </w:tcPr>
          <w:p w14:paraId="3797305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6B2505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4D69F35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tcBorders>
              <w:tl2br w:val="nil"/>
              <w:tr2bl w:val="nil"/>
            </w:tcBorders>
            <w:shd w:val="clear" w:color="auto" w:fill="auto"/>
            <w:noWrap w:val="0"/>
            <w:vAlign w:val="center"/>
          </w:tcPr>
          <w:p w14:paraId="4E573E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14:paraId="2C12223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4</w:t>
            </w:r>
          </w:p>
        </w:tc>
      </w:tr>
      <w:tr w14:paraId="4D8A93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tcBorders>
              <w:tl2br w:val="nil"/>
              <w:tr2bl w:val="nil"/>
            </w:tcBorders>
            <w:shd w:val="clear" w:color="auto" w:fill="auto"/>
            <w:noWrap w:val="0"/>
            <w:vAlign w:val="center"/>
          </w:tcPr>
          <w:p w14:paraId="12A9521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1627AF89">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2353AA6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10D76A2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tcBorders>
              <w:tl2br w:val="nil"/>
              <w:tr2bl w:val="nil"/>
            </w:tcBorders>
            <w:shd w:val="clear" w:color="auto" w:fill="auto"/>
            <w:noWrap w:val="0"/>
            <w:vAlign w:val="center"/>
          </w:tcPr>
          <w:p w14:paraId="6B00C06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tcBorders>
              <w:tl2br w:val="nil"/>
              <w:tr2bl w:val="nil"/>
            </w:tcBorders>
            <w:shd w:val="clear" w:color="auto" w:fill="auto"/>
            <w:noWrap w:val="0"/>
            <w:vAlign w:val="center"/>
          </w:tcPr>
          <w:p w14:paraId="0A54BCE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981192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3B53F15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07CE953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2F4C2CD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tcBorders>
              <w:tl2br w:val="nil"/>
              <w:tr2bl w:val="nil"/>
            </w:tcBorders>
            <w:shd w:val="clear" w:color="auto" w:fill="auto"/>
            <w:noWrap w:val="0"/>
            <w:vAlign w:val="center"/>
          </w:tcPr>
          <w:p w14:paraId="45D204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14:paraId="2F7CC24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4</w:t>
            </w:r>
          </w:p>
        </w:tc>
      </w:tr>
      <w:tr w14:paraId="0378BA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tcBorders>
              <w:tl2br w:val="nil"/>
              <w:tr2bl w:val="nil"/>
            </w:tcBorders>
            <w:shd w:val="clear" w:color="auto" w:fill="auto"/>
            <w:noWrap w:val="0"/>
            <w:vAlign w:val="center"/>
          </w:tcPr>
          <w:p w14:paraId="161C5BA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tcBorders>
              <w:tl2br w:val="nil"/>
              <w:tr2bl w:val="nil"/>
            </w:tcBorders>
            <w:shd w:val="clear" w:color="auto" w:fill="auto"/>
            <w:noWrap w:val="0"/>
            <w:vAlign w:val="center"/>
          </w:tcPr>
          <w:p w14:paraId="4903A4D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tcBorders>
              <w:tl2br w:val="nil"/>
              <w:tr2bl w:val="nil"/>
            </w:tcBorders>
            <w:shd w:val="clear" w:color="auto" w:fill="auto"/>
            <w:noWrap w:val="0"/>
            <w:vAlign w:val="center"/>
          </w:tcPr>
          <w:p w14:paraId="7FDC10BC">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支付项目工程尾款</w:t>
            </w:r>
          </w:p>
        </w:tc>
        <w:tc>
          <w:tcPr>
            <w:tcW w:w="2141" w:type="dxa"/>
            <w:tcBorders>
              <w:tl2br w:val="nil"/>
              <w:tr2bl w:val="nil"/>
            </w:tcBorders>
            <w:shd w:val="clear" w:color="auto" w:fill="auto"/>
            <w:noWrap w:val="0"/>
            <w:vAlign w:val="center"/>
          </w:tcPr>
          <w:p w14:paraId="3108775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tcBorders>
              <w:tl2br w:val="nil"/>
              <w:tr2bl w:val="nil"/>
            </w:tcBorders>
            <w:shd w:val="clear" w:color="auto" w:fill="auto"/>
            <w:noWrap w:val="0"/>
            <w:vAlign w:val="center"/>
          </w:tcPr>
          <w:p w14:paraId="055BB8D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6B0A259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104B52A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tcBorders>
              <w:tl2br w:val="nil"/>
              <w:tr2bl w:val="nil"/>
            </w:tcBorders>
            <w:shd w:val="clear" w:color="auto" w:fill="auto"/>
            <w:noWrap w:val="0"/>
            <w:vAlign w:val="center"/>
          </w:tcPr>
          <w:p w14:paraId="1FD7588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7</w:t>
            </w:r>
          </w:p>
        </w:tc>
        <w:tc>
          <w:tcPr>
            <w:tcW w:w="769" w:type="dxa"/>
            <w:tcBorders>
              <w:tl2br w:val="nil"/>
              <w:tr2bl w:val="nil"/>
            </w:tcBorders>
            <w:shd w:val="clear" w:color="auto" w:fill="auto"/>
            <w:noWrap w:val="0"/>
            <w:vAlign w:val="center"/>
          </w:tcPr>
          <w:p w14:paraId="55D67B4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7</w:t>
            </w:r>
          </w:p>
        </w:tc>
      </w:tr>
      <w:tr w14:paraId="1AED26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tcBorders>
              <w:tl2br w:val="nil"/>
              <w:tr2bl w:val="nil"/>
            </w:tcBorders>
            <w:shd w:val="clear" w:color="auto" w:fill="auto"/>
            <w:noWrap w:val="0"/>
            <w:vAlign w:val="center"/>
          </w:tcPr>
          <w:p w14:paraId="7B69E0E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tcBorders>
              <w:tl2br w:val="nil"/>
              <w:tr2bl w:val="nil"/>
            </w:tcBorders>
            <w:shd w:val="clear" w:color="auto" w:fill="auto"/>
            <w:noWrap w:val="0"/>
            <w:vAlign w:val="center"/>
          </w:tcPr>
          <w:p w14:paraId="2BC9E1D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tcBorders>
              <w:tl2br w:val="nil"/>
              <w:tr2bl w:val="nil"/>
            </w:tcBorders>
            <w:shd w:val="clear" w:color="auto" w:fill="auto"/>
            <w:noWrap w:val="0"/>
            <w:vAlign w:val="center"/>
          </w:tcPr>
          <w:p w14:paraId="2BD55D6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项目资金支付率</w:t>
            </w:r>
          </w:p>
        </w:tc>
        <w:tc>
          <w:tcPr>
            <w:tcW w:w="2141" w:type="dxa"/>
            <w:tcBorders>
              <w:tl2br w:val="nil"/>
              <w:tr2bl w:val="nil"/>
            </w:tcBorders>
            <w:shd w:val="clear" w:color="auto" w:fill="auto"/>
            <w:noWrap w:val="0"/>
            <w:vAlign w:val="center"/>
          </w:tcPr>
          <w:p w14:paraId="1476811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tcBorders>
              <w:tl2br w:val="nil"/>
              <w:tr2bl w:val="nil"/>
            </w:tcBorders>
            <w:shd w:val="clear" w:color="auto" w:fill="auto"/>
            <w:noWrap w:val="0"/>
            <w:vAlign w:val="center"/>
          </w:tcPr>
          <w:p w14:paraId="67A1FB6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63531F2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tcBorders>
              <w:tl2br w:val="nil"/>
              <w:tr2bl w:val="nil"/>
            </w:tcBorders>
            <w:shd w:val="clear" w:color="auto" w:fill="auto"/>
            <w:noWrap w:val="0"/>
            <w:vAlign w:val="center"/>
          </w:tcPr>
          <w:p w14:paraId="60CE8A4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c>
          <w:tcPr>
            <w:tcW w:w="769" w:type="dxa"/>
            <w:tcBorders>
              <w:tl2br w:val="nil"/>
              <w:tr2bl w:val="nil"/>
            </w:tcBorders>
            <w:shd w:val="clear" w:color="auto" w:fill="auto"/>
            <w:noWrap w:val="0"/>
            <w:vAlign w:val="center"/>
          </w:tcPr>
          <w:p w14:paraId="3C077A3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r>
      <w:tr w14:paraId="214990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tcBorders>
              <w:tl2br w:val="nil"/>
              <w:tr2bl w:val="nil"/>
            </w:tcBorders>
            <w:shd w:val="clear" w:color="auto" w:fill="auto"/>
            <w:noWrap w:val="0"/>
            <w:vAlign w:val="center"/>
          </w:tcPr>
          <w:p w14:paraId="176B2345">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tcBorders>
              <w:tl2br w:val="nil"/>
              <w:tr2bl w:val="nil"/>
            </w:tcBorders>
            <w:shd w:val="clear" w:color="auto" w:fill="auto"/>
            <w:noWrap w:val="0"/>
            <w:vAlign w:val="center"/>
          </w:tcPr>
          <w:p w14:paraId="7DD10EC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tcBorders>
              <w:tl2br w:val="nil"/>
              <w:tr2bl w:val="nil"/>
            </w:tcBorders>
            <w:shd w:val="clear" w:color="auto" w:fill="auto"/>
            <w:noWrap w:val="0"/>
            <w:vAlign w:val="center"/>
          </w:tcPr>
          <w:p w14:paraId="68286D5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资金支付及时率</w:t>
            </w:r>
          </w:p>
        </w:tc>
        <w:tc>
          <w:tcPr>
            <w:tcW w:w="2141" w:type="dxa"/>
            <w:tcBorders>
              <w:tl2br w:val="nil"/>
              <w:tr2bl w:val="nil"/>
            </w:tcBorders>
            <w:shd w:val="clear" w:color="auto" w:fill="auto"/>
            <w:noWrap w:val="0"/>
            <w:vAlign w:val="center"/>
          </w:tcPr>
          <w:p w14:paraId="52FC628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tcBorders>
              <w:tl2br w:val="nil"/>
              <w:tr2bl w:val="nil"/>
            </w:tcBorders>
            <w:shd w:val="clear" w:color="auto" w:fill="auto"/>
            <w:noWrap w:val="0"/>
            <w:vAlign w:val="center"/>
          </w:tcPr>
          <w:p w14:paraId="48795FA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11CA397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tcBorders>
              <w:tl2br w:val="nil"/>
              <w:tr2bl w:val="nil"/>
            </w:tcBorders>
            <w:shd w:val="clear" w:color="auto" w:fill="auto"/>
            <w:noWrap w:val="0"/>
            <w:vAlign w:val="center"/>
          </w:tcPr>
          <w:p w14:paraId="43757D4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c>
          <w:tcPr>
            <w:tcW w:w="769" w:type="dxa"/>
            <w:tcBorders>
              <w:tl2br w:val="nil"/>
              <w:tr2bl w:val="nil"/>
            </w:tcBorders>
            <w:shd w:val="clear" w:color="auto" w:fill="auto"/>
            <w:noWrap w:val="0"/>
            <w:vAlign w:val="center"/>
          </w:tcPr>
          <w:p w14:paraId="2F51B1E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r>
      <w:tr w14:paraId="1082E6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tcBorders>
              <w:tl2br w:val="nil"/>
              <w:tr2bl w:val="nil"/>
            </w:tcBorders>
            <w:shd w:val="clear" w:color="auto" w:fill="auto"/>
            <w:noWrap w:val="0"/>
            <w:vAlign w:val="center"/>
          </w:tcPr>
          <w:p w14:paraId="20B2259A">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1C8A846A">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0393FD3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资金支付完成时间</w:t>
            </w:r>
          </w:p>
        </w:tc>
        <w:tc>
          <w:tcPr>
            <w:tcW w:w="2141" w:type="dxa"/>
            <w:tcBorders>
              <w:tl2br w:val="nil"/>
              <w:tr2bl w:val="nil"/>
            </w:tcBorders>
            <w:shd w:val="clear" w:color="auto" w:fill="auto"/>
            <w:noWrap w:val="0"/>
            <w:vAlign w:val="center"/>
          </w:tcPr>
          <w:p w14:paraId="6A2E44C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tcBorders>
              <w:tl2br w:val="nil"/>
              <w:tr2bl w:val="nil"/>
            </w:tcBorders>
            <w:shd w:val="clear" w:color="auto" w:fill="auto"/>
            <w:noWrap w:val="0"/>
            <w:vAlign w:val="center"/>
          </w:tcPr>
          <w:p w14:paraId="1FDB755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1AF3412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tcBorders>
              <w:tl2br w:val="nil"/>
              <w:tr2bl w:val="nil"/>
            </w:tcBorders>
            <w:shd w:val="clear" w:color="auto" w:fill="auto"/>
            <w:noWrap w:val="0"/>
            <w:vAlign w:val="center"/>
          </w:tcPr>
          <w:p w14:paraId="21BE84D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3</w:t>
            </w:r>
          </w:p>
        </w:tc>
        <w:tc>
          <w:tcPr>
            <w:tcW w:w="769" w:type="dxa"/>
            <w:tcBorders>
              <w:tl2br w:val="nil"/>
              <w:tr2bl w:val="nil"/>
            </w:tcBorders>
            <w:shd w:val="clear" w:color="auto" w:fill="auto"/>
            <w:noWrap w:val="0"/>
            <w:vAlign w:val="center"/>
          </w:tcPr>
          <w:p w14:paraId="765C7FB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3</w:t>
            </w:r>
          </w:p>
        </w:tc>
      </w:tr>
      <w:tr w14:paraId="445820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tcBorders>
              <w:tl2br w:val="nil"/>
              <w:tr2bl w:val="nil"/>
            </w:tcBorders>
            <w:shd w:val="clear" w:color="auto" w:fill="auto"/>
            <w:noWrap w:val="0"/>
            <w:vAlign w:val="center"/>
          </w:tcPr>
          <w:p w14:paraId="337CDE3A">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tcBorders>
              <w:tl2br w:val="nil"/>
              <w:tr2bl w:val="nil"/>
            </w:tcBorders>
            <w:shd w:val="clear" w:color="auto" w:fill="auto"/>
            <w:noWrap w:val="0"/>
            <w:vAlign w:val="center"/>
          </w:tcPr>
          <w:p w14:paraId="7D553B0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tcBorders>
              <w:tl2br w:val="nil"/>
              <w:tr2bl w:val="nil"/>
            </w:tcBorders>
            <w:shd w:val="clear" w:color="auto" w:fill="auto"/>
            <w:noWrap w:val="0"/>
            <w:vAlign w:val="center"/>
          </w:tcPr>
          <w:p w14:paraId="0F065DC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支付新疆凯信博远建设工程有限公司工程尾款</w:t>
            </w:r>
          </w:p>
        </w:tc>
        <w:tc>
          <w:tcPr>
            <w:tcW w:w="2141" w:type="dxa"/>
            <w:tcBorders>
              <w:tl2br w:val="nil"/>
              <w:tr2bl w:val="nil"/>
            </w:tcBorders>
            <w:shd w:val="clear" w:color="auto" w:fill="auto"/>
            <w:noWrap w:val="0"/>
            <w:vAlign w:val="center"/>
          </w:tcPr>
          <w:p w14:paraId="302D895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tcBorders>
              <w:tl2br w:val="nil"/>
              <w:tr2bl w:val="nil"/>
            </w:tcBorders>
            <w:shd w:val="clear" w:color="auto" w:fill="auto"/>
            <w:noWrap w:val="0"/>
            <w:vAlign w:val="center"/>
          </w:tcPr>
          <w:p w14:paraId="59B838BF">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0617B02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7262C37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18C384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tcBorders>
              <w:tl2br w:val="nil"/>
              <w:tr2bl w:val="nil"/>
            </w:tcBorders>
            <w:shd w:val="clear" w:color="auto" w:fill="auto"/>
            <w:noWrap w:val="0"/>
            <w:vAlign w:val="center"/>
          </w:tcPr>
          <w:p w14:paraId="440F4C3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6</w:t>
            </w:r>
          </w:p>
        </w:tc>
        <w:tc>
          <w:tcPr>
            <w:tcW w:w="769" w:type="dxa"/>
            <w:tcBorders>
              <w:tl2br w:val="nil"/>
              <w:tr2bl w:val="nil"/>
            </w:tcBorders>
            <w:shd w:val="clear" w:color="auto" w:fill="auto"/>
            <w:noWrap w:val="0"/>
            <w:vAlign w:val="center"/>
          </w:tcPr>
          <w:p w14:paraId="04B34FA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6</w:t>
            </w:r>
          </w:p>
        </w:tc>
      </w:tr>
      <w:tr w14:paraId="1C8B4E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tcBorders>
              <w:tl2br w:val="nil"/>
              <w:tr2bl w:val="nil"/>
            </w:tcBorders>
            <w:shd w:val="clear" w:color="auto" w:fill="auto"/>
            <w:noWrap w:val="0"/>
            <w:vAlign w:val="center"/>
          </w:tcPr>
          <w:p w14:paraId="798DEED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5241A7D9">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3CA23DE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支付阜康市第二建筑安装有限责任公司工程尾款</w:t>
            </w:r>
          </w:p>
        </w:tc>
        <w:tc>
          <w:tcPr>
            <w:tcW w:w="2141" w:type="dxa"/>
            <w:tcBorders>
              <w:tl2br w:val="nil"/>
              <w:tr2bl w:val="nil"/>
            </w:tcBorders>
            <w:shd w:val="clear" w:color="auto" w:fill="auto"/>
            <w:noWrap w:val="0"/>
            <w:vAlign w:val="center"/>
          </w:tcPr>
          <w:p w14:paraId="50ECF18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tcBorders>
              <w:tl2br w:val="nil"/>
              <w:tr2bl w:val="nil"/>
            </w:tcBorders>
            <w:shd w:val="clear" w:color="auto" w:fill="auto"/>
            <w:noWrap w:val="0"/>
            <w:vAlign w:val="center"/>
          </w:tcPr>
          <w:p w14:paraId="0FE6F4E4">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5973973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B348D9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6419B78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tcBorders>
              <w:tl2br w:val="nil"/>
              <w:tr2bl w:val="nil"/>
            </w:tcBorders>
            <w:shd w:val="clear" w:color="auto" w:fill="auto"/>
            <w:noWrap w:val="0"/>
            <w:vAlign w:val="center"/>
          </w:tcPr>
          <w:p w14:paraId="36786A7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4</w:t>
            </w:r>
          </w:p>
        </w:tc>
        <w:tc>
          <w:tcPr>
            <w:tcW w:w="769" w:type="dxa"/>
            <w:tcBorders>
              <w:tl2br w:val="nil"/>
              <w:tr2bl w:val="nil"/>
            </w:tcBorders>
            <w:shd w:val="clear" w:color="auto" w:fill="auto"/>
            <w:noWrap w:val="0"/>
            <w:vAlign w:val="center"/>
          </w:tcPr>
          <w:p w14:paraId="0478079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4</w:t>
            </w:r>
          </w:p>
        </w:tc>
      </w:tr>
      <w:tr w14:paraId="1CB81B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tcBorders>
              <w:tl2br w:val="nil"/>
              <w:tr2bl w:val="nil"/>
            </w:tcBorders>
            <w:shd w:val="clear" w:color="auto" w:fill="auto"/>
            <w:noWrap w:val="0"/>
            <w:vAlign w:val="center"/>
          </w:tcPr>
          <w:p w14:paraId="41B40C8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tcBorders>
              <w:tl2br w:val="nil"/>
              <w:tr2bl w:val="nil"/>
            </w:tcBorders>
            <w:shd w:val="clear" w:color="auto" w:fill="auto"/>
            <w:noWrap w:val="0"/>
            <w:vAlign w:val="center"/>
          </w:tcPr>
          <w:p w14:paraId="39B42FB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vMerge w:val="restart"/>
            <w:tcBorders>
              <w:tl2br w:val="nil"/>
              <w:tr2bl w:val="nil"/>
            </w:tcBorders>
            <w:shd w:val="clear" w:color="auto" w:fill="auto"/>
            <w:noWrap w:val="0"/>
            <w:vAlign w:val="center"/>
          </w:tcPr>
          <w:p w14:paraId="1515BCF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提升居民生活质量</w:t>
            </w:r>
          </w:p>
        </w:tc>
        <w:tc>
          <w:tcPr>
            <w:tcW w:w="2141" w:type="dxa"/>
            <w:tcBorders>
              <w:tl2br w:val="nil"/>
              <w:tr2bl w:val="nil"/>
            </w:tcBorders>
            <w:shd w:val="clear" w:color="auto" w:fill="auto"/>
            <w:noWrap w:val="0"/>
            <w:vAlign w:val="center"/>
          </w:tcPr>
          <w:p w14:paraId="2FF9AA1C">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tcBorders>
              <w:tl2br w:val="nil"/>
              <w:tr2bl w:val="nil"/>
            </w:tcBorders>
            <w:shd w:val="clear" w:color="auto" w:fill="auto"/>
            <w:noWrap w:val="0"/>
            <w:vAlign w:val="center"/>
          </w:tcPr>
          <w:p w14:paraId="1F6960A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tcBorders>
              <w:tl2br w:val="nil"/>
              <w:tr2bl w:val="nil"/>
            </w:tcBorders>
            <w:shd w:val="clear" w:color="auto" w:fill="auto"/>
            <w:noWrap w:val="0"/>
            <w:vAlign w:val="center"/>
          </w:tcPr>
          <w:p w14:paraId="17E1A0C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c>
          <w:tcPr>
            <w:tcW w:w="769" w:type="dxa"/>
            <w:tcBorders>
              <w:tl2br w:val="nil"/>
              <w:tr2bl w:val="nil"/>
            </w:tcBorders>
            <w:shd w:val="clear" w:color="auto" w:fill="auto"/>
            <w:noWrap w:val="0"/>
            <w:vAlign w:val="center"/>
          </w:tcPr>
          <w:p w14:paraId="45F75BE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14:paraId="518E76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continue"/>
            <w:tcBorders>
              <w:tl2br w:val="nil"/>
              <w:tr2bl w:val="nil"/>
            </w:tcBorders>
            <w:shd w:val="clear" w:color="auto" w:fill="auto"/>
            <w:noWrap w:val="0"/>
            <w:vAlign w:val="center"/>
          </w:tcPr>
          <w:p w14:paraId="49CBE95E">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0476BE5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vMerge w:val="continue"/>
            <w:tcBorders>
              <w:tl2br w:val="nil"/>
              <w:tr2bl w:val="nil"/>
            </w:tcBorders>
            <w:shd w:val="clear" w:color="auto" w:fill="auto"/>
            <w:noWrap w:val="0"/>
            <w:vAlign w:val="center"/>
          </w:tcPr>
          <w:p w14:paraId="3CD074A7">
            <w:pPr>
              <w:widowControl/>
              <w:spacing w:line="0" w:lineRule="atLeast"/>
              <w:ind w:firstLine="0" w:firstLineChars="0"/>
              <w:jc w:val="center"/>
              <w:rPr>
                <w:rFonts w:hint="eastAsia" w:ascii="宋体" w:hAnsi="宋体" w:eastAsia="宋体" w:cs="宋体"/>
                <w:color w:val="auto"/>
                <w:kern w:val="0"/>
                <w:sz w:val="24"/>
                <w:szCs w:val="24"/>
                <w:highlight w:val="none"/>
              </w:rPr>
            </w:pPr>
          </w:p>
        </w:tc>
        <w:tc>
          <w:tcPr>
            <w:tcW w:w="2141" w:type="dxa"/>
            <w:tcBorders>
              <w:tl2br w:val="nil"/>
              <w:tr2bl w:val="nil"/>
            </w:tcBorders>
            <w:shd w:val="clear" w:color="auto" w:fill="auto"/>
            <w:noWrap w:val="0"/>
            <w:vAlign w:val="center"/>
          </w:tcPr>
          <w:p w14:paraId="42802C88">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tcBorders>
              <w:tl2br w:val="nil"/>
              <w:tr2bl w:val="nil"/>
            </w:tcBorders>
            <w:shd w:val="clear" w:color="auto" w:fill="auto"/>
            <w:noWrap w:val="0"/>
            <w:vAlign w:val="center"/>
          </w:tcPr>
          <w:p w14:paraId="385E04F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tcBorders>
              <w:tl2br w:val="nil"/>
              <w:tr2bl w:val="nil"/>
            </w:tcBorders>
            <w:shd w:val="clear" w:color="auto" w:fill="auto"/>
            <w:noWrap w:val="0"/>
            <w:vAlign w:val="center"/>
          </w:tcPr>
          <w:p w14:paraId="7B7DBACE">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69" w:type="dxa"/>
            <w:tcBorders>
              <w:tl2br w:val="nil"/>
              <w:tr2bl w:val="nil"/>
            </w:tcBorders>
            <w:shd w:val="clear" w:color="auto" w:fill="auto"/>
            <w:noWrap w:val="0"/>
            <w:vAlign w:val="center"/>
          </w:tcPr>
          <w:p w14:paraId="5C302015">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r>
      <w:tr w14:paraId="288200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continue"/>
            <w:tcBorders>
              <w:tl2br w:val="nil"/>
              <w:tr2bl w:val="nil"/>
            </w:tcBorders>
            <w:shd w:val="clear" w:color="auto" w:fill="auto"/>
            <w:noWrap w:val="0"/>
            <w:vAlign w:val="center"/>
          </w:tcPr>
          <w:p w14:paraId="3A78E533">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77361B5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081950DF">
            <w:pPr>
              <w:widowControl/>
              <w:spacing w:line="0" w:lineRule="atLeast"/>
              <w:ind w:firstLine="0" w:firstLineChars="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2"/>
                <w:szCs w:val="22"/>
                <w:highlight w:val="none"/>
              </w:rPr>
              <w:t>有效改善人居环境</w:t>
            </w:r>
          </w:p>
        </w:tc>
        <w:tc>
          <w:tcPr>
            <w:tcW w:w="2141" w:type="dxa"/>
            <w:tcBorders>
              <w:tl2br w:val="nil"/>
              <w:tr2bl w:val="nil"/>
            </w:tcBorders>
            <w:shd w:val="clear" w:color="auto" w:fill="auto"/>
            <w:noWrap w:val="0"/>
            <w:vAlign w:val="center"/>
          </w:tcPr>
          <w:p w14:paraId="6CA6DF83">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tcBorders>
              <w:tl2br w:val="nil"/>
              <w:tr2bl w:val="nil"/>
            </w:tcBorders>
            <w:shd w:val="clear" w:color="auto" w:fill="auto"/>
            <w:noWrap w:val="0"/>
            <w:vAlign w:val="center"/>
          </w:tcPr>
          <w:p w14:paraId="1ED7E29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tcBorders>
              <w:tl2br w:val="nil"/>
              <w:tr2bl w:val="nil"/>
            </w:tcBorders>
            <w:shd w:val="clear" w:color="auto" w:fill="auto"/>
            <w:noWrap w:val="0"/>
            <w:vAlign w:val="center"/>
          </w:tcPr>
          <w:p w14:paraId="09F9175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c>
          <w:tcPr>
            <w:tcW w:w="769" w:type="dxa"/>
            <w:tcBorders>
              <w:tl2br w:val="nil"/>
              <w:tr2bl w:val="nil"/>
            </w:tcBorders>
            <w:shd w:val="clear" w:color="auto" w:fill="auto"/>
            <w:noWrap w:val="0"/>
            <w:vAlign w:val="center"/>
          </w:tcPr>
          <w:p w14:paraId="5866936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14:paraId="2FDB34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tcBorders>
              <w:tl2br w:val="nil"/>
              <w:tr2bl w:val="nil"/>
            </w:tcBorders>
            <w:shd w:val="clear" w:color="auto" w:fill="auto"/>
            <w:noWrap w:val="0"/>
            <w:vAlign w:val="center"/>
          </w:tcPr>
          <w:p w14:paraId="028BD454">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52D10FD9">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104429B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企业</w:t>
            </w:r>
            <w:r>
              <w:rPr>
                <w:rFonts w:hint="eastAsia" w:ascii="宋体" w:hAnsi="宋体" w:eastAsia="宋体" w:cs="宋体"/>
                <w:color w:val="auto"/>
                <w:kern w:val="0"/>
                <w:sz w:val="22"/>
                <w:szCs w:val="22"/>
                <w:highlight w:val="none"/>
              </w:rPr>
              <w:t>满意度</w:t>
            </w:r>
          </w:p>
        </w:tc>
        <w:tc>
          <w:tcPr>
            <w:tcW w:w="2141" w:type="dxa"/>
            <w:tcBorders>
              <w:tl2br w:val="nil"/>
              <w:tr2bl w:val="nil"/>
            </w:tcBorders>
            <w:shd w:val="clear" w:color="auto" w:fill="auto"/>
            <w:noWrap w:val="0"/>
            <w:vAlign w:val="center"/>
          </w:tcPr>
          <w:p w14:paraId="6A1CB8E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tcBorders>
              <w:tl2br w:val="nil"/>
              <w:tr2bl w:val="nil"/>
            </w:tcBorders>
            <w:shd w:val="clear" w:color="auto" w:fill="auto"/>
            <w:noWrap w:val="0"/>
            <w:vAlign w:val="center"/>
          </w:tcPr>
          <w:p w14:paraId="0042682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tcBorders>
              <w:tl2br w:val="nil"/>
              <w:tr2bl w:val="nil"/>
            </w:tcBorders>
            <w:shd w:val="clear" w:color="auto" w:fill="auto"/>
            <w:noWrap w:val="0"/>
            <w:vAlign w:val="center"/>
          </w:tcPr>
          <w:p w14:paraId="3537D5D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c>
          <w:tcPr>
            <w:tcW w:w="769" w:type="dxa"/>
            <w:tcBorders>
              <w:tl2br w:val="nil"/>
              <w:tr2bl w:val="nil"/>
            </w:tcBorders>
            <w:shd w:val="clear" w:color="auto" w:fill="auto"/>
            <w:noWrap w:val="0"/>
            <w:vAlign w:val="center"/>
          </w:tcPr>
          <w:p w14:paraId="47400FB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14:paraId="056327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tcBorders>
              <w:tl2br w:val="nil"/>
              <w:tr2bl w:val="nil"/>
            </w:tcBorders>
            <w:shd w:val="clear" w:color="auto" w:fill="auto"/>
            <w:noWrap w:val="0"/>
            <w:vAlign w:val="center"/>
          </w:tcPr>
          <w:p w14:paraId="6DC2A95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tcBorders>
              <w:tl2br w:val="nil"/>
              <w:tr2bl w:val="nil"/>
            </w:tcBorders>
            <w:shd w:val="clear" w:color="auto" w:fill="auto"/>
            <w:noWrap w:val="0"/>
            <w:vAlign w:val="center"/>
          </w:tcPr>
          <w:p w14:paraId="0C35E939">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tcBorders>
              <w:tl2br w:val="nil"/>
              <w:tr2bl w:val="nil"/>
            </w:tcBorders>
            <w:shd w:val="clear" w:color="auto" w:fill="auto"/>
            <w:noWrap w:val="0"/>
            <w:vAlign w:val="center"/>
          </w:tcPr>
          <w:p w14:paraId="21DECF0C">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tcBorders>
              <w:tl2br w:val="nil"/>
              <w:tr2bl w:val="nil"/>
            </w:tcBorders>
            <w:shd w:val="clear" w:color="auto" w:fill="auto"/>
            <w:noWrap w:val="0"/>
            <w:vAlign w:val="center"/>
          </w:tcPr>
          <w:p w14:paraId="444B1F2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99.4</w:t>
            </w:r>
          </w:p>
        </w:tc>
      </w:tr>
    </w:tbl>
    <w:p w14:paraId="44AB4005">
      <w:pPr>
        <w:pageBreakBefore w:val="0"/>
        <w:kinsoku/>
        <w:wordWrap/>
        <w:overflowPunct/>
        <w:topLinePunct w:val="0"/>
        <w:autoSpaceDE/>
        <w:autoSpaceDN/>
        <w:bidi w:val="0"/>
        <w:spacing w:line="560" w:lineRule="exact"/>
        <w:ind w:left="0" w:leftChars="0" w:firstLine="0" w:firstLineChars="0"/>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DC1A8">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365054">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F365054">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2"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21B69"/>
    <w:rsid w:val="007D6A04"/>
    <w:rsid w:val="00E23C81"/>
    <w:rsid w:val="01253350"/>
    <w:rsid w:val="01282E62"/>
    <w:rsid w:val="014029CF"/>
    <w:rsid w:val="01470C4C"/>
    <w:rsid w:val="02200440"/>
    <w:rsid w:val="02284B43"/>
    <w:rsid w:val="02B015E2"/>
    <w:rsid w:val="02DC08FA"/>
    <w:rsid w:val="03301FB6"/>
    <w:rsid w:val="033B569D"/>
    <w:rsid w:val="03431AA7"/>
    <w:rsid w:val="037F5238"/>
    <w:rsid w:val="039C3BA0"/>
    <w:rsid w:val="03A845BB"/>
    <w:rsid w:val="03B45AD1"/>
    <w:rsid w:val="04D12EE4"/>
    <w:rsid w:val="04D63993"/>
    <w:rsid w:val="07890F4F"/>
    <w:rsid w:val="08892439"/>
    <w:rsid w:val="08EB30F3"/>
    <w:rsid w:val="09237408"/>
    <w:rsid w:val="09781BD6"/>
    <w:rsid w:val="09F359DF"/>
    <w:rsid w:val="0A575E65"/>
    <w:rsid w:val="0ACA0AB6"/>
    <w:rsid w:val="0C032502"/>
    <w:rsid w:val="0C27698C"/>
    <w:rsid w:val="0CA55817"/>
    <w:rsid w:val="0D4452F3"/>
    <w:rsid w:val="0ED728F6"/>
    <w:rsid w:val="0F5E5042"/>
    <w:rsid w:val="0FE95707"/>
    <w:rsid w:val="10510571"/>
    <w:rsid w:val="10787A20"/>
    <w:rsid w:val="108672DE"/>
    <w:rsid w:val="10EC685A"/>
    <w:rsid w:val="11FA6155"/>
    <w:rsid w:val="12CF0947"/>
    <w:rsid w:val="12F1313F"/>
    <w:rsid w:val="136C678E"/>
    <w:rsid w:val="13EB2FF5"/>
    <w:rsid w:val="15A46B04"/>
    <w:rsid w:val="165825BC"/>
    <w:rsid w:val="16BC5D73"/>
    <w:rsid w:val="176F36D7"/>
    <w:rsid w:val="1795226D"/>
    <w:rsid w:val="18456B1E"/>
    <w:rsid w:val="1B0230D9"/>
    <w:rsid w:val="1B5A04B1"/>
    <w:rsid w:val="1C1171C5"/>
    <w:rsid w:val="1D265138"/>
    <w:rsid w:val="1D7A7432"/>
    <w:rsid w:val="1D7B6BCA"/>
    <w:rsid w:val="1DA41A79"/>
    <w:rsid w:val="1DF53469"/>
    <w:rsid w:val="1E2F24F2"/>
    <w:rsid w:val="1E58492F"/>
    <w:rsid w:val="1E5B6757"/>
    <w:rsid w:val="1ED10AC6"/>
    <w:rsid w:val="1F89225F"/>
    <w:rsid w:val="1F900A1F"/>
    <w:rsid w:val="1FC0575D"/>
    <w:rsid w:val="206132C7"/>
    <w:rsid w:val="207B7150"/>
    <w:rsid w:val="21B00C1D"/>
    <w:rsid w:val="23031BEB"/>
    <w:rsid w:val="23917691"/>
    <w:rsid w:val="244D65B8"/>
    <w:rsid w:val="245E1E24"/>
    <w:rsid w:val="25AD5E5D"/>
    <w:rsid w:val="2732478D"/>
    <w:rsid w:val="27661469"/>
    <w:rsid w:val="27900EAD"/>
    <w:rsid w:val="279B538A"/>
    <w:rsid w:val="286F545C"/>
    <w:rsid w:val="29314FBC"/>
    <w:rsid w:val="2B442FFC"/>
    <w:rsid w:val="2C024B86"/>
    <w:rsid w:val="2C927671"/>
    <w:rsid w:val="2C9B2F21"/>
    <w:rsid w:val="2D7C5CD6"/>
    <w:rsid w:val="2E483E7E"/>
    <w:rsid w:val="2E5325D0"/>
    <w:rsid w:val="2E690493"/>
    <w:rsid w:val="2E9854BD"/>
    <w:rsid w:val="2F0D407F"/>
    <w:rsid w:val="2F454B19"/>
    <w:rsid w:val="310224D9"/>
    <w:rsid w:val="31B4621C"/>
    <w:rsid w:val="31E3230A"/>
    <w:rsid w:val="330957E0"/>
    <w:rsid w:val="33356F64"/>
    <w:rsid w:val="33944516"/>
    <w:rsid w:val="342323C9"/>
    <w:rsid w:val="34B62907"/>
    <w:rsid w:val="3608375B"/>
    <w:rsid w:val="36BD137C"/>
    <w:rsid w:val="385D37E7"/>
    <w:rsid w:val="38782EDD"/>
    <w:rsid w:val="3B42664A"/>
    <w:rsid w:val="3D836A4E"/>
    <w:rsid w:val="3EA37E97"/>
    <w:rsid w:val="3F2F17F9"/>
    <w:rsid w:val="3FBE0BC5"/>
    <w:rsid w:val="4048103A"/>
    <w:rsid w:val="40736643"/>
    <w:rsid w:val="40D24A7A"/>
    <w:rsid w:val="42621029"/>
    <w:rsid w:val="435241E2"/>
    <w:rsid w:val="43975C51"/>
    <w:rsid w:val="439E3FA7"/>
    <w:rsid w:val="44B32266"/>
    <w:rsid w:val="44FC64F4"/>
    <w:rsid w:val="45D862A9"/>
    <w:rsid w:val="467F4585"/>
    <w:rsid w:val="470628CB"/>
    <w:rsid w:val="47555BD4"/>
    <w:rsid w:val="47E96399"/>
    <w:rsid w:val="48E12B50"/>
    <w:rsid w:val="499441BE"/>
    <w:rsid w:val="499A6C1C"/>
    <w:rsid w:val="49B12044"/>
    <w:rsid w:val="4A2138F0"/>
    <w:rsid w:val="4A5746FB"/>
    <w:rsid w:val="4A583887"/>
    <w:rsid w:val="4B9F6E02"/>
    <w:rsid w:val="4C89637B"/>
    <w:rsid w:val="4E6E48A8"/>
    <w:rsid w:val="4ED97CEB"/>
    <w:rsid w:val="4EEC036B"/>
    <w:rsid w:val="501D2673"/>
    <w:rsid w:val="50C80BF1"/>
    <w:rsid w:val="51852833"/>
    <w:rsid w:val="52F11AC8"/>
    <w:rsid w:val="534F49D9"/>
    <w:rsid w:val="53555F0F"/>
    <w:rsid w:val="535D23D5"/>
    <w:rsid w:val="56502DCE"/>
    <w:rsid w:val="56F4341A"/>
    <w:rsid w:val="575A7321"/>
    <w:rsid w:val="580C3AB9"/>
    <w:rsid w:val="583C7AE0"/>
    <w:rsid w:val="586C1E9A"/>
    <w:rsid w:val="586E0800"/>
    <w:rsid w:val="59216F96"/>
    <w:rsid w:val="598C4145"/>
    <w:rsid w:val="59957D1B"/>
    <w:rsid w:val="59D4294E"/>
    <w:rsid w:val="5B634312"/>
    <w:rsid w:val="5B9D2CCD"/>
    <w:rsid w:val="5B9E71EA"/>
    <w:rsid w:val="5D4A3745"/>
    <w:rsid w:val="5DF27771"/>
    <w:rsid w:val="5E226FBC"/>
    <w:rsid w:val="5FE72BD2"/>
    <w:rsid w:val="60120613"/>
    <w:rsid w:val="618D5292"/>
    <w:rsid w:val="622E78FA"/>
    <w:rsid w:val="63343F70"/>
    <w:rsid w:val="64167D4B"/>
    <w:rsid w:val="64296E1C"/>
    <w:rsid w:val="649E64A2"/>
    <w:rsid w:val="65DE1202"/>
    <w:rsid w:val="65E5270A"/>
    <w:rsid w:val="663D3C54"/>
    <w:rsid w:val="66862C89"/>
    <w:rsid w:val="66BB486D"/>
    <w:rsid w:val="67394C7D"/>
    <w:rsid w:val="68126B38"/>
    <w:rsid w:val="68291A1A"/>
    <w:rsid w:val="68352BB8"/>
    <w:rsid w:val="68610624"/>
    <w:rsid w:val="691B1594"/>
    <w:rsid w:val="693A016B"/>
    <w:rsid w:val="6A17429C"/>
    <w:rsid w:val="6A567EA3"/>
    <w:rsid w:val="6B4B4368"/>
    <w:rsid w:val="6B79100E"/>
    <w:rsid w:val="6C844C00"/>
    <w:rsid w:val="6E10212C"/>
    <w:rsid w:val="6E43561A"/>
    <w:rsid w:val="6E557973"/>
    <w:rsid w:val="6E9568DB"/>
    <w:rsid w:val="6F0D6C22"/>
    <w:rsid w:val="6F47657F"/>
    <w:rsid w:val="6FAF23D9"/>
    <w:rsid w:val="70635CF6"/>
    <w:rsid w:val="70670707"/>
    <w:rsid w:val="7075526C"/>
    <w:rsid w:val="720E3691"/>
    <w:rsid w:val="724E244C"/>
    <w:rsid w:val="72DA6946"/>
    <w:rsid w:val="732764B3"/>
    <w:rsid w:val="74026044"/>
    <w:rsid w:val="74746410"/>
    <w:rsid w:val="75E5007C"/>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3">
    <w:name w:val="Strong"/>
    <w:basedOn w:val="12"/>
    <w:autoRedefine/>
    <w:qFormat/>
    <w:uiPriority w:val="0"/>
    <w:rPr>
      <w:b/>
      <w:bCs/>
    </w:rPr>
  </w:style>
  <w:style w:type="paragraph" w:customStyle="1" w:styleId="14">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autoRedefine/>
    <w:qFormat/>
    <w:uiPriority w:val="0"/>
    <w:rPr>
      <w:rFonts w:ascii="Arial" w:hAnsi="Arial" w:eastAsia="楷体"/>
      <w:b/>
      <w:sz w:val="32"/>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 w:type="paragraph" w:customStyle="1" w:styleId="17">
    <w:name w:val="WPSOffice手动目录 2"/>
    <w:autoRedefine/>
    <w:qFormat/>
    <w:uiPriority w:val="0"/>
    <w:pPr>
      <w:ind w:leftChars="200"/>
    </w:pPr>
    <w:rPr>
      <w:rFonts w:ascii="Times New Roman" w:hAnsi="Times New Roman" w:eastAsia="宋体" w:cs="Times New Roman"/>
      <w:sz w:val="20"/>
      <w:szCs w:val="20"/>
    </w:rPr>
  </w:style>
  <w:style w:type="paragraph" w:customStyle="1" w:styleId="18">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7086</Words>
  <Characters>7361</Characters>
  <Lines>0</Lines>
  <Paragraphs>0</Paragraphs>
  <TotalTime>2</TotalTime>
  <ScaleCrop>false</ScaleCrop>
  <LinksUpToDate>false</LinksUpToDate>
  <CharactersWithSpaces>7381</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2024-10-10T06:42:15Z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C37B353E6E124496B57EC658D6174C7A_13</vt:lpwstr>
  </property>
</Properties>
</file>