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89253">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6170438">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BBE47CC">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F196DB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bookmarkStart w:id="0" w:name="_Toc15679"/>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2023年</w:t>
      </w:r>
      <w:r>
        <w:rPr>
          <w:rFonts w:hint="eastAsia" w:cs="宋体"/>
          <w:b/>
          <w:bCs/>
          <w:color w:val="000000" w:themeColor="text1"/>
          <w:sz w:val="40"/>
          <w:szCs w:val="40"/>
          <w:highlight w:val="none"/>
          <w:shd w:val="clear" w:color="auto" w:fill="auto"/>
          <w:lang w:val="en-US" w:eastAsia="zh-CN"/>
          <w14:textFill>
            <w14:solidFill>
              <w14:schemeClr w14:val="tx1"/>
            </w14:solidFill>
          </w14:textFill>
        </w:rPr>
        <w:t>离</w:t>
      </w:r>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休</w:t>
      </w:r>
      <w:r>
        <w:rPr>
          <w:rFonts w:hint="eastAsia" w:cs="宋体"/>
          <w:b/>
          <w:bCs/>
          <w:color w:val="000000" w:themeColor="text1"/>
          <w:sz w:val="40"/>
          <w:szCs w:val="40"/>
          <w:highlight w:val="none"/>
          <w:shd w:val="clear" w:color="auto" w:fill="auto"/>
          <w:lang w:val="en-US" w:eastAsia="zh-CN"/>
          <w14:textFill>
            <w14:solidFill>
              <w14:schemeClr w14:val="tx1"/>
            </w14:solidFill>
          </w14:textFill>
        </w:rPr>
        <w:t>老干医疗补助金</w:t>
      </w:r>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项目</w:t>
      </w:r>
      <w:r>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t>支出绩效评价报告</w:t>
      </w:r>
      <w:bookmarkEnd w:id="0"/>
    </w:p>
    <w:p w14:paraId="29C7C05B">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1F36063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5409DE7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238A6E2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449F7084">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1812F25E">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1E14A3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项目名称：2023年离休老干医疗补助金</w:t>
      </w:r>
    </w:p>
    <w:p w14:paraId="4307C62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阜康市医疗保障局</w:t>
      </w:r>
    </w:p>
    <w:p w14:paraId="1389DFB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主管部门：阜康市</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医疗</w:t>
      </w: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保障局</w:t>
      </w:r>
    </w:p>
    <w:p w14:paraId="21F05EE5">
      <w:pPr>
        <w:pStyle w:val="10"/>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4FACC8A3">
      <w:pPr>
        <w:rPr>
          <w:rFonts w:hint="eastAsia"/>
          <w:lang w:val="en-US" w:eastAsia="zh-CN"/>
        </w:rPr>
      </w:pPr>
      <w:r>
        <w:rPr>
          <w:rFonts w:hint="eastAsia"/>
          <w:lang w:val="en-US" w:eastAsia="zh-CN"/>
        </w:rPr>
        <w:br w:type="page"/>
      </w:r>
    </w:p>
    <w:p w14:paraId="021C02EA">
      <w:pPr>
        <w:rPr>
          <w:rFonts w:hint="eastAsia"/>
          <w:lang w:val="en-US" w:eastAsia="zh-CN"/>
        </w:rPr>
      </w:pPr>
    </w:p>
    <w:sdt>
      <w:sdtPr>
        <w:rPr>
          <w:rFonts w:ascii="宋体" w:hAnsi="宋体" w:eastAsia="宋体" w:cs="宋体"/>
          <w:b/>
          <w:bCs/>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kern w:val="2"/>
          <w:sz w:val="28"/>
          <w:szCs w:val="28"/>
          <w:lang w:val="en-US" w:eastAsia="zh-CN" w:bidi="ar-SA"/>
        </w:rPr>
      </w:sdtEndPr>
      <w:sdtContent>
        <w:p w14:paraId="2EA82A5C">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目录</w:t>
          </w:r>
        </w:p>
        <w:p w14:paraId="514AD63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14:paraId="453DC9C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b/>
              <w:bCs/>
              <w:sz w:val="28"/>
              <w:szCs w:val="28"/>
            </w:rPr>
            <w:fldChar w:fldCharType="begin"/>
          </w:r>
          <w:r>
            <w:rPr>
              <w:b/>
              <w:bCs/>
              <w:sz w:val="28"/>
              <w:szCs w:val="28"/>
            </w:rPr>
            <w:instrText xml:space="preserve"> PAGEREF _Toc17540 \h </w:instrText>
          </w:r>
          <w:r>
            <w:rPr>
              <w:b/>
              <w:bCs/>
              <w:sz w:val="28"/>
              <w:szCs w:val="28"/>
            </w:rPr>
            <w:fldChar w:fldCharType="separate"/>
          </w:r>
          <w:r>
            <w:rPr>
              <w:b/>
              <w:bCs/>
              <w:sz w:val="28"/>
              <w:szCs w:val="28"/>
            </w:rPr>
            <w:t>1</w:t>
          </w:r>
          <w:r>
            <w:rPr>
              <w:b/>
              <w:bCs/>
              <w:sz w:val="28"/>
              <w:szCs w:val="28"/>
            </w:rPr>
            <w:fldChar w:fldCharType="end"/>
          </w:r>
          <w:r>
            <w:rPr>
              <w:rFonts w:hint="eastAsia"/>
              <w:b/>
              <w:bCs/>
              <w:sz w:val="28"/>
              <w:szCs w:val="28"/>
              <w:lang w:val="en-US" w:eastAsia="zh-CN"/>
            </w:rPr>
            <w:fldChar w:fldCharType="end"/>
          </w:r>
        </w:p>
        <w:p w14:paraId="2C91B4A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sz w:val="28"/>
              <w:szCs w:val="28"/>
            </w:rPr>
            <w:fldChar w:fldCharType="begin"/>
          </w:r>
          <w:r>
            <w:rPr>
              <w:sz w:val="28"/>
              <w:szCs w:val="28"/>
            </w:rPr>
            <w:instrText xml:space="preserve"> PAGEREF _Toc18966 \h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fldChar w:fldCharType="end"/>
          </w:r>
        </w:p>
        <w:p w14:paraId="11EC9FD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fill="auto"/>
            </w:rPr>
            <w:t>（二）</w:t>
          </w:r>
          <w:r>
            <w:rPr>
              <w:rFonts w:hint="eastAsia" w:ascii="宋体" w:hAnsi="宋体" w:eastAsia="宋体" w:cs="宋体"/>
              <w:sz w:val="28"/>
              <w:szCs w:val="28"/>
              <w:highlight w:val="none"/>
              <w:shd w:val="clear" w:color="auto" w:fill="auto"/>
            </w:rPr>
            <w:t>项目绩效目标</w:t>
          </w:r>
          <w:r>
            <w:rPr>
              <w:sz w:val="28"/>
              <w:szCs w:val="28"/>
            </w:rPr>
            <w:tab/>
          </w:r>
          <w:r>
            <w:rPr>
              <w:sz w:val="28"/>
              <w:szCs w:val="28"/>
            </w:rPr>
            <w:fldChar w:fldCharType="begin"/>
          </w:r>
          <w:r>
            <w:rPr>
              <w:sz w:val="28"/>
              <w:szCs w:val="28"/>
            </w:rPr>
            <w:instrText xml:space="preserve"> PAGEREF _Toc2879 \h </w:instrText>
          </w:r>
          <w:r>
            <w:rPr>
              <w:sz w:val="28"/>
              <w:szCs w:val="28"/>
            </w:rPr>
            <w:fldChar w:fldCharType="separate"/>
          </w:r>
          <w:r>
            <w:rPr>
              <w:sz w:val="28"/>
              <w:szCs w:val="28"/>
            </w:rPr>
            <w:t>2</w:t>
          </w:r>
          <w:r>
            <w:rPr>
              <w:sz w:val="28"/>
              <w:szCs w:val="28"/>
            </w:rPr>
            <w:fldChar w:fldCharType="end"/>
          </w:r>
          <w:r>
            <w:rPr>
              <w:rFonts w:hint="eastAsia"/>
              <w:sz w:val="28"/>
              <w:szCs w:val="28"/>
              <w:lang w:val="en-US" w:eastAsia="zh-CN"/>
            </w:rPr>
            <w:fldChar w:fldCharType="end"/>
          </w:r>
        </w:p>
        <w:p w14:paraId="2B08DEE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b/>
              <w:bCs/>
              <w:sz w:val="28"/>
              <w:szCs w:val="28"/>
            </w:rPr>
            <w:fldChar w:fldCharType="begin"/>
          </w:r>
          <w:r>
            <w:rPr>
              <w:b/>
              <w:bCs/>
              <w:sz w:val="28"/>
              <w:szCs w:val="28"/>
            </w:rPr>
            <w:instrText xml:space="preserve"> PAGEREF _Toc2549 \h </w:instrText>
          </w:r>
          <w:r>
            <w:rPr>
              <w:b/>
              <w:bCs/>
              <w:sz w:val="28"/>
              <w:szCs w:val="28"/>
            </w:rPr>
            <w:fldChar w:fldCharType="separate"/>
          </w:r>
          <w:r>
            <w:rPr>
              <w:b/>
              <w:bCs/>
              <w:sz w:val="28"/>
              <w:szCs w:val="28"/>
            </w:rPr>
            <w:t>4</w:t>
          </w:r>
          <w:r>
            <w:rPr>
              <w:b/>
              <w:bCs/>
              <w:sz w:val="28"/>
              <w:szCs w:val="28"/>
            </w:rPr>
            <w:fldChar w:fldCharType="end"/>
          </w:r>
          <w:r>
            <w:rPr>
              <w:rFonts w:hint="eastAsia"/>
              <w:b/>
              <w:bCs/>
              <w:sz w:val="28"/>
              <w:szCs w:val="28"/>
              <w:lang w:val="en-US" w:eastAsia="zh-CN"/>
            </w:rPr>
            <w:fldChar w:fldCharType="end"/>
          </w:r>
        </w:p>
        <w:p w14:paraId="5A46621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sz w:val="28"/>
              <w:szCs w:val="28"/>
            </w:rPr>
            <w:fldChar w:fldCharType="begin"/>
          </w:r>
          <w:r>
            <w:rPr>
              <w:sz w:val="28"/>
              <w:szCs w:val="28"/>
            </w:rPr>
            <w:instrText xml:space="preserve"> PAGEREF _Toc21778 \h </w:instrText>
          </w:r>
          <w:r>
            <w:rPr>
              <w:sz w:val="28"/>
              <w:szCs w:val="28"/>
            </w:rPr>
            <w:fldChar w:fldCharType="separate"/>
          </w:r>
          <w:r>
            <w:rPr>
              <w:sz w:val="28"/>
              <w:szCs w:val="28"/>
            </w:rPr>
            <w:t>4</w:t>
          </w:r>
          <w:r>
            <w:rPr>
              <w:sz w:val="28"/>
              <w:szCs w:val="28"/>
            </w:rPr>
            <w:fldChar w:fldCharType="end"/>
          </w:r>
          <w:r>
            <w:rPr>
              <w:rFonts w:hint="eastAsia"/>
              <w:sz w:val="28"/>
              <w:szCs w:val="28"/>
              <w:lang w:val="en-US" w:eastAsia="zh-CN"/>
            </w:rPr>
            <w:fldChar w:fldCharType="end"/>
          </w:r>
        </w:p>
        <w:p w14:paraId="29BE6C3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sz w:val="28"/>
              <w:szCs w:val="28"/>
            </w:rPr>
            <w:fldChar w:fldCharType="begin"/>
          </w:r>
          <w:r>
            <w:rPr>
              <w:sz w:val="28"/>
              <w:szCs w:val="28"/>
            </w:rPr>
            <w:instrText xml:space="preserve"> PAGEREF _Toc15902 \h </w:instrText>
          </w:r>
          <w:r>
            <w:rPr>
              <w:sz w:val="28"/>
              <w:szCs w:val="28"/>
            </w:rPr>
            <w:fldChar w:fldCharType="separate"/>
          </w:r>
          <w:r>
            <w:rPr>
              <w:sz w:val="28"/>
              <w:szCs w:val="28"/>
            </w:rPr>
            <w:t>5</w:t>
          </w:r>
          <w:r>
            <w:rPr>
              <w:sz w:val="28"/>
              <w:szCs w:val="28"/>
            </w:rPr>
            <w:fldChar w:fldCharType="end"/>
          </w:r>
          <w:r>
            <w:rPr>
              <w:rFonts w:hint="eastAsia"/>
              <w:sz w:val="28"/>
              <w:szCs w:val="28"/>
              <w:lang w:val="en-US" w:eastAsia="zh-CN"/>
            </w:rPr>
            <w:fldChar w:fldCharType="end"/>
          </w:r>
        </w:p>
        <w:p w14:paraId="2859DFB2">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sz w:val="28"/>
              <w:szCs w:val="28"/>
            </w:rPr>
            <w:fldChar w:fldCharType="begin"/>
          </w:r>
          <w:r>
            <w:rPr>
              <w:sz w:val="28"/>
              <w:szCs w:val="28"/>
            </w:rPr>
            <w:instrText xml:space="preserve"> PAGEREF _Toc1070 \h </w:instrText>
          </w:r>
          <w:r>
            <w:rPr>
              <w:sz w:val="28"/>
              <w:szCs w:val="28"/>
            </w:rPr>
            <w:fldChar w:fldCharType="separate"/>
          </w:r>
          <w:r>
            <w:rPr>
              <w:sz w:val="28"/>
              <w:szCs w:val="28"/>
            </w:rPr>
            <w:t>9</w:t>
          </w:r>
          <w:r>
            <w:rPr>
              <w:sz w:val="28"/>
              <w:szCs w:val="28"/>
            </w:rPr>
            <w:fldChar w:fldCharType="end"/>
          </w:r>
          <w:r>
            <w:rPr>
              <w:rFonts w:hint="eastAsia"/>
              <w:sz w:val="28"/>
              <w:szCs w:val="28"/>
              <w:lang w:val="en-US" w:eastAsia="zh-CN"/>
            </w:rPr>
            <w:fldChar w:fldCharType="end"/>
          </w:r>
        </w:p>
        <w:p w14:paraId="07F4400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b/>
              <w:bCs/>
              <w:sz w:val="28"/>
              <w:szCs w:val="28"/>
            </w:rPr>
            <w:fldChar w:fldCharType="begin"/>
          </w:r>
          <w:r>
            <w:rPr>
              <w:b/>
              <w:bCs/>
              <w:sz w:val="28"/>
              <w:szCs w:val="28"/>
            </w:rPr>
            <w:instrText xml:space="preserve"> PAGEREF _Toc1100 \h </w:instrText>
          </w:r>
          <w:r>
            <w:rPr>
              <w:b/>
              <w:bCs/>
              <w:sz w:val="28"/>
              <w:szCs w:val="28"/>
            </w:rPr>
            <w:fldChar w:fldCharType="separate"/>
          </w:r>
          <w:r>
            <w:rPr>
              <w:b/>
              <w:bCs/>
              <w:sz w:val="28"/>
              <w:szCs w:val="28"/>
            </w:rPr>
            <w:t>11</w:t>
          </w:r>
          <w:r>
            <w:rPr>
              <w:b/>
              <w:bCs/>
              <w:sz w:val="28"/>
              <w:szCs w:val="28"/>
            </w:rPr>
            <w:fldChar w:fldCharType="end"/>
          </w:r>
          <w:r>
            <w:rPr>
              <w:rFonts w:hint="eastAsia"/>
              <w:b/>
              <w:bCs/>
              <w:sz w:val="28"/>
              <w:szCs w:val="28"/>
              <w:lang w:val="en-US" w:eastAsia="zh-CN"/>
            </w:rPr>
            <w:fldChar w:fldCharType="end"/>
          </w:r>
        </w:p>
        <w:p w14:paraId="3C344C0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b/>
              <w:bCs/>
              <w:sz w:val="28"/>
              <w:szCs w:val="28"/>
            </w:rPr>
            <w:fldChar w:fldCharType="begin"/>
          </w:r>
          <w:r>
            <w:rPr>
              <w:b/>
              <w:bCs/>
              <w:sz w:val="28"/>
              <w:szCs w:val="28"/>
            </w:rPr>
            <w:instrText xml:space="preserve"> PAGEREF _Toc9421 \h </w:instrText>
          </w:r>
          <w:r>
            <w:rPr>
              <w:b/>
              <w:bCs/>
              <w:sz w:val="28"/>
              <w:szCs w:val="28"/>
            </w:rPr>
            <w:fldChar w:fldCharType="separate"/>
          </w:r>
          <w:r>
            <w:rPr>
              <w:b/>
              <w:bCs/>
              <w:sz w:val="28"/>
              <w:szCs w:val="28"/>
            </w:rPr>
            <w:t>11</w:t>
          </w:r>
          <w:r>
            <w:rPr>
              <w:b/>
              <w:bCs/>
              <w:sz w:val="28"/>
              <w:szCs w:val="28"/>
            </w:rPr>
            <w:fldChar w:fldCharType="end"/>
          </w:r>
          <w:r>
            <w:rPr>
              <w:rFonts w:hint="eastAsia"/>
              <w:b/>
              <w:bCs/>
              <w:sz w:val="28"/>
              <w:szCs w:val="28"/>
              <w:lang w:val="en-US" w:eastAsia="zh-CN"/>
            </w:rPr>
            <w:fldChar w:fldCharType="end"/>
          </w:r>
        </w:p>
        <w:p w14:paraId="04EDE994">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sz w:val="28"/>
              <w:szCs w:val="28"/>
            </w:rPr>
            <w:fldChar w:fldCharType="begin"/>
          </w:r>
          <w:r>
            <w:rPr>
              <w:sz w:val="28"/>
              <w:szCs w:val="28"/>
            </w:rPr>
            <w:instrText xml:space="preserve"> PAGEREF _Toc15355 \h </w:instrText>
          </w:r>
          <w:r>
            <w:rPr>
              <w:sz w:val="28"/>
              <w:szCs w:val="28"/>
            </w:rPr>
            <w:fldChar w:fldCharType="separate"/>
          </w:r>
          <w:r>
            <w:rPr>
              <w:sz w:val="28"/>
              <w:szCs w:val="28"/>
            </w:rPr>
            <w:t>11</w:t>
          </w:r>
          <w:r>
            <w:rPr>
              <w:sz w:val="28"/>
              <w:szCs w:val="28"/>
            </w:rPr>
            <w:fldChar w:fldCharType="end"/>
          </w:r>
          <w:r>
            <w:rPr>
              <w:rFonts w:hint="eastAsia"/>
              <w:sz w:val="28"/>
              <w:szCs w:val="28"/>
              <w:lang w:val="en-US" w:eastAsia="zh-CN"/>
            </w:rPr>
            <w:fldChar w:fldCharType="end"/>
          </w:r>
        </w:p>
        <w:p w14:paraId="76FB267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14</w:t>
          </w:r>
          <w:r>
            <w:rPr>
              <w:sz w:val="28"/>
              <w:szCs w:val="28"/>
            </w:rPr>
            <w:fldChar w:fldCharType="end"/>
          </w:r>
          <w:r>
            <w:rPr>
              <w:rFonts w:hint="eastAsia"/>
              <w:sz w:val="28"/>
              <w:szCs w:val="28"/>
              <w:lang w:val="en-US" w:eastAsia="zh-CN"/>
            </w:rPr>
            <w:fldChar w:fldCharType="end"/>
          </w:r>
        </w:p>
        <w:p w14:paraId="5B48F682">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sz w:val="28"/>
              <w:szCs w:val="28"/>
            </w:rPr>
            <w:fldChar w:fldCharType="begin"/>
          </w:r>
          <w:r>
            <w:rPr>
              <w:sz w:val="28"/>
              <w:szCs w:val="28"/>
            </w:rPr>
            <w:instrText xml:space="preserve"> PAGEREF _Toc16268 \h </w:instrText>
          </w:r>
          <w:r>
            <w:rPr>
              <w:sz w:val="28"/>
              <w:szCs w:val="28"/>
            </w:rPr>
            <w:fldChar w:fldCharType="separate"/>
          </w:r>
          <w:r>
            <w:rPr>
              <w:sz w:val="28"/>
              <w:szCs w:val="28"/>
            </w:rPr>
            <w:t>16</w:t>
          </w:r>
          <w:r>
            <w:rPr>
              <w:sz w:val="28"/>
              <w:szCs w:val="28"/>
            </w:rPr>
            <w:fldChar w:fldCharType="end"/>
          </w:r>
          <w:r>
            <w:rPr>
              <w:rFonts w:hint="eastAsia"/>
              <w:sz w:val="28"/>
              <w:szCs w:val="28"/>
              <w:lang w:val="en-US" w:eastAsia="zh-CN"/>
            </w:rPr>
            <w:fldChar w:fldCharType="end"/>
          </w:r>
        </w:p>
        <w:p w14:paraId="1A381C2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sz w:val="28"/>
              <w:szCs w:val="28"/>
            </w:rPr>
            <w:fldChar w:fldCharType="begin"/>
          </w:r>
          <w:r>
            <w:rPr>
              <w:sz w:val="28"/>
              <w:szCs w:val="28"/>
            </w:rPr>
            <w:instrText xml:space="preserve"> PAGEREF _Toc18446 \h </w:instrText>
          </w:r>
          <w:r>
            <w:rPr>
              <w:sz w:val="28"/>
              <w:szCs w:val="28"/>
            </w:rPr>
            <w:fldChar w:fldCharType="separate"/>
          </w:r>
          <w:r>
            <w:rPr>
              <w:sz w:val="28"/>
              <w:szCs w:val="28"/>
            </w:rPr>
            <w:t>17</w:t>
          </w:r>
          <w:r>
            <w:rPr>
              <w:sz w:val="28"/>
              <w:szCs w:val="28"/>
            </w:rPr>
            <w:fldChar w:fldCharType="end"/>
          </w:r>
          <w:r>
            <w:rPr>
              <w:rFonts w:hint="eastAsia"/>
              <w:sz w:val="28"/>
              <w:szCs w:val="28"/>
              <w:lang w:val="en-US" w:eastAsia="zh-CN"/>
            </w:rPr>
            <w:fldChar w:fldCharType="end"/>
          </w:r>
        </w:p>
        <w:p w14:paraId="0F3EFA9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b/>
              <w:bCs/>
              <w:sz w:val="28"/>
              <w:szCs w:val="28"/>
            </w:rPr>
            <w:fldChar w:fldCharType="begin"/>
          </w:r>
          <w:r>
            <w:rPr>
              <w:b/>
              <w:bCs/>
              <w:sz w:val="28"/>
              <w:szCs w:val="28"/>
            </w:rPr>
            <w:instrText xml:space="preserve"> PAGEREF _Toc19962 \h </w:instrText>
          </w:r>
          <w:r>
            <w:rPr>
              <w:b/>
              <w:bCs/>
              <w:sz w:val="28"/>
              <w:szCs w:val="28"/>
            </w:rPr>
            <w:fldChar w:fldCharType="separate"/>
          </w:r>
          <w:r>
            <w:rPr>
              <w:b/>
              <w:bCs/>
              <w:sz w:val="28"/>
              <w:szCs w:val="28"/>
            </w:rPr>
            <w:t>18</w:t>
          </w:r>
          <w:r>
            <w:rPr>
              <w:b/>
              <w:bCs/>
              <w:sz w:val="28"/>
              <w:szCs w:val="28"/>
            </w:rPr>
            <w:fldChar w:fldCharType="end"/>
          </w:r>
          <w:r>
            <w:rPr>
              <w:rFonts w:hint="eastAsia"/>
              <w:b/>
              <w:bCs/>
              <w:sz w:val="28"/>
              <w:szCs w:val="28"/>
              <w:lang w:val="en-US" w:eastAsia="zh-CN"/>
            </w:rPr>
            <w:fldChar w:fldCharType="end"/>
          </w:r>
        </w:p>
        <w:p w14:paraId="5148BBF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b/>
              <w:bCs/>
              <w:sz w:val="28"/>
              <w:szCs w:val="28"/>
            </w:rPr>
            <w:fldChar w:fldCharType="begin"/>
          </w:r>
          <w:r>
            <w:rPr>
              <w:b/>
              <w:bCs/>
              <w:sz w:val="28"/>
              <w:szCs w:val="28"/>
            </w:rPr>
            <w:instrText xml:space="preserve"> PAGEREF _Toc29934 \h </w:instrText>
          </w:r>
          <w:r>
            <w:rPr>
              <w:b/>
              <w:bCs/>
              <w:sz w:val="28"/>
              <w:szCs w:val="28"/>
            </w:rPr>
            <w:fldChar w:fldCharType="separate"/>
          </w:r>
          <w:r>
            <w:rPr>
              <w:b/>
              <w:bCs/>
              <w:sz w:val="28"/>
              <w:szCs w:val="28"/>
            </w:rPr>
            <w:t>19</w:t>
          </w:r>
          <w:r>
            <w:rPr>
              <w:b/>
              <w:bCs/>
              <w:sz w:val="28"/>
              <w:szCs w:val="28"/>
            </w:rPr>
            <w:fldChar w:fldCharType="end"/>
          </w:r>
          <w:r>
            <w:rPr>
              <w:rFonts w:hint="eastAsia"/>
              <w:b/>
              <w:bCs/>
              <w:sz w:val="28"/>
              <w:szCs w:val="28"/>
              <w:lang w:val="en-US" w:eastAsia="zh-CN"/>
            </w:rPr>
            <w:fldChar w:fldCharType="end"/>
          </w:r>
        </w:p>
        <w:p w14:paraId="460877C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sz w:val="28"/>
              <w:szCs w:val="28"/>
            </w:rPr>
            <w:fldChar w:fldCharType="begin"/>
          </w:r>
          <w:r>
            <w:rPr>
              <w:sz w:val="28"/>
              <w:szCs w:val="28"/>
            </w:rPr>
            <w:instrText xml:space="preserve"> PAGEREF _Toc13160 \h </w:instrText>
          </w:r>
          <w:r>
            <w:rPr>
              <w:sz w:val="28"/>
              <w:szCs w:val="28"/>
            </w:rPr>
            <w:fldChar w:fldCharType="separate"/>
          </w:r>
          <w:r>
            <w:rPr>
              <w:sz w:val="28"/>
              <w:szCs w:val="28"/>
            </w:rPr>
            <w:t>19</w:t>
          </w:r>
          <w:r>
            <w:rPr>
              <w:sz w:val="28"/>
              <w:szCs w:val="28"/>
            </w:rPr>
            <w:fldChar w:fldCharType="end"/>
          </w:r>
          <w:r>
            <w:rPr>
              <w:rFonts w:hint="eastAsia"/>
              <w:sz w:val="28"/>
              <w:szCs w:val="28"/>
              <w:lang w:val="en-US" w:eastAsia="zh-CN"/>
            </w:rPr>
            <w:fldChar w:fldCharType="end"/>
          </w:r>
        </w:p>
        <w:p w14:paraId="6D0F4414">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sz w:val="28"/>
              <w:szCs w:val="28"/>
            </w:rPr>
            <w:fldChar w:fldCharType="begin"/>
          </w:r>
          <w:r>
            <w:rPr>
              <w:sz w:val="28"/>
              <w:szCs w:val="28"/>
            </w:rPr>
            <w:instrText xml:space="preserve"> PAGEREF _Toc9582 \h </w:instrText>
          </w:r>
          <w:r>
            <w:rPr>
              <w:sz w:val="28"/>
              <w:szCs w:val="28"/>
            </w:rPr>
            <w:fldChar w:fldCharType="separate"/>
          </w:r>
          <w:r>
            <w:rPr>
              <w:sz w:val="28"/>
              <w:szCs w:val="28"/>
            </w:rPr>
            <w:t>19</w:t>
          </w:r>
          <w:r>
            <w:rPr>
              <w:sz w:val="28"/>
              <w:szCs w:val="28"/>
            </w:rPr>
            <w:fldChar w:fldCharType="end"/>
          </w:r>
          <w:r>
            <w:rPr>
              <w:rFonts w:hint="eastAsia"/>
              <w:sz w:val="28"/>
              <w:szCs w:val="28"/>
              <w:lang w:val="en-US" w:eastAsia="zh-CN"/>
            </w:rPr>
            <w:fldChar w:fldCharType="end"/>
          </w:r>
        </w:p>
        <w:p w14:paraId="1715865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b/>
              <w:bCs/>
              <w:sz w:val="28"/>
              <w:szCs w:val="28"/>
            </w:rPr>
            <w:fldChar w:fldCharType="begin"/>
          </w:r>
          <w:r>
            <w:rPr>
              <w:b/>
              <w:bCs/>
              <w:sz w:val="28"/>
              <w:szCs w:val="28"/>
            </w:rPr>
            <w:instrText xml:space="preserve"> PAGEREF _Toc5230 \h </w:instrText>
          </w:r>
          <w:r>
            <w:rPr>
              <w:b/>
              <w:bCs/>
              <w:sz w:val="28"/>
              <w:szCs w:val="28"/>
            </w:rPr>
            <w:fldChar w:fldCharType="separate"/>
          </w:r>
          <w:r>
            <w:rPr>
              <w:b/>
              <w:bCs/>
              <w:sz w:val="28"/>
              <w:szCs w:val="28"/>
            </w:rPr>
            <w:t>19</w:t>
          </w:r>
          <w:r>
            <w:rPr>
              <w:b/>
              <w:bCs/>
              <w:sz w:val="28"/>
              <w:szCs w:val="28"/>
            </w:rPr>
            <w:fldChar w:fldCharType="end"/>
          </w:r>
          <w:r>
            <w:rPr>
              <w:rFonts w:hint="eastAsia"/>
              <w:b/>
              <w:bCs/>
              <w:sz w:val="28"/>
              <w:szCs w:val="28"/>
              <w:lang w:val="en-US" w:eastAsia="zh-CN"/>
            </w:rPr>
            <w:fldChar w:fldCharType="end"/>
          </w:r>
        </w:p>
        <w:p w14:paraId="3D2F12B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b/>
              <w:bCs/>
              <w:sz w:val="28"/>
              <w:szCs w:val="28"/>
            </w:rPr>
            <w:fldChar w:fldCharType="begin"/>
          </w:r>
          <w:r>
            <w:rPr>
              <w:b/>
              <w:bCs/>
              <w:sz w:val="28"/>
              <w:szCs w:val="28"/>
            </w:rPr>
            <w:instrText xml:space="preserve"> PAGEREF _Toc15618 \h </w:instrText>
          </w:r>
          <w:r>
            <w:rPr>
              <w:b/>
              <w:bCs/>
              <w:sz w:val="28"/>
              <w:szCs w:val="28"/>
            </w:rPr>
            <w:fldChar w:fldCharType="separate"/>
          </w:r>
          <w:r>
            <w:rPr>
              <w:b/>
              <w:bCs/>
              <w:sz w:val="28"/>
              <w:szCs w:val="28"/>
            </w:rPr>
            <w:t>20</w:t>
          </w:r>
          <w:r>
            <w:rPr>
              <w:b/>
              <w:bCs/>
              <w:sz w:val="28"/>
              <w:szCs w:val="28"/>
            </w:rPr>
            <w:fldChar w:fldCharType="end"/>
          </w:r>
          <w:r>
            <w:rPr>
              <w:rFonts w:hint="eastAsia"/>
              <w:b/>
              <w:bCs/>
              <w:sz w:val="28"/>
              <w:szCs w:val="28"/>
              <w:lang w:val="en-US" w:eastAsia="zh-CN"/>
            </w:rPr>
            <w:fldChar w:fldCharType="end"/>
          </w:r>
        </w:p>
        <w:p w14:paraId="4D0FFA5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p>
        <w:p w14:paraId="6B48194F">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lang w:val="en-US" w:eastAsia="zh-CN"/>
            </w:rPr>
            <w:sectPr>
              <w:pgSz w:w="11906" w:h="16838"/>
              <w:pgMar w:top="1928" w:right="1531" w:bottom="1701" w:left="1531" w:header="737" w:footer="851" w:gutter="0"/>
              <w:cols w:space="720" w:num="1"/>
              <w:docGrid w:type="lines" w:linePitch="408" w:charSpace="0"/>
            </w:sectPr>
          </w:pPr>
          <w:r>
            <w:rPr>
              <w:rFonts w:hint="eastAsia"/>
              <w:sz w:val="28"/>
              <w:szCs w:val="28"/>
              <w:lang w:val="en-US" w:eastAsia="zh-CN"/>
            </w:rPr>
            <w:fldChar w:fldCharType="end"/>
          </w:r>
        </w:p>
      </w:sdtContent>
    </w:sdt>
    <w:p w14:paraId="19C8A95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2023年</w:t>
      </w:r>
      <w:r>
        <w:rPr>
          <w:rFonts w:hint="eastAsia" w:cs="宋体"/>
          <w:b/>
          <w:bCs/>
          <w:color w:val="000000" w:themeColor="text1"/>
          <w:sz w:val="40"/>
          <w:szCs w:val="40"/>
          <w:highlight w:val="none"/>
          <w:shd w:val="clear" w:color="auto" w:fill="auto"/>
          <w:lang w:val="en-US" w:eastAsia="zh-CN"/>
          <w14:textFill>
            <w14:solidFill>
              <w14:schemeClr w14:val="tx1"/>
            </w14:solidFill>
          </w14:textFill>
        </w:rPr>
        <w:t>离</w:t>
      </w:r>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休</w:t>
      </w:r>
      <w:r>
        <w:rPr>
          <w:rFonts w:hint="eastAsia" w:cs="宋体"/>
          <w:b/>
          <w:bCs/>
          <w:color w:val="000000" w:themeColor="text1"/>
          <w:sz w:val="40"/>
          <w:szCs w:val="40"/>
          <w:highlight w:val="none"/>
          <w:shd w:val="clear" w:color="auto" w:fill="auto"/>
          <w:lang w:val="en-US" w:eastAsia="zh-CN"/>
          <w14:textFill>
            <w14:solidFill>
              <w14:schemeClr w14:val="tx1"/>
            </w14:solidFill>
          </w14:textFill>
        </w:rPr>
        <w:t>老干医疗补助金</w:t>
      </w:r>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项目</w:t>
      </w:r>
      <w:r>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t>支出</w:t>
      </w:r>
    </w:p>
    <w:p w14:paraId="1F693E9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highlight w:val="none"/>
          <w:shd w:val="clear" w:color="auto" w:fill="auto"/>
          <w14:textFill>
            <w14:solidFill>
              <w14:schemeClr w14:val="tx1"/>
            </w14:solidFill>
          </w14:textFill>
        </w:rPr>
      </w:pPr>
      <w:r>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t>绩效评价报告</w:t>
      </w:r>
    </w:p>
    <w:p w14:paraId="51D3D7DD">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1" w:name="_Toc17540"/>
      <w:r>
        <w:rPr>
          <w:rFonts w:hint="eastAsia" w:ascii="宋体" w:hAnsi="宋体" w:eastAsia="宋体" w:cs="宋体"/>
          <w:b/>
          <w:bCs/>
          <w:color w:val="000000" w:themeColor="text1"/>
          <w:highlight w:val="none"/>
          <w:shd w:val="clear" w:color="auto" w:fill="auto"/>
          <w14:textFill>
            <w14:solidFill>
              <w14:schemeClr w14:val="tx1"/>
            </w14:solidFill>
          </w14:textFill>
        </w:rPr>
        <w:t>一、基本情况</w:t>
      </w:r>
      <w:bookmarkEnd w:id="1"/>
    </w:p>
    <w:p w14:paraId="0238BE24">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2" w:name="_Toc18966"/>
      <w:r>
        <w:rPr>
          <w:rFonts w:hint="eastAsia" w:ascii="宋体" w:hAnsi="宋体" w:eastAsia="宋体" w:cs="宋体"/>
          <w:color w:val="000000" w:themeColor="text1"/>
          <w:highlight w:val="none"/>
          <w:shd w:val="clear" w:color="auto" w:fill="auto"/>
          <w14:textFill>
            <w14:solidFill>
              <w14:schemeClr w14:val="tx1"/>
            </w14:solidFill>
          </w14:textFill>
        </w:rPr>
        <w:t>（一）项目概况</w:t>
      </w:r>
      <w:bookmarkEnd w:id="2"/>
    </w:p>
    <w:p w14:paraId="40C237CC">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3" w:name="_Toc50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项目背景</w:t>
      </w:r>
      <w:bookmarkEnd w:id="3"/>
    </w:p>
    <w:p w14:paraId="2057443B">
      <w:pPr>
        <w:bidi w:val="0"/>
        <w:rPr>
          <w:rFonts w:hint="eastAsia"/>
          <w:lang w:val="en-US" w:eastAsia="zh-CN"/>
        </w:rPr>
      </w:pPr>
      <w:r>
        <w:rPr>
          <w:rFonts w:hint="eastAsia"/>
          <w:color w:val="auto"/>
          <w:highlight w:val="none"/>
          <w:lang w:val="en-US" w:eastAsia="zh-CN"/>
        </w:rPr>
        <w:t>根据《新疆维吾尔自治区离休人员、老红军医疗管理暂行办法》2023年离休老干医疗补助金，主要用于阜康市4位老干部、老红军的医疗补贴50万元；为保障2023年离休老干们及时享受医疗报销费用。</w:t>
      </w:r>
    </w:p>
    <w:p w14:paraId="416F6131">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4" w:name="_Toc273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14:textFill>
            <w14:solidFill>
              <w14:schemeClr w14:val="tx1"/>
            </w14:solidFill>
          </w14:textFill>
        </w:rPr>
        <w:t>主要内容及实施情况</w:t>
      </w:r>
      <w:bookmarkEnd w:id="4"/>
    </w:p>
    <w:p w14:paraId="3D6B1DAD">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kern w:val="2"/>
          <w:sz w:val="28"/>
          <w:szCs w:val="28"/>
          <w:highlight w:val="none"/>
          <w:lang w:val="en-US" w:eastAsia="zh-CN" w:bidi="ar-SA"/>
        </w:rPr>
      </w:pPr>
      <w:bookmarkStart w:id="5"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5"/>
      <w:r>
        <w:rPr>
          <w:rFonts w:hint="eastAsia" w:ascii="宋体" w:hAnsi="宋体" w:eastAsia="宋体" w:cs="宋体"/>
          <w:b w:val="0"/>
          <w:bCs w:val="0"/>
          <w:color w:val="auto"/>
          <w:kern w:val="2"/>
          <w:sz w:val="28"/>
          <w:szCs w:val="28"/>
          <w:highlight w:val="none"/>
          <w:lang w:val="en-US" w:eastAsia="zh-CN" w:bidi="ar-SA"/>
        </w:rPr>
        <w:t>符合2023年</w:t>
      </w:r>
      <w:r>
        <w:rPr>
          <w:rFonts w:hint="eastAsia" w:ascii="宋体" w:hAnsi="宋体" w:eastAsia="宋体" w:cs="宋体"/>
          <w:b w:val="0"/>
          <w:bCs w:val="0"/>
          <w:color w:val="auto"/>
          <w:kern w:val="2"/>
          <w:sz w:val="28"/>
          <w:szCs w:val="28"/>
          <w:highlight w:val="none"/>
          <w:shd w:val="clear" w:color="auto" w:fill="auto"/>
          <w:lang w:val="en-US" w:eastAsia="zh-CN" w:bidi="ar-SA"/>
        </w:rPr>
        <w:t>离休老干</w:t>
      </w:r>
      <w:r>
        <w:rPr>
          <w:rFonts w:hint="eastAsia" w:ascii="宋体" w:hAnsi="宋体" w:eastAsia="宋体" w:cs="宋体"/>
          <w:b w:val="0"/>
          <w:bCs w:val="0"/>
          <w:color w:val="auto"/>
          <w:kern w:val="2"/>
          <w:sz w:val="28"/>
          <w:szCs w:val="28"/>
          <w:highlight w:val="none"/>
          <w:lang w:val="en-US" w:eastAsia="zh-CN" w:bidi="ar-SA"/>
        </w:rPr>
        <w:t>医疗报销发放条件的人员。</w:t>
      </w:r>
    </w:p>
    <w:p w14:paraId="2D4C61B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宋体"/>
          <w:color w:val="FF0000"/>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w:t>
      </w:r>
      <w:r>
        <w:rPr>
          <w:rFonts w:hint="eastAsia"/>
          <w:color w:val="auto"/>
          <w:highlight w:val="none"/>
          <w:lang w:val="en-US" w:eastAsia="zh-CN"/>
        </w:rPr>
        <w:t>根据《新疆维吾尔自治区离休人员、老红军医疗管理暂行办法》2023年离休老干医疗补助金，2023年财政支付</w:t>
      </w:r>
      <w:r>
        <w:rPr>
          <w:rFonts w:hint="eastAsia" w:ascii="宋体" w:hAnsi="宋体" w:eastAsia="宋体" w:cs="宋体"/>
          <w:b w:val="0"/>
          <w:bCs w:val="0"/>
          <w:color w:val="auto"/>
          <w:kern w:val="2"/>
          <w:sz w:val="28"/>
          <w:szCs w:val="28"/>
          <w:highlight w:val="none"/>
          <w:shd w:val="clear" w:color="auto" w:fill="auto"/>
          <w:lang w:val="en-US" w:eastAsia="zh-CN" w:bidi="ar-SA"/>
        </w:rPr>
        <w:t>离休老干</w:t>
      </w:r>
      <w:r>
        <w:rPr>
          <w:rFonts w:hint="eastAsia"/>
          <w:color w:val="auto"/>
          <w:highlight w:val="none"/>
          <w:lang w:val="en-US" w:eastAsia="zh-CN"/>
        </w:rPr>
        <w:t>医疗报销费用50万元；</w:t>
      </w:r>
      <w:r>
        <w:rPr>
          <w:rFonts w:hint="eastAsia" w:cs="宋体"/>
          <w:color w:val="auto"/>
          <w:highlight w:val="none"/>
          <w:shd w:val="clear" w:color="auto" w:fill="auto"/>
          <w:lang w:val="en-US" w:eastAsia="zh-CN"/>
        </w:rPr>
        <w:t>项目负责人为宋永毅,</w:t>
      </w:r>
      <w:r>
        <w:rPr>
          <w:rFonts w:hint="eastAsia" w:ascii="宋体" w:hAnsi="宋体" w:eastAsia="宋体" w:cs="宋体"/>
          <w:color w:val="auto"/>
          <w:highlight w:val="none"/>
          <w:shd w:val="clear" w:color="auto" w:fill="auto"/>
          <w:lang w:val="en-US" w:eastAsia="zh-CN"/>
        </w:rPr>
        <w:t>组员</w:t>
      </w:r>
      <w:r>
        <w:rPr>
          <w:rFonts w:hint="eastAsia" w:cs="宋体"/>
          <w:color w:val="auto"/>
          <w:highlight w:val="none"/>
          <w:shd w:val="clear" w:color="auto" w:fill="auto"/>
          <w:lang w:val="en-US" w:eastAsia="zh-CN"/>
        </w:rPr>
        <w:t>苏国蓉、王小莉</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宋永毅负责离休老干医疗报销材料审核及结算工作，苏国蓉</w:t>
      </w:r>
      <w:r>
        <w:rPr>
          <w:rFonts w:hint="eastAsia" w:ascii="宋体" w:hAnsi="宋体" w:eastAsia="宋体" w:cs="宋体"/>
          <w:color w:val="auto"/>
          <w:highlight w:val="none"/>
          <w:shd w:val="clear" w:color="auto" w:fill="auto"/>
          <w:lang w:val="en-US" w:eastAsia="zh-CN"/>
        </w:rPr>
        <w:t>负责</w:t>
      </w:r>
      <w:r>
        <w:rPr>
          <w:rFonts w:hint="eastAsia" w:cs="宋体"/>
          <w:color w:val="auto"/>
          <w:highlight w:val="none"/>
          <w:shd w:val="clear" w:color="auto" w:fill="auto"/>
          <w:lang w:val="en-US" w:eastAsia="zh-CN"/>
        </w:rPr>
        <w:t>医疗报销</w:t>
      </w:r>
      <w:r>
        <w:rPr>
          <w:rFonts w:hint="eastAsia" w:ascii="宋体" w:hAnsi="宋体" w:eastAsia="宋体" w:cs="宋体"/>
          <w:color w:val="auto"/>
          <w:highlight w:val="none"/>
          <w:shd w:val="clear" w:color="auto" w:fill="auto"/>
          <w:lang w:val="en-US" w:eastAsia="zh-CN"/>
        </w:rPr>
        <w:t>监管工作，</w:t>
      </w:r>
      <w:r>
        <w:rPr>
          <w:rFonts w:hint="eastAsia" w:cs="宋体"/>
          <w:color w:val="auto"/>
          <w:highlight w:val="none"/>
          <w:shd w:val="clear" w:color="auto" w:fill="auto"/>
          <w:lang w:val="en-US" w:eastAsia="zh-CN"/>
        </w:rPr>
        <w:t>王小莉</w:t>
      </w:r>
      <w:r>
        <w:rPr>
          <w:rFonts w:hint="eastAsia" w:ascii="宋体" w:hAnsi="宋体" w:eastAsia="宋体" w:cs="宋体"/>
          <w:color w:val="auto"/>
          <w:highlight w:val="none"/>
          <w:shd w:val="clear" w:color="auto" w:fill="auto"/>
          <w:lang w:val="en-US" w:eastAsia="zh-CN"/>
        </w:rPr>
        <w:t>负责资金拨付工作。</w:t>
      </w:r>
    </w:p>
    <w:p w14:paraId="2E99E328">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6" w:name="_Toc185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bookmarkEnd w:id="6"/>
    </w:p>
    <w:p w14:paraId="2C3A30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项目资金安排落实、总投入等情况分析</w:t>
      </w:r>
    </w:p>
    <w:p w14:paraId="6470AA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lang w:val="en-US" w:eastAsia="zh-CN"/>
        </w:rPr>
        <w:t>2023年离休老干医疗补助金</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50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金50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50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5A4CCC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000000" w:themeColor="text1"/>
          <w:spacing w:val="-4"/>
          <w:highlight w:val="none"/>
          <w:shd w:val="clear" w:color="auto" w:fill="auto"/>
          <w14:textFill>
            <w14:solidFill>
              <w14:schemeClr w14:val="tx1"/>
            </w14:solidFill>
          </w14:textFill>
        </w:rPr>
      </w:pP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pacing w:val="-4"/>
          <w:highlight w:val="none"/>
          <w:shd w:val="clear" w:color="auto" w:fill="auto"/>
          <w:lang w:val="en-US" w:eastAsia="zh-CN"/>
          <w14:textFill>
            <w14:solidFill>
              <w14:schemeClr w14:val="tx1"/>
            </w14:solidFill>
          </w14:textFill>
        </w:rPr>
        <w:t>2</w:t>
      </w: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pacing w:val="-4"/>
          <w:highlight w:val="none"/>
          <w:shd w:val="clear" w:color="auto" w:fill="auto"/>
          <w14:textFill>
            <w14:solidFill>
              <w14:schemeClr w14:val="tx1"/>
            </w14:solidFill>
          </w14:textFill>
        </w:rPr>
        <w:t>项目资金实际使用情况分析</w:t>
      </w:r>
    </w:p>
    <w:p w14:paraId="6A5E43B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Cs/>
          <w:color w:val="000000" w:themeColor="text1"/>
          <w:spacing w:val="-4"/>
          <w:highlight w:val="none"/>
          <w:shd w:val="clear" w:color="auto" w:fill="auto"/>
          <w:lang w:val="en-US" w:eastAsia="zh-CN"/>
          <w14:textFill>
            <w14:solidFill>
              <w14:schemeClr w14:val="tx1"/>
            </w14:solidFill>
          </w14:textFill>
        </w:rPr>
      </w:pPr>
      <w:r>
        <w:rPr>
          <w:rFonts w:hint="eastAsia" w:cs="宋体"/>
          <w:color w:val="auto"/>
          <w:highlight w:val="none"/>
          <w:shd w:val="clear" w:color="auto" w:fill="auto"/>
          <w:lang w:val="en-US" w:eastAsia="zh-CN"/>
        </w:rPr>
        <w:t>截至2023年12月31日，</w:t>
      </w:r>
      <w:r>
        <w:rPr>
          <w:rFonts w:hint="eastAsia"/>
          <w:color w:val="auto"/>
          <w:highlight w:val="none"/>
          <w:lang w:val="en-US" w:eastAsia="zh-CN"/>
        </w:rPr>
        <w:t>2023年离休老干医疗补助金</w:t>
      </w:r>
      <w:r>
        <w:rPr>
          <w:rFonts w:hint="eastAsia" w:ascii="宋体" w:hAnsi="宋体" w:eastAsia="宋体" w:cs="宋体"/>
          <w:color w:val="auto"/>
          <w:highlight w:val="none"/>
          <w:shd w:val="clear" w:color="auto" w:fill="auto"/>
          <w:lang w:val="en-US" w:eastAsia="zh-CN"/>
        </w:rPr>
        <w:t>项目</w:t>
      </w:r>
      <w:r>
        <w:rPr>
          <w:rFonts w:hint="eastAsia" w:ascii="宋体" w:hAnsi="宋体" w:eastAsia="宋体" w:cs="宋体"/>
          <w:bCs/>
          <w:color w:val="000000" w:themeColor="text1"/>
          <w:spacing w:val="-4"/>
          <w:highlight w:val="none"/>
          <w:shd w:val="clear" w:color="auto" w:fill="auto"/>
          <w14:textFill>
            <w14:solidFill>
              <w14:schemeClr w14:val="tx1"/>
            </w14:solidFill>
          </w14:textFill>
        </w:rPr>
        <w:t>实际支付资金</w:t>
      </w:r>
      <w:r>
        <w:rPr>
          <w:rFonts w:hint="eastAsia" w:cs="宋体"/>
          <w:bCs/>
          <w:color w:val="000000" w:themeColor="text1"/>
          <w:spacing w:val="-4"/>
          <w:highlight w:val="none"/>
          <w:shd w:val="clear" w:color="auto" w:fill="auto"/>
          <w:lang w:val="en-US" w:eastAsia="zh-CN"/>
          <w14:textFill>
            <w14:solidFill>
              <w14:schemeClr w14:val="tx1"/>
            </w14:solidFill>
          </w14:textFill>
        </w:rPr>
        <w:t>50</w:t>
      </w:r>
      <w:r>
        <w:rPr>
          <w:rFonts w:hint="eastAsia" w:ascii="宋体" w:hAnsi="宋体" w:eastAsia="宋体" w:cs="宋体"/>
          <w:bCs/>
          <w:color w:val="000000" w:themeColor="text1"/>
          <w:spacing w:val="-4"/>
          <w:highlight w:val="none"/>
          <w:shd w:val="clear" w:color="auto" w:fill="auto"/>
          <w14:textFill>
            <w14:solidFill>
              <w14:schemeClr w14:val="tx1"/>
            </w14:solidFill>
          </w14:textFill>
        </w:rPr>
        <w:t>万元，预算执行率</w:t>
      </w:r>
      <w:r>
        <w:rPr>
          <w:rFonts w:hint="eastAsia" w:ascii="宋体" w:hAnsi="宋体" w:eastAsia="宋体" w:cs="宋体"/>
          <w:bCs/>
          <w:color w:val="000000" w:themeColor="text1"/>
          <w:spacing w:val="-4"/>
          <w:highlight w:val="none"/>
          <w:shd w:val="clear" w:color="auto" w:fill="auto"/>
          <w:lang w:val="en-US" w:eastAsia="zh-CN"/>
          <w14:textFill>
            <w14:solidFill>
              <w14:schemeClr w14:val="tx1"/>
            </w14:solidFill>
          </w14:textFill>
        </w:rPr>
        <w:t>100</w:t>
      </w:r>
      <w:r>
        <w:rPr>
          <w:rFonts w:hint="eastAsia" w:ascii="宋体" w:hAnsi="宋体" w:eastAsia="宋体" w:cs="宋体"/>
          <w:bCs/>
          <w:color w:val="000000" w:themeColor="text1"/>
          <w:spacing w:val="-4"/>
          <w:highlight w:val="none"/>
          <w:shd w:val="clear" w:color="auto" w:fill="auto"/>
          <w14:textFill>
            <w14:solidFill>
              <w14:schemeClr w14:val="tx1"/>
            </w14:solidFill>
          </w14:textFill>
        </w:rPr>
        <w:t>%</w:t>
      </w: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pacing w:val="-4"/>
          <w:highlight w:val="none"/>
          <w:shd w:val="clear" w:color="auto" w:fill="auto"/>
          <w14:textFill>
            <w14:solidFill>
              <w14:schemeClr w14:val="tx1"/>
            </w14:solidFill>
          </w14:textFill>
        </w:rPr>
        <w:t>结</w:t>
      </w:r>
      <w:r>
        <w:rPr>
          <w:rFonts w:hint="eastAsia" w:ascii="宋体" w:hAnsi="宋体" w:eastAsia="宋体" w:cs="宋体"/>
          <w:bCs/>
          <w:color w:val="000000" w:themeColor="text1"/>
          <w:spacing w:val="-4"/>
          <w:highlight w:val="none"/>
          <w:shd w:val="clear" w:color="auto" w:fill="auto"/>
          <w:lang w:val="en-US" w:eastAsia="zh-CN"/>
          <w14:textFill>
            <w14:solidFill>
              <w14:schemeClr w14:val="tx1"/>
            </w14:solidFill>
          </w14:textFill>
        </w:rPr>
        <w:t>转</w:t>
      </w: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结余资金</w:t>
      </w:r>
      <w:r>
        <w:rPr>
          <w:rFonts w:hint="eastAsia" w:ascii="宋体" w:hAnsi="宋体" w:eastAsia="宋体" w:cs="宋体"/>
          <w:bCs/>
          <w:color w:val="000000" w:themeColor="text1"/>
          <w:spacing w:val="-4"/>
          <w:highlight w:val="none"/>
          <w:shd w:val="clear" w:color="auto" w:fill="auto"/>
          <w:lang w:val="en-US" w:eastAsia="zh-CN"/>
          <w14:textFill>
            <w14:solidFill>
              <w14:schemeClr w14:val="tx1"/>
            </w14:solidFill>
          </w14:textFill>
        </w:rPr>
        <w:t>0万元，已上缴国库。</w:t>
      </w:r>
      <w:r>
        <w:rPr>
          <w:rFonts w:hint="eastAsia" w:ascii="宋体" w:hAnsi="宋体" w:eastAsia="宋体" w:cs="宋体"/>
          <w:bCs/>
          <w:color w:val="000000" w:themeColor="text1"/>
          <w:spacing w:val="-4"/>
          <w:highlight w:val="none"/>
          <w:shd w:val="clear" w:color="auto" w:fill="auto"/>
          <w14:textFill>
            <w14:solidFill>
              <w14:schemeClr w14:val="tx1"/>
            </w14:solidFill>
          </w14:textFill>
        </w:rPr>
        <w:t>项目资金主要用于</w:t>
      </w: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发放</w:t>
      </w:r>
      <w:r>
        <w:rPr>
          <w:rFonts w:hint="eastAsia" w:ascii="宋体" w:hAnsi="宋体" w:eastAsia="宋体" w:cs="宋体"/>
          <w:bCs/>
          <w:color w:val="000000" w:themeColor="text1"/>
          <w:spacing w:val="-4"/>
          <w:highlight w:val="none"/>
          <w:shd w:val="clear" w:color="auto" w:fill="auto"/>
          <w:lang w:val="en-US" w:eastAsia="zh-CN"/>
          <w14:textFill>
            <w14:solidFill>
              <w14:schemeClr w14:val="tx1"/>
            </w14:solidFill>
          </w14:textFill>
        </w:rPr>
        <w:t>2023年</w:t>
      </w:r>
      <w:r>
        <w:rPr>
          <w:rFonts w:hint="eastAsia"/>
          <w:color w:val="auto"/>
          <w:highlight w:val="none"/>
          <w:lang w:val="en-US" w:eastAsia="zh-CN"/>
        </w:rPr>
        <w:t>2023年离休老干医疗报销</w:t>
      </w:r>
      <w:r>
        <w:rPr>
          <w:rFonts w:hint="eastAsia" w:ascii="宋体" w:hAnsi="宋体" w:eastAsia="宋体" w:cs="宋体"/>
          <w:bCs/>
          <w:color w:val="000000" w:themeColor="text1"/>
          <w:spacing w:val="-4"/>
          <w:highlight w:val="none"/>
          <w:shd w:val="clear" w:color="auto" w:fill="auto"/>
          <w:lang w:val="en-US" w:eastAsia="zh-CN"/>
          <w14:textFill>
            <w14:solidFill>
              <w14:schemeClr w14:val="tx1"/>
            </w14:solidFill>
          </w14:textFill>
        </w:rPr>
        <w:t>方面。</w:t>
      </w:r>
    </w:p>
    <w:p w14:paraId="0906C6A9">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7" w:name="_Toc2879"/>
      <w:r>
        <w:rPr>
          <w:rFonts w:hint="eastAsia" w:ascii="宋体" w:hAnsi="宋体" w:eastAsia="宋体" w:cs="宋体"/>
          <w:color w:val="000000" w:themeColor="text1"/>
          <w:highlight w:val="none"/>
          <w:shd w:val="clear" w:color="auto" w:fill="auto"/>
          <w14:textFill>
            <w14:solidFill>
              <w14:schemeClr w14:val="tx1"/>
            </w14:solidFill>
          </w14:textFill>
        </w:rPr>
        <w:t>项目绩效目标</w:t>
      </w:r>
      <w:bookmarkEnd w:id="7"/>
    </w:p>
    <w:p w14:paraId="44D87EBB">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8" w:name="_Toc1004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1.总体目标</w:t>
      </w:r>
      <w:bookmarkEnd w:id="8"/>
    </w:p>
    <w:p w14:paraId="4FEC9D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2023年计划严格落实市级离休老干医疗补助金相关政策，进一步规范医保基金的管理，强化财政支出绩效观念，提高资金使用效益。阜康市医疗保障局2023年使用该项目预算资金100万元，预计完成离休老干部医疗补助4人，报销次数20次左右，项目的实施预计让离休老干部们能及时享受住院和门诊报销医疗费用，减轻参保离休老干就医经济负担,缓解社会矛盾。确保参保离休老干们及时享受相关医疗待遇，提高离休老干部们的医疗补助满意度，使资金使用合理、合规，达到预期目标。</w:t>
      </w:r>
    </w:p>
    <w:p w14:paraId="7B58A7F5">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9" w:name="_Toc448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2.阶段性目标</w:t>
      </w:r>
      <w:bookmarkEnd w:id="9"/>
    </w:p>
    <w:p w14:paraId="1A3635D1">
      <w:pPr>
        <w:bidi w:val="0"/>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color w:val="auto"/>
          <w:highlight w:val="none"/>
          <w:lang w:val="en-US" w:eastAsia="zh-CN"/>
        </w:rPr>
        <w:t>根据《新疆维吾尔自治区离休人员、老红军医疗管理暂行办法》2023年离休老干医疗补助金，主要用于阜康市4位老干部、老红军的医疗补贴50万元。</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结合项目实施单位的规章制度以及财务相关资料，评价小组对项目绩效目标进行了进一步的完善，完善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14:paraId="2F481A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42BF9E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①数量指标</w:t>
      </w:r>
    </w:p>
    <w:p w14:paraId="6FE0E0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“离休老干部医疗补助人数”</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≤4人</w:t>
      </w:r>
      <w:r>
        <w:rPr>
          <w:rFonts w:hint="eastAsia" w:ascii="宋体" w:hAnsi="宋体" w:eastAsia="宋体" w:cs="宋体"/>
          <w:color w:val="auto"/>
          <w:highlight w:val="none"/>
          <w:shd w:val="clear" w:color="auto" w:fill="auto"/>
          <w:lang w:val="en-US" w:eastAsia="zh-CN"/>
        </w:rPr>
        <w:t>；</w:t>
      </w:r>
    </w:p>
    <w:p w14:paraId="072771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“离休老干部医疗补助次数”</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≤20次</w:t>
      </w:r>
      <w:r>
        <w:rPr>
          <w:rFonts w:hint="eastAsia" w:ascii="宋体" w:hAnsi="宋体" w:eastAsia="宋体" w:cs="宋体"/>
          <w:color w:val="auto"/>
          <w:highlight w:val="none"/>
          <w:shd w:val="clear" w:color="auto" w:fill="auto"/>
          <w:lang w:val="en-US" w:eastAsia="zh-CN"/>
        </w:rPr>
        <w:t>；</w:t>
      </w:r>
    </w:p>
    <w:p w14:paraId="0A17DB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②质量指标</w:t>
      </w:r>
    </w:p>
    <w:p w14:paraId="79E159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离休老干部费用报销比例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69982C5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离休老干部医疗补助报销及时率</w:t>
      </w: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指标，预期目标值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3DBAE6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时效</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p>
    <w:p w14:paraId="72053C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离休老干部医疗补助开始时间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w:t>
      </w:r>
    </w:p>
    <w:p w14:paraId="095B3A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离休老干部医疗补助截止时间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w:t>
      </w:r>
      <w:r>
        <w:rPr>
          <w:rFonts w:hint="eastAsia" w:cs="宋体"/>
          <w:color w:val="auto"/>
          <w:highlight w:val="none"/>
          <w:shd w:val="clear" w:color="auto" w:fill="auto"/>
          <w:lang w:val="en-US" w:eastAsia="zh-CN"/>
        </w:rPr>
        <w:t>12</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31</w:t>
      </w:r>
      <w:r>
        <w:rPr>
          <w:rFonts w:hint="eastAsia" w:ascii="宋体" w:hAnsi="宋体" w:eastAsia="宋体" w:cs="宋体"/>
          <w:color w:val="auto"/>
          <w:highlight w:val="none"/>
          <w:shd w:val="clear" w:color="auto" w:fill="auto"/>
          <w:lang w:val="en-US" w:eastAsia="zh-CN"/>
        </w:rPr>
        <w:t>；</w:t>
      </w:r>
    </w:p>
    <w:p w14:paraId="5441D6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成本指标</w:t>
      </w:r>
    </w:p>
    <w:p w14:paraId="1945AD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离休老干部住院报销费用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≤20万元</w:t>
      </w:r>
      <w:r>
        <w:rPr>
          <w:rFonts w:hint="eastAsia" w:ascii="宋体" w:hAnsi="宋体" w:eastAsia="宋体" w:cs="宋体"/>
          <w:color w:val="auto"/>
          <w:highlight w:val="none"/>
          <w:shd w:val="clear" w:color="auto" w:fill="auto"/>
          <w:lang w:val="en-US" w:eastAsia="zh-CN"/>
        </w:rPr>
        <w:t>；</w:t>
      </w:r>
    </w:p>
    <w:p w14:paraId="5F01FC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离休老干部门诊购药报销费用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为≤30万元；</w:t>
      </w:r>
    </w:p>
    <w:p w14:paraId="0F9577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）项目效益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2328ACA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①经济效益指标</w:t>
      </w:r>
    </w:p>
    <w:p w14:paraId="625F8D5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本项目不涉及经济效益指标</w:t>
      </w:r>
      <w:r>
        <w:rPr>
          <w:rFonts w:hint="eastAsia" w:ascii="宋体" w:hAnsi="宋体" w:eastAsia="宋体" w:cs="宋体"/>
          <w:color w:val="auto"/>
          <w:highlight w:val="none"/>
          <w:shd w:val="clear" w:color="auto" w:fill="auto"/>
          <w:lang w:val="en-US" w:eastAsia="zh-CN"/>
        </w:rPr>
        <w:t>；</w:t>
      </w:r>
    </w:p>
    <w:p w14:paraId="5247B06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②社会效益指标</w:t>
      </w:r>
    </w:p>
    <w:p w14:paraId="4458A5C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 xml:space="preserve">参保离休老干部及时享受医疗待遇 </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及时享受</w:t>
      </w:r>
      <w:r>
        <w:rPr>
          <w:rFonts w:hint="eastAsia" w:ascii="宋体" w:hAnsi="宋体" w:eastAsia="宋体" w:cs="宋体"/>
          <w:color w:val="auto"/>
          <w:highlight w:val="none"/>
          <w:shd w:val="clear" w:color="auto" w:fill="auto"/>
          <w:lang w:val="en-US" w:eastAsia="zh-CN"/>
        </w:rPr>
        <w:t>；</w:t>
      </w:r>
    </w:p>
    <w:p w14:paraId="25DD8CC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减轻参保离休老干部就医经济负担,缓解社会矛盾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有效减轻</w:t>
      </w:r>
      <w:r>
        <w:rPr>
          <w:rFonts w:hint="eastAsia" w:ascii="宋体" w:hAnsi="宋体" w:eastAsia="宋体" w:cs="宋体"/>
          <w:color w:val="auto"/>
          <w:highlight w:val="none"/>
          <w:shd w:val="clear" w:color="auto" w:fill="auto"/>
          <w:lang w:val="en-US" w:eastAsia="zh-CN"/>
        </w:rPr>
        <w:t>；</w:t>
      </w:r>
    </w:p>
    <w:p w14:paraId="407A9174">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生态效益指标</w:t>
      </w:r>
    </w:p>
    <w:p w14:paraId="1CBD6C5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auto"/>
          <w:highlight w:val="none"/>
          <w:shd w:val="clear" w:color="auto" w:fill="auto"/>
          <w:lang w:eastAsia="zh-CN"/>
        </w:rPr>
        <w:t>本项目不涉及生态效益指标</w:t>
      </w:r>
      <w:r>
        <w:rPr>
          <w:rFonts w:hint="eastAsia" w:ascii="宋体" w:hAnsi="宋体" w:eastAsia="宋体" w:cs="宋体"/>
          <w:color w:val="auto"/>
          <w:highlight w:val="none"/>
          <w:shd w:val="clear" w:color="auto" w:fill="auto"/>
          <w:lang w:val="en-US" w:eastAsia="zh-CN"/>
        </w:rPr>
        <w:t>；</w:t>
      </w:r>
    </w:p>
    <w:p w14:paraId="0379461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④可持续影响</w:t>
      </w:r>
    </w:p>
    <w:p w14:paraId="6A6BE3C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本项目不涉及可持续影响指标</w:t>
      </w:r>
      <w:r>
        <w:rPr>
          <w:rFonts w:hint="eastAsia" w:ascii="宋体" w:hAnsi="宋体" w:eastAsia="宋体" w:cs="宋体"/>
          <w:color w:val="auto"/>
          <w:highlight w:val="none"/>
          <w:shd w:val="clear" w:color="auto" w:fill="auto"/>
          <w:lang w:val="en-US" w:eastAsia="zh-CN"/>
        </w:rPr>
        <w:t>；</w:t>
      </w:r>
    </w:p>
    <w:p w14:paraId="5579F81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⑤</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满意度指标</w:t>
      </w:r>
    </w:p>
    <w:p w14:paraId="606833D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“离休老干部满意度”指标，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≥95%</w:t>
      </w:r>
      <w:r>
        <w:rPr>
          <w:rFonts w:hint="eastAsia" w:ascii="宋体" w:hAnsi="宋体" w:eastAsia="宋体" w:cs="宋体"/>
          <w:color w:val="auto"/>
          <w:highlight w:val="none"/>
          <w:shd w:val="clear" w:color="auto" w:fill="auto"/>
          <w:lang w:val="en-US" w:eastAsia="zh-CN"/>
        </w:rPr>
        <w:t>；</w:t>
      </w:r>
    </w:p>
    <w:p w14:paraId="318827C1">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0" w:name="_Toc2549"/>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10"/>
    </w:p>
    <w:p w14:paraId="424738D2">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pPr>
      <w:bookmarkStart w:id="11" w:name="_Toc5462343"/>
      <w:bookmarkStart w:id="12" w:name="_Toc26632"/>
      <w:bookmarkStart w:id="13" w:name="_Toc22922"/>
      <w:bookmarkStart w:id="14" w:name="_Toc21664"/>
      <w:bookmarkStart w:id="15" w:name="_Toc22169_WPSOffice_Level2"/>
      <w:bookmarkStart w:id="16" w:name="_Toc480473081"/>
      <w:bookmarkStart w:id="17" w:name="_Toc12868"/>
      <w:bookmarkStart w:id="18" w:name="_Toc5258"/>
      <w:bookmarkStart w:id="19" w:name="_Toc21778"/>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11"/>
      <w:bookmarkEnd w:id="12"/>
      <w:bookmarkEnd w:id="13"/>
      <w:bookmarkEnd w:id="14"/>
      <w:bookmarkEnd w:id="15"/>
      <w:bookmarkEnd w:id="16"/>
      <w:bookmarkEnd w:id="17"/>
      <w:bookmarkEnd w:id="18"/>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、对象和范围</w:t>
      </w:r>
      <w:bookmarkEnd w:id="19"/>
    </w:p>
    <w:p w14:paraId="10DD045B">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0" w:name="_Toc1573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0"/>
    </w:p>
    <w:p w14:paraId="6EF0184D">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14:paraId="727A341A">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1" w:name="_Toc3060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bookmarkEnd w:id="21"/>
    </w:p>
    <w:p w14:paraId="31A25B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w:t>
      </w:r>
      <w:r>
        <w:rPr>
          <w:rFonts w:hint="eastAsia"/>
          <w:color w:val="auto"/>
          <w:highlight w:val="none"/>
          <w:lang w:val="en-US" w:eastAsia="zh-CN"/>
        </w:rPr>
        <w:t>根据《新疆维吾尔自治区离休人员、老红军医疗管理暂行办法》</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文件要求对</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年度我单位实施的</w:t>
      </w:r>
      <w:r>
        <w:rPr>
          <w:rFonts w:hint="eastAsia"/>
          <w:color w:val="auto"/>
          <w:highlight w:val="none"/>
          <w:lang w:val="en-US" w:eastAsia="zh-CN"/>
        </w:rPr>
        <w:t>2023年离休老干医疗补助金</w:t>
      </w:r>
      <w:r>
        <w:rPr>
          <w:rFonts w:hint="eastAsia" w:ascii="宋体" w:hAnsi="宋体" w:eastAsia="宋体" w:cs="宋体"/>
          <w:color w:val="auto"/>
          <w:highlight w:val="none"/>
          <w:shd w:val="clear" w:color="auto" w:fill="auto"/>
          <w:lang w:val="en-US" w:eastAsia="zh-CN"/>
        </w:rPr>
        <w:t>项目</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开展部门绩效评价。</w:t>
      </w:r>
    </w:p>
    <w:p w14:paraId="38AD7E2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14:paraId="37BF329E">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bookmarkStart w:id="22" w:name="_Toc15902"/>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bookmarkEnd w:id="22"/>
    </w:p>
    <w:p w14:paraId="1F6DA0ED">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23" w:name="_Toc2450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bookmarkEnd w:id="23"/>
    </w:p>
    <w:p w14:paraId="79B918A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本次绩效评价秉承科学规范、公正公开、分级分类、绩效相关等原则，按照从投入、过程到产出效果和影响的绩效逻辑路径，结合</w:t>
      </w:r>
      <w:r>
        <w:rPr>
          <w:rFonts w:hint="eastAsia"/>
          <w:color w:val="auto"/>
          <w:highlight w:val="none"/>
          <w:lang w:val="en-US" w:eastAsia="zh-CN"/>
        </w:rPr>
        <w:t>2023年离休老干医疗补助金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实际开展情况，运用定量和定性分析相结合的方法，总结经验做法，反思项目实施和管理中的问题，以切实提升财政资金管理的科学化、规范化和精细化水平。</w:t>
      </w:r>
    </w:p>
    <w:p w14:paraId="18FC741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14:paraId="24BA3F8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14:paraId="022E015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14:paraId="5794631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14:paraId="45AEC79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14:paraId="55EC4FE8">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24" w:name="_Toc1913"/>
      <w:bookmarkStart w:id="25" w:name="_Toc26131"/>
      <w:bookmarkStart w:id="26" w:name="_Toc419984722"/>
      <w:bookmarkStart w:id="27" w:name="_Toc428278230"/>
      <w:bookmarkStart w:id="28" w:name="_Toc2439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24"/>
      <w:bookmarkEnd w:id="25"/>
      <w:bookmarkEnd w:id="26"/>
      <w:bookmarkEnd w:id="2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bookmarkEnd w:id="28"/>
    </w:p>
    <w:p w14:paraId="4736F9F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63149ADE">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2"/>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05C1F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055C61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bookmarkStart w:id="88" w:name="_GoBack"/>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14:paraId="650E2B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14:paraId="7DF85E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14:paraId="79D8B6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14:paraId="6A5B3B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14:paraId="1A4D5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48EA4F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14:paraId="632B55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14:paraId="698E87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14:paraId="6CD400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14:paraId="0F95EBD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auto"/>
            <w:vAlign w:val="center"/>
          </w:tcPr>
          <w:p w14:paraId="27823B4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C93A88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14:paraId="3AD8E81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14:paraId="6F1F453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14:paraId="39FD6FE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14:paraId="342DA58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14:paraId="77E93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0475019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97ECD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31C3E5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14:paraId="495EA7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14:paraId="6D3C91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14:paraId="6F68E5E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719385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14:paraId="4C03070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14:paraId="52C1CCC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14:paraId="4BA3D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03F8EE9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68BC03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14:paraId="0E1245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14:paraId="242B32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3C3AAD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14:paraId="340F3CC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FB09F7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14:paraId="13FBAD0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14:paraId="3280154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14:paraId="4FD2C2F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14:paraId="67D3250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14:paraId="49FB3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17E87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51CF6E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53EC24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14:paraId="7F161A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14:paraId="7AD4C9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14:paraId="062BEC5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0E6037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14:paraId="2B5AFD1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14:paraId="40210FA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14:paraId="476D9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6A47A26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5ED377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14:paraId="5E7BD4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14:paraId="71FFA7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14:paraId="522618C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663DFA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2BB389A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14:paraId="236B993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14:paraId="2DE005C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14:paraId="65AC808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14:paraId="6B3EB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726898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6376BC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4AF5A3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14:paraId="54863E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633B80D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6332E6E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2D272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14:paraId="7A99D0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14:paraId="5FD27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077256A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14:paraId="3684C5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14:paraId="099A52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14:paraId="14D7FF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14:paraId="3968B2D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14:paraId="48592CE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14:paraId="204FA2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14:paraId="49570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6A5FFF3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481A36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5C2A27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14:paraId="126A736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14:paraId="117EB2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14:paraId="67D4614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14:paraId="274B6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6F206A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E1BD9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23D163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14:paraId="3A54C9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14:paraId="6BE9D27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14:paraId="68DE39A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F63DC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14:paraId="6A11446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14:paraId="3E36E6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14:paraId="67E7359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14:paraId="5D41F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3590EA9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6BBFD4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14:paraId="6D2378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14:paraId="575F2B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14:paraId="42C4D67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14:paraId="7990FC9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D9A302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14:paraId="3744522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14:paraId="3C765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974F6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5E9EAE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3F2C22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14:paraId="4FC3C0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14:paraId="62FDCF4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14:paraId="2CF2ED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B9D06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14:paraId="55BBF7A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14:paraId="1B86B7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14:paraId="3F43F31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14:paraId="31535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2FC1A2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14:paraId="3A320F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14:paraId="692757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14:paraId="0DDD95F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14:paraId="4B86C1C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14:paraId="67B7A97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14:paraId="044C57D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14:paraId="6A18E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18DC80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1295BB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14:paraId="413774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14:paraId="2EB345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14:paraId="12616B2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14:paraId="5C7B3F1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3860E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0AFFB81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39F0759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14:paraId="576B9C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14:paraId="2C7FB12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14:paraId="5667DDF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14:paraId="6CC79D1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14:paraId="642BE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DAA0D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7083FE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14:paraId="3DF265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14:paraId="4A9FC97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14:paraId="397914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14:paraId="1FB6FE3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14:paraId="172E9B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14:paraId="0FE8A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736030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14:paraId="7A7094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14:paraId="1F2B5B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14:paraId="4BE5050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14:paraId="743C17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14:paraId="70B79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777CE5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633AC3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53A06D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14:paraId="1725ED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14:paraId="6DC9577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bookmarkEnd w:id="88"/>
    </w:tbl>
    <w:p w14:paraId="5F387134">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9" w:name="_Toc994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29"/>
    </w:p>
    <w:p w14:paraId="0520029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本次绩效评价采用的方法</w:t>
      </w:r>
      <w:r>
        <w:rPr>
          <w:rFonts w:hint="eastAsia" w:cs="宋体"/>
          <w:color w:val="000000" w:themeColor="text1"/>
          <w:highlight w:val="none"/>
          <w:shd w:val="clear" w:color="auto" w:fill="auto"/>
          <w:lang w:val="en-US" w:eastAsia="zh-CN"/>
          <w14:textFill>
            <w14:solidFill>
              <w14:schemeClr w14:val="tx1"/>
            </w14:solidFill>
          </w14:textFill>
        </w:rPr>
        <w:t>为</w:t>
      </w:r>
      <w:r>
        <w:rPr>
          <w:rFonts w:hint="eastAsia" w:ascii="宋体" w:hAnsi="宋体" w:eastAsia="宋体" w:cs="宋体"/>
          <w:color w:val="000000" w:themeColor="text1"/>
          <w:highlight w:val="none"/>
          <w:shd w:val="clear" w:color="auto" w:fill="auto"/>
          <w14:textFill>
            <w14:solidFill>
              <w14:schemeClr w14:val="tx1"/>
            </w14:solidFill>
          </w14:textFill>
        </w:rPr>
        <w:t>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对项目绩效目标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与实施情况进行比较，以及采取公众问卷及抽样调查等方式进行评判的方法对</w:t>
      </w:r>
      <w:r>
        <w:rPr>
          <w:rFonts w:hint="eastAsia"/>
          <w:color w:val="auto"/>
          <w:highlight w:val="none"/>
          <w:lang w:val="en-US" w:eastAsia="zh-CN"/>
        </w:rPr>
        <w:t>2023年离休老干医疗补助金</w:t>
      </w:r>
      <w:r>
        <w:rPr>
          <w:rFonts w:hint="eastAsia" w:ascii="宋体" w:hAnsi="宋体" w:eastAsia="宋体" w:cs="宋体"/>
          <w:color w:val="auto"/>
          <w:highlight w:val="none"/>
          <w:shd w:val="clear" w:color="auto" w:fill="auto"/>
          <w:lang w:val="en-US" w:eastAsia="zh-CN"/>
        </w:rPr>
        <w:t>项目</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进行评价。</w:t>
      </w:r>
    </w:p>
    <w:p w14:paraId="4F0EADD4">
      <w:pPr>
        <w:pStyle w:val="4"/>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0" w:name="_Toc2539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bookmarkEnd w:id="30"/>
    </w:p>
    <w:p w14:paraId="606E08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14:paraId="7611AA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14:paraId="49B901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14:paraId="136F3C2B">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14:paraId="5C4B6A61">
      <w:pPr>
        <w:pStyle w:val="4"/>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1" w:name="_Toc107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31"/>
    </w:p>
    <w:p w14:paraId="6B6351C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2" w:name="_Toc1286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32"/>
    </w:p>
    <w:p w14:paraId="04F7FB8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14:paraId="5F98F97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14:paraId="2E474B4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3" w:name="_Toc3157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33"/>
    </w:p>
    <w:p w14:paraId="6189154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4" w:name="_Toc21240"/>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绩效评价项目小组依据此次绩效评价受委托内容，对拟评价的项目实施前期调研。通过调研对2023年离休老干医疗补助金</w:t>
      </w:r>
      <w:r>
        <w:rPr>
          <w:rFonts w:hint="eastAsia" w:ascii="宋体" w:hAnsi="宋体" w:eastAsia="宋体" w:cs="宋体"/>
          <w:b w:val="0"/>
          <w:bCs w:val="0"/>
          <w:color w:val="auto"/>
          <w:kern w:val="2"/>
          <w:sz w:val="28"/>
          <w:szCs w:val="24"/>
          <w:highlight w:val="none"/>
          <w:shd w:val="clear" w:color="auto" w:fill="auto"/>
          <w:lang w:val="en-US" w:eastAsia="zh-CN" w:bidi="ar-SA"/>
        </w:rPr>
        <w:t>项目</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实施内容、目标信息、预算信息以及其他的一些项目基本信息，有了初步了解，为制定绩效评价工作方案做好准备。</w:t>
      </w:r>
      <w:bookmarkEnd w:id="34"/>
    </w:p>
    <w:p w14:paraId="1A5BD09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5" w:name="_Toc2797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35"/>
    </w:p>
    <w:p w14:paraId="6A9602B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6" w:name="_Toc196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36"/>
    </w:p>
    <w:p w14:paraId="527DAA3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7" w:name="_Toc113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37"/>
    </w:p>
    <w:p w14:paraId="7A6515D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8" w:name="_Toc141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38"/>
    </w:p>
    <w:p w14:paraId="238D45F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9" w:name="_Toc2852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39"/>
    </w:p>
    <w:p w14:paraId="32445F3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0"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40"/>
    </w:p>
    <w:p w14:paraId="68DB2E9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1" w:name="_Toc1050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41"/>
    </w:p>
    <w:p w14:paraId="0DE6C0F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2" w:name="_Toc2836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42"/>
    </w:p>
    <w:p w14:paraId="79D6F92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3"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43"/>
    </w:p>
    <w:p w14:paraId="071EBE0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4" w:name="_Toc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44"/>
    </w:p>
    <w:p w14:paraId="10066CA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5" w:name="_Toc20059"/>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45"/>
    </w:p>
    <w:p w14:paraId="064CB4A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6"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46"/>
    </w:p>
    <w:p w14:paraId="39C91F3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7" w:name="_Toc16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7"/>
    </w:p>
    <w:p w14:paraId="7524806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8" w:name="_Toc3051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48"/>
    </w:p>
    <w:p w14:paraId="2ACC7AE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49" w:name="_Toc15974"/>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49"/>
    </w:p>
    <w:p w14:paraId="74659D1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0"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50"/>
    </w:p>
    <w:p w14:paraId="46C4653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51"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51"/>
    </w:p>
    <w:p w14:paraId="1E05C44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2" w:name="_Toc277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52"/>
    </w:p>
    <w:p w14:paraId="67250A2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53"/>
    </w:p>
    <w:p w14:paraId="4D337CC2">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54" w:name="_Toc110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54"/>
    </w:p>
    <w:p w14:paraId="628C54B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通过组论证的评价指标体系及评分标准，</w:t>
      </w:r>
      <w:r>
        <w:rPr>
          <w:rFonts w:hint="eastAsia" w:ascii="宋体" w:hAnsi="宋体" w:eastAsia="宋体" w:cs="宋体"/>
          <w:color w:val="000000" w:themeColor="text1"/>
          <w:highlight w:val="none"/>
          <w:shd w:val="clear" w:color="auto" w:fill="auto"/>
          <w14:textFill>
            <w14:solidFill>
              <w14:schemeClr w14:val="tx1"/>
            </w14:solidFill>
          </w14:textFill>
        </w:rPr>
        <w:t>采用的方法比较法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auto"/>
          <w:highlight w:val="none"/>
          <w:shd w:val="clear" w:color="auto" w:fill="auto"/>
          <w:lang w:val="zh-TW" w:eastAsia="zh-TW"/>
        </w:rPr>
        <w:t>对</w:t>
      </w:r>
      <w:r>
        <w:rPr>
          <w:rFonts w:hint="eastAsia"/>
          <w:color w:val="auto"/>
          <w:highlight w:val="none"/>
          <w:lang w:val="en-US" w:eastAsia="zh-CN"/>
        </w:rPr>
        <w:t>2023年离休老干医疗补助金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97.7</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66CF7A6B">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1E3C21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表3-1：</w:t>
            </w:r>
            <w:r>
              <w:rPr>
                <w:rFonts w:hint="eastAsia" w:ascii="宋体" w:hAnsi="宋体" w:eastAsia="宋体" w:cs="宋体"/>
                <w:b/>
                <w:bCs/>
                <w:color w:val="auto"/>
                <w:kern w:val="0"/>
                <w:sz w:val="28"/>
                <w:szCs w:val="28"/>
                <w:highlight w:val="none"/>
                <w:shd w:val="clear" w:color="auto" w:fill="auto"/>
                <w:lang w:val="en-US" w:eastAsia="zh-CN"/>
              </w:rPr>
              <w:t>2023年离休老干医疗补助金项目</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得分表</w:t>
            </w:r>
          </w:p>
          <w:p w14:paraId="3CBD89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4"/>
                <w:szCs w:val="24"/>
                <w:highlight w:val="none"/>
                <w:shd w:val="clear" w:color="auto" w:fill="auto"/>
                <w14:textFill>
                  <w14:solidFill>
                    <w14:schemeClr w14:val="tx1"/>
                  </w14:solidFill>
                </w14:textFill>
              </w:rPr>
            </w:pPr>
          </w:p>
        </w:tc>
      </w:tr>
      <w:tr w14:paraId="3D41DFB2">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536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346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04B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96E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7A3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B1F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合计</w:t>
            </w:r>
          </w:p>
        </w:tc>
      </w:tr>
      <w:tr w14:paraId="6D0730A1">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3ED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3AF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117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ECE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844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51A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100</w:t>
            </w:r>
          </w:p>
        </w:tc>
      </w:tr>
      <w:tr w14:paraId="75C06556">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ADC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FAD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18.7</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BE0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32A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774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6D4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97.7</w:t>
            </w:r>
          </w:p>
        </w:tc>
      </w:tr>
      <w:tr w14:paraId="3935DDB5">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FE5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D16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93.5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D94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883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303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50A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97.7</w:t>
            </w:r>
            <w:r>
              <w:rPr>
                <w:rFonts w:hint="eastAsia" w:ascii="宋体" w:hAnsi="宋体" w:eastAsia="宋体" w:cs="宋体"/>
                <w:color w:val="auto"/>
                <w:kern w:val="0"/>
                <w:sz w:val="21"/>
                <w:szCs w:val="21"/>
                <w:highlight w:val="none"/>
                <w:shd w:val="clear" w:color="auto" w:fill="auto"/>
                <w:lang w:val="en-US" w:eastAsia="zh-CN"/>
              </w:rPr>
              <w:t>%</w:t>
            </w:r>
          </w:p>
        </w:tc>
      </w:tr>
    </w:tbl>
    <w:p w14:paraId="0BC69C14">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55" w:name="_Toc942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四、绩效评价指标分析</w:t>
      </w:r>
      <w:bookmarkEnd w:id="55"/>
    </w:p>
    <w:p w14:paraId="25E2D9FB">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6" w:name="_Toc15355"/>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bookmarkEnd w:id="56"/>
    </w:p>
    <w:p w14:paraId="5B2D48A8">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18.7</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2E6F8F95">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2"/>
        <w:tblW w:w="84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5310D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522" w:hRule="atLeast"/>
          <w:tblHeader/>
          <w:jc w:val="center"/>
        </w:trPr>
        <w:tc>
          <w:tcPr>
            <w:tcW w:w="1077" w:type="dxa"/>
            <w:shd w:val="clear" w:color="auto" w:fill="auto"/>
            <w:tcMar>
              <w:top w:w="12" w:type="dxa"/>
              <w:left w:w="12" w:type="dxa"/>
              <w:right w:w="12" w:type="dxa"/>
            </w:tcMar>
            <w:vAlign w:val="center"/>
          </w:tcPr>
          <w:p w14:paraId="3345CD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shd w:val="clear" w:color="auto" w:fill="auto"/>
            <w:tcMar>
              <w:top w:w="12" w:type="dxa"/>
              <w:left w:w="12" w:type="dxa"/>
              <w:right w:w="12" w:type="dxa"/>
            </w:tcMar>
            <w:vAlign w:val="center"/>
          </w:tcPr>
          <w:p w14:paraId="5BD2C3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shd w:val="clear" w:color="auto" w:fill="auto"/>
            <w:tcMar>
              <w:top w:w="12" w:type="dxa"/>
              <w:left w:w="12" w:type="dxa"/>
              <w:right w:w="12" w:type="dxa"/>
            </w:tcMar>
            <w:vAlign w:val="center"/>
          </w:tcPr>
          <w:p w14:paraId="2623B9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shd w:val="clear" w:color="auto" w:fill="auto"/>
            <w:tcMar>
              <w:top w:w="12" w:type="dxa"/>
              <w:left w:w="12" w:type="dxa"/>
              <w:right w:w="12" w:type="dxa"/>
            </w:tcMar>
            <w:vAlign w:val="center"/>
          </w:tcPr>
          <w:p w14:paraId="1FF489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shd w:val="clear" w:color="auto" w:fill="auto"/>
            <w:tcMar>
              <w:top w:w="12" w:type="dxa"/>
              <w:left w:w="12" w:type="dxa"/>
              <w:right w:w="12" w:type="dxa"/>
            </w:tcMar>
            <w:vAlign w:val="center"/>
          </w:tcPr>
          <w:p w14:paraId="0141CC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shd w:val="clear" w:color="auto" w:fill="auto"/>
            <w:tcMar>
              <w:top w:w="12" w:type="dxa"/>
              <w:left w:w="12" w:type="dxa"/>
              <w:right w:w="12" w:type="dxa"/>
            </w:tcMar>
            <w:vAlign w:val="center"/>
          </w:tcPr>
          <w:p w14:paraId="4F933B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shd w:val="clear" w:color="auto" w:fill="auto"/>
            <w:tcMar>
              <w:top w:w="12" w:type="dxa"/>
              <w:left w:w="12" w:type="dxa"/>
              <w:right w:w="12" w:type="dxa"/>
            </w:tcMar>
            <w:vAlign w:val="center"/>
          </w:tcPr>
          <w:p w14:paraId="0A0C0F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6FF97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shd w:val="clear" w:color="auto" w:fill="auto"/>
            <w:tcMar>
              <w:top w:w="12" w:type="dxa"/>
              <w:left w:w="12" w:type="dxa"/>
              <w:right w:w="12" w:type="dxa"/>
            </w:tcMar>
            <w:vAlign w:val="center"/>
          </w:tcPr>
          <w:p w14:paraId="6C97F3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shd w:val="clear" w:color="auto" w:fill="auto"/>
            <w:tcMar>
              <w:top w:w="12" w:type="dxa"/>
              <w:left w:w="12" w:type="dxa"/>
              <w:right w:w="12" w:type="dxa"/>
            </w:tcMar>
            <w:vAlign w:val="center"/>
          </w:tcPr>
          <w:p w14:paraId="13AE7F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shd w:val="clear" w:color="auto" w:fill="auto"/>
            <w:tcMar>
              <w:top w:w="12" w:type="dxa"/>
              <w:left w:w="12" w:type="dxa"/>
              <w:right w:w="12" w:type="dxa"/>
            </w:tcMar>
            <w:vAlign w:val="center"/>
          </w:tcPr>
          <w:p w14:paraId="6D2189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shd w:val="clear" w:color="auto" w:fill="auto"/>
            <w:tcMar>
              <w:top w:w="12" w:type="dxa"/>
              <w:left w:w="12" w:type="dxa"/>
              <w:right w:w="12" w:type="dxa"/>
            </w:tcMar>
            <w:vAlign w:val="center"/>
          </w:tcPr>
          <w:p w14:paraId="4F9504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shd w:val="clear" w:color="auto" w:fill="auto"/>
            <w:tcMar>
              <w:top w:w="12" w:type="dxa"/>
              <w:left w:w="12" w:type="dxa"/>
              <w:right w:w="12" w:type="dxa"/>
            </w:tcMar>
            <w:vAlign w:val="center"/>
          </w:tcPr>
          <w:p w14:paraId="4C2CCC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shd w:val="clear" w:color="auto" w:fill="auto"/>
            <w:tcMar>
              <w:top w:w="12" w:type="dxa"/>
              <w:left w:w="12" w:type="dxa"/>
              <w:right w:w="12" w:type="dxa"/>
            </w:tcMar>
            <w:vAlign w:val="center"/>
          </w:tcPr>
          <w:p w14:paraId="62CDAC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shd w:val="clear" w:color="auto" w:fill="auto"/>
            <w:tcMar>
              <w:top w:w="12" w:type="dxa"/>
              <w:left w:w="12" w:type="dxa"/>
              <w:right w:w="12" w:type="dxa"/>
            </w:tcMar>
            <w:vAlign w:val="center"/>
          </w:tcPr>
          <w:p w14:paraId="17C7C0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3A50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4C74EC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4F1461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74FE73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6292D9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281E03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shd w:val="clear" w:color="auto" w:fill="auto"/>
            <w:tcMar>
              <w:top w:w="12" w:type="dxa"/>
              <w:left w:w="12" w:type="dxa"/>
              <w:right w:w="12" w:type="dxa"/>
            </w:tcMar>
            <w:vAlign w:val="center"/>
          </w:tcPr>
          <w:p w14:paraId="369015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shd w:val="clear" w:color="auto" w:fill="auto"/>
            <w:tcMar>
              <w:top w:w="12" w:type="dxa"/>
              <w:left w:w="12" w:type="dxa"/>
              <w:right w:w="12" w:type="dxa"/>
            </w:tcMar>
            <w:vAlign w:val="center"/>
          </w:tcPr>
          <w:p w14:paraId="2583F6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14:paraId="43F1F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62E5FF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13C4A8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shd w:val="clear" w:color="auto" w:fill="auto"/>
            <w:tcMar>
              <w:top w:w="12" w:type="dxa"/>
              <w:left w:w="12" w:type="dxa"/>
              <w:right w:w="12" w:type="dxa"/>
            </w:tcMar>
            <w:vAlign w:val="center"/>
          </w:tcPr>
          <w:p w14:paraId="3D067A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shd w:val="clear" w:color="auto" w:fill="auto"/>
            <w:tcMar>
              <w:top w:w="12" w:type="dxa"/>
              <w:left w:w="12" w:type="dxa"/>
              <w:right w:w="12" w:type="dxa"/>
            </w:tcMar>
            <w:vAlign w:val="center"/>
          </w:tcPr>
          <w:p w14:paraId="22A6D0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shd w:val="clear" w:color="auto" w:fill="auto"/>
            <w:tcMar>
              <w:top w:w="12" w:type="dxa"/>
              <w:left w:w="12" w:type="dxa"/>
              <w:right w:w="12" w:type="dxa"/>
            </w:tcMar>
            <w:vAlign w:val="center"/>
          </w:tcPr>
          <w:p w14:paraId="2AC6AB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shd w:val="clear" w:color="auto" w:fill="auto"/>
            <w:tcMar>
              <w:top w:w="12" w:type="dxa"/>
              <w:left w:w="12" w:type="dxa"/>
              <w:right w:w="12" w:type="dxa"/>
            </w:tcMar>
            <w:vAlign w:val="center"/>
          </w:tcPr>
          <w:p w14:paraId="4C7D20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shd w:val="clear" w:color="auto" w:fill="auto"/>
            <w:tcMar>
              <w:top w:w="12" w:type="dxa"/>
              <w:left w:w="12" w:type="dxa"/>
              <w:right w:w="12" w:type="dxa"/>
            </w:tcMar>
            <w:vAlign w:val="center"/>
          </w:tcPr>
          <w:p w14:paraId="7DD270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F98F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611073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18CBD1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558F81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5477DE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514477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shd w:val="clear" w:color="auto" w:fill="auto"/>
            <w:tcMar>
              <w:top w:w="12" w:type="dxa"/>
              <w:left w:w="12" w:type="dxa"/>
              <w:right w:w="12" w:type="dxa"/>
            </w:tcMar>
            <w:vAlign w:val="center"/>
          </w:tcPr>
          <w:p w14:paraId="241657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shd w:val="clear" w:color="auto" w:fill="auto"/>
            <w:tcMar>
              <w:top w:w="12" w:type="dxa"/>
              <w:left w:w="12" w:type="dxa"/>
              <w:right w:w="12" w:type="dxa"/>
            </w:tcMar>
            <w:vAlign w:val="center"/>
          </w:tcPr>
          <w:p w14:paraId="57E80D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81EB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642DCB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6C1964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shd w:val="clear" w:color="auto" w:fill="auto"/>
            <w:tcMar>
              <w:top w:w="12" w:type="dxa"/>
              <w:left w:w="12" w:type="dxa"/>
              <w:right w:w="12" w:type="dxa"/>
            </w:tcMar>
            <w:vAlign w:val="center"/>
          </w:tcPr>
          <w:p w14:paraId="057B8D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shd w:val="clear" w:color="auto" w:fill="auto"/>
            <w:tcMar>
              <w:top w:w="12" w:type="dxa"/>
              <w:left w:w="12" w:type="dxa"/>
              <w:right w:w="12" w:type="dxa"/>
            </w:tcMar>
            <w:vAlign w:val="center"/>
          </w:tcPr>
          <w:p w14:paraId="60EFF4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shd w:val="clear" w:color="auto" w:fill="auto"/>
            <w:tcMar>
              <w:top w:w="12" w:type="dxa"/>
              <w:left w:w="12" w:type="dxa"/>
              <w:right w:w="12" w:type="dxa"/>
            </w:tcMar>
            <w:vAlign w:val="center"/>
          </w:tcPr>
          <w:p w14:paraId="1D67F1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shd w:val="clear" w:color="auto" w:fill="auto"/>
            <w:tcMar>
              <w:top w:w="12" w:type="dxa"/>
              <w:left w:w="12" w:type="dxa"/>
              <w:right w:w="12" w:type="dxa"/>
            </w:tcMar>
            <w:vAlign w:val="center"/>
          </w:tcPr>
          <w:p w14:paraId="47D5B3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shd w:val="clear" w:color="auto" w:fill="auto"/>
            <w:tcMar>
              <w:top w:w="12" w:type="dxa"/>
              <w:left w:w="12" w:type="dxa"/>
              <w:right w:w="12" w:type="dxa"/>
            </w:tcMar>
            <w:vAlign w:val="center"/>
          </w:tcPr>
          <w:p w14:paraId="253496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053C9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097D0B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24AC56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149FB2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61903D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220B7C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shd w:val="clear" w:color="auto" w:fill="auto"/>
            <w:tcMar>
              <w:top w:w="12" w:type="dxa"/>
              <w:left w:w="12" w:type="dxa"/>
              <w:right w:w="12" w:type="dxa"/>
            </w:tcMar>
            <w:vAlign w:val="center"/>
          </w:tcPr>
          <w:p w14:paraId="41F113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shd w:val="clear" w:color="auto" w:fill="auto"/>
            <w:tcMar>
              <w:top w:w="12" w:type="dxa"/>
              <w:left w:w="12" w:type="dxa"/>
              <w:right w:w="12" w:type="dxa"/>
            </w:tcMar>
            <w:vAlign w:val="center"/>
          </w:tcPr>
          <w:p w14:paraId="6FD9B1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516B6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tblHeader/>
          <w:jc w:val="center"/>
        </w:trPr>
        <w:tc>
          <w:tcPr>
            <w:tcW w:w="3285" w:type="dxa"/>
            <w:gridSpan w:val="3"/>
            <w:shd w:val="clear" w:color="auto" w:fill="auto"/>
            <w:tcMar>
              <w:top w:w="12" w:type="dxa"/>
              <w:left w:w="12" w:type="dxa"/>
              <w:right w:w="12" w:type="dxa"/>
            </w:tcMar>
            <w:vAlign w:val="center"/>
          </w:tcPr>
          <w:p w14:paraId="25D2B4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shd w:val="clear" w:color="auto" w:fill="auto"/>
            <w:tcMar>
              <w:top w:w="12" w:type="dxa"/>
              <w:left w:w="12" w:type="dxa"/>
              <w:right w:w="12" w:type="dxa"/>
            </w:tcMar>
            <w:vAlign w:val="center"/>
          </w:tcPr>
          <w:p w14:paraId="405874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shd w:val="clear" w:color="auto" w:fill="auto"/>
            <w:tcMar>
              <w:top w:w="12" w:type="dxa"/>
              <w:left w:w="12" w:type="dxa"/>
              <w:right w:w="12" w:type="dxa"/>
            </w:tcMar>
            <w:vAlign w:val="center"/>
          </w:tcPr>
          <w:p w14:paraId="5C9B45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shd w:val="clear" w:color="auto" w:fill="auto"/>
            <w:tcMar>
              <w:top w:w="12" w:type="dxa"/>
              <w:left w:w="12" w:type="dxa"/>
              <w:right w:w="12" w:type="dxa"/>
            </w:tcMar>
            <w:vAlign w:val="center"/>
          </w:tcPr>
          <w:p w14:paraId="703661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shd w:val="clear" w:color="auto" w:fill="auto"/>
            <w:tcMar>
              <w:top w:w="12" w:type="dxa"/>
              <w:left w:w="12" w:type="dxa"/>
              <w:right w:w="12" w:type="dxa"/>
            </w:tcMar>
            <w:vAlign w:val="center"/>
          </w:tcPr>
          <w:p w14:paraId="5EFD3D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18.7</w:t>
            </w:r>
          </w:p>
        </w:tc>
      </w:tr>
    </w:tbl>
    <w:p w14:paraId="6A57A371">
      <w:pPr>
        <w:bidi w:val="0"/>
        <w:outlineLvl w:val="2"/>
        <w:rPr>
          <w:rFonts w:hint="default"/>
          <w:b/>
          <w:bCs/>
          <w:lang w:val="en-US" w:eastAsia="zh-CN"/>
        </w:rPr>
      </w:pPr>
      <w:bookmarkStart w:id="57" w:name="_Toc13522"/>
      <w:r>
        <w:rPr>
          <w:rFonts w:hint="eastAsia"/>
          <w:b/>
          <w:bCs/>
          <w:lang w:val="en-US" w:eastAsia="zh-CN"/>
        </w:rPr>
        <w:t>1.立项依据充分性</w:t>
      </w:r>
      <w:bookmarkEnd w:id="57"/>
    </w:p>
    <w:p w14:paraId="2EFB164B">
      <w:pPr>
        <w:bidi w:val="0"/>
        <w:rPr>
          <w:rFonts w:hint="eastAsia"/>
          <w:lang w:eastAsia="zh-CN"/>
        </w:rPr>
      </w:pPr>
      <w:r>
        <w:rPr>
          <w:rFonts w:hint="eastAsia"/>
          <w:lang w:eastAsia="zh-CN"/>
        </w:rPr>
        <w:t>①项目立项符合</w:t>
      </w:r>
      <w:r>
        <w:rPr>
          <w:rFonts w:hint="eastAsia"/>
          <w:color w:val="auto"/>
          <w:highlight w:val="none"/>
          <w:lang w:eastAsia="zh-CN"/>
        </w:rPr>
        <w:t>《中华人民共和国社会保险法》和《阜康市社保局财务管理制度》的规定</w:t>
      </w:r>
      <w:r>
        <w:rPr>
          <w:rFonts w:hint="eastAsia"/>
          <w:lang w:eastAsia="zh-CN"/>
        </w:rPr>
        <w:t>；</w:t>
      </w:r>
    </w:p>
    <w:p w14:paraId="4171F1F1">
      <w:pPr>
        <w:bidi w:val="0"/>
        <w:rPr>
          <w:rFonts w:hint="eastAsia"/>
          <w:lang w:eastAsia="zh-CN"/>
        </w:rPr>
      </w:pPr>
      <w:r>
        <w:rPr>
          <w:rFonts w:hint="eastAsia"/>
          <w:lang w:eastAsia="zh-CN"/>
        </w:rPr>
        <w:t>②项目立项符合</w:t>
      </w:r>
      <w:r>
        <w:rPr>
          <w:rFonts w:hint="eastAsia"/>
          <w:color w:val="auto"/>
          <w:lang w:eastAsia="zh-CN"/>
        </w:rPr>
        <w:t>中华人民共和国社会保障发展规划和养老保险政策要求</w:t>
      </w:r>
      <w:r>
        <w:rPr>
          <w:rFonts w:hint="eastAsia"/>
          <w:lang w:eastAsia="zh-CN"/>
        </w:rPr>
        <w:t>；</w:t>
      </w:r>
    </w:p>
    <w:p w14:paraId="1CEFD1AA">
      <w:pPr>
        <w:bidi w:val="0"/>
        <w:rPr>
          <w:rFonts w:hint="eastAsia"/>
          <w:lang w:eastAsia="zh-CN"/>
        </w:rPr>
      </w:pPr>
      <w:r>
        <w:rPr>
          <w:rFonts w:hint="eastAsia"/>
          <w:lang w:eastAsia="zh-CN"/>
        </w:rPr>
        <w:t>③项目立项与</w:t>
      </w:r>
      <w:r>
        <w:rPr>
          <w:rFonts w:hint="eastAsia"/>
          <w:lang w:val="en-US" w:eastAsia="zh-CN"/>
        </w:rPr>
        <w:t>负责养老、工伤、失业、职业年金业务培训及政策宣传及各项社会保险待遇发放</w:t>
      </w:r>
      <w:r>
        <w:rPr>
          <w:rFonts w:hint="eastAsia"/>
          <w:lang w:eastAsia="zh-CN"/>
        </w:rPr>
        <w:t>相符，属于部门履职所需；</w:t>
      </w:r>
    </w:p>
    <w:p w14:paraId="4296F97C">
      <w:pPr>
        <w:bidi w:val="0"/>
        <w:rPr>
          <w:rFonts w:hint="eastAsia"/>
          <w:lang w:eastAsia="zh-CN"/>
        </w:rPr>
      </w:pPr>
      <w:r>
        <w:rPr>
          <w:rFonts w:hint="eastAsia"/>
          <w:lang w:eastAsia="zh-CN"/>
        </w:rPr>
        <w:t>④项目属于公共财政支持范围，符合中央、地方事权支出责任划分原则；</w:t>
      </w:r>
    </w:p>
    <w:p w14:paraId="0B9B78FF">
      <w:pPr>
        <w:bidi w:val="0"/>
        <w:rPr>
          <w:rFonts w:hint="eastAsia"/>
          <w:lang w:eastAsia="zh-CN"/>
        </w:rPr>
      </w:pPr>
      <w:r>
        <w:rPr>
          <w:rFonts w:hint="eastAsia"/>
          <w:lang w:eastAsia="zh-CN"/>
        </w:rPr>
        <w:t>⑤项目与相关部门同类项目或部门内部相关项目</w:t>
      </w:r>
      <w:r>
        <w:rPr>
          <w:rFonts w:hint="eastAsia"/>
          <w:lang w:val="en-US" w:eastAsia="zh-CN"/>
        </w:rPr>
        <w:t>不</w:t>
      </w:r>
      <w:r>
        <w:rPr>
          <w:rFonts w:hint="eastAsia"/>
          <w:lang w:eastAsia="zh-CN"/>
        </w:rPr>
        <w:t>重复。</w:t>
      </w:r>
    </w:p>
    <w:p w14:paraId="0529CC71">
      <w:pPr>
        <w:bidi w:val="0"/>
        <w:rPr>
          <w:rFonts w:hint="default"/>
          <w:color w:val="auto"/>
          <w:lang w:val="en-US" w:eastAsia="zh-CN"/>
        </w:rPr>
      </w:pPr>
      <w:r>
        <w:rPr>
          <w:rFonts w:hint="eastAsia"/>
          <w:b/>
          <w:bCs/>
          <w:lang w:val="en-US" w:eastAsia="zh-CN"/>
        </w:rPr>
        <w:t>综上，该项指标满分</w:t>
      </w:r>
      <w:r>
        <w:rPr>
          <w:rFonts w:hint="eastAsia"/>
          <w:b/>
          <w:bCs/>
          <w:color w:val="auto"/>
          <w:lang w:val="en-US" w:eastAsia="zh-CN"/>
        </w:rPr>
        <w:t>2分，得分2分。</w:t>
      </w:r>
    </w:p>
    <w:p w14:paraId="31B2CA80">
      <w:pPr>
        <w:bidi w:val="0"/>
        <w:outlineLvl w:val="2"/>
        <w:rPr>
          <w:rFonts w:hint="default"/>
          <w:b/>
          <w:bCs/>
          <w:color w:val="auto"/>
          <w:lang w:val="en-US" w:eastAsia="zh-CN"/>
        </w:rPr>
      </w:pPr>
      <w:bookmarkStart w:id="58" w:name="_Toc21976"/>
      <w:r>
        <w:rPr>
          <w:rFonts w:hint="eastAsia"/>
          <w:b/>
          <w:bCs/>
          <w:color w:val="auto"/>
          <w:lang w:val="en-US" w:eastAsia="zh-CN"/>
        </w:rPr>
        <w:t>2.立项程序规范性</w:t>
      </w:r>
      <w:bookmarkEnd w:id="58"/>
    </w:p>
    <w:p w14:paraId="3C9B06D5">
      <w:pPr>
        <w:bidi w:val="0"/>
        <w:rPr>
          <w:rFonts w:hint="eastAsia"/>
          <w:highlight w:val="none"/>
          <w:lang w:eastAsia="zh-CN"/>
        </w:rPr>
      </w:pPr>
      <w:r>
        <w:rPr>
          <w:rFonts w:hint="eastAsia"/>
          <w:lang w:eastAsia="zh-CN"/>
        </w:rPr>
        <w:t>①项目按</w:t>
      </w:r>
      <w:r>
        <w:rPr>
          <w:rFonts w:hint="eastAsia"/>
          <w:highlight w:val="none"/>
          <w:lang w:eastAsia="zh-CN"/>
        </w:rPr>
        <w:t>照</w:t>
      </w:r>
      <w:r>
        <w:rPr>
          <w:rFonts w:hint="eastAsia"/>
          <w:color w:val="auto"/>
          <w:highlight w:val="none"/>
          <w:lang w:val="en-US" w:eastAsia="zh-CN"/>
        </w:rPr>
        <w:t>《新疆维吾尔自治区离休人员、老红军医疗管理暂行办法》</w:t>
      </w:r>
      <w:r>
        <w:rPr>
          <w:rFonts w:hint="eastAsia" w:ascii="宋体" w:hAnsi="宋体" w:eastAsia="宋体" w:cs="宋体"/>
          <w:color w:val="auto"/>
          <w:highlight w:val="none"/>
          <w:shd w:val="clear" w:color="auto" w:fill="auto"/>
          <w:lang w:val="en-US" w:eastAsia="zh-CN"/>
        </w:rPr>
        <w:t>文件</w:t>
      </w:r>
      <w:r>
        <w:rPr>
          <w:rFonts w:hint="eastAsia"/>
          <w:highlight w:val="none"/>
          <w:lang w:eastAsia="zh-CN"/>
        </w:rPr>
        <w:t>规定的程序申请设立；</w:t>
      </w:r>
    </w:p>
    <w:p w14:paraId="5D64C8F1">
      <w:pPr>
        <w:bidi w:val="0"/>
        <w:rPr>
          <w:rFonts w:hint="eastAsia"/>
          <w:highlight w:val="none"/>
          <w:lang w:eastAsia="zh-CN"/>
        </w:rPr>
      </w:pPr>
      <w:r>
        <w:rPr>
          <w:rFonts w:hint="eastAsia"/>
          <w:highlight w:val="none"/>
          <w:lang w:eastAsia="zh-CN"/>
        </w:rPr>
        <w:t>②审批</w:t>
      </w:r>
      <w:r>
        <w:rPr>
          <w:rFonts w:hint="eastAsia"/>
          <w:color w:val="auto"/>
          <w:highlight w:val="none"/>
          <w:lang w:eastAsia="zh-CN"/>
        </w:rPr>
        <w:t>关于</w:t>
      </w:r>
      <w:r>
        <w:rPr>
          <w:rFonts w:hint="eastAsia"/>
          <w:color w:val="auto"/>
          <w:highlight w:val="none"/>
          <w:lang w:val="en-US" w:eastAsia="zh-CN"/>
        </w:rPr>
        <w:t>《新疆维吾尔自治区离休人员、老红军医疗管理暂行办法》的</w:t>
      </w:r>
      <w:r>
        <w:rPr>
          <w:rFonts w:hint="eastAsia"/>
          <w:highlight w:val="none"/>
          <w:lang w:eastAsia="zh-CN"/>
        </w:rPr>
        <w:t>文件、材料符合相关要求；</w:t>
      </w:r>
    </w:p>
    <w:p w14:paraId="5571405D">
      <w:pPr>
        <w:bidi w:val="0"/>
        <w:rPr>
          <w:rFonts w:hint="eastAsia"/>
          <w:highlight w:val="none"/>
          <w:lang w:val="en-US" w:eastAsia="zh-CN"/>
        </w:rPr>
      </w:pPr>
      <w:r>
        <w:rPr>
          <w:rFonts w:hint="eastAsia"/>
          <w:highlight w:val="none"/>
          <w:lang w:eastAsia="zh-CN"/>
        </w:rPr>
        <w:t>③事前经过市财政局相关科室与本单位业务科室集体决策，</w:t>
      </w:r>
      <w:r>
        <w:rPr>
          <w:rFonts w:hint="eastAsia"/>
          <w:highlight w:val="none"/>
          <w:lang w:val="en-US" w:eastAsia="zh-CN"/>
        </w:rPr>
        <w:t>扣0.8分原因</w:t>
      </w:r>
      <w:r>
        <w:rPr>
          <w:rFonts w:hint="eastAsia"/>
          <w:highlight w:val="none"/>
          <w:lang w:eastAsia="zh-CN"/>
        </w:rPr>
        <w:t>事前</w:t>
      </w:r>
      <w:r>
        <w:rPr>
          <w:rFonts w:hint="eastAsia"/>
          <w:highlight w:val="none"/>
          <w:lang w:val="en-US" w:eastAsia="zh-CN"/>
        </w:rPr>
        <w:t>未</w:t>
      </w:r>
      <w:r>
        <w:rPr>
          <w:rFonts w:hint="eastAsia"/>
          <w:highlight w:val="none"/>
          <w:lang w:eastAsia="zh-CN"/>
        </w:rPr>
        <w:t>经过</w:t>
      </w:r>
      <w:r>
        <w:rPr>
          <w:rFonts w:hint="eastAsia"/>
          <w:highlight w:val="none"/>
          <w:lang w:val="en-US" w:eastAsia="zh-CN"/>
        </w:rPr>
        <w:t>必要的可行性研究、专家论证、风险评估、绩效评估、集体决策。</w:t>
      </w:r>
    </w:p>
    <w:p w14:paraId="7689774D">
      <w:pPr>
        <w:bidi w:val="0"/>
        <w:rPr>
          <w:rFonts w:hint="eastAsia"/>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3分，得分2.2分</w:t>
      </w:r>
      <w:r>
        <w:rPr>
          <w:rFonts w:hint="eastAsia"/>
          <w:b/>
          <w:bCs/>
          <w:highlight w:val="none"/>
          <w:lang w:val="en-US" w:eastAsia="zh-CN"/>
        </w:rPr>
        <w:t>。</w:t>
      </w:r>
    </w:p>
    <w:p w14:paraId="11E28140">
      <w:pPr>
        <w:bidi w:val="0"/>
        <w:outlineLvl w:val="2"/>
        <w:rPr>
          <w:rFonts w:hint="default"/>
          <w:b/>
          <w:bCs/>
          <w:highlight w:val="none"/>
          <w:lang w:val="en-US" w:eastAsia="zh-CN"/>
        </w:rPr>
      </w:pPr>
      <w:bookmarkStart w:id="59" w:name="_Toc15382"/>
      <w:r>
        <w:rPr>
          <w:rFonts w:hint="eastAsia"/>
          <w:b/>
          <w:bCs/>
          <w:highlight w:val="none"/>
          <w:lang w:val="en-US" w:eastAsia="zh-CN"/>
        </w:rPr>
        <w:t>3.绩效目标合理性</w:t>
      </w:r>
      <w:bookmarkEnd w:id="59"/>
    </w:p>
    <w:p w14:paraId="118D6A9D">
      <w:pPr>
        <w:bidi w:val="0"/>
        <w:rPr>
          <w:rFonts w:hint="eastAsia"/>
          <w:highlight w:val="none"/>
          <w:lang w:eastAsia="zh-CN"/>
        </w:rPr>
      </w:pPr>
      <w:r>
        <w:rPr>
          <w:rFonts w:hint="eastAsia"/>
          <w:highlight w:val="none"/>
          <w:lang w:eastAsia="zh-CN"/>
        </w:rPr>
        <w:t>①项目有绩效目标；</w:t>
      </w:r>
    </w:p>
    <w:p w14:paraId="49F4BB19">
      <w:pPr>
        <w:bidi w:val="0"/>
        <w:rPr>
          <w:rFonts w:hint="eastAsia"/>
          <w:highlight w:val="none"/>
          <w:lang w:eastAsia="zh-CN"/>
        </w:rPr>
      </w:pPr>
      <w:r>
        <w:rPr>
          <w:rFonts w:hint="eastAsia"/>
          <w:highlight w:val="none"/>
          <w:lang w:eastAsia="zh-CN"/>
        </w:rPr>
        <w:t>②项目绩效目标与实际工作内容具有相关性；</w:t>
      </w:r>
    </w:p>
    <w:p w14:paraId="11E9CB51">
      <w:pPr>
        <w:bidi w:val="0"/>
        <w:rPr>
          <w:rFonts w:hint="eastAsia"/>
          <w:highlight w:val="none"/>
          <w:lang w:eastAsia="zh-CN"/>
        </w:rPr>
      </w:pPr>
      <w:r>
        <w:rPr>
          <w:rFonts w:hint="eastAsia"/>
          <w:highlight w:val="none"/>
          <w:lang w:eastAsia="zh-CN"/>
        </w:rPr>
        <w:t>③项目预期产出效益和效果符合正常的业绩水平；</w:t>
      </w:r>
    </w:p>
    <w:p w14:paraId="390B0709">
      <w:pPr>
        <w:bidi w:val="0"/>
        <w:rPr>
          <w:rFonts w:hint="eastAsia"/>
          <w:highlight w:val="none"/>
          <w:lang w:eastAsia="zh-CN"/>
        </w:rPr>
      </w:pPr>
      <w:r>
        <w:rPr>
          <w:rFonts w:hint="eastAsia"/>
          <w:highlight w:val="none"/>
          <w:lang w:eastAsia="zh-CN"/>
        </w:rPr>
        <w:t>④与预算确定的项目</w:t>
      </w:r>
      <w:r>
        <w:rPr>
          <w:rFonts w:hint="eastAsia"/>
          <w:highlight w:val="none"/>
          <w:lang w:val="en-US" w:eastAsia="zh-CN"/>
        </w:rPr>
        <w:t>投资额相匹配</w:t>
      </w:r>
      <w:r>
        <w:rPr>
          <w:rFonts w:hint="eastAsia"/>
          <w:highlight w:val="none"/>
          <w:lang w:eastAsia="zh-CN"/>
        </w:rPr>
        <w:t>。</w:t>
      </w:r>
    </w:p>
    <w:p w14:paraId="239B02C1">
      <w:pPr>
        <w:bidi w:val="0"/>
        <w:rPr>
          <w:rFonts w:hint="eastAsia"/>
          <w:color w:val="auto"/>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5分，得分5分。</w:t>
      </w:r>
    </w:p>
    <w:p w14:paraId="0545267A">
      <w:pPr>
        <w:bidi w:val="0"/>
        <w:outlineLvl w:val="2"/>
        <w:rPr>
          <w:rFonts w:hint="default"/>
          <w:b/>
          <w:bCs/>
          <w:highlight w:val="none"/>
          <w:lang w:val="en-US" w:eastAsia="zh-CN"/>
        </w:rPr>
      </w:pPr>
      <w:bookmarkStart w:id="60" w:name="_Toc10650"/>
      <w:r>
        <w:rPr>
          <w:rFonts w:hint="eastAsia"/>
          <w:b/>
          <w:bCs/>
          <w:highlight w:val="none"/>
          <w:lang w:val="en-US" w:eastAsia="zh-CN"/>
        </w:rPr>
        <w:t>4.绩效指标明确性</w:t>
      </w:r>
      <w:bookmarkEnd w:id="60"/>
    </w:p>
    <w:p w14:paraId="05B55AD8">
      <w:pPr>
        <w:bidi w:val="0"/>
        <w:rPr>
          <w:rFonts w:hint="eastAsia"/>
          <w:highlight w:val="none"/>
          <w:lang w:eastAsia="zh-CN"/>
        </w:rPr>
      </w:pPr>
      <w:r>
        <w:rPr>
          <w:rFonts w:hint="eastAsia"/>
          <w:highlight w:val="none"/>
          <w:lang w:eastAsia="zh-CN"/>
        </w:rPr>
        <w:t>①将项目绩效目标细化分解为具体的绩效指标，</w:t>
      </w:r>
      <w:r>
        <w:rPr>
          <w:rFonts w:hint="eastAsia"/>
          <w:highlight w:val="none"/>
          <w:lang w:val="en-US" w:eastAsia="zh-CN"/>
        </w:rPr>
        <w:t>二级指标6个三级指标11个</w:t>
      </w:r>
      <w:r>
        <w:rPr>
          <w:rFonts w:hint="eastAsia"/>
          <w:highlight w:val="none"/>
          <w:lang w:eastAsia="zh-CN"/>
        </w:rPr>
        <w:t>；</w:t>
      </w:r>
    </w:p>
    <w:p w14:paraId="78D4B6C1">
      <w:pPr>
        <w:bidi w:val="0"/>
        <w:rPr>
          <w:rFonts w:hint="eastAsia"/>
          <w:highlight w:val="none"/>
          <w:lang w:eastAsia="zh-CN"/>
        </w:rPr>
      </w:pPr>
      <w:r>
        <w:rPr>
          <w:rFonts w:hint="eastAsia"/>
          <w:highlight w:val="none"/>
          <w:lang w:eastAsia="zh-CN"/>
        </w:rPr>
        <w:t>②通过清晰、可衡量的指标值予以体现，</w:t>
      </w:r>
      <w:r>
        <w:rPr>
          <w:rFonts w:hint="eastAsia"/>
          <w:highlight w:val="none"/>
          <w:lang w:val="en-US" w:eastAsia="zh-CN"/>
        </w:rPr>
        <w:t>量化率达到81.82%.</w:t>
      </w:r>
    </w:p>
    <w:p w14:paraId="00BD0F57">
      <w:pPr>
        <w:bidi w:val="0"/>
        <w:rPr>
          <w:rFonts w:hint="eastAsia"/>
          <w:highlight w:val="none"/>
          <w:lang w:eastAsia="zh-CN"/>
        </w:rPr>
      </w:pPr>
      <w:r>
        <w:rPr>
          <w:rFonts w:hint="eastAsia"/>
          <w:highlight w:val="none"/>
          <w:lang w:eastAsia="zh-CN"/>
        </w:rPr>
        <w:t>③与项目目标任务数或计划数相对应。</w:t>
      </w:r>
    </w:p>
    <w:p w14:paraId="7B2AE4D0">
      <w:pPr>
        <w:bidi w:val="0"/>
        <w:rPr>
          <w:rFonts w:hint="eastAsia"/>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5分，得分5分</w:t>
      </w:r>
      <w:r>
        <w:rPr>
          <w:rFonts w:hint="eastAsia"/>
          <w:b/>
          <w:bCs/>
          <w:highlight w:val="none"/>
          <w:lang w:val="en-US" w:eastAsia="zh-CN"/>
        </w:rPr>
        <w:t>。</w:t>
      </w:r>
    </w:p>
    <w:p w14:paraId="757F143A">
      <w:pPr>
        <w:bidi w:val="0"/>
        <w:outlineLvl w:val="2"/>
        <w:rPr>
          <w:rFonts w:hint="default"/>
          <w:b/>
          <w:bCs/>
          <w:highlight w:val="none"/>
          <w:lang w:val="en-US" w:eastAsia="zh-CN"/>
        </w:rPr>
      </w:pPr>
      <w:bookmarkStart w:id="61" w:name="_Toc19401"/>
      <w:r>
        <w:rPr>
          <w:rFonts w:hint="eastAsia"/>
          <w:b/>
          <w:bCs/>
          <w:highlight w:val="none"/>
          <w:lang w:val="en-US" w:eastAsia="zh-CN"/>
        </w:rPr>
        <w:t>5.预算编制科学性</w:t>
      </w:r>
      <w:bookmarkEnd w:id="61"/>
    </w:p>
    <w:p w14:paraId="61E4756F">
      <w:pPr>
        <w:bidi w:val="0"/>
        <w:rPr>
          <w:rFonts w:hint="default"/>
          <w:highlight w:val="none"/>
          <w:lang w:val="en-US" w:eastAsia="zh-CN"/>
        </w:rPr>
      </w:pPr>
      <w:r>
        <w:rPr>
          <w:rFonts w:hint="eastAsia"/>
          <w:highlight w:val="none"/>
          <w:lang w:eastAsia="zh-CN"/>
        </w:rPr>
        <w:t>①预算编制</w:t>
      </w:r>
      <w:r>
        <w:rPr>
          <w:rFonts w:hint="eastAsia"/>
          <w:highlight w:val="none"/>
          <w:lang w:val="en-US" w:eastAsia="zh-CN"/>
        </w:rPr>
        <w:t>未</w:t>
      </w:r>
      <w:r>
        <w:rPr>
          <w:rFonts w:hint="eastAsia"/>
          <w:highlight w:val="none"/>
          <w:lang w:eastAsia="zh-CN"/>
        </w:rPr>
        <w:t>经过科学论证，</w:t>
      </w:r>
      <w:r>
        <w:rPr>
          <w:rFonts w:hint="eastAsia"/>
          <w:highlight w:val="none"/>
          <w:lang w:val="en-US" w:eastAsia="zh-CN"/>
        </w:rPr>
        <w:t>扣除0.5分；</w:t>
      </w:r>
    </w:p>
    <w:p w14:paraId="4FCD7D7C">
      <w:pPr>
        <w:bidi w:val="0"/>
        <w:rPr>
          <w:rFonts w:hint="eastAsia"/>
          <w:highlight w:val="none"/>
          <w:lang w:eastAsia="zh-CN"/>
        </w:rPr>
      </w:pPr>
      <w:r>
        <w:rPr>
          <w:rFonts w:hint="eastAsia"/>
          <w:highlight w:val="none"/>
          <w:lang w:eastAsia="zh-CN"/>
        </w:rPr>
        <w:t>②预算内容与项目内容匹配；</w:t>
      </w:r>
    </w:p>
    <w:p w14:paraId="714F0D54">
      <w:pPr>
        <w:bidi w:val="0"/>
        <w:rPr>
          <w:rFonts w:hint="eastAsia"/>
          <w:highlight w:val="none"/>
          <w:lang w:eastAsia="zh-CN"/>
        </w:rPr>
      </w:pPr>
      <w:r>
        <w:rPr>
          <w:rFonts w:hint="eastAsia"/>
          <w:highlight w:val="none"/>
          <w:lang w:eastAsia="zh-CN"/>
        </w:rPr>
        <w:t>③预算额度测算依据充分，按照标准编制；</w:t>
      </w:r>
    </w:p>
    <w:p w14:paraId="38B9F49C">
      <w:pPr>
        <w:bidi w:val="0"/>
        <w:rPr>
          <w:rFonts w:hint="eastAsia"/>
          <w:highlight w:val="none"/>
          <w:lang w:eastAsia="zh-CN"/>
        </w:rPr>
      </w:pPr>
      <w:r>
        <w:rPr>
          <w:rFonts w:hint="eastAsia"/>
          <w:highlight w:val="none"/>
          <w:lang w:eastAsia="zh-CN"/>
        </w:rPr>
        <w:t>④预算确定的项目投资额或资金量与工作任务相匹配。</w:t>
      </w:r>
    </w:p>
    <w:p w14:paraId="1C7377C8">
      <w:pPr>
        <w:bidi w:val="0"/>
        <w:rPr>
          <w:rFonts w:hint="eastAsia"/>
          <w:color w:val="auto"/>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2分，得分1.5分。</w:t>
      </w:r>
    </w:p>
    <w:p w14:paraId="6A0572F2">
      <w:pPr>
        <w:bidi w:val="0"/>
        <w:outlineLvl w:val="2"/>
        <w:rPr>
          <w:rFonts w:hint="default"/>
          <w:b/>
          <w:bCs/>
          <w:highlight w:val="none"/>
          <w:lang w:val="en-US" w:eastAsia="zh-CN"/>
        </w:rPr>
      </w:pPr>
      <w:bookmarkStart w:id="62" w:name="_Toc697"/>
      <w:r>
        <w:rPr>
          <w:rFonts w:hint="eastAsia"/>
          <w:b/>
          <w:bCs/>
          <w:highlight w:val="none"/>
          <w:lang w:val="en-US" w:eastAsia="zh-CN"/>
        </w:rPr>
        <w:t>6.资金分配合理性</w:t>
      </w:r>
      <w:bookmarkEnd w:id="62"/>
    </w:p>
    <w:p w14:paraId="1B123AA6">
      <w:pPr>
        <w:bidi w:val="0"/>
        <w:rPr>
          <w:rFonts w:hint="eastAsia"/>
          <w:highlight w:val="none"/>
          <w:lang w:eastAsia="zh-CN"/>
        </w:rPr>
      </w:pPr>
      <w:r>
        <w:rPr>
          <w:rFonts w:hint="eastAsia"/>
          <w:highlight w:val="none"/>
          <w:lang w:eastAsia="zh-CN"/>
        </w:rPr>
        <w:t>①</w:t>
      </w:r>
      <w:r>
        <w:rPr>
          <w:rFonts w:hint="eastAsia"/>
          <w:color w:val="auto"/>
          <w:highlight w:val="none"/>
          <w:lang w:eastAsia="zh-CN"/>
        </w:rPr>
        <w:t>预算资金分配</w:t>
      </w:r>
      <w:r>
        <w:rPr>
          <w:rFonts w:hint="eastAsia"/>
          <w:highlight w:val="none"/>
          <w:lang w:eastAsia="zh-CN"/>
        </w:rPr>
        <w:t>依据</w:t>
      </w:r>
      <w:r>
        <w:rPr>
          <w:rFonts w:hint="eastAsia"/>
          <w:color w:val="auto"/>
          <w:highlight w:val="none"/>
          <w:lang w:val="en-US" w:eastAsia="zh-CN"/>
        </w:rPr>
        <w:t>《新疆维吾尔自治区离休人员、老红军医疗管理暂行办法》</w:t>
      </w:r>
      <w:r>
        <w:rPr>
          <w:rFonts w:hint="eastAsia"/>
          <w:highlight w:val="none"/>
          <w:lang w:eastAsia="zh-CN"/>
        </w:rPr>
        <w:t>；</w:t>
      </w:r>
    </w:p>
    <w:p w14:paraId="232B2008">
      <w:pPr>
        <w:bidi w:val="0"/>
        <w:rPr>
          <w:rFonts w:hint="eastAsia"/>
          <w:highlight w:val="none"/>
          <w:lang w:eastAsia="zh-CN"/>
        </w:rPr>
      </w:pPr>
      <w:r>
        <w:rPr>
          <w:rFonts w:hint="eastAsia"/>
          <w:highlight w:val="none"/>
          <w:lang w:eastAsia="zh-CN"/>
        </w:rPr>
        <w:t>②资金分配额度合理，与项目单位或地方实际相适应。</w:t>
      </w:r>
    </w:p>
    <w:p w14:paraId="156C9C83">
      <w:pPr>
        <w:bidi w:val="0"/>
        <w:rPr>
          <w:rFonts w:hint="eastAsia"/>
          <w:highlight w:val="none"/>
          <w:lang w:eastAsia="zh-CN"/>
        </w:rPr>
      </w:pPr>
      <w:r>
        <w:rPr>
          <w:rFonts w:hint="eastAsia"/>
          <w:b/>
          <w:bCs/>
          <w:highlight w:val="none"/>
          <w:lang w:val="en-US" w:eastAsia="zh-CN"/>
        </w:rPr>
        <w:t>综上，该项指标满</w:t>
      </w:r>
      <w:r>
        <w:rPr>
          <w:rFonts w:hint="eastAsia"/>
          <w:b/>
          <w:bCs/>
          <w:color w:val="auto"/>
          <w:highlight w:val="none"/>
          <w:lang w:val="en-US" w:eastAsia="zh-CN"/>
        </w:rPr>
        <w:t>分3分，得分3分</w:t>
      </w:r>
      <w:r>
        <w:rPr>
          <w:rFonts w:hint="eastAsia"/>
          <w:b/>
          <w:bCs/>
          <w:highlight w:val="none"/>
          <w:lang w:val="en-US" w:eastAsia="zh-CN"/>
        </w:rPr>
        <w:t>。</w:t>
      </w:r>
    </w:p>
    <w:p w14:paraId="437EF730">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3" w:name="_Toc11361"/>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63"/>
    </w:p>
    <w:p w14:paraId="73C5144E">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19</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690306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2"/>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27C68EE2">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A405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0A65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892B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6188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61B0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39A3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09FA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63EE833B">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07E7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CF97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AB48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7F8B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B376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15D7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8C36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A5845AB">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CB05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DEF1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0643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041B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5621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BD9D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C5F2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17DCBEF">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FA48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17D6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82AD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BCE4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9789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4DE0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38DD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64843AE">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4D77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B609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44CB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E3CC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AC4D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5D8D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BF56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6CBE923">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6D08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C067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CE69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1627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084C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2444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AB97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50A03505">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A34D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7A75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7C9C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A016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5552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6B6D8645">
      <w:pPr>
        <w:bidi w:val="0"/>
        <w:outlineLvl w:val="2"/>
        <w:rPr>
          <w:rFonts w:hint="default"/>
          <w:b/>
          <w:bCs/>
          <w:color w:val="FF0000"/>
          <w:lang w:val="en-US" w:eastAsia="zh-CN"/>
        </w:rPr>
      </w:pPr>
      <w:bookmarkStart w:id="64" w:name="_Toc3886"/>
      <w:r>
        <w:rPr>
          <w:rFonts w:hint="eastAsia"/>
          <w:b/>
          <w:bCs/>
          <w:lang w:val="en-US" w:eastAsia="zh-CN"/>
        </w:rPr>
        <w:t>1.资金到位率</w:t>
      </w:r>
      <w:bookmarkEnd w:id="64"/>
    </w:p>
    <w:p w14:paraId="674B80C1">
      <w:pPr>
        <w:bidi w:val="0"/>
        <w:rPr>
          <w:rFonts w:hint="default"/>
          <w:b/>
          <w:bCs/>
          <w:color w:val="auto"/>
          <w:highlight w:val="none"/>
          <w:lang w:val="en-US" w:eastAsia="zh-CN"/>
        </w:rPr>
      </w:pPr>
      <w:r>
        <w:rPr>
          <w:rFonts w:hint="eastAsia"/>
          <w:lang w:eastAsia="zh-CN"/>
        </w:rPr>
        <w:t>资</w:t>
      </w:r>
      <w:r>
        <w:rPr>
          <w:rFonts w:hint="eastAsia"/>
          <w:highlight w:val="none"/>
          <w:lang w:eastAsia="zh-CN"/>
        </w:rPr>
        <w:t>金到位率=</w:t>
      </w:r>
      <w:r>
        <w:rPr>
          <w:rFonts w:hint="eastAsia"/>
          <w:color w:val="auto"/>
          <w:highlight w:val="none"/>
          <w:lang w:eastAsia="zh-CN"/>
        </w:rPr>
        <w:t>（</w:t>
      </w:r>
      <w:r>
        <w:rPr>
          <w:rFonts w:hint="eastAsia"/>
          <w:color w:val="auto"/>
          <w:highlight w:val="none"/>
          <w:lang w:val="en-US" w:eastAsia="zh-CN"/>
        </w:rPr>
        <w:t>50万元</w:t>
      </w:r>
      <w:r>
        <w:rPr>
          <w:rFonts w:hint="eastAsia"/>
          <w:color w:val="auto"/>
          <w:highlight w:val="none"/>
          <w:lang w:eastAsia="zh-CN"/>
        </w:rPr>
        <w:t>/</w:t>
      </w:r>
      <w:r>
        <w:rPr>
          <w:rFonts w:hint="eastAsia"/>
          <w:color w:val="auto"/>
          <w:highlight w:val="none"/>
          <w:lang w:val="en-US" w:eastAsia="zh-CN"/>
        </w:rPr>
        <w:t>50万元</w:t>
      </w:r>
      <w:r>
        <w:rPr>
          <w:rFonts w:hint="eastAsia"/>
          <w:color w:val="auto"/>
          <w:highlight w:val="none"/>
          <w:lang w:eastAsia="zh-CN"/>
        </w:rPr>
        <w:t>）×100%。</w:t>
      </w:r>
      <w:r>
        <w:rPr>
          <w:rFonts w:hint="eastAsia"/>
          <w:b/>
          <w:bCs/>
          <w:color w:val="auto"/>
          <w:highlight w:val="none"/>
          <w:lang w:val="en-US" w:eastAsia="zh-CN"/>
        </w:rPr>
        <w:t>=100%</w:t>
      </w:r>
    </w:p>
    <w:p w14:paraId="08178990">
      <w:pPr>
        <w:bidi w:val="0"/>
        <w:rPr>
          <w:rFonts w:hint="eastAsia"/>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4分，得分4分</w:t>
      </w:r>
      <w:r>
        <w:rPr>
          <w:rFonts w:hint="eastAsia"/>
          <w:b/>
          <w:bCs/>
          <w:highlight w:val="none"/>
          <w:lang w:val="en-US" w:eastAsia="zh-CN"/>
        </w:rPr>
        <w:t>。</w:t>
      </w:r>
    </w:p>
    <w:p w14:paraId="31112899">
      <w:pPr>
        <w:bidi w:val="0"/>
        <w:outlineLvl w:val="2"/>
        <w:rPr>
          <w:rFonts w:hint="default"/>
          <w:b/>
          <w:bCs/>
          <w:highlight w:val="none"/>
          <w:lang w:val="en-US" w:eastAsia="zh-CN"/>
        </w:rPr>
      </w:pPr>
      <w:bookmarkStart w:id="65" w:name="_Toc9705"/>
      <w:r>
        <w:rPr>
          <w:rFonts w:hint="eastAsia"/>
          <w:b/>
          <w:bCs/>
          <w:highlight w:val="none"/>
          <w:lang w:val="en-US" w:eastAsia="zh-CN"/>
        </w:rPr>
        <w:t>2.预算执行率</w:t>
      </w:r>
      <w:bookmarkEnd w:id="65"/>
    </w:p>
    <w:p w14:paraId="05F8FC7D">
      <w:pPr>
        <w:bidi w:val="0"/>
        <w:rPr>
          <w:rFonts w:hint="default"/>
          <w:color w:val="auto"/>
          <w:highlight w:val="none"/>
          <w:lang w:val="en-US" w:eastAsia="zh-CN"/>
        </w:rPr>
      </w:pPr>
      <w:r>
        <w:rPr>
          <w:rFonts w:hint="eastAsia"/>
          <w:highlight w:val="none"/>
          <w:lang w:eastAsia="zh-CN"/>
        </w:rPr>
        <w:t>预算执行率=（</w:t>
      </w:r>
      <w:r>
        <w:rPr>
          <w:rFonts w:hint="eastAsia"/>
          <w:highlight w:val="none"/>
          <w:lang w:val="en-US" w:eastAsia="zh-CN"/>
        </w:rPr>
        <w:t>50万元</w:t>
      </w:r>
      <w:r>
        <w:rPr>
          <w:rFonts w:hint="eastAsia"/>
          <w:color w:val="auto"/>
          <w:highlight w:val="none"/>
          <w:lang w:eastAsia="zh-CN"/>
        </w:rPr>
        <w:t>/</w:t>
      </w:r>
      <w:r>
        <w:rPr>
          <w:rFonts w:hint="eastAsia"/>
          <w:color w:val="auto"/>
          <w:highlight w:val="none"/>
          <w:lang w:val="en-US" w:eastAsia="zh-CN"/>
        </w:rPr>
        <w:t>50万元</w:t>
      </w:r>
      <w:r>
        <w:rPr>
          <w:rFonts w:hint="eastAsia"/>
          <w:color w:val="auto"/>
          <w:highlight w:val="none"/>
          <w:lang w:eastAsia="zh-CN"/>
        </w:rPr>
        <w:t>）×100%。</w:t>
      </w:r>
      <w:r>
        <w:rPr>
          <w:rFonts w:hint="eastAsia"/>
          <w:b/>
          <w:bCs/>
          <w:color w:val="auto"/>
          <w:highlight w:val="none"/>
          <w:lang w:val="en-US" w:eastAsia="zh-CN"/>
        </w:rPr>
        <w:t>=100%</w:t>
      </w:r>
    </w:p>
    <w:p w14:paraId="4919961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BC3CB48">
      <w:pPr>
        <w:bidi w:val="0"/>
        <w:outlineLvl w:val="2"/>
        <w:rPr>
          <w:rFonts w:hint="default"/>
          <w:b/>
          <w:bCs/>
          <w:highlight w:val="none"/>
          <w:lang w:val="en-US" w:eastAsia="zh-CN"/>
        </w:rPr>
      </w:pPr>
      <w:bookmarkStart w:id="66" w:name="_Toc18691"/>
      <w:r>
        <w:rPr>
          <w:rFonts w:hint="eastAsia"/>
          <w:b/>
          <w:bCs/>
          <w:highlight w:val="none"/>
          <w:lang w:val="en-US" w:eastAsia="zh-CN"/>
        </w:rPr>
        <w:t>3.资金使用合规性</w:t>
      </w:r>
      <w:bookmarkEnd w:id="66"/>
    </w:p>
    <w:p w14:paraId="7BF9C347">
      <w:pPr>
        <w:bidi w:val="0"/>
        <w:rPr>
          <w:rFonts w:hint="eastAsia"/>
          <w:color w:val="auto"/>
          <w:highlight w:val="none"/>
          <w:lang w:eastAsia="zh-CN"/>
        </w:rPr>
      </w:pPr>
      <w:r>
        <w:rPr>
          <w:rFonts w:hint="eastAsia"/>
          <w:highlight w:val="none"/>
          <w:lang w:eastAsia="zh-CN"/>
        </w:rPr>
        <w:t>①符合国家</w:t>
      </w:r>
      <w:r>
        <w:rPr>
          <w:rFonts w:hint="eastAsia"/>
          <w:color w:val="auto"/>
          <w:highlight w:val="none"/>
          <w:lang w:eastAsia="zh-CN"/>
        </w:rPr>
        <w:t>符合《中华人民共和国社会保险法》和《阜康市社保局财务管理制度》的规定。</w:t>
      </w:r>
    </w:p>
    <w:p w14:paraId="19680851">
      <w:pPr>
        <w:bidi w:val="0"/>
        <w:rPr>
          <w:rFonts w:hint="eastAsia"/>
          <w:highlight w:val="none"/>
          <w:lang w:eastAsia="zh-CN"/>
        </w:rPr>
      </w:pPr>
      <w:r>
        <w:rPr>
          <w:rFonts w:hint="eastAsia"/>
          <w:highlight w:val="none"/>
          <w:lang w:eastAsia="zh-CN"/>
        </w:rPr>
        <w:t>②</w:t>
      </w:r>
      <w:r>
        <w:rPr>
          <w:rFonts w:hint="eastAsia"/>
          <w:color w:val="auto"/>
          <w:highlight w:val="none"/>
        </w:rPr>
        <w:t>根据自评小组对账务、会计凭证核查显示，我单位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年资金使用符合国家财经法规和财务管理制度以及有关专项资金管理办法的规定；资金的拨付有完整的审批程序和手续；</w:t>
      </w:r>
    </w:p>
    <w:p w14:paraId="3A7F3289">
      <w:pPr>
        <w:bidi w:val="0"/>
        <w:rPr>
          <w:rFonts w:hint="eastAsia"/>
          <w:highlight w:val="none"/>
          <w:lang w:eastAsia="zh-CN"/>
        </w:rPr>
      </w:pPr>
      <w:r>
        <w:rPr>
          <w:rFonts w:hint="eastAsia"/>
          <w:highlight w:val="none"/>
          <w:lang w:eastAsia="zh-CN"/>
        </w:rPr>
        <w:t>③</w:t>
      </w:r>
      <w:r>
        <w:rPr>
          <w:rFonts w:hint="eastAsia"/>
          <w:color w:val="auto"/>
          <w:highlight w:val="none"/>
        </w:rPr>
        <w:t>我单位建立了内部沟通协调机制，资金预算和计划的编制、调整、资金申请、信息及资料有效传递。采购合同和验收报告作为财务室采购资金支付的主要依据，在达到合同约定的付款条件时，采购需求部门及时向财务室递交采购公告、中标通知书、采购合同、验收报告以及原始发票等，由财务室按资金拨付规定及流程实行国库集中支付</w:t>
      </w:r>
      <w:r>
        <w:rPr>
          <w:rFonts w:hint="eastAsia"/>
          <w:color w:val="auto"/>
          <w:highlight w:val="none"/>
          <w:lang w:eastAsia="zh-CN"/>
        </w:rPr>
        <w:t>；</w:t>
      </w:r>
      <w:r>
        <w:rPr>
          <w:rFonts w:hint="eastAsia"/>
          <w:highlight w:val="none"/>
          <w:lang w:eastAsia="zh-CN"/>
        </w:rPr>
        <w:t>符合项目预算批复或合同规定的用途；</w:t>
      </w:r>
    </w:p>
    <w:p w14:paraId="01DA42B3">
      <w:pPr>
        <w:bidi w:val="0"/>
        <w:rPr>
          <w:rFonts w:hint="eastAsia"/>
          <w:highlight w:val="none"/>
          <w:lang w:eastAsia="zh-CN"/>
        </w:rPr>
      </w:pPr>
      <w:r>
        <w:rPr>
          <w:rFonts w:hint="eastAsia"/>
          <w:highlight w:val="none"/>
          <w:lang w:eastAsia="zh-CN"/>
        </w:rPr>
        <w:t>④</w:t>
      </w:r>
      <w:r>
        <w:rPr>
          <w:rFonts w:hint="eastAsia"/>
          <w:highlight w:val="none"/>
          <w:lang w:val="en-US" w:eastAsia="zh-CN"/>
        </w:rPr>
        <w:t>不</w:t>
      </w:r>
      <w:r>
        <w:rPr>
          <w:rFonts w:hint="eastAsia"/>
          <w:highlight w:val="none"/>
          <w:lang w:eastAsia="zh-CN"/>
        </w:rPr>
        <w:t>存在截留、挤占、挪用、虚列支出等情况。</w:t>
      </w:r>
    </w:p>
    <w:p w14:paraId="16176437">
      <w:pPr>
        <w:bidi w:val="0"/>
        <w:rPr>
          <w:rFonts w:hint="eastAsia"/>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4分，得分4分</w:t>
      </w:r>
      <w:r>
        <w:rPr>
          <w:rFonts w:hint="eastAsia"/>
          <w:b/>
          <w:bCs/>
          <w:highlight w:val="none"/>
          <w:lang w:val="en-US" w:eastAsia="zh-CN"/>
        </w:rPr>
        <w:t>。</w:t>
      </w:r>
    </w:p>
    <w:p w14:paraId="46EA2E7B">
      <w:pPr>
        <w:bidi w:val="0"/>
        <w:rPr>
          <w:rFonts w:hint="default"/>
          <w:b/>
          <w:bCs/>
          <w:highlight w:val="none"/>
          <w:lang w:val="en-US" w:eastAsia="zh-CN"/>
        </w:rPr>
      </w:pPr>
      <w:r>
        <w:rPr>
          <w:rFonts w:hint="eastAsia"/>
          <w:b/>
          <w:bCs/>
          <w:highlight w:val="none"/>
          <w:lang w:val="en-US" w:eastAsia="zh-CN"/>
        </w:rPr>
        <w:t>4.管理制度健全性</w:t>
      </w:r>
    </w:p>
    <w:p w14:paraId="10DBACB4">
      <w:pPr>
        <w:ind w:firstLine="840" w:firstLineChars="300"/>
        <w:rPr>
          <w:rFonts w:hint="eastAsia"/>
          <w:highlight w:val="none"/>
          <w:lang w:eastAsia="zh-CN"/>
        </w:rPr>
      </w:pPr>
      <w:r>
        <w:rPr>
          <w:rFonts w:hint="eastAsia"/>
          <w:highlight w:val="none"/>
          <w:lang w:eastAsia="zh-CN"/>
        </w:rPr>
        <w:t>①</w:t>
      </w:r>
      <w:r>
        <w:rPr>
          <w:rFonts w:hint="eastAsia"/>
          <w:color w:val="auto"/>
          <w:highlight w:val="none"/>
          <w:lang w:eastAsia="zh-CN"/>
        </w:rPr>
        <w:t>我单位已制定</w:t>
      </w:r>
      <w:r>
        <w:rPr>
          <w:rFonts w:hint="eastAsia"/>
          <w:color w:val="auto"/>
          <w:highlight w:val="none"/>
          <w:lang w:val="en-US" w:eastAsia="zh-CN"/>
        </w:rPr>
        <w:t>《阜康市社保局财务管理办法》</w:t>
      </w:r>
      <w:r>
        <w:rPr>
          <w:rFonts w:hint="eastAsia"/>
          <w:color w:val="auto"/>
          <w:highlight w:val="none"/>
          <w:lang w:eastAsia="zh-CN"/>
        </w:rPr>
        <w:t>和《阜康市社保局财务与业务对账管理制度》</w:t>
      </w:r>
      <w:r>
        <w:rPr>
          <w:rFonts w:hint="eastAsia"/>
          <w:color w:val="auto"/>
          <w:highlight w:val="none"/>
        </w:rPr>
        <w:t>等资金管理制度，已建立制度均健全且有效运行。</w:t>
      </w:r>
    </w:p>
    <w:p w14:paraId="1C133325">
      <w:pPr>
        <w:bidi w:val="0"/>
        <w:rPr>
          <w:rFonts w:hint="eastAsia"/>
          <w:highlight w:val="none"/>
          <w:lang w:eastAsia="zh-CN"/>
        </w:rPr>
      </w:pPr>
      <w:r>
        <w:rPr>
          <w:rFonts w:hint="eastAsia"/>
          <w:highlight w:val="none"/>
          <w:lang w:eastAsia="zh-CN"/>
        </w:rPr>
        <w:t>②财务和业务管理制度合法、合规、完整。</w:t>
      </w:r>
    </w:p>
    <w:p w14:paraId="1795C2F0">
      <w:pPr>
        <w:bidi w:val="0"/>
        <w:rPr>
          <w:rFonts w:hint="eastAsia"/>
          <w:color w:val="auto"/>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4分，得分4分。</w:t>
      </w:r>
    </w:p>
    <w:p w14:paraId="5473541F">
      <w:pPr>
        <w:bidi w:val="0"/>
        <w:ind w:left="1403" w:leftChars="200" w:hanging="843" w:hangingChars="300"/>
        <w:outlineLvl w:val="2"/>
        <w:rPr>
          <w:rFonts w:hint="eastAsia"/>
          <w:b/>
          <w:bCs/>
          <w:highlight w:val="none"/>
          <w:lang w:val="en-US" w:eastAsia="zh-CN"/>
        </w:rPr>
      </w:pPr>
      <w:bookmarkStart w:id="67" w:name="_Toc31684"/>
      <w:r>
        <w:rPr>
          <w:rFonts w:hint="eastAsia"/>
          <w:b/>
          <w:bCs/>
          <w:highlight w:val="none"/>
          <w:lang w:val="en-US" w:eastAsia="zh-CN"/>
        </w:rPr>
        <w:t>5.制度执行有效性</w:t>
      </w:r>
      <w:bookmarkEnd w:id="67"/>
    </w:p>
    <w:p w14:paraId="06E8A94B">
      <w:pPr>
        <w:bidi w:val="0"/>
        <w:rPr>
          <w:rFonts w:hint="eastAsia"/>
          <w:highlight w:val="none"/>
          <w:lang w:eastAsia="zh-CN"/>
        </w:rPr>
      </w:pPr>
      <w:r>
        <w:rPr>
          <w:rFonts w:hint="eastAsia"/>
          <w:highlight w:val="none"/>
          <w:lang w:eastAsia="zh-CN"/>
        </w:rPr>
        <w:t>①</w:t>
      </w:r>
      <w:r>
        <w:rPr>
          <w:rFonts w:hint="eastAsia"/>
          <w:color w:val="auto"/>
          <w:highlight w:val="none"/>
          <w:lang w:eastAsia="zh-CN"/>
        </w:rPr>
        <w:t>遵守</w:t>
      </w:r>
      <w:r>
        <w:rPr>
          <w:rFonts w:hint="eastAsia"/>
          <w:color w:val="auto"/>
          <w:highlight w:val="none"/>
          <w:lang w:val="en-US" w:eastAsia="zh-CN"/>
        </w:rPr>
        <w:t>《阜康市医保局财务管理办法》</w:t>
      </w:r>
      <w:r>
        <w:rPr>
          <w:rFonts w:hint="eastAsia"/>
          <w:color w:val="auto"/>
          <w:highlight w:val="none"/>
          <w:lang w:eastAsia="zh-CN"/>
        </w:rPr>
        <w:t>和《阜康市</w:t>
      </w:r>
      <w:r>
        <w:rPr>
          <w:rFonts w:hint="eastAsia"/>
          <w:color w:val="auto"/>
          <w:highlight w:val="none"/>
          <w:lang w:val="en-US" w:eastAsia="zh-CN"/>
        </w:rPr>
        <w:t>医保</w:t>
      </w:r>
      <w:r>
        <w:rPr>
          <w:rFonts w:hint="eastAsia"/>
          <w:color w:val="auto"/>
          <w:highlight w:val="none"/>
          <w:lang w:eastAsia="zh-CN"/>
        </w:rPr>
        <w:t>局财务与业务对账管理制度》</w:t>
      </w:r>
      <w:r>
        <w:rPr>
          <w:rFonts w:hint="eastAsia"/>
          <w:highlight w:val="none"/>
          <w:lang w:eastAsia="zh-CN"/>
        </w:rPr>
        <w:t>；</w:t>
      </w:r>
    </w:p>
    <w:p w14:paraId="52B459F7">
      <w:pPr>
        <w:bidi w:val="0"/>
        <w:rPr>
          <w:rFonts w:hint="eastAsia"/>
          <w:highlight w:val="none"/>
          <w:lang w:eastAsia="zh-CN"/>
        </w:rPr>
      </w:pPr>
      <w:r>
        <w:rPr>
          <w:rFonts w:hint="eastAsia"/>
          <w:highlight w:val="none"/>
          <w:lang w:eastAsia="zh-CN"/>
        </w:rPr>
        <w:t>②</w:t>
      </w:r>
      <w:r>
        <w:rPr>
          <w:rFonts w:hint="eastAsia"/>
          <w:highlight w:val="none"/>
          <w:lang w:val="en-US" w:eastAsia="zh-CN"/>
        </w:rPr>
        <w:t>2023年离休老干医疗补助金项目年中</w:t>
      </w:r>
      <w:r>
        <w:rPr>
          <w:rFonts w:hint="eastAsia"/>
          <w:highlight w:val="none"/>
          <w:lang w:eastAsia="zh-CN"/>
        </w:rPr>
        <w:t>调整</w:t>
      </w:r>
      <w:r>
        <w:rPr>
          <w:rFonts w:hint="eastAsia"/>
          <w:highlight w:val="none"/>
          <w:lang w:val="en-US" w:eastAsia="zh-CN"/>
        </w:rPr>
        <w:t>预算，</w:t>
      </w:r>
      <w:r>
        <w:rPr>
          <w:rFonts w:hint="eastAsia"/>
          <w:highlight w:val="none"/>
          <w:lang w:eastAsia="zh-CN"/>
        </w:rPr>
        <w:t>支出调整手续完备；</w:t>
      </w:r>
    </w:p>
    <w:p w14:paraId="4D410FC3">
      <w:pPr>
        <w:bidi w:val="0"/>
        <w:rPr>
          <w:rFonts w:hint="eastAsia"/>
          <w:highlight w:val="none"/>
          <w:lang w:eastAsia="zh-CN"/>
        </w:rPr>
      </w:pPr>
      <w:r>
        <w:rPr>
          <w:rFonts w:hint="eastAsia"/>
          <w:highlight w:val="none"/>
          <w:lang w:eastAsia="zh-CN"/>
        </w:rPr>
        <w:t>③</w:t>
      </w:r>
      <w:r>
        <w:rPr>
          <w:rFonts w:hint="eastAsia"/>
          <w:highlight w:val="none"/>
          <w:lang w:val="en-US" w:eastAsia="zh-CN"/>
        </w:rPr>
        <w:t>2023年离休老干医疗补助金项目医疗报销</w:t>
      </w:r>
      <w:r>
        <w:rPr>
          <w:rFonts w:hint="eastAsia" w:cs="宋体"/>
          <w:color w:val="auto"/>
          <w:highlight w:val="none"/>
          <w:shd w:val="clear" w:color="auto" w:fill="auto"/>
          <w:lang w:val="en-US" w:eastAsia="zh-CN"/>
        </w:rPr>
        <w:t>资料完整、发放原始凭证齐全，</w:t>
      </w:r>
      <w:r>
        <w:rPr>
          <w:rFonts w:hint="eastAsia"/>
          <w:highlight w:val="none"/>
          <w:lang w:eastAsia="zh-CN"/>
        </w:rPr>
        <w:t>并及时归档；</w:t>
      </w:r>
    </w:p>
    <w:p w14:paraId="50695852">
      <w:pPr>
        <w:bidi w:val="0"/>
        <w:rPr>
          <w:rFonts w:hint="default"/>
          <w:highlight w:val="none"/>
          <w:lang w:val="en-US" w:eastAsia="zh-CN"/>
        </w:rPr>
      </w:pPr>
      <w:r>
        <w:rPr>
          <w:rFonts w:hint="eastAsia"/>
          <w:highlight w:val="none"/>
          <w:lang w:val="en-US" w:eastAsia="zh-CN"/>
        </w:rPr>
        <w:t>④2023年离休老干医疗补助金项目工作人员不充足、审核报销时间过长，扣除1分。</w:t>
      </w:r>
    </w:p>
    <w:p w14:paraId="12CE8547">
      <w:pPr>
        <w:bidi w:val="0"/>
        <w:rPr>
          <w:rFonts w:hint="eastAsia"/>
          <w:color w:val="auto"/>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4分，得分3分。</w:t>
      </w:r>
    </w:p>
    <w:p w14:paraId="31598505">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8" w:name="_Toc16268"/>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项目产出情况</w:t>
      </w:r>
      <w:bookmarkEnd w:id="68"/>
    </w:p>
    <w:p w14:paraId="6AF448F0">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1F6B19F0">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2"/>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46EECE34">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EDB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1EA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84F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308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299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C64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C91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指标得分</w:t>
            </w:r>
          </w:p>
        </w:tc>
      </w:tr>
      <w:tr w14:paraId="2C828BA5">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0CD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325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74E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离休老干部医疗补助人数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704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335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D06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B9A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C401AA3">
        <w:tblPrEx>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C54EA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38B2E">
            <w:pPr>
              <w:keepNext w:val="0"/>
              <w:keepLines w:val="0"/>
              <w:pageBreakBefore w:val="0"/>
              <w:widowControl/>
              <w:tabs>
                <w:tab w:val="left" w:pos="338"/>
              </w:tabs>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5DA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离休老干部医疗补助次数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221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610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B70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1D8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30AC287">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D2B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819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1A4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离休老干部费用报销比例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6F7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466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50C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871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25872F2">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7D8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8CC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质量</w:t>
            </w:r>
            <w:r>
              <w:rPr>
                <w:rFonts w:hint="eastAsia" w:ascii="宋体" w:hAnsi="宋体" w:eastAsia="宋体" w:cs="宋体"/>
                <w:color w:val="auto"/>
                <w:kern w:val="0"/>
                <w:sz w:val="20"/>
                <w:szCs w:val="20"/>
                <w:highlight w:val="none"/>
                <w:shd w:val="clear" w:color="auto" w:fill="auto"/>
                <w:lang w:val="en-US" w:eastAsia="zh-CN"/>
              </w:rPr>
              <w:t>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032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离休老干部医疗补助报销及时率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AC4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103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558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EAD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5945A2F">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1E1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0E0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73D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离休老干部医疗补助开始时间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74E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2023年1月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FF5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A1B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2023年1月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1EA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18DF19E">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4E3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961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时效</w:t>
            </w:r>
            <w:r>
              <w:rPr>
                <w:rFonts w:hint="eastAsia" w:ascii="宋体" w:hAnsi="宋体" w:eastAsia="宋体" w:cs="宋体"/>
                <w:color w:val="auto"/>
                <w:kern w:val="0"/>
                <w:sz w:val="20"/>
                <w:szCs w:val="20"/>
                <w:highlight w:val="none"/>
                <w:shd w:val="clear" w:color="auto" w:fill="auto"/>
                <w:lang w:val="en-US" w:eastAsia="zh-CN"/>
              </w:rPr>
              <w:t>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4B7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离休老干部医疗补助截止时间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08B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年12月</w:t>
            </w:r>
            <w:r>
              <w:rPr>
                <w:rFonts w:hint="eastAsia" w:ascii="宋体" w:hAnsi="宋体" w:eastAsia="宋体" w:cs="宋体"/>
                <w:color w:val="auto"/>
                <w:kern w:val="0"/>
                <w:sz w:val="20"/>
                <w:szCs w:val="20"/>
                <w:highlight w:val="none"/>
                <w:shd w:val="clear" w:color="auto" w:fill="auto"/>
                <w:lang w:val="en-US" w:eastAsia="zh-CN"/>
              </w:rPr>
              <w:t xml:space="preserve"> </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8DD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19D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年12月</w:t>
            </w:r>
            <w:r>
              <w:rPr>
                <w:rFonts w:hint="eastAsia" w:ascii="宋体" w:hAnsi="宋体" w:eastAsia="宋体" w:cs="宋体"/>
                <w:color w:val="auto"/>
                <w:kern w:val="0"/>
                <w:sz w:val="20"/>
                <w:szCs w:val="20"/>
                <w:highlight w:val="none"/>
                <w:shd w:val="clear" w:color="auto" w:fill="auto"/>
                <w:lang w:val="en-US" w:eastAsia="zh-CN"/>
              </w:rPr>
              <w:t xml:space="preserve">  </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0A7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14:paraId="24517C26">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2BD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E13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1B8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离休老干部住院报销费用</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AB4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172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F83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r>
              <w:rPr>
                <w:rFonts w:hint="eastAsia" w:ascii="宋体" w:hAnsi="宋体" w:eastAsia="宋体" w:cs="宋体"/>
                <w:color w:val="auto"/>
                <w:kern w:val="0"/>
                <w:sz w:val="20"/>
                <w:szCs w:val="20"/>
                <w:highlight w:val="none"/>
                <w:shd w:val="clear" w:color="auto" w:fill="auto"/>
                <w:lang w:val="en-US" w:eastAsia="zh-CN"/>
              </w:rPr>
              <w:t>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FC3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3FF61A0">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A44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6EE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AA7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离休老干部门诊购药报销费用</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38F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3E9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728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r>
              <w:rPr>
                <w:rFonts w:hint="eastAsia" w:cs="宋体"/>
                <w:color w:val="auto"/>
                <w:kern w:val="0"/>
                <w:sz w:val="20"/>
                <w:szCs w:val="20"/>
                <w:highlight w:val="none"/>
                <w:shd w:val="clear" w:color="auto" w:fill="auto"/>
                <w:lang w:val="en-US" w:eastAsia="zh-CN"/>
              </w:rPr>
              <w:t>0</w:t>
            </w:r>
            <w:r>
              <w:rPr>
                <w:rFonts w:hint="eastAsia" w:ascii="宋体" w:hAnsi="宋体" w:eastAsia="宋体" w:cs="宋体"/>
                <w:color w:val="auto"/>
                <w:kern w:val="0"/>
                <w:sz w:val="20"/>
                <w:szCs w:val="20"/>
                <w:highlight w:val="none"/>
                <w:shd w:val="clear" w:color="auto" w:fill="auto"/>
                <w:lang w:val="en-US" w:eastAsia="zh-CN"/>
              </w:rPr>
              <w:t>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B8C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5FEEA13B">
        <w:tblPrEx>
          <w:tblCellMar>
            <w:top w:w="0" w:type="dxa"/>
            <w:left w:w="0" w:type="dxa"/>
            <w:bottom w:w="0" w:type="dxa"/>
            <w:right w:w="0" w:type="dxa"/>
          </w:tblCellMar>
        </w:tblPrEx>
        <w:trPr>
          <w:trHeight w:val="407"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003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A63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8F8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FEF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4A992AD9">
      <w:pPr>
        <w:bidi w:val="0"/>
        <w:rPr>
          <w:rFonts w:hint="default"/>
          <w:b/>
          <w:bCs/>
          <w:color w:val="auto"/>
          <w:lang w:val="en-US" w:eastAsia="zh-CN"/>
        </w:rPr>
      </w:pPr>
      <w:bookmarkStart w:id="69" w:name="_Toc11067"/>
      <w:r>
        <w:rPr>
          <w:rFonts w:hint="eastAsia"/>
          <w:b/>
          <w:bCs/>
          <w:color w:val="auto"/>
          <w:lang w:val="en-US" w:eastAsia="zh-CN"/>
        </w:rPr>
        <w:t>1.项目完成数量</w:t>
      </w:r>
      <w:bookmarkEnd w:id="69"/>
    </w:p>
    <w:p w14:paraId="10285C85">
      <w:pPr>
        <w:bidi w:val="0"/>
        <w:rPr>
          <w:rFonts w:hint="eastAsia"/>
          <w:color w:val="auto"/>
          <w:lang w:val="en-US" w:eastAsia="zh-CN"/>
        </w:rPr>
      </w:pPr>
      <w:r>
        <w:rPr>
          <w:rFonts w:hint="eastAsia"/>
          <w:color w:val="auto"/>
          <w:lang w:val="en-US" w:eastAsia="zh-CN"/>
        </w:rPr>
        <w:t>“离休老干部医疗补助人数”指标，预期目标值为≤4人，实际完成为4人。实际完成率=（4/4）×100%=100%。</w:t>
      </w:r>
    </w:p>
    <w:p w14:paraId="4D56C8CD">
      <w:pPr>
        <w:bidi w:val="0"/>
        <w:rPr>
          <w:rFonts w:hint="eastAsia"/>
          <w:color w:val="auto"/>
          <w:lang w:val="en-US" w:eastAsia="zh-CN"/>
        </w:rPr>
      </w:pPr>
      <w:r>
        <w:rPr>
          <w:rFonts w:hint="eastAsia"/>
          <w:color w:val="auto"/>
          <w:lang w:val="en-US" w:eastAsia="zh-CN"/>
        </w:rPr>
        <w:t>“离休老干部医疗补助次数”指标，预期目标值为≤20次，实际完成为20人。实际完成率=（20/20）×100%=100%。</w:t>
      </w:r>
    </w:p>
    <w:p w14:paraId="17B81C27">
      <w:pPr>
        <w:bidi w:val="0"/>
        <w:rPr>
          <w:rFonts w:hint="eastAsia"/>
          <w:color w:val="auto"/>
          <w:lang w:eastAsia="zh-CN"/>
        </w:rPr>
      </w:pPr>
      <w:r>
        <w:rPr>
          <w:rFonts w:hint="eastAsia"/>
          <w:b/>
          <w:bCs/>
          <w:color w:val="auto"/>
          <w:lang w:val="en-US" w:eastAsia="zh-CN"/>
        </w:rPr>
        <w:t>综上，该项指</w:t>
      </w:r>
      <w:r>
        <w:rPr>
          <w:rFonts w:hint="eastAsia"/>
          <w:b/>
          <w:bCs/>
          <w:color w:val="auto"/>
          <w:highlight w:val="none"/>
          <w:lang w:val="en-US" w:eastAsia="zh-CN"/>
        </w:rPr>
        <w:t>标满分10分，得分10分。</w:t>
      </w:r>
    </w:p>
    <w:p w14:paraId="39472EDD">
      <w:pPr>
        <w:bidi w:val="0"/>
        <w:outlineLvl w:val="2"/>
        <w:rPr>
          <w:rFonts w:hint="default"/>
          <w:b/>
          <w:bCs/>
          <w:lang w:val="en-US" w:eastAsia="zh-CN"/>
        </w:rPr>
      </w:pPr>
      <w:bookmarkStart w:id="70" w:name="_Toc31739"/>
      <w:r>
        <w:rPr>
          <w:rFonts w:hint="eastAsia"/>
          <w:b/>
          <w:bCs/>
          <w:color w:val="auto"/>
          <w:lang w:val="en-US" w:eastAsia="zh-CN"/>
        </w:rPr>
        <w:t>2.项目完成质量</w:t>
      </w:r>
      <w:bookmarkEnd w:id="70"/>
    </w:p>
    <w:p w14:paraId="130E04E6">
      <w:pPr>
        <w:bidi w:val="0"/>
        <w:rPr>
          <w:rFonts w:hint="eastAsia"/>
          <w:color w:val="auto"/>
          <w:lang w:val="en-US" w:eastAsia="zh-CN"/>
        </w:rPr>
      </w:pPr>
      <w:r>
        <w:rPr>
          <w:rFonts w:hint="eastAsia"/>
          <w:color w:val="auto"/>
          <w:lang w:val="en-US" w:eastAsia="zh-CN"/>
        </w:rPr>
        <w:t>“离休老干部费用报销比例 ”指标，预期目标值为100%，实际完成为100%。实际完成率=（100/100）×100%=100%。</w:t>
      </w:r>
    </w:p>
    <w:p w14:paraId="1D9D1DCE">
      <w:pPr>
        <w:bidi w:val="0"/>
        <w:rPr>
          <w:rFonts w:hint="default"/>
          <w:color w:val="auto"/>
          <w:lang w:val="en-US" w:eastAsia="zh-CN"/>
        </w:rPr>
      </w:pPr>
      <w:r>
        <w:rPr>
          <w:rFonts w:hint="eastAsia"/>
          <w:color w:val="auto"/>
          <w:lang w:val="en-US" w:eastAsia="zh-CN"/>
        </w:rPr>
        <w:t>“离休老干部医疗补助报销及时率”指标，预期目标值为100%，实际完成为100%。实际完成率=（100/100）×100%=100%。</w:t>
      </w:r>
    </w:p>
    <w:p w14:paraId="79669A72">
      <w:pPr>
        <w:bidi w:val="0"/>
        <w:rPr>
          <w:rFonts w:hint="eastAsia"/>
          <w:color w:val="auto"/>
          <w:lang w:eastAsia="zh-CN"/>
        </w:rPr>
      </w:pPr>
      <w:r>
        <w:rPr>
          <w:rFonts w:hint="eastAsia"/>
          <w:b/>
          <w:bCs/>
          <w:lang w:val="en-US" w:eastAsia="zh-CN"/>
        </w:rPr>
        <w:t>综上，该项指标满分9</w:t>
      </w:r>
      <w:r>
        <w:rPr>
          <w:rFonts w:hint="eastAsia"/>
          <w:b/>
          <w:bCs/>
          <w:color w:val="auto"/>
          <w:highlight w:val="none"/>
          <w:lang w:val="en-US" w:eastAsia="zh-CN"/>
        </w:rPr>
        <w:t>分，得分9分。</w:t>
      </w:r>
    </w:p>
    <w:p w14:paraId="11D9CC8D">
      <w:pPr>
        <w:bidi w:val="0"/>
        <w:outlineLvl w:val="2"/>
        <w:rPr>
          <w:rFonts w:hint="default"/>
          <w:b/>
          <w:bCs/>
          <w:color w:val="auto"/>
          <w:lang w:val="en-US" w:eastAsia="zh-CN"/>
        </w:rPr>
      </w:pPr>
      <w:bookmarkStart w:id="71" w:name="_Toc18307"/>
      <w:r>
        <w:rPr>
          <w:rFonts w:hint="eastAsia"/>
          <w:b/>
          <w:bCs/>
          <w:color w:val="auto"/>
          <w:lang w:val="en-US" w:eastAsia="zh-CN"/>
        </w:rPr>
        <w:t>3.项目完成时效</w:t>
      </w:r>
      <w:bookmarkEnd w:id="71"/>
    </w:p>
    <w:p w14:paraId="5A7B1C61">
      <w:pPr>
        <w:bidi w:val="0"/>
        <w:rPr>
          <w:rFonts w:hint="eastAsia"/>
          <w:color w:val="auto"/>
          <w:lang w:val="en-US" w:eastAsia="zh-CN"/>
        </w:rPr>
      </w:pPr>
      <w:r>
        <w:rPr>
          <w:rFonts w:hint="eastAsia"/>
          <w:color w:val="auto"/>
          <w:lang w:eastAsia="zh-CN"/>
        </w:rPr>
        <w:t>“</w:t>
      </w:r>
      <w:r>
        <w:rPr>
          <w:rFonts w:hint="eastAsia"/>
          <w:color w:val="auto"/>
          <w:lang w:val="en-US" w:eastAsia="zh-CN"/>
        </w:rPr>
        <w:t>离休老干部医疗补助开始时间</w:t>
      </w:r>
      <w:r>
        <w:rPr>
          <w:rFonts w:hint="eastAsia"/>
          <w:color w:val="auto"/>
          <w:lang w:eastAsia="zh-CN"/>
        </w:rPr>
        <w:t>”</w:t>
      </w:r>
      <w:r>
        <w:rPr>
          <w:rFonts w:hint="eastAsia"/>
          <w:color w:val="auto"/>
          <w:lang w:val="en-US" w:eastAsia="zh-CN"/>
        </w:rPr>
        <w:t>指标，预期目标值为2023/1/1，实际完成为2023/1/1。</w:t>
      </w:r>
    </w:p>
    <w:p w14:paraId="605101FB">
      <w:pPr>
        <w:bidi w:val="0"/>
        <w:rPr>
          <w:rFonts w:hint="eastAsia"/>
          <w:highlight w:val="none"/>
          <w:lang w:val="en-US" w:eastAsia="zh-CN"/>
        </w:rPr>
      </w:pPr>
      <w:r>
        <w:rPr>
          <w:rFonts w:hint="eastAsia"/>
          <w:color w:val="auto"/>
          <w:lang w:eastAsia="zh-CN"/>
        </w:rPr>
        <w:t>“</w:t>
      </w:r>
      <w:r>
        <w:rPr>
          <w:rFonts w:hint="eastAsia"/>
          <w:color w:val="auto"/>
          <w:lang w:val="en-US" w:eastAsia="zh-CN"/>
        </w:rPr>
        <w:t>离休老干部医疗补助截止时间</w:t>
      </w:r>
      <w:r>
        <w:rPr>
          <w:rFonts w:hint="eastAsia"/>
          <w:color w:val="auto"/>
          <w:lang w:eastAsia="zh-CN"/>
        </w:rPr>
        <w:t>”</w:t>
      </w:r>
      <w:r>
        <w:rPr>
          <w:rFonts w:hint="eastAsia"/>
          <w:color w:val="auto"/>
          <w:lang w:val="en-US" w:eastAsia="zh-CN"/>
        </w:rPr>
        <w:t>指标，预期目标值为2023/12/31，实</w:t>
      </w:r>
      <w:r>
        <w:rPr>
          <w:rFonts w:hint="eastAsia"/>
          <w:color w:val="auto"/>
          <w:highlight w:val="none"/>
          <w:lang w:val="en-US" w:eastAsia="zh-CN"/>
        </w:rPr>
        <w:t>际完成为2023/12/31</w:t>
      </w:r>
      <w:r>
        <w:rPr>
          <w:rFonts w:hint="eastAsia"/>
          <w:highlight w:val="none"/>
          <w:lang w:val="en-US" w:eastAsia="zh-CN"/>
        </w:rPr>
        <w:t>。</w:t>
      </w:r>
    </w:p>
    <w:p w14:paraId="40080D40">
      <w:pPr>
        <w:bidi w:val="0"/>
        <w:rPr>
          <w:rFonts w:hint="eastAsia"/>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5分，得分5分。</w:t>
      </w:r>
    </w:p>
    <w:p w14:paraId="3D207B32">
      <w:pPr>
        <w:bidi w:val="0"/>
        <w:outlineLvl w:val="2"/>
        <w:rPr>
          <w:rFonts w:hint="default"/>
          <w:b/>
          <w:bCs/>
          <w:highlight w:val="none"/>
          <w:lang w:val="en-US" w:eastAsia="zh-CN"/>
        </w:rPr>
      </w:pPr>
      <w:bookmarkStart w:id="72" w:name="_Toc32765"/>
      <w:r>
        <w:rPr>
          <w:rFonts w:hint="eastAsia"/>
          <w:b/>
          <w:bCs/>
          <w:lang w:val="en-US" w:eastAsia="zh-CN"/>
        </w:rPr>
        <w:t>4.项目完成成本</w:t>
      </w:r>
      <w:bookmarkEnd w:id="72"/>
    </w:p>
    <w:p w14:paraId="668024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离休老干部住院报销费用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≤20万元，</w:t>
      </w:r>
      <w:r>
        <w:rPr>
          <w:rFonts w:hint="eastAsia"/>
          <w:color w:val="auto"/>
          <w:sz w:val="28"/>
          <w:szCs w:val="28"/>
          <w:highlight w:val="none"/>
          <w:lang w:val="en-US" w:eastAsia="zh-CN"/>
        </w:rPr>
        <w:t>实际完成为20万元。实际完成率=（20万元/20万元）×100%=100%。</w:t>
      </w:r>
    </w:p>
    <w:p w14:paraId="76509D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离休老干部门诊购药报销费用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为≤30万元</w:t>
      </w:r>
      <w:r>
        <w:rPr>
          <w:rFonts w:hint="eastAsia" w:cs="宋体"/>
          <w:color w:val="auto"/>
          <w:highlight w:val="none"/>
          <w:shd w:val="clear" w:color="auto" w:fill="auto"/>
          <w:lang w:val="en-US" w:eastAsia="zh-CN"/>
        </w:rPr>
        <w:t>，</w:t>
      </w:r>
      <w:r>
        <w:rPr>
          <w:rFonts w:hint="eastAsia"/>
          <w:color w:val="auto"/>
          <w:highlight w:val="none"/>
          <w:lang w:val="en-US" w:eastAsia="zh-CN"/>
        </w:rPr>
        <w:t>实际完成为30万元。实际完成率=（30万元/30万元）×100%=100%。</w:t>
      </w:r>
    </w:p>
    <w:p w14:paraId="16307815">
      <w:pPr>
        <w:bidi w:val="0"/>
        <w:ind w:left="0" w:leftChars="0" w:firstLine="562" w:firstLineChars="200"/>
        <w:rPr>
          <w:rFonts w:hint="eastAsia"/>
          <w:lang w:eastAsia="zh-CN"/>
        </w:rPr>
      </w:pPr>
      <w:r>
        <w:rPr>
          <w:rFonts w:hint="eastAsia"/>
          <w:b/>
          <w:bCs/>
          <w:lang w:val="en-US" w:eastAsia="zh-CN"/>
        </w:rPr>
        <w:t>综上，该项指标满分</w:t>
      </w:r>
      <w:r>
        <w:rPr>
          <w:rFonts w:hint="eastAsia"/>
          <w:b/>
          <w:bCs/>
          <w:color w:val="auto"/>
          <w:lang w:val="en-US" w:eastAsia="zh-CN"/>
        </w:rPr>
        <w:t>6分，</w:t>
      </w:r>
      <w:r>
        <w:rPr>
          <w:rFonts w:hint="eastAsia"/>
          <w:b/>
          <w:bCs/>
          <w:color w:val="auto"/>
          <w:highlight w:val="none"/>
          <w:lang w:val="en-US" w:eastAsia="zh-CN"/>
        </w:rPr>
        <w:t>得分6分</w:t>
      </w:r>
      <w:r>
        <w:rPr>
          <w:rFonts w:hint="eastAsia"/>
          <w:b/>
          <w:bCs/>
          <w:highlight w:val="none"/>
          <w:lang w:val="en-US" w:eastAsia="zh-CN"/>
        </w:rPr>
        <w:t>。</w:t>
      </w:r>
    </w:p>
    <w:p w14:paraId="63155EC8">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73" w:name="_Toc18446"/>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四</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项目效益情况</w:t>
      </w:r>
      <w:bookmarkEnd w:id="73"/>
    </w:p>
    <w:p w14:paraId="53881CAC">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DCD1A18">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p w14:paraId="30D45186">
      <w:pPr>
        <w:pageBreakBefore w:val="0"/>
        <w:widowControl w:val="0"/>
        <w:kinsoku/>
        <w:wordWrap/>
        <w:overflowPunct/>
        <w:topLinePunct w:val="0"/>
        <w:autoSpaceDE/>
        <w:autoSpaceDN/>
        <w:bidi w:val="0"/>
        <w:adjustRightInd/>
        <w:spacing w:line="360" w:lineRule="auto"/>
        <w:ind w:firstLine="560"/>
        <w:jc w:val="center"/>
        <w:textAlignment w:val="auto"/>
        <w:rPr>
          <w:rFonts w:hint="default" w:ascii="宋体" w:hAnsi="宋体" w:eastAsia="宋体" w:cs="宋体"/>
          <w:color w:val="auto"/>
          <w:kern w:val="2"/>
          <w:highlight w:val="none"/>
          <w:u w:color="000000"/>
          <w:shd w:val="clear" w:color="auto" w:fill="auto"/>
          <w:lang w:val="en-US" w:eastAsia="zh-TW"/>
        </w:rPr>
      </w:pPr>
    </w:p>
    <w:tbl>
      <w:tblPr>
        <w:tblStyle w:val="12"/>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089D24F7">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4D332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w:t>
            </w:r>
          </w:p>
          <w:p w14:paraId="5F61F9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F03B8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AF6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A0C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w:t>
            </w:r>
          </w:p>
          <w:p w14:paraId="5CB244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DF9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w:t>
            </w:r>
          </w:p>
          <w:p w14:paraId="1BFDD7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202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w:t>
            </w:r>
          </w:p>
          <w:p w14:paraId="163431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F44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p w14:paraId="5AE820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0C7134CD">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29DF06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A838A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FB39E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024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2C2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08C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5AE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44A93738">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06F8F4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0DDAB1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E2DBC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参保离休老干部及时享受医疗待遇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E53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及时享受</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690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630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BD8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72C87EFA">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226636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41B97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D2BCC69">
            <w:pPr>
              <w:bidi w:val="0"/>
              <w:spacing w:line="240" w:lineRule="auto"/>
              <w:ind w:left="0" w:leftChars="0" w:firstLine="0" w:firstLineChars="0"/>
              <w:jc w:val="left"/>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0"/>
                <w:sz w:val="20"/>
                <w:szCs w:val="20"/>
                <w:highlight w:val="none"/>
                <w:shd w:val="clear" w:color="auto" w:fill="auto"/>
                <w:lang w:val="en-US" w:eastAsia="zh-CN"/>
              </w:rPr>
              <w:t>减轻参保离休老干部就医经济负担,缓解社会矛盾</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E0C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有效减轻</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62A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0F8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06C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248DC07">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31D424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2AACE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A2AE2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828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31A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177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58C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B294DFF">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2B439F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1DD478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4F00D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680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687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117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D2D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0692260E">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41418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BD9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FB1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离休老干部满意度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C72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Arial" w:hAnsi="Arial" w:eastAsia="宋体" w:cs="Arial"/>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D13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515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4A5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67556302">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5EC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6B6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DEA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08A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6056F48C">
      <w:pPr>
        <w:bidi w:val="0"/>
        <w:outlineLvl w:val="2"/>
        <w:rPr>
          <w:rFonts w:hint="default"/>
          <w:b/>
          <w:bCs/>
          <w:lang w:val="en-US" w:eastAsia="zh-CN"/>
        </w:rPr>
      </w:pPr>
      <w:bookmarkStart w:id="74" w:name="_Toc8010"/>
      <w:r>
        <w:rPr>
          <w:rFonts w:hint="eastAsia"/>
          <w:b/>
          <w:bCs/>
          <w:lang w:val="en-US" w:eastAsia="zh-CN"/>
        </w:rPr>
        <w:t>1.经济效益指标</w:t>
      </w:r>
      <w:bookmarkEnd w:id="74"/>
    </w:p>
    <w:p w14:paraId="50991687">
      <w:pPr>
        <w:bidi w:val="0"/>
        <w:rPr>
          <w:rFonts w:hint="eastAsia"/>
          <w:lang w:eastAsia="zh-CN"/>
        </w:rPr>
      </w:pPr>
      <w:r>
        <w:rPr>
          <w:rFonts w:hint="eastAsia"/>
          <w:lang w:eastAsia="zh-CN"/>
        </w:rPr>
        <w:t>本项目不涉及经济效益指标。</w:t>
      </w:r>
    </w:p>
    <w:p w14:paraId="41C4EAE7">
      <w:pPr>
        <w:bidi w:val="0"/>
        <w:outlineLvl w:val="2"/>
        <w:rPr>
          <w:rFonts w:hint="eastAsia"/>
          <w:b/>
          <w:bCs/>
          <w:lang w:val="en-US" w:eastAsia="zh-CN"/>
        </w:rPr>
      </w:pPr>
      <w:bookmarkStart w:id="75" w:name="_Toc27006"/>
      <w:r>
        <w:rPr>
          <w:rFonts w:hint="eastAsia"/>
          <w:b/>
          <w:bCs/>
          <w:lang w:val="en-US" w:eastAsia="zh-CN"/>
        </w:rPr>
        <w:t>2.社会效益指标</w:t>
      </w:r>
      <w:bookmarkEnd w:id="75"/>
    </w:p>
    <w:p w14:paraId="410966F1">
      <w:pPr>
        <w:bidi w:val="0"/>
        <w:rPr>
          <w:rFonts w:hint="eastAsia"/>
          <w:color w:val="auto"/>
          <w:lang w:val="en-US" w:eastAsia="zh-CN"/>
        </w:rPr>
      </w:pPr>
      <w:r>
        <w:rPr>
          <w:rFonts w:hint="eastAsia"/>
          <w:lang w:eastAsia="zh-CN"/>
        </w:rPr>
        <w:t>“</w:t>
      </w:r>
      <w:r>
        <w:rPr>
          <w:rFonts w:hint="eastAsia"/>
          <w:lang w:val="en-US" w:eastAsia="zh-CN"/>
        </w:rPr>
        <w:t>参保离休老干部及时享受医疗待遇</w:t>
      </w:r>
      <w:r>
        <w:rPr>
          <w:rFonts w:hint="eastAsia"/>
          <w:lang w:eastAsia="zh-CN"/>
        </w:rPr>
        <w:t>”</w:t>
      </w:r>
      <w:r>
        <w:rPr>
          <w:rFonts w:hint="eastAsia"/>
          <w:lang w:val="en-US" w:eastAsia="zh-CN"/>
        </w:rPr>
        <w:t>指标，预期目标值为</w:t>
      </w:r>
      <w:r>
        <w:rPr>
          <w:rFonts w:hint="eastAsia"/>
          <w:color w:val="auto"/>
          <w:lang w:val="en-US" w:eastAsia="zh-CN"/>
        </w:rPr>
        <w:t>有效提高，实际完成为100%。</w:t>
      </w:r>
    </w:p>
    <w:p w14:paraId="20FF9831">
      <w:pPr>
        <w:bidi w:val="0"/>
        <w:rPr>
          <w:rFonts w:hint="eastAsia"/>
          <w:lang w:val="en-US" w:eastAsia="zh-CN"/>
        </w:rPr>
      </w:pPr>
      <w:r>
        <w:rPr>
          <w:rFonts w:hint="eastAsia"/>
          <w:color w:val="auto"/>
          <w:lang w:eastAsia="zh-CN"/>
        </w:rPr>
        <w:t>“</w:t>
      </w:r>
      <w:r>
        <w:rPr>
          <w:rFonts w:hint="eastAsia"/>
          <w:lang w:val="en-US" w:eastAsia="zh-CN"/>
        </w:rPr>
        <w:t>减轻参保离休老干部就医经济负担,缓解社会矛盾</w:t>
      </w:r>
      <w:r>
        <w:rPr>
          <w:rFonts w:hint="eastAsia"/>
          <w:color w:val="auto"/>
          <w:lang w:eastAsia="zh-CN"/>
        </w:rPr>
        <w:t>”</w:t>
      </w:r>
      <w:r>
        <w:rPr>
          <w:rFonts w:hint="eastAsia"/>
          <w:color w:val="auto"/>
          <w:lang w:val="en-US" w:eastAsia="zh-CN"/>
        </w:rPr>
        <w:t>指标，预期目标值为持续长期，实际完成为100%。</w:t>
      </w:r>
    </w:p>
    <w:p w14:paraId="0B94AE95">
      <w:pPr>
        <w:bidi w:val="0"/>
        <w:rPr>
          <w:rFonts w:hint="eastAsia" w:cs="宋体"/>
          <w:color w:val="auto"/>
          <w:kern w:val="2"/>
          <w:sz w:val="28"/>
          <w:szCs w:val="28"/>
          <w:lang w:val="en-US" w:eastAsia="zh-CN" w:bidi="ar-SA"/>
        </w:rPr>
      </w:pPr>
      <w:r>
        <w:rPr>
          <w:rFonts w:hint="eastAsia"/>
          <w:b w:val="0"/>
          <w:bCs w:val="0"/>
          <w:lang w:val="en-US" w:eastAsia="zh-CN"/>
        </w:rPr>
        <w:t>通过项目的实施，</w:t>
      </w:r>
      <w:r>
        <w:rPr>
          <w:rFonts w:hint="eastAsia"/>
          <w:lang w:val="en-US" w:eastAsia="zh-CN"/>
        </w:rPr>
        <w:t>确保离休人员及时享受医疗报销待遇</w:t>
      </w:r>
      <w:r>
        <w:rPr>
          <w:rFonts w:hint="eastAsia" w:cs="宋体"/>
          <w:color w:val="auto"/>
          <w:kern w:val="2"/>
          <w:sz w:val="28"/>
          <w:szCs w:val="28"/>
          <w:lang w:val="en-US" w:eastAsia="zh-CN" w:bidi="ar-SA"/>
        </w:rPr>
        <w:t>。</w:t>
      </w:r>
    </w:p>
    <w:p w14:paraId="7D97608E">
      <w:pPr>
        <w:bidi w:val="0"/>
        <w:rPr>
          <w:rFonts w:hint="eastAsia" w:cs="宋体"/>
          <w:color w:val="auto"/>
          <w:kern w:val="2"/>
          <w:sz w:val="28"/>
          <w:szCs w:val="28"/>
          <w:lang w:val="en-US" w:eastAsia="zh-CN" w:bidi="ar-SA"/>
        </w:rPr>
      </w:pPr>
      <w:r>
        <w:rPr>
          <w:rFonts w:hint="eastAsia"/>
          <w:b/>
          <w:bCs/>
          <w:lang w:val="en-US" w:eastAsia="zh-CN"/>
        </w:rPr>
        <w:t>综上，该项指标满</w:t>
      </w:r>
      <w:r>
        <w:rPr>
          <w:rFonts w:hint="eastAsia"/>
          <w:b/>
          <w:bCs/>
          <w:color w:val="auto"/>
          <w:lang w:val="en-US" w:eastAsia="zh-CN"/>
        </w:rPr>
        <w:t>分20分，得分20分。</w:t>
      </w:r>
    </w:p>
    <w:p w14:paraId="0E573DC1">
      <w:pPr>
        <w:bidi w:val="0"/>
        <w:outlineLvl w:val="2"/>
        <w:rPr>
          <w:rFonts w:hint="eastAsia"/>
          <w:lang w:val="en-US" w:eastAsia="zh-CN"/>
        </w:rPr>
      </w:pPr>
      <w:bookmarkStart w:id="76" w:name="_Toc23106"/>
      <w:r>
        <w:rPr>
          <w:rFonts w:hint="eastAsia"/>
          <w:b/>
          <w:bCs/>
          <w:lang w:val="en-US" w:eastAsia="zh-CN"/>
        </w:rPr>
        <w:t>3.生态效益指标</w:t>
      </w:r>
      <w:bookmarkEnd w:id="76"/>
    </w:p>
    <w:p w14:paraId="255AA379">
      <w:pPr>
        <w:bidi w:val="0"/>
        <w:rPr>
          <w:rFonts w:hint="eastAsia"/>
          <w:lang w:eastAsia="zh-CN"/>
        </w:rPr>
      </w:pPr>
      <w:r>
        <w:rPr>
          <w:rFonts w:hint="eastAsia"/>
          <w:lang w:eastAsia="zh-CN"/>
        </w:rPr>
        <w:t>本项目不涉及经济效益指标。</w:t>
      </w:r>
    </w:p>
    <w:p w14:paraId="6894B962">
      <w:pPr>
        <w:pageBreakBefore w:val="0"/>
        <w:widowControl w:val="0"/>
        <w:kinsoku/>
        <w:wordWrap/>
        <w:overflowPunct/>
        <w:topLinePunct w:val="0"/>
        <w:autoSpaceDE/>
        <w:autoSpaceDN/>
        <w:bidi w:val="0"/>
        <w:spacing w:line="560" w:lineRule="exact"/>
        <w:textAlignment w:val="auto"/>
        <w:outlineLvl w:val="2"/>
        <w:rPr>
          <w:rFonts w:hint="eastAsia"/>
          <w:b/>
          <w:bCs/>
          <w:lang w:val="en-US" w:eastAsia="zh-CN"/>
        </w:rPr>
      </w:pPr>
      <w:bookmarkStart w:id="77" w:name="_Toc3271"/>
      <w:r>
        <w:rPr>
          <w:rFonts w:hint="eastAsia"/>
          <w:b/>
          <w:bCs/>
          <w:lang w:val="en-US" w:eastAsia="zh-CN"/>
        </w:rPr>
        <w:t>4.满意度指标</w:t>
      </w:r>
      <w:bookmarkEnd w:id="77"/>
    </w:p>
    <w:p w14:paraId="109DA04B">
      <w:pPr>
        <w:pageBreakBefore w:val="0"/>
        <w:widowControl w:val="0"/>
        <w:kinsoku/>
        <w:wordWrap/>
        <w:overflowPunct/>
        <w:topLinePunct w:val="0"/>
        <w:autoSpaceDE/>
        <w:autoSpaceDN/>
        <w:bidi w:val="0"/>
        <w:spacing w:line="560" w:lineRule="exact"/>
        <w:textAlignment w:val="auto"/>
        <w:rPr>
          <w:rFonts w:hint="eastAsia" w:asciiTheme="minorEastAsia" w:hAnsiTheme="minorEastAsia" w:eastAsiaTheme="minorEastAsia" w:cstheme="minorEastAsia"/>
          <w:b/>
          <w:bCs/>
          <w:color w:val="auto"/>
          <w:sz w:val="28"/>
          <w:szCs w:val="28"/>
          <w:lang w:val="en-US" w:eastAsia="zh-CN"/>
        </w:rPr>
      </w:pPr>
      <w:r>
        <w:rPr>
          <w:rFonts w:hint="eastAsia"/>
          <w:lang w:eastAsia="zh-CN"/>
        </w:rPr>
        <w:t>“</w:t>
      </w:r>
      <w:r>
        <w:rPr>
          <w:rFonts w:hint="eastAsia"/>
          <w:lang w:val="en-US" w:eastAsia="zh-CN"/>
        </w:rPr>
        <w:t>离休老干部满意度</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val="en-US" w:eastAsia="zh-CN"/>
        </w:rPr>
        <w:t>指标，预期目标值为</w:t>
      </w:r>
      <w:r>
        <w:rPr>
          <w:rFonts w:hint="eastAsia" w:asciiTheme="minorEastAsia" w:hAnsiTheme="minorEastAsia" w:eastAsiaTheme="minorEastAsia" w:cstheme="minorEastAsia"/>
          <w:color w:val="auto"/>
          <w:kern w:val="0"/>
          <w:sz w:val="28"/>
          <w:szCs w:val="28"/>
          <w:highlight w:val="none"/>
          <w:shd w:val="clear" w:color="auto" w:fill="auto"/>
          <w:lang w:val="en-US" w:eastAsia="zh-CN"/>
        </w:rPr>
        <w:t>≥95%</w:t>
      </w:r>
      <w:r>
        <w:rPr>
          <w:rFonts w:hint="eastAsia" w:asciiTheme="minorEastAsia" w:hAnsiTheme="minorEastAsia" w:eastAsiaTheme="minorEastAsia" w:cstheme="minorEastAsia"/>
          <w:color w:val="auto"/>
          <w:sz w:val="28"/>
          <w:szCs w:val="28"/>
          <w:lang w:val="en-US" w:eastAsia="zh-CN"/>
        </w:rPr>
        <w:t>，实际完成为100%。</w:t>
      </w:r>
    </w:p>
    <w:p w14:paraId="08BF42E0">
      <w:pPr>
        <w:pageBreakBefore w:val="0"/>
        <w:widowControl w:val="0"/>
        <w:kinsoku/>
        <w:wordWrap/>
        <w:overflowPunct/>
        <w:topLinePunct w:val="0"/>
        <w:autoSpaceDE/>
        <w:autoSpaceDN/>
        <w:bidi w:val="0"/>
        <w:spacing w:line="560" w:lineRule="exact"/>
        <w:textAlignment w:val="auto"/>
        <w:rPr>
          <w:rFonts w:hint="eastAsia"/>
          <w:b/>
          <w:bCs/>
          <w:color w:val="auto"/>
          <w:lang w:val="en-US" w:eastAsia="zh-CN"/>
        </w:rPr>
      </w:pPr>
      <w:r>
        <w:rPr>
          <w:rFonts w:hint="eastAsia"/>
          <w:b/>
          <w:bCs/>
          <w:lang w:val="en-US" w:eastAsia="zh-CN"/>
        </w:rPr>
        <w:t>综上，该项指标满</w:t>
      </w:r>
      <w:r>
        <w:rPr>
          <w:rFonts w:hint="eastAsia"/>
          <w:b/>
          <w:bCs/>
          <w:color w:val="auto"/>
          <w:lang w:val="en-US" w:eastAsia="zh-CN"/>
        </w:rPr>
        <w:t>分10分，得分10分。</w:t>
      </w:r>
    </w:p>
    <w:p w14:paraId="7DD7A7D1">
      <w:pPr>
        <w:pStyle w:val="2"/>
        <w:pageBreakBefore w:val="0"/>
        <w:widowControl w:val="0"/>
        <w:kinsoku/>
        <w:wordWrap/>
        <w:overflowPunct/>
        <w:topLinePunct w:val="0"/>
        <w:autoSpaceDE/>
        <w:autoSpaceDN/>
        <w:bidi w:val="0"/>
        <w:adjustRightInd/>
        <w:spacing w:beforeLines="0" w:afterLines="0" w:line="560" w:lineRule="exact"/>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78" w:name="_Toc19962"/>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五、预算执行进度与指标偏差</w:t>
      </w:r>
      <w:bookmarkEnd w:id="78"/>
    </w:p>
    <w:p w14:paraId="606ADBD6">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cs="仿宋_GB2312"/>
          <w:b w:val="0"/>
          <w:bCs w:val="0"/>
          <w:color w:val="000000" w:themeColor="text1"/>
          <w:sz w:val="28"/>
          <w:szCs w:val="28"/>
          <w:lang w:val="en-US" w:eastAsia="zh-CN"/>
          <w14:textFill>
            <w14:solidFill>
              <w14:schemeClr w14:val="tx1"/>
            </w14:solidFill>
          </w14:textFill>
        </w:rPr>
      </w:pPr>
      <w:r>
        <w:rPr>
          <w:rFonts w:hint="eastAsia" w:cs="仿宋_GB2312"/>
          <w:b w:val="0"/>
          <w:bCs w:val="0"/>
          <w:color w:val="000000" w:themeColor="text1"/>
          <w:sz w:val="28"/>
          <w:szCs w:val="28"/>
          <w:lang w:val="en-US" w:eastAsia="zh-CN"/>
          <w14:textFill>
            <w14:solidFill>
              <w14:schemeClr w14:val="tx1"/>
            </w14:solidFill>
          </w14:textFill>
        </w:rPr>
        <w:t>该</w:t>
      </w:r>
      <w:r>
        <w:rPr>
          <w:rFonts w:hint="eastAsia" w:cs="仿宋_GB2312"/>
          <w:b w:val="0"/>
          <w:bCs w:val="0"/>
          <w:color w:val="000000" w:themeColor="text1"/>
          <w:sz w:val="28"/>
          <w:szCs w:val="28"/>
          <w:lang w:eastAsia="zh-CN"/>
          <w14:textFill>
            <w14:solidFill>
              <w14:schemeClr w14:val="tx1"/>
            </w14:solidFill>
          </w14:textFill>
        </w:rPr>
        <w:t>项目预算资金总额为</w:t>
      </w:r>
      <w:r>
        <w:rPr>
          <w:rFonts w:hint="eastAsia" w:cs="仿宋_GB2312"/>
          <w:b w:val="0"/>
          <w:bCs w:val="0"/>
          <w:color w:val="000000" w:themeColor="text1"/>
          <w:sz w:val="28"/>
          <w:szCs w:val="28"/>
          <w:lang w:val="en-US" w:eastAsia="zh-CN"/>
          <w14:textFill>
            <w14:solidFill>
              <w14:schemeClr w14:val="tx1"/>
            </w14:solidFill>
          </w14:textFill>
        </w:rPr>
        <w:t>5</w:t>
      </w:r>
      <w:r>
        <w:rPr>
          <w:rFonts w:hint="eastAsia"/>
          <w:b w:val="0"/>
          <w:bCs w:val="0"/>
          <w:color w:val="auto"/>
          <w:lang w:val="en-US" w:eastAsia="zh-CN"/>
        </w:rPr>
        <w:t>0</w:t>
      </w:r>
      <w:r>
        <w:rPr>
          <w:rFonts w:hint="eastAsia" w:cs="仿宋_GB2312"/>
          <w:b w:val="0"/>
          <w:bCs w:val="0"/>
          <w:color w:val="auto"/>
          <w:sz w:val="28"/>
          <w:szCs w:val="28"/>
          <w:lang w:val="en-US" w:eastAsia="zh-CN"/>
        </w:rPr>
        <w:t>万元，全年执行数为</w:t>
      </w:r>
      <w:r>
        <w:rPr>
          <w:rFonts w:hint="eastAsia"/>
          <w:b w:val="0"/>
          <w:bCs w:val="0"/>
          <w:color w:val="auto"/>
          <w:lang w:val="en-US" w:eastAsia="zh-CN"/>
        </w:rPr>
        <w:t>50</w:t>
      </w:r>
      <w:r>
        <w:rPr>
          <w:rFonts w:hint="eastAsia" w:cs="仿宋_GB2312"/>
          <w:b w:val="0"/>
          <w:bCs w:val="0"/>
          <w:color w:val="auto"/>
          <w:sz w:val="28"/>
          <w:szCs w:val="28"/>
          <w:lang w:val="en-US" w:eastAsia="zh-CN"/>
        </w:rPr>
        <w:t>万元，预算执行率为</w:t>
      </w:r>
      <w:r>
        <w:rPr>
          <w:rFonts w:hint="eastAsia"/>
          <w:b w:val="0"/>
          <w:bCs w:val="0"/>
          <w:color w:val="auto"/>
          <w:lang w:val="en-US" w:eastAsia="zh-CN"/>
        </w:rPr>
        <w:t>100</w:t>
      </w:r>
      <w:r>
        <w:rPr>
          <w:rFonts w:hint="eastAsia" w:cs="仿宋_GB2312"/>
          <w:b w:val="0"/>
          <w:bCs w:val="0"/>
          <w:color w:val="auto"/>
          <w:sz w:val="28"/>
          <w:szCs w:val="28"/>
          <w:lang w:val="en-US" w:eastAsia="zh-CN"/>
        </w:rPr>
        <w:t>%，</w:t>
      </w:r>
      <w:r>
        <w:rPr>
          <w:rFonts w:hint="eastAsia" w:cs="仿宋_GB2312"/>
          <w:b w:val="0"/>
          <w:bCs w:val="0"/>
          <w:color w:val="auto"/>
          <w:sz w:val="28"/>
          <w:szCs w:val="28"/>
          <w:lang w:eastAsia="zh-CN"/>
        </w:rPr>
        <w:t>总体完成率为</w:t>
      </w:r>
      <w:r>
        <w:rPr>
          <w:rFonts w:hint="eastAsia"/>
          <w:b w:val="0"/>
          <w:bCs w:val="0"/>
          <w:color w:val="auto"/>
          <w:lang w:val="en-US" w:eastAsia="zh-CN"/>
        </w:rPr>
        <w:t>100</w:t>
      </w:r>
      <w:r>
        <w:rPr>
          <w:rFonts w:hint="eastAsia" w:cs="仿宋_GB2312"/>
          <w:b w:val="0"/>
          <w:bCs w:val="0"/>
          <w:color w:val="auto"/>
          <w:sz w:val="28"/>
          <w:szCs w:val="28"/>
          <w:lang w:val="zh-TW" w:eastAsia="zh-TW"/>
        </w:rPr>
        <w:t>%。</w:t>
      </w:r>
      <w:r>
        <w:rPr>
          <w:rFonts w:hint="eastAsia" w:cs="仿宋_GB2312"/>
          <w:b w:val="0"/>
          <w:bCs w:val="0"/>
          <w:color w:val="auto"/>
          <w:sz w:val="28"/>
          <w:szCs w:val="28"/>
          <w:lang w:val="en-US" w:eastAsia="zh-CN"/>
        </w:rPr>
        <w:t>预算执行率与总体完成率之间的偏差为</w:t>
      </w:r>
      <w:r>
        <w:rPr>
          <w:rFonts w:hint="eastAsia"/>
          <w:b w:val="0"/>
          <w:bCs w:val="0"/>
          <w:color w:val="auto"/>
          <w:lang w:val="en-US" w:eastAsia="zh-CN"/>
        </w:rPr>
        <w:t>0</w:t>
      </w:r>
      <w:r>
        <w:rPr>
          <w:rFonts w:hint="eastAsia" w:cs="仿宋_GB2312"/>
          <w:b w:val="0"/>
          <w:bCs w:val="0"/>
          <w:color w:val="auto"/>
          <w:sz w:val="28"/>
          <w:szCs w:val="28"/>
          <w:lang w:val="en-US" w:eastAsia="zh-CN"/>
        </w:rPr>
        <w:t>%，无</w:t>
      </w:r>
      <w:r>
        <w:rPr>
          <w:rFonts w:hint="eastAsia"/>
          <w:b w:val="0"/>
          <w:bCs w:val="0"/>
          <w:color w:val="auto"/>
        </w:rPr>
        <w:t>偏差</w:t>
      </w:r>
      <w:r>
        <w:rPr>
          <w:rFonts w:hint="eastAsia" w:ascii="仿宋_GB2312" w:hAnsi="仿宋_GB2312" w:cs="仿宋_GB2312"/>
          <w:b w:val="0"/>
          <w:bCs w:val="0"/>
          <w:color w:val="auto"/>
          <w:sz w:val="28"/>
          <w:szCs w:val="28"/>
        </w:rPr>
        <w:t>。</w:t>
      </w:r>
    </w:p>
    <w:p w14:paraId="215F31F0">
      <w:pPr>
        <w:pStyle w:val="2"/>
        <w:pageBreakBefore w:val="0"/>
        <w:widowControl w:val="0"/>
        <w:kinsoku/>
        <w:wordWrap/>
        <w:overflowPunct/>
        <w:topLinePunct w:val="0"/>
        <w:autoSpaceDE/>
        <w:autoSpaceDN/>
        <w:bidi w:val="0"/>
        <w:adjustRightInd/>
        <w:spacing w:beforeLines="0" w:afterLines="0" w:line="560" w:lineRule="exact"/>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79" w:name="_Toc29934"/>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六、主要经验及做法、存在的问题及原因分析</w:t>
      </w:r>
      <w:bookmarkEnd w:id="79"/>
    </w:p>
    <w:p w14:paraId="1C469133">
      <w:pPr>
        <w:pageBreakBefore w:val="0"/>
        <w:widowControl w:val="0"/>
        <w:numPr>
          <w:ilvl w:val="0"/>
          <w:numId w:val="0"/>
        </w:numPr>
        <w:kinsoku/>
        <w:wordWrap/>
        <w:overflowPunct/>
        <w:topLinePunct w:val="0"/>
        <w:autoSpaceDE/>
        <w:autoSpaceDN/>
        <w:bidi w:val="0"/>
        <w:spacing w:line="560" w:lineRule="exact"/>
        <w:ind w:left="560" w:leftChars="0"/>
        <w:textAlignment w:val="auto"/>
        <w:outlineLvl w:val="1"/>
        <w:rPr>
          <w:rFonts w:hint="eastAsia"/>
          <w:b/>
          <w:bCs/>
          <w:lang w:eastAsia="zh-CN"/>
        </w:rPr>
      </w:pPr>
      <w:bookmarkStart w:id="80" w:name="_Toc13160"/>
      <w:bookmarkStart w:id="81" w:name="_Toc28290"/>
      <w:bookmarkStart w:id="82" w:name="_Toc1921"/>
      <w:r>
        <w:rPr>
          <w:rFonts w:hint="eastAsia"/>
          <w:b/>
          <w:bCs/>
          <w:lang w:eastAsia="zh-CN"/>
        </w:rPr>
        <w:t>（</w:t>
      </w:r>
      <w:r>
        <w:rPr>
          <w:rFonts w:hint="eastAsia"/>
          <w:b/>
          <w:bCs/>
          <w:lang w:val="en-US" w:eastAsia="zh-CN"/>
        </w:rPr>
        <w:t>一</w:t>
      </w:r>
      <w:r>
        <w:rPr>
          <w:rFonts w:hint="eastAsia"/>
          <w:b/>
          <w:bCs/>
          <w:lang w:eastAsia="zh-CN"/>
        </w:rPr>
        <w:t>）</w:t>
      </w:r>
      <w:r>
        <w:rPr>
          <w:rFonts w:hint="eastAsia"/>
          <w:b/>
          <w:bCs/>
        </w:rPr>
        <w:t>主要经验及做法</w:t>
      </w:r>
      <w:bookmarkEnd w:id="80"/>
    </w:p>
    <w:p w14:paraId="0B57A0DF">
      <w:pPr>
        <w:pageBreakBefore w:val="0"/>
        <w:widowControl w:val="0"/>
        <w:kinsoku/>
        <w:wordWrap/>
        <w:overflowPunct/>
        <w:topLinePunct w:val="0"/>
        <w:autoSpaceDE/>
        <w:autoSpaceDN/>
        <w:bidi w:val="0"/>
        <w:spacing w:line="560" w:lineRule="exact"/>
        <w:textAlignment w:val="auto"/>
        <w:rPr>
          <w:rFonts w:hint="eastAsia"/>
          <w:color w:val="auto"/>
          <w:lang w:eastAsia="zh-CN"/>
        </w:rPr>
      </w:pPr>
      <w:r>
        <w:rPr>
          <w:rFonts w:hint="eastAsia" w:cs="宋体"/>
          <w:color w:val="auto"/>
          <w:highlight w:val="none"/>
          <w:shd w:val="clear" w:color="auto" w:fill="auto"/>
          <w:lang w:val="en-US" w:eastAsia="zh-CN"/>
        </w:rPr>
        <w:t>2023年离休老干医疗补助金</w:t>
      </w:r>
      <w:r>
        <w:rPr>
          <w:rFonts w:hint="eastAsia"/>
          <w:color w:val="auto"/>
          <w:lang w:val="en-US" w:eastAsia="zh-CN"/>
        </w:rPr>
        <w:t>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50</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50</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p w14:paraId="4CFB263D">
      <w:pPr>
        <w:pageBreakBefore w:val="0"/>
        <w:widowControl w:val="0"/>
        <w:kinsoku/>
        <w:wordWrap/>
        <w:overflowPunct/>
        <w:topLinePunct w:val="0"/>
        <w:autoSpaceDE/>
        <w:autoSpaceDN/>
        <w:bidi w:val="0"/>
        <w:adjustRightInd/>
        <w:snapToGrid/>
        <w:spacing w:line="560" w:lineRule="exact"/>
        <w:textAlignment w:val="auto"/>
        <w:rPr>
          <w:rFonts w:hint="eastAsia"/>
          <w:highlight w:val="none"/>
          <w:lang w:eastAsia="zh-CN"/>
        </w:rPr>
      </w:pPr>
      <w:r>
        <w:rPr>
          <w:rFonts w:hint="eastAsia"/>
          <w:color w:val="auto"/>
          <w:lang w:val="en-US" w:eastAsia="zh-CN"/>
        </w:rPr>
        <w:t>阜康市医疗保障局</w:t>
      </w:r>
      <w:r>
        <w:rPr>
          <w:rFonts w:hint="eastAsia"/>
          <w:color w:val="auto"/>
          <w:lang w:eastAsia="zh-CN"/>
        </w:rPr>
        <w:t>建立健全了预算管理规章制度，各部门严格</w:t>
      </w:r>
      <w:r>
        <w:rPr>
          <w:rFonts w:hint="eastAsia"/>
          <w:lang w:eastAsia="zh-CN"/>
        </w:rPr>
        <w:t>按照预算编制的原则和要求做好当年预算编制工作，在预算绩效管理工作中，做到合理安排各项资金，重点保障基本支出，按轻重缓急顺序原则</w:t>
      </w:r>
      <w:r>
        <w:rPr>
          <w:rFonts w:hint="eastAsia"/>
          <w:highlight w:val="none"/>
          <w:lang w:eastAsia="zh-CN"/>
        </w:rPr>
        <w:t>，优先安排了</w:t>
      </w:r>
      <w:r>
        <w:rPr>
          <w:rFonts w:hint="eastAsia"/>
          <w:color w:val="auto"/>
          <w:highlight w:val="none"/>
          <w:lang w:val="en-US" w:eastAsia="zh-CN"/>
        </w:rPr>
        <w:t>阜康市医保局医疗</w:t>
      </w:r>
      <w:r>
        <w:rPr>
          <w:rFonts w:hint="eastAsia"/>
          <w:color w:val="auto"/>
          <w:highlight w:val="none"/>
          <w:lang w:eastAsia="zh-CN"/>
        </w:rPr>
        <w:t>事业发展中关系民生与稳定的项目，切实优化资源配置，提高了资金使</w:t>
      </w:r>
      <w:r>
        <w:rPr>
          <w:rFonts w:hint="eastAsia"/>
          <w:highlight w:val="none"/>
          <w:lang w:eastAsia="zh-CN"/>
        </w:rPr>
        <w:t>用的效率和效果。</w:t>
      </w:r>
    </w:p>
    <w:bookmarkEnd w:id="81"/>
    <w:bookmarkEnd w:id="82"/>
    <w:p w14:paraId="08462CE0">
      <w:pPr>
        <w:pageBreakBefore w:val="0"/>
        <w:widowControl w:val="0"/>
        <w:kinsoku/>
        <w:wordWrap/>
        <w:overflowPunct/>
        <w:topLinePunct w:val="0"/>
        <w:autoSpaceDE/>
        <w:autoSpaceDN/>
        <w:bidi w:val="0"/>
        <w:adjustRightInd/>
        <w:snapToGrid/>
        <w:spacing w:line="560" w:lineRule="exact"/>
        <w:textAlignment w:val="auto"/>
        <w:outlineLvl w:val="1"/>
        <w:rPr>
          <w:rFonts w:hint="eastAsia"/>
          <w:b/>
          <w:bCs/>
          <w:highlight w:val="none"/>
          <w:lang w:eastAsia="zh-CN"/>
        </w:rPr>
      </w:pPr>
      <w:bookmarkStart w:id="83" w:name="_Toc9582"/>
      <w:r>
        <w:rPr>
          <w:rFonts w:hint="eastAsia"/>
          <w:b/>
          <w:bCs/>
          <w:highlight w:val="none"/>
          <w:lang w:eastAsia="zh-CN"/>
        </w:rPr>
        <w:t>（</w:t>
      </w:r>
      <w:r>
        <w:rPr>
          <w:rFonts w:hint="eastAsia"/>
          <w:b/>
          <w:bCs/>
          <w:highlight w:val="none"/>
          <w:lang w:val="en-US" w:eastAsia="zh-CN"/>
        </w:rPr>
        <w:t>二</w:t>
      </w:r>
      <w:r>
        <w:rPr>
          <w:rFonts w:hint="eastAsia"/>
          <w:b/>
          <w:bCs/>
          <w:highlight w:val="none"/>
          <w:lang w:eastAsia="zh-CN"/>
        </w:rPr>
        <w:t>）</w:t>
      </w:r>
      <w:r>
        <w:rPr>
          <w:rFonts w:hint="eastAsia"/>
          <w:b/>
          <w:bCs/>
          <w:highlight w:val="none"/>
        </w:rPr>
        <w:t>存在的问题及原因分析</w:t>
      </w:r>
      <w:bookmarkEnd w:id="83"/>
    </w:p>
    <w:p w14:paraId="11EB8BA4">
      <w:pPr>
        <w:pStyle w:val="1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宋体" w:hAnsi="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1.</w:t>
      </w:r>
      <w:r>
        <w:rPr>
          <w:rFonts w:hint="eastAsia" w:ascii="宋体" w:hAnsi="宋体" w:eastAsia="宋体" w:cs="宋体"/>
          <w:b w:val="0"/>
          <w:bCs w:val="0"/>
          <w:color w:val="auto"/>
          <w:kern w:val="2"/>
          <w:sz w:val="28"/>
          <w:szCs w:val="28"/>
          <w:highlight w:val="none"/>
          <w:lang w:val="en-US" w:eastAsia="zh-CN" w:bidi="ar-SA"/>
        </w:rPr>
        <w:t>在预算执行</w:t>
      </w:r>
      <w:r>
        <w:rPr>
          <w:rFonts w:hint="eastAsia" w:ascii="宋体" w:hAnsi="宋体" w:cs="宋体"/>
          <w:b w:val="0"/>
          <w:bCs w:val="0"/>
          <w:color w:val="auto"/>
          <w:kern w:val="2"/>
          <w:sz w:val="28"/>
          <w:szCs w:val="28"/>
          <w:highlight w:val="none"/>
          <w:lang w:val="en-US" w:eastAsia="zh-CN" w:bidi="ar-SA"/>
        </w:rPr>
        <w:t>过程中</w:t>
      </w:r>
      <w:r>
        <w:rPr>
          <w:rFonts w:hint="eastAsia" w:ascii="宋体" w:hAnsi="宋体" w:eastAsia="宋体" w:cs="宋体"/>
          <w:b w:val="0"/>
          <w:bCs w:val="0"/>
          <w:color w:val="auto"/>
          <w:kern w:val="2"/>
          <w:sz w:val="28"/>
          <w:szCs w:val="28"/>
          <w:highlight w:val="none"/>
          <w:lang w:val="en-US" w:eastAsia="zh-CN" w:bidi="ar-SA"/>
        </w:rPr>
        <w:t>，</w:t>
      </w:r>
      <w:r>
        <w:rPr>
          <w:rFonts w:hint="eastAsia" w:ascii="宋体" w:hAnsi="宋体" w:cs="宋体"/>
          <w:b w:val="0"/>
          <w:bCs w:val="0"/>
          <w:color w:val="auto"/>
          <w:kern w:val="2"/>
          <w:sz w:val="28"/>
          <w:szCs w:val="28"/>
          <w:highlight w:val="none"/>
          <w:lang w:val="en-US" w:eastAsia="zh-CN" w:bidi="ar-SA"/>
        </w:rPr>
        <w:t>单位缺乏</w:t>
      </w:r>
      <w:r>
        <w:rPr>
          <w:rFonts w:hint="eastAsia" w:ascii="宋体" w:hAnsi="宋体" w:eastAsia="宋体" w:cs="宋体"/>
          <w:b w:val="0"/>
          <w:bCs w:val="0"/>
          <w:color w:val="auto"/>
          <w:kern w:val="2"/>
          <w:sz w:val="28"/>
          <w:szCs w:val="28"/>
          <w:highlight w:val="none"/>
          <w:lang w:val="en-US" w:eastAsia="zh-CN" w:bidi="ar-SA"/>
        </w:rPr>
        <w:t>与社区、民政、公安等部门</w:t>
      </w:r>
      <w:r>
        <w:rPr>
          <w:rFonts w:hint="eastAsia" w:ascii="宋体" w:hAnsi="宋体" w:cs="宋体"/>
          <w:b w:val="0"/>
          <w:bCs w:val="0"/>
          <w:color w:val="auto"/>
          <w:kern w:val="2"/>
          <w:sz w:val="28"/>
          <w:szCs w:val="28"/>
          <w:highlight w:val="none"/>
          <w:lang w:val="en-US" w:eastAsia="zh-CN" w:bidi="ar-SA"/>
        </w:rPr>
        <w:t>的沟通协调，偶尔存在人员死亡还在继续发放待遇的问题，及时减少离休死亡人员的医疗费用。</w:t>
      </w:r>
    </w:p>
    <w:p w14:paraId="305F2D38">
      <w:pPr>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color w:val="auto"/>
          <w:highlight w:val="none"/>
          <w:lang w:val="en-US" w:eastAsia="zh-CN"/>
        </w:rPr>
      </w:pPr>
      <w:r>
        <w:rPr>
          <w:rFonts w:hint="eastAsia"/>
          <w:color w:val="auto"/>
          <w:highlight w:val="none"/>
          <w:lang w:val="en-US" w:eastAsia="zh-CN"/>
        </w:rPr>
        <w:t>2.在审核医疗报销时，按实报实销发放，导致个别离休人员不太满意，已与财政部门及时沟通解决类似问题。</w:t>
      </w:r>
    </w:p>
    <w:p w14:paraId="6073D429">
      <w:pPr>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default"/>
          <w:color w:val="auto"/>
          <w:highlight w:val="none"/>
          <w:lang w:val="en-US" w:eastAsia="zh-CN"/>
        </w:rPr>
      </w:pPr>
      <w:r>
        <w:rPr>
          <w:rFonts w:hint="eastAsia"/>
          <w:color w:val="auto"/>
          <w:highlight w:val="none"/>
          <w:lang w:val="en-US" w:eastAsia="zh-CN"/>
        </w:rPr>
        <w:t>3.预算编制没有充分具体来源，离休死亡人员没有及时上报。</w:t>
      </w:r>
    </w:p>
    <w:p w14:paraId="549DF128">
      <w:pPr>
        <w:pStyle w:val="2"/>
        <w:pageBreakBefore w:val="0"/>
        <w:widowControl w:val="0"/>
        <w:kinsoku/>
        <w:wordWrap/>
        <w:overflowPunct/>
        <w:topLinePunct w:val="0"/>
        <w:autoSpaceDE/>
        <w:autoSpaceDN/>
        <w:bidi w:val="0"/>
        <w:adjustRightInd/>
        <w:snapToGrid/>
        <w:spacing w:beforeLines="0" w:afterLines="0" w:line="560" w:lineRule="exact"/>
        <w:ind w:firstLine="643" w:firstLineChars="200"/>
        <w:textAlignment w:val="auto"/>
        <w:rPr>
          <w:rFonts w:hint="eastAsia" w:ascii="宋体" w:hAnsi="宋体" w:eastAsia="宋体" w:cs="宋体"/>
          <w:b/>
          <w:bCs/>
          <w:color w:val="auto"/>
          <w:highlight w:val="none"/>
          <w:shd w:val="clear" w:color="auto" w:fill="auto"/>
          <w:lang w:val="en-US" w:eastAsia="zh-CN"/>
        </w:rPr>
      </w:pPr>
      <w:bookmarkStart w:id="84" w:name="_Toc5230"/>
      <w:r>
        <w:rPr>
          <w:rFonts w:hint="eastAsia" w:ascii="宋体" w:hAnsi="宋体" w:eastAsia="宋体" w:cs="宋体"/>
          <w:b/>
          <w:bCs/>
          <w:color w:val="auto"/>
          <w:highlight w:val="none"/>
          <w:shd w:val="clear" w:color="auto" w:fill="auto"/>
          <w:lang w:val="en-US" w:eastAsia="zh-CN"/>
        </w:rPr>
        <w:t>七、有关建议</w:t>
      </w:r>
      <w:bookmarkEnd w:id="84"/>
    </w:p>
    <w:p w14:paraId="4A684C68">
      <w:pPr>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color w:val="auto"/>
          <w:highlight w:val="none"/>
          <w:lang w:val="en-US" w:eastAsia="zh-CN"/>
        </w:rPr>
      </w:pPr>
      <w:r>
        <w:rPr>
          <w:rFonts w:hint="eastAsia"/>
          <w:color w:val="auto"/>
          <w:highlight w:val="none"/>
          <w:lang w:val="en-US" w:eastAsia="zh-CN"/>
        </w:rPr>
        <w:t>（一）</w:t>
      </w:r>
      <w:r>
        <w:rPr>
          <w:rFonts w:hint="eastAsia"/>
          <w:color w:val="auto"/>
          <w:highlight w:val="none"/>
          <w:lang w:eastAsia="zh-CN"/>
        </w:rPr>
        <w:t>此项目为财政代发</w:t>
      </w:r>
      <w:r>
        <w:rPr>
          <w:rFonts w:hint="eastAsia" w:cs="宋体"/>
          <w:b w:val="0"/>
          <w:bCs w:val="0"/>
          <w:color w:val="auto"/>
          <w:kern w:val="2"/>
          <w:sz w:val="28"/>
          <w:szCs w:val="28"/>
          <w:highlight w:val="none"/>
          <w:lang w:val="en-US" w:eastAsia="zh-CN" w:bidi="ar-SA"/>
        </w:rPr>
        <w:t>离休老干部医疗补助金</w:t>
      </w:r>
      <w:r>
        <w:rPr>
          <w:rFonts w:hint="eastAsia"/>
          <w:color w:val="auto"/>
          <w:highlight w:val="none"/>
          <w:lang w:eastAsia="zh-CN"/>
        </w:rPr>
        <w:t>应属于基本支出，</w:t>
      </w:r>
      <w:r>
        <w:rPr>
          <w:rFonts w:hint="eastAsia"/>
          <w:color w:val="auto"/>
          <w:highlight w:val="none"/>
          <w:lang w:val="en-US" w:eastAsia="zh-CN"/>
        </w:rPr>
        <w:t>建议下年度列入基本支出。</w:t>
      </w:r>
    </w:p>
    <w:p w14:paraId="55050F36">
      <w:pPr>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color w:val="auto"/>
          <w:highlight w:val="none"/>
          <w:lang w:val="en-US" w:eastAsia="zh-CN"/>
        </w:rPr>
      </w:pPr>
      <w:r>
        <w:rPr>
          <w:rFonts w:hint="eastAsia"/>
          <w:color w:val="auto"/>
          <w:highlight w:val="none"/>
          <w:lang w:val="en-US" w:eastAsia="zh-CN"/>
        </w:rPr>
        <w:t>（二）与相关部门协调，做好医疗待遇的工作，确保财政资金安全，保障离休老干人员权益。</w:t>
      </w:r>
    </w:p>
    <w:p w14:paraId="1AD27B76">
      <w:pPr>
        <w:pStyle w:val="1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color w:val="auto"/>
          <w:highlight w:val="none"/>
          <w:lang w:val="en-US" w:eastAsia="zh-CN"/>
        </w:rPr>
      </w:pPr>
      <w:r>
        <w:rPr>
          <w:rFonts w:hint="eastAsia" w:ascii="宋体" w:hAnsi="宋体" w:cs="宋体"/>
          <w:b w:val="0"/>
          <w:bCs w:val="0"/>
          <w:color w:val="auto"/>
          <w:kern w:val="2"/>
          <w:sz w:val="28"/>
          <w:szCs w:val="28"/>
          <w:highlight w:val="none"/>
          <w:lang w:val="en-US" w:eastAsia="zh-CN" w:bidi="ar-SA"/>
        </w:rPr>
        <w:t>（三）在今后的工作中</w:t>
      </w:r>
      <w:r>
        <w:rPr>
          <w:rFonts w:hint="eastAsia" w:ascii="宋体" w:hAnsi="宋体" w:eastAsia="宋体" w:cs="宋体"/>
          <w:b w:val="0"/>
          <w:bCs w:val="0"/>
          <w:color w:val="auto"/>
          <w:kern w:val="2"/>
          <w:sz w:val="28"/>
          <w:szCs w:val="28"/>
          <w:highlight w:val="none"/>
          <w:lang w:val="en-US" w:eastAsia="zh-CN" w:bidi="ar-SA"/>
        </w:rPr>
        <w:t>加强</w:t>
      </w:r>
      <w:r>
        <w:rPr>
          <w:rFonts w:hint="eastAsia" w:ascii="宋体" w:hAnsi="宋体" w:cs="宋体"/>
          <w:b w:val="0"/>
          <w:bCs w:val="0"/>
          <w:color w:val="auto"/>
          <w:kern w:val="2"/>
          <w:sz w:val="28"/>
          <w:szCs w:val="28"/>
          <w:highlight w:val="none"/>
          <w:lang w:val="en-US" w:eastAsia="zh-CN" w:bidi="ar-SA"/>
        </w:rPr>
        <w:t>与相关部门的</w:t>
      </w:r>
      <w:r>
        <w:rPr>
          <w:rFonts w:hint="eastAsia" w:ascii="宋体" w:hAnsi="宋体" w:eastAsia="宋体" w:cs="宋体"/>
          <w:b w:val="0"/>
          <w:bCs w:val="0"/>
          <w:color w:val="auto"/>
          <w:kern w:val="2"/>
          <w:sz w:val="28"/>
          <w:szCs w:val="28"/>
          <w:highlight w:val="none"/>
          <w:lang w:val="en-US" w:eastAsia="zh-CN" w:bidi="ar-SA"/>
        </w:rPr>
        <w:t>沟通，时刻</w:t>
      </w:r>
      <w:r>
        <w:rPr>
          <w:rFonts w:hint="eastAsia" w:ascii="宋体" w:hAnsi="宋体" w:cs="宋体"/>
          <w:b w:val="0"/>
          <w:bCs w:val="0"/>
          <w:color w:val="auto"/>
          <w:kern w:val="2"/>
          <w:sz w:val="28"/>
          <w:szCs w:val="28"/>
          <w:highlight w:val="none"/>
          <w:lang w:val="en-US" w:eastAsia="zh-CN" w:bidi="ar-SA"/>
        </w:rPr>
        <w:t>掌握离休人员</w:t>
      </w:r>
      <w:r>
        <w:rPr>
          <w:rFonts w:hint="eastAsia" w:ascii="宋体" w:hAnsi="宋体" w:eastAsia="宋体" w:cs="宋体"/>
          <w:b w:val="0"/>
          <w:bCs w:val="0"/>
          <w:color w:val="auto"/>
          <w:kern w:val="2"/>
          <w:sz w:val="28"/>
          <w:szCs w:val="28"/>
          <w:highlight w:val="none"/>
          <w:lang w:val="en-US" w:eastAsia="zh-CN" w:bidi="ar-SA"/>
        </w:rPr>
        <w:t>生存状况</w:t>
      </w:r>
      <w:r>
        <w:rPr>
          <w:rFonts w:hint="eastAsia" w:ascii="宋体" w:hAnsi="宋体" w:cs="宋体"/>
          <w:b w:val="0"/>
          <w:bCs w:val="0"/>
          <w:color w:val="auto"/>
          <w:kern w:val="2"/>
          <w:sz w:val="28"/>
          <w:szCs w:val="28"/>
          <w:highlight w:val="none"/>
          <w:lang w:val="en-US" w:eastAsia="zh-CN" w:bidi="ar-SA"/>
        </w:rPr>
        <w:t>，确保预算执行的准确性。</w:t>
      </w:r>
    </w:p>
    <w:p w14:paraId="104D6C32">
      <w:pPr>
        <w:pStyle w:val="2"/>
        <w:pageBreakBefore w:val="0"/>
        <w:widowControl w:val="0"/>
        <w:kinsoku/>
        <w:wordWrap/>
        <w:overflowPunct/>
        <w:topLinePunct w:val="0"/>
        <w:autoSpaceDE/>
        <w:autoSpaceDN/>
        <w:bidi w:val="0"/>
        <w:adjustRightInd/>
        <w:snapToGrid/>
        <w:spacing w:beforeLines="0" w:afterLines="0" w:line="560" w:lineRule="exact"/>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5" w:name="_Toc15618"/>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八、其他需要说明的问题</w:t>
      </w:r>
      <w:bookmarkEnd w:id="85"/>
    </w:p>
    <w:p w14:paraId="73BBF209">
      <w:pPr>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lang w:val="en-US" w:eastAsia="zh-CN"/>
        </w:rPr>
      </w:pPr>
      <w:r>
        <w:rPr>
          <w:rFonts w:hint="eastAsia" w:ascii="宋体" w:hAnsi="宋体" w:eastAsia="宋体" w:cs="宋体"/>
          <w:lang w:val="en-US" w:eastAsia="zh-CN"/>
        </w:rPr>
        <w:t>无其他需要说明的问题。</w:t>
      </w:r>
    </w:p>
    <w:p w14:paraId="20BB1C02">
      <w:pPr>
        <w:pageBreakBefore w:val="0"/>
        <w:widowControl w:val="0"/>
        <w:kinsoku/>
        <w:wordWrap/>
        <w:overflowPunct/>
        <w:topLinePunct w:val="0"/>
        <w:autoSpaceDE/>
        <w:autoSpaceDN/>
        <w:bidi w:val="0"/>
        <w:adjustRightInd/>
        <w:snapToGrid/>
        <w:spacing w:line="560" w:lineRule="exact"/>
        <w:textAlignment w:val="auto"/>
        <w:rPr>
          <w:rFonts w:hint="eastAsia" w:cs="宋体"/>
          <w:color w:val="000000" w:themeColor="text1"/>
          <w:highlight w:val="none"/>
          <w:shd w:val="clear" w:color="auto" w:fill="auto"/>
          <w:lang w:val="en-US" w:eastAsia="zh-CN"/>
          <w14:textFill>
            <w14:solidFill>
              <w14:schemeClr w14:val="tx1"/>
            </w14:solidFill>
          </w14:textFill>
        </w:rPr>
        <w:sectPr>
          <w:footerReference r:id="rId5" w:type="default"/>
          <w:pgSz w:w="11906" w:h="16838"/>
          <w:pgMar w:top="1440" w:right="1800" w:bottom="1440" w:left="1800" w:header="737" w:footer="851" w:gutter="0"/>
          <w:pgNumType w:fmt="decimal" w:start="1"/>
          <w:cols w:space="720" w:num="1"/>
          <w:docGrid w:type="lines" w:linePitch="408" w:charSpace="0"/>
        </w:sectPr>
      </w:pPr>
    </w:p>
    <w:p w14:paraId="36BFE934">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default"/>
          <w:lang w:val="en-US" w:eastAsia="zh-CN"/>
        </w:rPr>
      </w:pPr>
      <w:bookmarkStart w:id="86" w:name="_Toc11349"/>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86"/>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31"/>
        <w:gridCol w:w="931"/>
        <w:gridCol w:w="932"/>
        <w:gridCol w:w="932"/>
        <w:gridCol w:w="1308"/>
        <w:gridCol w:w="932"/>
        <w:gridCol w:w="1120"/>
        <w:gridCol w:w="1026"/>
        <w:gridCol w:w="932"/>
        <w:gridCol w:w="932"/>
        <w:gridCol w:w="1120"/>
        <w:gridCol w:w="1120"/>
        <w:gridCol w:w="1026"/>
        <w:gridCol w:w="932"/>
      </w:tblGrid>
      <w:tr w14:paraId="4D16D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7B174650">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0F208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629190F2">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51F56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89" w:type="dxa"/>
            <w:gridSpan w:val="2"/>
            <w:tcBorders>
              <w:top w:val="single" w:color="auto" w:sz="4" w:space="0"/>
            </w:tcBorders>
            <w:shd w:val="clear" w:color="auto" w:fill="auto"/>
            <w:vAlign w:val="center"/>
          </w:tcPr>
          <w:p w14:paraId="51A4F5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85" w:type="dxa"/>
            <w:gridSpan w:val="12"/>
            <w:tcBorders>
              <w:top w:val="single" w:color="auto" w:sz="4" w:space="0"/>
            </w:tcBorders>
            <w:shd w:val="clear" w:color="auto" w:fill="auto"/>
            <w:vAlign w:val="center"/>
          </w:tcPr>
          <w:p w14:paraId="149FF9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2023年离休老干医疗补助金</w:t>
            </w:r>
          </w:p>
        </w:tc>
      </w:tr>
      <w:tr w14:paraId="18A22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89" w:type="dxa"/>
            <w:gridSpan w:val="2"/>
            <w:shd w:val="clear" w:color="auto" w:fill="auto"/>
            <w:vAlign w:val="center"/>
          </w:tcPr>
          <w:p w14:paraId="0E92A0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94" w:type="dxa"/>
            <w:gridSpan w:val="5"/>
            <w:shd w:val="clear" w:color="auto" w:fill="auto"/>
            <w:vAlign w:val="center"/>
          </w:tcPr>
          <w:p w14:paraId="2DAD22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阜康市医疗保障局</w:t>
            </w:r>
          </w:p>
        </w:tc>
        <w:tc>
          <w:tcPr>
            <w:tcW w:w="1985" w:type="dxa"/>
            <w:gridSpan w:val="2"/>
            <w:shd w:val="clear" w:color="auto" w:fill="auto"/>
            <w:vAlign w:val="center"/>
          </w:tcPr>
          <w:p w14:paraId="0E08E1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606" w:type="dxa"/>
            <w:gridSpan w:val="5"/>
            <w:shd w:val="clear" w:color="auto" w:fill="auto"/>
            <w:vAlign w:val="center"/>
          </w:tcPr>
          <w:p w14:paraId="1A8C3B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阜康市医疗保障局</w:t>
            </w:r>
          </w:p>
        </w:tc>
      </w:tr>
      <w:tr w14:paraId="02535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89" w:type="dxa"/>
            <w:gridSpan w:val="2"/>
            <w:vMerge w:val="restart"/>
            <w:shd w:val="clear" w:color="auto" w:fill="auto"/>
            <w:vAlign w:val="center"/>
          </w:tcPr>
          <w:p w14:paraId="792361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97" w:type="dxa"/>
            <w:gridSpan w:val="2"/>
            <w:shd w:val="clear" w:color="auto" w:fill="auto"/>
            <w:vAlign w:val="center"/>
          </w:tcPr>
          <w:p w14:paraId="7A83C9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67" w:type="dxa"/>
            <w:shd w:val="clear" w:color="auto" w:fill="auto"/>
            <w:vAlign w:val="center"/>
          </w:tcPr>
          <w:p w14:paraId="4F0209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30" w:type="dxa"/>
            <w:gridSpan w:val="2"/>
            <w:shd w:val="clear" w:color="auto" w:fill="auto"/>
            <w:vAlign w:val="center"/>
          </w:tcPr>
          <w:p w14:paraId="55DE6B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85" w:type="dxa"/>
            <w:gridSpan w:val="2"/>
            <w:shd w:val="clear" w:color="auto" w:fill="auto"/>
            <w:vAlign w:val="center"/>
          </w:tcPr>
          <w:p w14:paraId="016E20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167" w:type="dxa"/>
            <w:gridSpan w:val="2"/>
            <w:shd w:val="clear" w:color="auto" w:fill="auto"/>
            <w:vAlign w:val="center"/>
          </w:tcPr>
          <w:p w14:paraId="4B6EB6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31" w:type="dxa"/>
            <w:gridSpan w:val="2"/>
            <w:shd w:val="clear" w:color="auto" w:fill="auto"/>
            <w:vAlign w:val="center"/>
          </w:tcPr>
          <w:p w14:paraId="6FD93E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408" w:type="dxa"/>
            <w:shd w:val="clear" w:color="auto" w:fill="auto"/>
            <w:vAlign w:val="center"/>
          </w:tcPr>
          <w:p w14:paraId="131E4B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E853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89" w:type="dxa"/>
            <w:gridSpan w:val="2"/>
            <w:vMerge w:val="continue"/>
            <w:shd w:val="clear" w:color="auto" w:fill="auto"/>
            <w:vAlign w:val="center"/>
          </w:tcPr>
          <w:p w14:paraId="4A8497BF">
            <w:pPr>
              <w:jc w:val="center"/>
              <w:rPr>
                <w:rFonts w:hint="eastAsia" w:ascii="宋体" w:hAnsi="宋体" w:eastAsia="宋体" w:cs="宋体"/>
                <w:i w:val="0"/>
                <w:iCs w:val="0"/>
                <w:color w:val="000000"/>
                <w:sz w:val="20"/>
                <w:szCs w:val="20"/>
                <w:u w:val="none"/>
              </w:rPr>
            </w:pPr>
          </w:p>
        </w:tc>
        <w:tc>
          <w:tcPr>
            <w:tcW w:w="2197" w:type="dxa"/>
            <w:gridSpan w:val="2"/>
            <w:shd w:val="clear" w:color="auto" w:fill="auto"/>
            <w:vAlign w:val="center"/>
          </w:tcPr>
          <w:p w14:paraId="342294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67" w:type="dxa"/>
            <w:shd w:val="clear" w:color="auto" w:fill="auto"/>
            <w:vAlign w:val="center"/>
          </w:tcPr>
          <w:p w14:paraId="149CD0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1830" w:type="dxa"/>
            <w:gridSpan w:val="2"/>
            <w:shd w:val="clear" w:color="auto" w:fill="auto"/>
            <w:vAlign w:val="center"/>
          </w:tcPr>
          <w:p w14:paraId="06CEB1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50.00 </w:t>
            </w:r>
          </w:p>
        </w:tc>
        <w:tc>
          <w:tcPr>
            <w:tcW w:w="1985" w:type="dxa"/>
            <w:gridSpan w:val="2"/>
            <w:shd w:val="clear" w:color="auto" w:fill="auto"/>
            <w:vAlign w:val="center"/>
          </w:tcPr>
          <w:p w14:paraId="76483B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50.00 </w:t>
            </w:r>
          </w:p>
        </w:tc>
        <w:tc>
          <w:tcPr>
            <w:tcW w:w="2167" w:type="dxa"/>
            <w:gridSpan w:val="2"/>
            <w:shd w:val="clear" w:color="auto" w:fill="auto"/>
            <w:vAlign w:val="center"/>
          </w:tcPr>
          <w:p w14:paraId="3BDBFA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31" w:type="dxa"/>
            <w:gridSpan w:val="2"/>
            <w:shd w:val="clear" w:color="auto" w:fill="auto"/>
            <w:vAlign w:val="center"/>
          </w:tcPr>
          <w:p w14:paraId="755991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408" w:type="dxa"/>
            <w:shd w:val="clear" w:color="auto" w:fill="auto"/>
            <w:vAlign w:val="center"/>
          </w:tcPr>
          <w:p w14:paraId="3B4CEC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36802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89" w:type="dxa"/>
            <w:gridSpan w:val="2"/>
            <w:vMerge w:val="continue"/>
            <w:shd w:val="clear" w:color="auto" w:fill="auto"/>
            <w:vAlign w:val="center"/>
          </w:tcPr>
          <w:p w14:paraId="22C5835D">
            <w:pPr>
              <w:jc w:val="center"/>
              <w:rPr>
                <w:rFonts w:hint="eastAsia" w:ascii="宋体" w:hAnsi="宋体" w:eastAsia="宋体" w:cs="宋体"/>
                <w:i w:val="0"/>
                <w:iCs w:val="0"/>
                <w:color w:val="000000"/>
                <w:sz w:val="20"/>
                <w:szCs w:val="20"/>
                <w:u w:val="none"/>
              </w:rPr>
            </w:pPr>
          </w:p>
        </w:tc>
        <w:tc>
          <w:tcPr>
            <w:tcW w:w="2197" w:type="dxa"/>
            <w:gridSpan w:val="2"/>
            <w:shd w:val="clear" w:color="auto" w:fill="auto"/>
            <w:vAlign w:val="center"/>
          </w:tcPr>
          <w:p w14:paraId="787F0B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67" w:type="dxa"/>
            <w:shd w:val="clear" w:color="auto" w:fill="auto"/>
            <w:vAlign w:val="center"/>
          </w:tcPr>
          <w:p w14:paraId="4B2E8A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1830" w:type="dxa"/>
            <w:gridSpan w:val="2"/>
            <w:shd w:val="clear" w:color="auto" w:fill="auto"/>
            <w:vAlign w:val="center"/>
          </w:tcPr>
          <w:p w14:paraId="4E822F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50.00 </w:t>
            </w:r>
          </w:p>
        </w:tc>
        <w:tc>
          <w:tcPr>
            <w:tcW w:w="1985" w:type="dxa"/>
            <w:gridSpan w:val="2"/>
            <w:shd w:val="clear" w:color="auto" w:fill="auto"/>
            <w:vAlign w:val="center"/>
          </w:tcPr>
          <w:p w14:paraId="2DB47E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50.00 </w:t>
            </w:r>
          </w:p>
        </w:tc>
        <w:tc>
          <w:tcPr>
            <w:tcW w:w="2167" w:type="dxa"/>
            <w:gridSpan w:val="2"/>
            <w:shd w:val="clear" w:color="auto" w:fill="auto"/>
            <w:vAlign w:val="center"/>
          </w:tcPr>
          <w:p w14:paraId="483AE0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31" w:type="dxa"/>
            <w:gridSpan w:val="2"/>
            <w:shd w:val="clear" w:color="auto" w:fill="auto"/>
            <w:vAlign w:val="center"/>
          </w:tcPr>
          <w:p w14:paraId="148730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8" w:type="dxa"/>
            <w:shd w:val="clear" w:color="auto" w:fill="auto"/>
            <w:vAlign w:val="center"/>
          </w:tcPr>
          <w:p w14:paraId="7D14C6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6107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0" w:hRule="atLeast"/>
        </w:trPr>
        <w:tc>
          <w:tcPr>
            <w:tcW w:w="1389" w:type="dxa"/>
            <w:gridSpan w:val="2"/>
            <w:vMerge w:val="continue"/>
            <w:shd w:val="clear" w:color="auto" w:fill="auto"/>
            <w:vAlign w:val="center"/>
          </w:tcPr>
          <w:p w14:paraId="7060ED5D">
            <w:pPr>
              <w:jc w:val="center"/>
              <w:rPr>
                <w:rFonts w:hint="eastAsia" w:ascii="宋体" w:hAnsi="宋体" w:eastAsia="宋体" w:cs="宋体"/>
                <w:i w:val="0"/>
                <w:iCs w:val="0"/>
                <w:color w:val="000000"/>
                <w:sz w:val="20"/>
                <w:szCs w:val="20"/>
                <w:u w:val="none"/>
              </w:rPr>
            </w:pPr>
          </w:p>
        </w:tc>
        <w:tc>
          <w:tcPr>
            <w:tcW w:w="2197" w:type="dxa"/>
            <w:gridSpan w:val="2"/>
            <w:shd w:val="clear" w:color="auto" w:fill="auto"/>
            <w:vAlign w:val="center"/>
          </w:tcPr>
          <w:p w14:paraId="63369C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67" w:type="dxa"/>
            <w:shd w:val="clear" w:color="auto" w:fill="auto"/>
            <w:vAlign w:val="center"/>
          </w:tcPr>
          <w:p w14:paraId="0445EC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30" w:type="dxa"/>
            <w:gridSpan w:val="2"/>
            <w:shd w:val="clear" w:color="auto" w:fill="auto"/>
            <w:vAlign w:val="center"/>
          </w:tcPr>
          <w:p w14:paraId="59F168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85" w:type="dxa"/>
            <w:gridSpan w:val="2"/>
            <w:shd w:val="clear" w:color="auto" w:fill="auto"/>
            <w:vAlign w:val="center"/>
          </w:tcPr>
          <w:p w14:paraId="7AF5A4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67" w:type="dxa"/>
            <w:gridSpan w:val="2"/>
            <w:shd w:val="clear" w:color="auto" w:fill="auto"/>
            <w:vAlign w:val="center"/>
          </w:tcPr>
          <w:p w14:paraId="26DEB1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31" w:type="dxa"/>
            <w:gridSpan w:val="2"/>
            <w:shd w:val="clear" w:color="auto" w:fill="auto"/>
            <w:vAlign w:val="center"/>
          </w:tcPr>
          <w:p w14:paraId="3529A4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8" w:type="dxa"/>
            <w:shd w:val="clear" w:color="auto" w:fill="auto"/>
            <w:vAlign w:val="center"/>
          </w:tcPr>
          <w:p w14:paraId="0B0C2B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136F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94" w:type="dxa"/>
            <w:vMerge w:val="restart"/>
            <w:shd w:val="clear" w:color="auto" w:fill="auto"/>
            <w:vAlign w:val="center"/>
          </w:tcPr>
          <w:p w14:paraId="769913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874" w:type="dxa"/>
            <w:gridSpan w:val="8"/>
            <w:shd w:val="clear" w:color="auto" w:fill="auto"/>
            <w:vAlign w:val="center"/>
          </w:tcPr>
          <w:p w14:paraId="32BBFA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606" w:type="dxa"/>
            <w:gridSpan w:val="5"/>
            <w:shd w:val="clear" w:color="auto" w:fill="auto"/>
            <w:vAlign w:val="center"/>
          </w:tcPr>
          <w:p w14:paraId="268989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2DE10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694" w:type="dxa"/>
            <w:vMerge w:val="continue"/>
            <w:shd w:val="clear" w:color="auto" w:fill="auto"/>
            <w:vAlign w:val="center"/>
          </w:tcPr>
          <w:p w14:paraId="33AF059C">
            <w:pPr>
              <w:jc w:val="center"/>
              <w:rPr>
                <w:rFonts w:hint="eastAsia" w:ascii="宋体" w:hAnsi="宋体" w:eastAsia="宋体" w:cs="宋体"/>
                <w:i w:val="0"/>
                <w:iCs w:val="0"/>
                <w:color w:val="000000"/>
                <w:sz w:val="20"/>
                <w:szCs w:val="20"/>
                <w:u w:val="none"/>
              </w:rPr>
            </w:pPr>
          </w:p>
        </w:tc>
        <w:tc>
          <w:tcPr>
            <w:tcW w:w="7874" w:type="dxa"/>
            <w:gridSpan w:val="8"/>
            <w:shd w:val="clear" w:color="auto" w:fill="auto"/>
            <w:vAlign w:val="center"/>
          </w:tcPr>
          <w:p w14:paraId="57C7CE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计划严格落实市级离休老干医疗补助金相关政策，进一步规范医保基金的管理，强化财政支出绩效观念，提高资金使用效益。阜康市医疗保障局2023年使用该项目预算资金100万元，预计完成离休老干部医疗补助4人，报销次数20次左右，项目的实施预计让离休老干部们能及时享受住院和门诊报销医疗费用，减轻参保离休老干就医经济负担,缓解社会矛盾。确保参保离休老干们及时享受相关医疗待遇，提高离休老干部们的医疗补助满意度，使资金使用合理、合规，达到预期目标。</w:t>
            </w:r>
          </w:p>
        </w:tc>
        <w:tc>
          <w:tcPr>
            <w:tcW w:w="5606" w:type="dxa"/>
            <w:gridSpan w:val="5"/>
            <w:shd w:val="clear" w:color="auto" w:fill="auto"/>
            <w:vAlign w:val="center"/>
          </w:tcPr>
          <w:p w14:paraId="525BDB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4人离休老干部医疗补助，医疗补助次数达20次，报销完成率100%；住院费用20万元，门诊报销费用30万元，确保参保离休老干们及时享受相关医疗待遇，提高离休老干部们的医疗补助满意度，使资金使用合理、合规，达到离休老干部及时享受医疗待遇效益，减轻参保离休老干部就医经济负担,缓解社会矛盾满意度达100%。</w:t>
            </w:r>
          </w:p>
        </w:tc>
      </w:tr>
      <w:tr w14:paraId="43805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694" w:type="dxa"/>
            <w:shd w:val="clear" w:color="auto" w:fill="auto"/>
            <w:vAlign w:val="center"/>
          </w:tcPr>
          <w:p w14:paraId="0EA4A78B">
            <w:pPr>
              <w:jc w:val="center"/>
              <w:rPr>
                <w:rFonts w:hint="eastAsia" w:ascii="宋体" w:hAnsi="宋体" w:eastAsia="宋体" w:cs="宋体"/>
                <w:i w:val="0"/>
                <w:iCs w:val="0"/>
                <w:color w:val="000000"/>
                <w:sz w:val="20"/>
                <w:szCs w:val="20"/>
                <w:u w:val="none"/>
              </w:rPr>
            </w:pPr>
          </w:p>
        </w:tc>
        <w:tc>
          <w:tcPr>
            <w:tcW w:w="695" w:type="dxa"/>
            <w:shd w:val="clear" w:color="auto" w:fill="auto"/>
            <w:vAlign w:val="center"/>
          </w:tcPr>
          <w:p w14:paraId="05EDF0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03" w:type="dxa"/>
            <w:shd w:val="clear" w:color="auto" w:fill="auto"/>
            <w:vAlign w:val="center"/>
          </w:tcPr>
          <w:p w14:paraId="3D3068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94" w:type="dxa"/>
            <w:shd w:val="clear" w:color="auto" w:fill="auto"/>
            <w:vAlign w:val="center"/>
          </w:tcPr>
          <w:p w14:paraId="50642A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67" w:type="dxa"/>
            <w:shd w:val="clear" w:color="auto" w:fill="auto"/>
            <w:vAlign w:val="center"/>
          </w:tcPr>
          <w:p w14:paraId="4CD2D7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15" w:type="dxa"/>
            <w:shd w:val="clear" w:color="auto" w:fill="auto"/>
            <w:vAlign w:val="center"/>
          </w:tcPr>
          <w:p w14:paraId="7B72CE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15" w:type="dxa"/>
            <w:shd w:val="clear" w:color="auto" w:fill="auto"/>
            <w:vAlign w:val="center"/>
          </w:tcPr>
          <w:p w14:paraId="2BC752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92" w:type="dxa"/>
            <w:shd w:val="clear" w:color="auto" w:fill="auto"/>
            <w:vAlign w:val="center"/>
          </w:tcPr>
          <w:p w14:paraId="4F74D9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93" w:type="dxa"/>
            <w:shd w:val="clear" w:color="auto" w:fill="auto"/>
            <w:vAlign w:val="center"/>
          </w:tcPr>
          <w:p w14:paraId="5AE618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107" w:type="dxa"/>
            <w:shd w:val="clear" w:color="auto" w:fill="auto"/>
            <w:vAlign w:val="center"/>
          </w:tcPr>
          <w:p w14:paraId="0EDA35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60" w:type="dxa"/>
            <w:shd w:val="clear" w:color="auto" w:fill="auto"/>
            <w:vAlign w:val="center"/>
          </w:tcPr>
          <w:p w14:paraId="2CD6D5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73" w:type="dxa"/>
            <w:shd w:val="clear" w:color="auto" w:fill="auto"/>
            <w:vAlign w:val="center"/>
          </w:tcPr>
          <w:p w14:paraId="13B219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858" w:type="dxa"/>
            <w:shd w:val="clear" w:color="auto" w:fill="auto"/>
            <w:vAlign w:val="center"/>
          </w:tcPr>
          <w:p w14:paraId="287E07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408" w:type="dxa"/>
            <w:shd w:val="clear" w:color="auto" w:fill="auto"/>
            <w:vAlign w:val="center"/>
          </w:tcPr>
          <w:p w14:paraId="2E2709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620C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94" w:type="dxa"/>
            <w:vMerge w:val="restart"/>
            <w:shd w:val="clear" w:color="auto" w:fill="auto"/>
            <w:vAlign w:val="center"/>
          </w:tcPr>
          <w:p w14:paraId="403A71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95" w:type="dxa"/>
            <w:vMerge w:val="restart"/>
            <w:shd w:val="clear" w:color="auto" w:fill="auto"/>
            <w:vAlign w:val="center"/>
          </w:tcPr>
          <w:p w14:paraId="723465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03" w:type="dxa"/>
            <w:vMerge w:val="restart"/>
            <w:shd w:val="clear" w:color="auto" w:fill="auto"/>
            <w:vAlign w:val="center"/>
          </w:tcPr>
          <w:p w14:paraId="62645C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94" w:type="dxa"/>
            <w:shd w:val="clear" w:color="auto" w:fill="auto"/>
            <w:vAlign w:val="center"/>
          </w:tcPr>
          <w:p w14:paraId="21B59B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离休老干部医疗补助人数</w:t>
            </w:r>
          </w:p>
        </w:tc>
        <w:tc>
          <w:tcPr>
            <w:tcW w:w="1167" w:type="dxa"/>
            <w:shd w:val="clear" w:color="auto" w:fill="auto"/>
            <w:vAlign w:val="center"/>
          </w:tcPr>
          <w:p w14:paraId="733C0D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≤4人</w:t>
            </w:r>
          </w:p>
        </w:tc>
        <w:tc>
          <w:tcPr>
            <w:tcW w:w="915" w:type="dxa"/>
            <w:shd w:val="clear" w:color="auto" w:fill="auto"/>
            <w:vAlign w:val="center"/>
          </w:tcPr>
          <w:p w14:paraId="658069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5" w:type="dxa"/>
            <w:shd w:val="clear" w:color="auto" w:fill="auto"/>
            <w:vAlign w:val="center"/>
          </w:tcPr>
          <w:p w14:paraId="4C27A3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4人</w:t>
            </w:r>
          </w:p>
        </w:tc>
        <w:tc>
          <w:tcPr>
            <w:tcW w:w="992" w:type="dxa"/>
            <w:shd w:val="clear" w:color="auto" w:fill="auto"/>
            <w:vAlign w:val="center"/>
          </w:tcPr>
          <w:p w14:paraId="6049CC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93" w:type="dxa"/>
            <w:shd w:val="clear" w:color="auto" w:fill="auto"/>
            <w:vAlign w:val="center"/>
          </w:tcPr>
          <w:p w14:paraId="2692D3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07" w:type="dxa"/>
            <w:shd w:val="clear" w:color="auto" w:fill="auto"/>
            <w:vAlign w:val="center"/>
          </w:tcPr>
          <w:p w14:paraId="38B60D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60" w:type="dxa"/>
            <w:shd w:val="clear" w:color="auto" w:fill="auto"/>
            <w:vAlign w:val="center"/>
          </w:tcPr>
          <w:p w14:paraId="3F50AB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4人</w:t>
            </w:r>
          </w:p>
        </w:tc>
        <w:tc>
          <w:tcPr>
            <w:tcW w:w="1173" w:type="dxa"/>
            <w:shd w:val="clear" w:color="auto" w:fill="auto"/>
            <w:vAlign w:val="center"/>
          </w:tcPr>
          <w:p w14:paraId="22D9B3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8" w:type="dxa"/>
            <w:shd w:val="clear" w:color="auto" w:fill="auto"/>
            <w:vAlign w:val="center"/>
          </w:tcPr>
          <w:p w14:paraId="685FDA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08" w:type="dxa"/>
            <w:shd w:val="clear" w:color="auto" w:fill="auto"/>
            <w:vAlign w:val="center"/>
          </w:tcPr>
          <w:p w14:paraId="42C93FA5">
            <w:pPr>
              <w:jc w:val="center"/>
              <w:rPr>
                <w:rFonts w:hint="eastAsia" w:ascii="宋体" w:hAnsi="宋体" w:eastAsia="宋体" w:cs="宋体"/>
                <w:i w:val="0"/>
                <w:iCs w:val="0"/>
                <w:color w:val="000000"/>
                <w:sz w:val="20"/>
                <w:szCs w:val="20"/>
                <w:u w:val="none"/>
              </w:rPr>
            </w:pPr>
          </w:p>
        </w:tc>
      </w:tr>
      <w:tr w14:paraId="32B13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94" w:type="dxa"/>
            <w:vMerge w:val="continue"/>
            <w:shd w:val="clear" w:color="auto" w:fill="auto"/>
            <w:vAlign w:val="center"/>
          </w:tcPr>
          <w:p w14:paraId="4B91EAB0">
            <w:pPr>
              <w:jc w:val="center"/>
              <w:rPr>
                <w:rFonts w:hint="eastAsia" w:ascii="宋体" w:hAnsi="宋体" w:eastAsia="宋体" w:cs="宋体"/>
                <w:i w:val="0"/>
                <w:iCs w:val="0"/>
                <w:color w:val="000000"/>
                <w:sz w:val="20"/>
                <w:szCs w:val="20"/>
                <w:u w:val="none"/>
              </w:rPr>
            </w:pPr>
          </w:p>
        </w:tc>
        <w:tc>
          <w:tcPr>
            <w:tcW w:w="695" w:type="dxa"/>
            <w:vMerge w:val="continue"/>
            <w:shd w:val="clear" w:color="auto" w:fill="auto"/>
            <w:vAlign w:val="center"/>
          </w:tcPr>
          <w:p w14:paraId="660A7552">
            <w:pPr>
              <w:jc w:val="center"/>
              <w:rPr>
                <w:rFonts w:hint="eastAsia" w:ascii="宋体" w:hAnsi="宋体" w:eastAsia="宋体" w:cs="宋体"/>
                <w:i w:val="0"/>
                <w:iCs w:val="0"/>
                <w:color w:val="000000"/>
                <w:sz w:val="20"/>
                <w:szCs w:val="20"/>
                <w:u w:val="none"/>
              </w:rPr>
            </w:pPr>
          </w:p>
        </w:tc>
        <w:tc>
          <w:tcPr>
            <w:tcW w:w="903" w:type="dxa"/>
            <w:vMerge w:val="continue"/>
            <w:shd w:val="clear" w:color="auto" w:fill="auto"/>
            <w:vAlign w:val="center"/>
          </w:tcPr>
          <w:p w14:paraId="2375FA72">
            <w:pPr>
              <w:jc w:val="center"/>
              <w:rPr>
                <w:rFonts w:hint="eastAsia" w:ascii="宋体" w:hAnsi="宋体" w:eastAsia="宋体" w:cs="宋体"/>
                <w:i w:val="0"/>
                <w:iCs w:val="0"/>
                <w:color w:val="000000"/>
                <w:sz w:val="20"/>
                <w:szCs w:val="20"/>
                <w:u w:val="none"/>
              </w:rPr>
            </w:pPr>
          </w:p>
        </w:tc>
        <w:tc>
          <w:tcPr>
            <w:tcW w:w="1294" w:type="dxa"/>
            <w:shd w:val="clear" w:color="auto" w:fill="auto"/>
            <w:vAlign w:val="center"/>
          </w:tcPr>
          <w:p w14:paraId="4F13BC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离休老干部医疗补助次数</w:t>
            </w:r>
          </w:p>
        </w:tc>
        <w:tc>
          <w:tcPr>
            <w:tcW w:w="1167" w:type="dxa"/>
            <w:shd w:val="clear" w:color="auto" w:fill="auto"/>
            <w:vAlign w:val="center"/>
          </w:tcPr>
          <w:p w14:paraId="1F96A0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915" w:type="dxa"/>
            <w:shd w:val="clear" w:color="auto" w:fill="auto"/>
            <w:vAlign w:val="center"/>
          </w:tcPr>
          <w:p w14:paraId="5A30B8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5" w:type="dxa"/>
            <w:shd w:val="clear" w:color="auto" w:fill="auto"/>
            <w:vAlign w:val="center"/>
          </w:tcPr>
          <w:p w14:paraId="06AF31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992" w:type="dxa"/>
            <w:shd w:val="clear" w:color="auto" w:fill="auto"/>
            <w:vAlign w:val="center"/>
          </w:tcPr>
          <w:p w14:paraId="15ED9F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93" w:type="dxa"/>
            <w:shd w:val="clear" w:color="auto" w:fill="auto"/>
            <w:vAlign w:val="center"/>
          </w:tcPr>
          <w:p w14:paraId="5079F4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07" w:type="dxa"/>
            <w:shd w:val="clear" w:color="auto" w:fill="auto"/>
            <w:vAlign w:val="center"/>
          </w:tcPr>
          <w:p w14:paraId="7F3ACE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60" w:type="dxa"/>
            <w:shd w:val="clear" w:color="auto" w:fill="auto"/>
            <w:vAlign w:val="center"/>
          </w:tcPr>
          <w:p w14:paraId="38AD47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1173" w:type="dxa"/>
            <w:shd w:val="clear" w:color="auto" w:fill="auto"/>
            <w:vAlign w:val="center"/>
          </w:tcPr>
          <w:p w14:paraId="1FB310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8" w:type="dxa"/>
            <w:shd w:val="clear" w:color="auto" w:fill="auto"/>
            <w:vAlign w:val="center"/>
          </w:tcPr>
          <w:p w14:paraId="7F0DFE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08" w:type="dxa"/>
            <w:shd w:val="clear" w:color="auto" w:fill="auto"/>
            <w:vAlign w:val="center"/>
          </w:tcPr>
          <w:p w14:paraId="55D3C590">
            <w:pPr>
              <w:jc w:val="center"/>
              <w:rPr>
                <w:rFonts w:hint="eastAsia" w:ascii="宋体" w:hAnsi="宋体" w:eastAsia="宋体" w:cs="宋体"/>
                <w:i w:val="0"/>
                <w:iCs w:val="0"/>
                <w:color w:val="000000"/>
                <w:sz w:val="20"/>
                <w:szCs w:val="20"/>
                <w:u w:val="none"/>
              </w:rPr>
            </w:pPr>
          </w:p>
        </w:tc>
      </w:tr>
      <w:tr w14:paraId="57F15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94" w:type="dxa"/>
            <w:vMerge w:val="continue"/>
            <w:shd w:val="clear" w:color="auto" w:fill="auto"/>
            <w:vAlign w:val="center"/>
          </w:tcPr>
          <w:p w14:paraId="4D52550C">
            <w:pPr>
              <w:jc w:val="center"/>
              <w:rPr>
                <w:rFonts w:hint="eastAsia" w:ascii="宋体" w:hAnsi="宋体" w:eastAsia="宋体" w:cs="宋体"/>
                <w:i w:val="0"/>
                <w:iCs w:val="0"/>
                <w:color w:val="000000"/>
                <w:sz w:val="20"/>
                <w:szCs w:val="20"/>
                <w:u w:val="none"/>
              </w:rPr>
            </w:pPr>
          </w:p>
        </w:tc>
        <w:tc>
          <w:tcPr>
            <w:tcW w:w="695" w:type="dxa"/>
            <w:vMerge w:val="continue"/>
            <w:shd w:val="clear" w:color="auto" w:fill="auto"/>
            <w:vAlign w:val="center"/>
          </w:tcPr>
          <w:p w14:paraId="44F2D339">
            <w:pPr>
              <w:jc w:val="center"/>
              <w:rPr>
                <w:rFonts w:hint="eastAsia" w:ascii="宋体" w:hAnsi="宋体" w:eastAsia="宋体" w:cs="宋体"/>
                <w:i w:val="0"/>
                <w:iCs w:val="0"/>
                <w:color w:val="000000"/>
                <w:sz w:val="20"/>
                <w:szCs w:val="20"/>
                <w:u w:val="none"/>
              </w:rPr>
            </w:pPr>
          </w:p>
        </w:tc>
        <w:tc>
          <w:tcPr>
            <w:tcW w:w="903" w:type="dxa"/>
            <w:vMerge w:val="restart"/>
            <w:shd w:val="clear" w:color="auto" w:fill="auto"/>
            <w:vAlign w:val="center"/>
          </w:tcPr>
          <w:p w14:paraId="13E866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94" w:type="dxa"/>
            <w:shd w:val="clear" w:color="auto" w:fill="auto"/>
            <w:vAlign w:val="center"/>
          </w:tcPr>
          <w:p w14:paraId="0074DB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离休老干部费用报销比例</w:t>
            </w:r>
          </w:p>
        </w:tc>
        <w:tc>
          <w:tcPr>
            <w:tcW w:w="1167" w:type="dxa"/>
            <w:shd w:val="clear" w:color="auto" w:fill="auto"/>
            <w:vAlign w:val="center"/>
          </w:tcPr>
          <w:p w14:paraId="22536E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15" w:type="dxa"/>
            <w:shd w:val="clear" w:color="auto" w:fill="auto"/>
            <w:vAlign w:val="center"/>
          </w:tcPr>
          <w:p w14:paraId="3D7711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5" w:type="dxa"/>
            <w:shd w:val="clear" w:color="auto" w:fill="auto"/>
            <w:vAlign w:val="center"/>
          </w:tcPr>
          <w:p w14:paraId="39A34A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92" w:type="dxa"/>
            <w:shd w:val="clear" w:color="auto" w:fill="auto"/>
            <w:vAlign w:val="center"/>
          </w:tcPr>
          <w:p w14:paraId="2D89E7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93" w:type="dxa"/>
            <w:shd w:val="clear" w:color="auto" w:fill="auto"/>
            <w:vAlign w:val="center"/>
          </w:tcPr>
          <w:p w14:paraId="3C5774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07" w:type="dxa"/>
            <w:shd w:val="clear" w:color="auto" w:fill="auto"/>
            <w:vAlign w:val="center"/>
          </w:tcPr>
          <w:p w14:paraId="12BBED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60" w:type="dxa"/>
            <w:shd w:val="clear" w:color="auto" w:fill="auto"/>
            <w:vAlign w:val="center"/>
          </w:tcPr>
          <w:p w14:paraId="68C4D9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3" w:type="dxa"/>
            <w:shd w:val="clear" w:color="auto" w:fill="auto"/>
            <w:vAlign w:val="center"/>
          </w:tcPr>
          <w:p w14:paraId="05856B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8" w:type="dxa"/>
            <w:shd w:val="clear" w:color="auto" w:fill="auto"/>
            <w:vAlign w:val="center"/>
          </w:tcPr>
          <w:p w14:paraId="6421C4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08" w:type="dxa"/>
            <w:shd w:val="clear" w:color="auto" w:fill="auto"/>
            <w:vAlign w:val="center"/>
          </w:tcPr>
          <w:p w14:paraId="1A0BC9D0">
            <w:pPr>
              <w:jc w:val="center"/>
              <w:rPr>
                <w:rFonts w:hint="eastAsia" w:ascii="宋体" w:hAnsi="宋体" w:eastAsia="宋体" w:cs="宋体"/>
                <w:i w:val="0"/>
                <w:iCs w:val="0"/>
                <w:color w:val="000000"/>
                <w:sz w:val="20"/>
                <w:szCs w:val="20"/>
                <w:u w:val="none"/>
              </w:rPr>
            </w:pPr>
          </w:p>
        </w:tc>
      </w:tr>
      <w:tr w14:paraId="77508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94" w:type="dxa"/>
            <w:vMerge w:val="continue"/>
            <w:shd w:val="clear" w:color="auto" w:fill="auto"/>
            <w:vAlign w:val="center"/>
          </w:tcPr>
          <w:p w14:paraId="18718385">
            <w:pPr>
              <w:jc w:val="center"/>
              <w:rPr>
                <w:rFonts w:hint="eastAsia" w:ascii="宋体" w:hAnsi="宋体" w:eastAsia="宋体" w:cs="宋体"/>
                <w:i w:val="0"/>
                <w:iCs w:val="0"/>
                <w:color w:val="000000"/>
                <w:sz w:val="20"/>
                <w:szCs w:val="20"/>
                <w:u w:val="none"/>
              </w:rPr>
            </w:pPr>
          </w:p>
        </w:tc>
        <w:tc>
          <w:tcPr>
            <w:tcW w:w="695" w:type="dxa"/>
            <w:vMerge w:val="continue"/>
            <w:shd w:val="clear" w:color="auto" w:fill="auto"/>
            <w:vAlign w:val="center"/>
          </w:tcPr>
          <w:p w14:paraId="6301AE44">
            <w:pPr>
              <w:jc w:val="center"/>
              <w:rPr>
                <w:rFonts w:hint="eastAsia" w:ascii="宋体" w:hAnsi="宋体" w:eastAsia="宋体" w:cs="宋体"/>
                <w:i w:val="0"/>
                <w:iCs w:val="0"/>
                <w:color w:val="000000"/>
                <w:sz w:val="20"/>
                <w:szCs w:val="20"/>
                <w:u w:val="none"/>
              </w:rPr>
            </w:pPr>
          </w:p>
        </w:tc>
        <w:tc>
          <w:tcPr>
            <w:tcW w:w="903" w:type="dxa"/>
            <w:vMerge w:val="continue"/>
            <w:shd w:val="clear" w:color="auto" w:fill="auto"/>
            <w:vAlign w:val="center"/>
          </w:tcPr>
          <w:p w14:paraId="0D1FC6EC">
            <w:pPr>
              <w:jc w:val="center"/>
              <w:rPr>
                <w:rFonts w:hint="eastAsia" w:ascii="宋体" w:hAnsi="宋体" w:eastAsia="宋体" w:cs="宋体"/>
                <w:i w:val="0"/>
                <w:iCs w:val="0"/>
                <w:color w:val="000000"/>
                <w:sz w:val="20"/>
                <w:szCs w:val="20"/>
                <w:u w:val="none"/>
              </w:rPr>
            </w:pPr>
          </w:p>
        </w:tc>
        <w:tc>
          <w:tcPr>
            <w:tcW w:w="1294" w:type="dxa"/>
            <w:shd w:val="clear" w:color="auto" w:fill="auto"/>
            <w:vAlign w:val="center"/>
          </w:tcPr>
          <w:p w14:paraId="058819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离休老干部医疗补助报销及时率</w:t>
            </w:r>
          </w:p>
        </w:tc>
        <w:tc>
          <w:tcPr>
            <w:tcW w:w="1167" w:type="dxa"/>
            <w:shd w:val="clear" w:color="auto" w:fill="auto"/>
            <w:vAlign w:val="center"/>
          </w:tcPr>
          <w:p w14:paraId="24ABBD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15" w:type="dxa"/>
            <w:shd w:val="clear" w:color="auto" w:fill="auto"/>
            <w:vAlign w:val="center"/>
          </w:tcPr>
          <w:p w14:paraId="171D32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5" w:type="dxa"/>
            <w:shd w:val="clear" w:color="auto" w:fill="auto"/>
            <w:vAlign w:val="center"/>
          </w:tcPr>
          <w:p w14:paraId="1887C7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92" w:type="dxa"/>
            <w:shd w:val="clear" w:color="auto" w:fill="auto"/>
            <w:vAlign w:val="center"/>
          </w:tcPr>
          <w:p w14:paraId="4A2F5D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93" w:type="dxa"/>
            <w:shd w:val="clear" w:color="auto" w:fill="auto"/>
            <w:vAlign w:val="center"/>
          </w:tcPr>
          <w:p w14:paraId="66F95D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07" w:type="dxa"/>
            <w:shd w:val="clear" w:color="auto" w:fill="auto"/>
            <w:vAlign w:val="center"/>
          </w:tcPr>
          <w:p w14:paraId="734005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60" w:type="dxa"/>
            <w:shd w:val="clear" w:color="auto" w:fill="auto"/>
            <w:vAlign w:val="center"/>
          </w:tcPr>
          <w:p w14:paraId="656470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3" w:type="dxa"/>
            <w:shd w:val="clear" w:color="auto" w:fill="auto"/>
            <w:vAlign w:val="center"/>
          </w:tcPr>
          <w:p w14:paraId="46509B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8" w:type="dxa"/>
            <w:shd w:val="clear" w:color="auto" w:fill="auto"/>
            <w:vAlign w:val="center"/>
          </w:tcPr>
          <w:p w14:paraId="5F39B1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08" w:type="dxa"/>
            <w:shd w:val="clear" w:color="auto" w:fill="auto"/>
            <w:vAlign w:val="center"/>
          </w:tcPr>
          <w:p w14:paraId="0F47D567">
            <w:pPr>
              <w:jc w:val="center"/>
              <w:rPr>
                <w:rFonts w:hint="eastAsia" w:ascii="宋体" w:hAnsi="宋体" w:eastAsia="宋体" w:cs="宋体"/>
                <w:i w:val="0"/>
                <w:iCs w:val="0"/>
                <w:color w:val="000000"/>
                <w:sz w:val="20"/>
                <w:szCs w:val="20"/>
                <w:u w:val="none"/>
              </w:rPr>
            </w:pPr>
          </w:p>
        </w:tc>
      </w:tr>
      <w:tr w14:paraId="0C651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94" w:type="dxa"/>
            <w:vMerge w:val="continue"/>
            <w:shd w:val="clear" w:color="auto" w:fill="auto"/>
            <w:vAlign w:val="center"/>
          </w:tcPr>
          <w:p w14:paraId="20E10607">
            <w:pPr>
              <w:jc w:val="center"/>
              <w:rPr>
                <w:rFonts w:hint="eastAsia" w:ascii="宋体" w:hAnsi="宋体" w:eastAsia="宋体" w:cs="宋体"/>
                <w:i w:val="0"/>
                <w:iCs w:val="0"/>
                <w:color w:val="000000"/>
                <w:sz w:val="20"/>
                <w:szCs w:val="20"/>
                <w:u w:val="none"/>
              </w:rPr>
            </w:pPr>
          </w:p>
        </w:tc>
        <w:tc>
          <w:tcPr>
            <w:tcW w:w="695" w:type="dxa"/>
            <w:vMerge w:val="continue"/>
            <w:shd w:val="clear" w:color="auto" w:fill="auto"/>
            <w:vAlign w:val="center"/>
          </w:tcPr>
          <w:p w14:paraId="39495A98">
            <w:pPr>
              <w:jc w:val="center"/>
              <w:rPr>
                <w:rFonts w:hint="eastAsia" w:ascii="宋体" w:hAnsi="宋体" w:eastAsia="宋体" w:cs="宋体"/>
                <w:i w:val="0"/>
                <w:iCs w:val="0"/>
                <w:color w:val="000000"/>
                <w:sz w:val="20"/>
                <w:szCs w:val="20"/>
                <w:u w:val="none"/>
              </w:rPr>
            </w:pPr>
          </w:p>
        </w:tc>
        <w:tc>
          <w:tcPr>
            <w:tcW w:w="903" w:type="dxa"/>
            <w:vMerge w:val="restart"/>
            <w:shd w:val="clear" w:color="auto" w:fill="auto"/>
            <w:vAlign w:val="center"/>
          </w:tcPr>
          <w:p w14:paraId="1506C0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94" w:type="dxa"/>
            <w:shd w:val="clear" w:color="auto" w:fill="auto"/>
            <w:vAlign w:val="center"/>
          </w:tcPr>
          <w:p w14:paraId="591A59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离休老干部医疗补助开始时间</w:t>
            </w:r>
          </w:p>
        </w:tc>
        <w:tc>
          <w:tcPr>
            <w:tcW w:w="1167" w:type="dxa"/>
            <w:shd w:val="clear" w:color="auto" w:fill="auto"/>
            <w:vAlign w:val="center"/>
          </w:tcPr>
          <w:p w14:paraId="1AD448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w:t>
            </w:r>
          </w:p>
        </w:tc>
        <w:tc>
          <w:tcPr>
            <w:tcW w:w="915" w:type="dxa"/>
            <w:shd w:val="clear" w:color="auto" w:fill="auto"/>
            <w:vAlign w:val="center"/>
          </w:tcPr>
          <w:p w14:paraId="263943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5" w:type="dxa"/>
            <w:shd w:val="clear" w:color="auto" w:fill="auto"/>
            <w:vAlign w:val="center"/>
          </w:tcPr>
          <w:p w14:paraId="077A85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2022年1月</w:t>
            </w:r>
          </w:p>
        </w:tc>
        <w:tc>
          <w:tcPr>
            <w:tcW w:w="992" w:type="dxa"/>
            <w:shd w:val="clear" w:color="auto" w:fill="auto"/>
            <w:vAlign w:val="center"/>
          </w:tcPr>
          <w:p w14:paraId="4D06CC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93" w:type="dxa"/>
            <w:shd w:val="clear" w:color="auto" w:fill="auto"/>
            <w:vAlign w:val="center"/>
          </w:tcPr>
          <w:p w14:paraId="340352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07" w:type="dxa"/>
            <w:shd w:val="clear" w:color="auto" w:fill="auto"/>
            <w:vAlign w:val="center"/>
          </w:tcPr>
          <w:p w14:paraId="169998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60" w:type="dxa"/>
            <w:shd w:val="clear" w:color="auto" w:fill="auto"/>
            <w:vAlign w:val="center"/>
          </w:tcPr>
          <w:p w14:paraId="39E2F8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w:t>
            </w:r>
          </w:p>
        </w:tc>
        <w:tc>
          <w:tcPr>
            <w:tcW w:w="1173" w:type="dxa"/>
            <w:shd w:val="clear" w:color="auto" w:fill="auto"/>
            <w:vAlign w:val="center"/>
          </w:tcPr>
          <w:p w14:paraId="3DBB3E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8" w:type="dxa"/>
            <w:shd w:val="clear" w:color="auto" w:fill="auto"/>
            <w:vAlign w:val="center"/>
          </w:tcPr>
          <w:p w14:paraId="569DBB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08" w:type="dxa"/>
            <w:shd w:val="clear" w:color="auto" w:fill="auto"/>
            <w:vAlign w:val="center"/>
          </w:tcPr>
          <w:p w14:paraId="2E6B9AD8">
            <w:pPr>
              <w:jc w:val="center"/>
              <w:rPr>
                <w:rFonts w:hint="eastAsia" w:ascii="宋体" w:hAnsi="宋体" w:eastAsia="宋体" w:cs="宋体"/>
                <w:i w:val="0"/>
                <w:iCs w:val="0"/>
                <w:color w:val="000000"/>
                <w:sz w:val="20"/>
                <w:szCs w:val="20"/>
                <w:u w:val="none"/>
              </w:rPr>
            </w:pPr>
          </w:p>
        </w:tc>
      </w:tr>
      <w:tr w14:paraId="2A315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94" w:type="dxa"/>
            <w:vMerge w:val="continue"/>
            <w:shd w:val="clear" w:color="auto" w:fill="auto"/>
            <w:vAlign w:val="center"/>
          </w:tcPr>
          <w:p w14:paraId="0B8FEDEB">
            <w:pPr>
              <w:jc w:val="center"/>
              <w:rPr>
                <w:rFonts w:hint="eastAsia" w:ascii="宋体" w:hAnsi="宋体" w:eastAsia="宋体" w:cs="宋体"/>
                <w:i w:val="0"/>
                <w:iCs w:val="0"/>
                <w:color w:val="000000"/>
                <w:sz w:val="20"/>
                <w:szCs w:val="20"/>
                <w:u w:val="none"/>
              </w:rPr>
            </w:pPr>
          </w:p>
        </w:tc>
        <w:tc>
          <w:tcPr>
            <w:tcW w:w="695" w:type="dxa"/>
            <w:vMerge w:val="continue"/>
            <w:shd w:val="clear" w:color="auto" w:fill="auto"/>
            <w:vAlign w:val="center"/>
          </w:tcPr>
          <w:p w14:paraId="052268E2">
            <w:pPr>
              <w:jc w:val="center"/>
              <w:rPr>
                <w:rFonts w:hint="eastAsia" w:ascii="宋体" w:hAnsi="宋体" w:eastAsia="宋体" w:cs="宋体"/>
                <w:i w:val="0"/>
                <w:iCs w:val="0"/>
                <w:color w:val="000000"/>
                <w:sz w:val="20"/>
                <w:szCs w:val="20"/>
                <w:u w:val="none"/>
              </w:rPr>
            </w:pPr>
          </w:p>
        </w:tc>
        <w:tc>
          <w:tcPr>
            <w:tcW w:w="903" w:type="dxa"/>
            <w:vMerge w:val="continue"/>
            <w:shd w:val="clear" w:color="auto" w:fill="auto"/>
            <w:vAlign w:val="center"/>
          </w:tcPr>
          <w:p w14:paraId="29D0A9A3">
            <w:pPr>
              <w:jc w:val="center"/>
              <w:rPr>
                <w:rFonts w:hint="eastAsia" w:ascii="宋体" w:hAnsi="宋体" w:eastAsia="宋体" w:cs="宋体"/>
                <w:i w:val="0"/>
                <w:iCs w:val="0"/>
                <w:color w:val="000000"/>
                <w:sz w:val="20"/>
                <w:szCs w:val="20"/>
                <w:u w:val="none"/>
              </w:rPr>
            </w:pPr>
          </w:p>
        </w:tc>
        <w:tc>
          <w:tcPr>
            <w:tcW w:w="1294" w:type="dxa"/>
            <w:shd w:val="clear" w:color="auto" w:fill="auto"/>
            <w:vAlign w:val="center"/>
          </w:tcPr>
          <w:p w14:paraId="4EB964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离休老干部医疗补助截止时间</w:t>
            </w:r>
          </w:p>
        </w:tc>
        <w:tc>
          <w:tcPr>
            <w:tcW w:w="1167" w:type="dxa"/>
            <w:shd w:val="clear" w:color="auto" w:fill="auto"/>
            <w:vAlign w:val="center"/>
          </w:tcPr>
          <w:p w14:paraId="45CF3D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w:t>
            </w:r>
          </w:p>
        </w:tc>
        <w:tc>
          <w:tcPr>
            <w:tcW w:w="915" w:type="dxa"/>
            <w:shd w:val="clear" w:color="auto" w:fill="auto"/>
            <w:vAlign w:val="center"/>
          </w:tcPr>
          <w:p w14:paraId="0336E5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5" w:type="dxa"/>
            <w:shd w:val="clear" w:color="auto" w:fill="auto"/>
            <w:vAlign w:val="center"/>
          </w:tcPr>
          <w:p w14:paraId="629FB8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2022年12月</w:t>
            </w:r>
          </w:p>
        </w:tc>
        <w:tc>
          <w:tcPr>
            <w:tcW w:w="992" w:type="dxa"/>
            <w:shd w:val="clear" w:color="auto" w:fill="auto"/>
            <w:vAlign w:val="center"/>
          </w:tcPr>
          <w:p w14:paraId="49E033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93" w:type="dxa"/>
            <w:shd w:val="clear" w:color="auto" w:fill="auto"/>
            <w:vAlign w:val="center"/>
          </w:tcPr>
          <w:p w14:paraId="2A20E6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07" w:type="dxa"/>
            <w:shd w:val="clear" w:color="auto" w:fill="auto"/>
            <w:vAlign w:val="center"/>
          </w:tcPr>
          <w:p w14:paraId="139DC6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60" w:type="dxa"/>
            <w:shd w:val="clear" w:color="auto" w:fill="auto"/>
            <w:vAlign w:val="center"/>
          </w:tcPr>
          <w:p w14:paraId="51AF96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w:t>
            </w:r>
          </w:p>
        </w:tc>
        <w:tc>
          <w:tcPr>
            <w:tcW w:w="1173" w:type="dxa"/>
            <w:shd w:val="clear" w:color="auto" w:fill="auto"/>
            <w:vAlign w:val="center"/>
          </w:tcPr>
          <w:p w14:paraId="32C0AF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8" w:type="dxa"/>
            <w:shd w:val="clear" w:color="auto" w:fill="auto"/>
            <w:vAlign w:val="center"/>
          </w:tcPr>
          <w:p w14:paraId="733AFC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08" w:type="dxa"/>
            <w:shd w:val="clear" w:color="auto" w:fill="auto"/>
            <w:vAlign w:val="center"/>
          </w:tcPr>
          <w:p w14:paraId="4265A6E1">
            <w:pPr>
              <w:jc w:val="center"/>
              <w:rPr>
                <w:rFonts w:hint="eastAsia" w:ascii="宋体" w:hAnsi="宋体" w:eastAsia="宋体" w:cs="宋体"/>
                <w:i w:val="0"/>
                <w:iCs w:val="0"/>
                <w:color w:val="000000"/>
                <w:sz w:val="20"/>
                <w:szCs w:val="20"/>
                <w:u w:val="none"/>
              </w:rPr>
            </w:pPr>
          </w:p>
        </w:tc>
      </w:tr>
      <w:tr w14:paraId="7193D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94" w:type="dxa"/>
            <w:vMerge w:val="continue"/>
            <w:shd w:val="clear" w:color="auto" w:fill="auto"/>
            <w:vAlign w:val="center"/>
          </w:tcPr>
          <w:p w14:paraId="1AEAE2A9">
            <w:pPr>
              <w:jc w:val="center"/>
              <w:rPr>
                <w:rFonts w:hint="eastAsia" w:ascii="宋体" w:hAnsi="宋体" w:eastAsia="宋体" w:cs="宋体"/>
                <w:i w:val="0"/>
                <w:iCs w:val="0"/>
                <w:color w:val="000000"/>
                <w:sz w:val="20"/>
                <w:szCs w:val="20"/>
                <w:u w:val="none"/>
              </w:rPr>
            </w:pPr>
          </w:p>
        </w:tc>
        <w:tc>
          <w:tcPr>
            <w:tcW w:w="695" w:type="dxa"/>
            <w:vMerge w:val="restart"/>
            <w:shd w:val="clear" w:color="auto" w:fill="auto"/>
            <w:vAlign w:val="center"/>
          </w:tcPr>
          <w:p w14:paraId="106C6A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03" w:type="dxa"/>
            <w:vMerge w:val="restart"/>
            <w:shd w:val="clear" w:color="auto" w:fill="auto"/>
            <w:vAlign w:val="center"/>
          </w:tcPr>
          <w:p w14:paraId="6FD57A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94" w:type="dxa"/>
            <w:shd w:val="clear" w:color="auto" w:fill="auto"/>
            <w:vAlign w:val="center"/>
          </w:tcPr>
          <w:p w14:paraId="064D87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离休老干部住院报销费用</w:t>
            </w:r>
          </w:p>
        </w:tc>
        <w:tc>
          <w:tcPr>
            <w:tcW w:w="1167" w:type="dxa"/>
            <w:shd w:val="clear" w:color="auto" w:fill="auto"/>
            <w:vAlign w:val="center"/>
          </w:tcPr>
          <w:p w14:paraId="5A5615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≤20万元</w:t>
            </w:r>
          </w:p>
        </w:tc>
        <w:tc>
          <w:tcPr>
            <w:tcW w:w="915" w:type="dxa"/>
            <w:shd w:val="clear" w:color="auto" w:fill="auto"/>
            <w:vAlign w:val="center"/>
          </w:tcPr>
          <w:p w14:paraId="455CBF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915" w:type="dxa"/>
            <w:shd w:val="clear" w:color="auto" w:fill="auto"/>
            <w:vAlign w:val="center"/>
          </w:tcPr>
          <w:p w14:paraId="110F5A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65万元</w:t>
            </w:r>
          </w:p>
        </w:tc>
        <w:tc>
          <w:tcPr>
            <w:tcW w:w="992" w:type="dxa"/>
            <w:shd w:val="clear" w:color="auto" w:fill="auto"/>
            <w:vAlign w:val="center"/>
          </w:tcPr>
          <w:p w14:paraId="159680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93" w:type="dxa"/>
            <w:shd w:val="clear" w:color="auto" w:fill="auto"/>
            <w:vAlign w:val="center"/>
          </w:tcPr>
          <w:p w14:paraId="5EBFA6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07" w:type="dxa"/>
            <w:shd w:val="clear" w:color="auto" w:fill="auto"/>
            <w:vAlign w:val="center"/>
          </w:tcPr>
          <w:p w14:paraId="0315E4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60" w:type="dxa"/>
            <w:shd w:val="clear" w:color="auto" w:fill="auto"/>
            <w:vAlign w:val="center"/>
          </w:tcPr>
          <w:p w14:paraId="17F892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20万元</w:t>
            </w:r>
          </w:p>
        </w:tc>
        <w:tc>
          <w:tcPr>
            <w:tcW w:w="1173" w:type="dxa"/>
            <w:shd w:val="clear" w:color="auto" w:fill="auto"/>
            <w:vAlign w:val="center"/>
          </w:tcPr>
          <w:p w14:paraId="53C03A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8" w:type="dxa"/>
            <w:shd w:val="clear" w:color="auto" w:fill="auto"/>
            <w:vAlign w:val="center"/>
          </w:tcPr>
          <w:p w14:paraId="2D1325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08" w:type="dxa"/>
            <w:shd w:val="clear" w:color="auto" w:fill="auto"/>
            <w:vAlign w:val="center"/>
          </w:tcPr>
          <w:p w14:paraId="54AB2774">
            <w:pPr>
              <w:jc w:val="center"/>
              <w:rPr>
                <w:rFonts w:hint="eastAsia" w:ascii="宋体" w:hAnsi="宋体" w:eastAsia="宋体" w:cs="宋体"/>
                <w:i w:val="0"/>
                <w:iCs w:val="0"/>
                <w:color w:val="000000"/>
                <w:sz w:val="20"/>
                <w:szCs w:val="20"/>
                <w:u w:val="none"/>
              </w:rPr>
            </w:pPr>
          </w:p>
        </w:tc>
      </w:tr>
      <w:tr w14:paraId="7EEC9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0" w:hRule="atLeast"/>
        </w:trPr>
        <w:tc>
          <w:tcPr>
            <w:tcW w:w="694" w:type="dxa"/>
            <w:vMerge w:val="continue"/>
            <w:shd w:val="clear" w:color="auto" w:fill="auto"/>
            <w:vAlign w:val="center"/>
          </w:tcPr>
          <w:p w14:paraId="76C78802">
            <w:pPr>
              <w:jc w:val="center"/>
              <w:rPr>
                <w:rFonts w:hint="eastAsia" w:ascii="宋体" w:hAnsi="宋体" w:eastAsia="宋体" w:cs="宋体"/>
                <w:i w:val="0"/>
                <w:iCs w:val="0"/>
                <w:color w:val="000000"/>
                <w:sz w:val="20"/>
                <w:szCs w:val="20"/>
                <w:u w:val="none"/>
              </w:rPr>
            </w:pPr>
          </w:p>
        </w:tc>
        <w:tc>
          <w:tcPr>
            <w:tcW w:w="695" w:type="dxa"/>
            <w:vMerge w:val="continue"/>
            <w:shd w:val="clear" w:color="auto" w:fill="auto"/>
            <w:vAlign w:val="center"/>
          </w:tcPr>
          <w:p w14:paraId="2B328E0B">
            <w:pPr>
              <w:jc w:val="center"/>
              <w:rPr>
                <w:rFonts w:hint="eastAsia" w:ascii="宋体" w:hAnsi="宋体" w:eastAsia="宋体" w:cs="宋体"/>
                <w:i w:val="0"/>
                <w:iCs w:val="0"/>
                <w:color w:val="000000"/>
                <w:sz w:val="20"/>
                <w:szCs w:val="20"/>
                <w:u w:val="none"/>
              </w:rPr>
            </w:pPr>
          </w:p>
        </w:tc>
        <w:tc>
          <w:tcPr>
            <w:tcW w:w="903" w:type="dxa"/>
            <w:vMerge w:val="continue"/>
            <w:shd w:val="clear" w:color="auto" w:fill="auto"/>
            <w:vAlign w:val="center"/>
          </w:tcPr>
          <w:p w14:paraId="1292FF59">
            <w:pPr>
              <w:jc w:val="center"/>
              <w:rPr>
                <w:rFonts w:hint="eastAsia" w:ascii="宋体" w:hAnsi="宋体" w:eastAsia="宋体" w:cs="宋体"/>
                <w:i w:val="0"/>
                <w:iCs w:val="0"/>
                <w:color w:val="000000"/>
                <w:sz w:val="20"/>
                <w:szCs w:val="20"/>
                <w:u w:val="none"/>
              </w:rPr>
            </w:pPr>
          </w:p>
        </w:tc>
        <w:tc>
          <w:tcPr>
            <w:tcW w:w="1294" w:type="dxa"/>
            <w:shd w:val="clear" w:color="auto" w:fill="auto"/>
            <w:vAlign w:val="center"/>
          </w:tcPr>
          <w:p w14:paraId="09CFFB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离休老干部门诊购药报销费用</w:t>
            </w:r>
          </w:p>
        </w:tc>
        <w:tc>
          <w:tcPr>
            <w:tcW w:w="1167" w:type="dxa"/>
            <w:shd w:val="clear" w:color="auto" w:fill="auto"/>
            <w:vAlign w:val="center"/>
          </w:tcPr>
          <w:p w14:paraId="0E4081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≤30万元</w:t>
            </w:r>
          </w:p>
        </w:tc>
        <w:tc>
          <w:tcPr>
            <w:tcW w:w="915" w:type="dxa"/>
            <w:shd w:val="clear" w:color="auto" w:fill="auto"/>
            <w:vAlign w:val="center"/>
          </w:tcPr>
          <w:p w14:paraId="54E643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915" w:type="dxa"/>
            <w:shd w:val="clear" w:color="auto" w:fill="auto"/>
            <w:vAlign w:val="center"/>
          </w:tcPr>
          <w:p w14:paraId="70C763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35万元</w:t>
            </w:r>
          </w:p>
        </w:tc>
        <w:tc>
          <w:tcPr>
            <w:tcW w:w="992" w:type="dxa"/>
            <w:shd w:val="clear" w:color="auto" w:fill="auto"/>
            <w:vAlign w:val="center"/>
          </w:tcPr>
          <w:p w14:paraId="5FFE59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93" w:type="dxa"/>
            <w:shd w:val="clear" w:color="auto" w:fill="auto"/>
            <w:vAlign w:val="center"/>
          </w:tcPr>
          <w:p w14:paraId="7C92E9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07" w:type="dxa"/>
            <w:shd w:val="clear" w:color="auto" w:fill="auto"/>
            <w:vAlign w:val="center"/>
          </w:tcPr>
          <w:p w14:paraId="31DC86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60" w:type="dxa"/>
            <w:shd w:val="clear" w:color="auto" w:fill="auto"/>
            <w:vAlign w:val="center"/>
          </w:tcPr>
          <w:p w14:paraId="554DF9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30万元</w:t>
            </w:r>
          </w:p>
        </w:tc>
        <w:tc>
          <w:tcPr>
            <w:tcW w:w="1173" w:type="dxa"/>
            <w:shd w:val="clear" w:color="auto" w:fill="auto"/>
            <w:vAlign w:val="center"/>
          </w:tcPr>
          <w:p w14:paraId="4652C1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8" w:type="dxa"/>
            <w:shd w:val="clear" w:color="auto" w:fill="auto"/>
            <w:vAlign w:val="center"/>
          </w:tcPr>
          <w:p w14:paraId="32A4D2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08" w:type="dxa"/>
            <w:shd w:val="clear" w:color="auto" w:fill="auto"/>
            <w:vAlign w:val="center"/>
          </w:tcPr>
          <w:p w14:paraId="6F904257">
            <w:pPr>
              <w:jc w:val="center"/>
              <w:rPr>
                <w:rFonts w:hint="eastAsia" w:ascii="宋体" w:hAnsi="宋体" w:eastAsia="宋体" w:cs="宋体"/>
                <w:i w:val="0"/>
                <w:iCs w:val="0"/>
                <w:color w:val="000000"/>
                <w:sz w:val="20"/>
                <w:szCs w:val="20"/>
                <w:u w:val="none"/>
              </w:rPr>
            </w:pPr>
          </w:p>
        </w:tc>
      </w:tr>
      <w:tr w14:paraId="36C18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94" w:type="dxa"/>
            <w:vMerge w:val="continue"/>
            <w:shd w:val="clear" w:color="auto" w:fill="auto"/>
            <w:vAlign w:val="center"/>
          </w:tcPr>
          <w:p w14:paraId="5C203F44">
            <w:pPr>
              <w:jc w:val="center"/>
              <w:rPr>
                <w:rFonts w:hint="eastAsia" w:ascii="宋体" w:hAnsi="宋体" w:eastAsia="宋体" w:cs="宋体"/>
                <w:i w:val="0"/>
                <w:iCs w:val="0"/>
                <w:color w:val="000000"/>
                <w:sz w:val="20"/>
                <w:szCs w:val="20"/>
                <w:u w:val="none"/>
              </w:rPr>
            </w:pPr>
          </w:p>
        </w:tc>
        <w:tc>
          <w:tcPr>
            <w:tcW w:w="695" w:type="dxa"/>
            <w:vMerge w:val="continue"/>
            <w:shd w:val="clear" w:color="auto" w:fill="auto"/>
            <w:vAlign w:val="center"/>
          </w:tcPr>
          <w:p w14:paraId="7F8703ED">
            <w:pPr>
              <w:jc w:val="center"/>
              <w:rPr>
                <w:rFonts w:hint="eastAsia" w:ascii="宋体" w:hAnsi="宋体" w:eastAsia="宋体" w:cs="宋体"/>
                <w:i w:val="0"/>
                <w:iCs w:val="0"/>
                <w:color w:val="000000"/>
                <w:sz w:val="20"/>
                <w:szCs w:val="20"/>
                <w:u w:val="none"/>
              </w:rPr>
            </w:pPr>
          </w:p>
        </w:tc>
        <w:tc>
          <w:tcPr>
            <w:tcW w:w="903" w:type="dxa"/>
            <w:shd w:val="clear" w:color="auto" w:fill="auto"/>
            <w:vAlign w:val="center"/>
          </w:tcPr>
          <w:p w14:paraId="0B4EDF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294" w:type="dxa"/>
            <w:shd w:val="clear" w:color="auto" w:fill="auto"/>
            <w:vAlign w:val="center"/>
          </w:tcPr>
          <w:p w14:paraId="2C6421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7" w:type="dxa"/>
            <w:shd w:val="clear" w:color="auto" w:fill="auto"/>
            <w:vAlign w:val="center"/>
          </w:tcPr>
          <w:p w14:paraId="42CE0C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5" w:type="dxa"/>
            <w:shd w:val="clear" w:color="auto" w:fill="auto"/>
            <w:vAlign w:val="center"/>
          </w:tcPr>
          <w:p w14:paraId="1BD3E0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5" w:type="dxa"/>
            <w:shd w:val="clear" w:color="auto" w:fill="auto"/>
            <w:vAlign w:val="center"/>
          </w:tcPr>
          <w:p w14:paraId="67F4B0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2" w:type="dxa"/>
            <w:shd w:val="clear" w:color="auto" w:fill="auto"/>
            <w:vAlign w:val="center"/>
          </w:tcPr>
          <w:p w14:paraId="3E030A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3" w:type="dxa"/>
            <w:shd w:val="clear" w:color="auto" w:fill="auto"/>
            <w:vAlign w:val="center"/>
          </w:tcPr>
          <w:p w14:paraId="70851A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7" w:type="dxa"/>
            <w:shd w:val="clear" w:color="auto" w:fill="auto"/>
            <w:vAlign w:val="center"/>
          </w:tcPr>
          <w:p w14:paraId="504DD9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0" w:type="dxa"/>
            <w:shd w:val="clear" w:color="auto" w:fill="auto"/>
            <w:vAlign w:val="center"/>
          </w:tcPr>
          <w:p w14:paraId="4DB475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3" w:type="dxa"/>
            <w:shd w:val="clear" w:color="auto" w:fill="auto"/>
            <w:vAlign w:val="center"/>
          </w:tcPr>
          <w:p w14:paraId="1DC562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8" w:type="dxa"/>
            <w:shd w:val="clear" w:color="auto" w:fill="auto"/>
            <w:vAlign w:val="center"/>
          </w:tcPr>
          <w:p w14:paraId="016F90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8" w:type="dxa"/>
            <w:shd w:val="clear" w:color="auto" w:fill="auto"/>
            <w:vAlign w:val="center"/>
          </w:tcPr>
          <w:p w14:paraId="300442EA">
            <w:pPr>
              <w:jc w:val="center"/>
              <w:rPr>
                <w:rFonts w:hint="eastAsia" w:ascii="宋体" w:hAnsi="宋体" w:eastAsia="宋体" w:cs="宋体"/>
                <w:i w:val="0"/>
                <w:iCs w:val="0"/>
                <w:color w:val="000000"/>
                <w:sz w:val="20"/>
                <w:szCs w:val="20"/>
                <w:u w:val="none"/>
              </w:rPr>
            </w:pPr>
          </w:p>
        </w:tc>
      </w:tr>
      <w:tr w14:paraId="18207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94" w:type="dxa"/>
            <w:vMerge w:val="continue"/>
            <w:shd w:val="clear" w:color="auto" w:fill="auto"/>
            <w:vAlign w:val="center"/>
          </w:tcPr>
          <w:p w14:paraId="64AD50BD">
            <w:pPr>
              <w:jc w:val="center"/>
              <w:rPr>
                <w:rFonts w:hint="eastAsia" w:ascii="宋体" w:hAnsi="宋体" w:eastAsia="宋体" w:cs="宋体"/>
                <w:i w:val="0"/>
                <w:iCs w:val="0"/>
                <w:color w:val="000000"/>
                <w:sz w:val="20"/>
                <w:szCs w:val="20"/>
                <w:u w:val="none"/>
              </w:rPr>
            </w:pPr>
          </w:p>
        </w:tc>
        <w:tc>
          <w:tcPr>
            <w:tcW w:w="695" w:type="dxa"/>
            <w:vMerge w:val="continue"/>
            <w:shd w:val="clear" w:color="auto" w:fill="auto"/>
            <w:vAlign w:val="center"/>
          </w:tcPr>
          <w:p w14:paraId="223A68B6">
            <w:pPr>
              <w:jc w:val="center"/>
              <w:rPr>
                <w:rFonts w:hint="eastAsia" w:ascii="宋体" w:hAnsi="宋体" w:eastAsia="宋体" w:cs="宋体"/>
                <w:i w:val="0"/>
                <w:iCs w:val="0"/>
                <w:color w:val="000000"/>
                <w:sz w:val="20"/>
                <w:szCs w:val="20"/>
                <w:u w:val="none"/>
              </w:rPr>
            </w:pPr>
          </w:p>
        </w:tc>
        <w:tc>
          <w:tcPr>
            <w:tcW w:w="903" w:type="dxa"/>
            <w:shd w:val="clear" w:color="auto" w:fill="auto"/>
            <w:vAlign w:val="center"/>
          </w:tcPr>
          <w:p w14:paraId="5090AD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294" w:type="dxa"/>
            <w:shd w:val="clear" w:color="auto" w:fill="auto"/>
            <w:vAlign w:val="center"/>
          </w:tcPr>
          <w:p w14:paraId="49F595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7" w:type="dxa"/>
            <w:shd w:val="clear" w:color="auto" w:fill="auto"/>
            <w:vAlign w:val="center"/>
          </w:tcPr>
          <w:p w14:paraId="085D4E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5" w:type="dxa"/>
            <w:shd w:val="clear" w:color="auto" w:fill="auto"/>
            <w:vAlign w:val="center"/>
          </w:tcPr>
          <w:p w14:paraId="574B6F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5" w:type="dxa"/>
            <w:shd w:val="clear" w:color="auto" w:fill="auto"/>
            <w:vAlign w:val="center"/>
          </w:tcPr>
          <w:p w14:paraId="2F7CAC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2" w:type="dxa"/>
            <w:shd w:val="clear" w:color="auto" w:fill="auto"/>
            <w:vAlign w:val="center"/>
          </w:tcPr>
          <w:p w14:paraId="341808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3" w:type="dxa"/>
            <w:shd w:val="clear" w:color="auto" w:fill="auto"/>
            <w:vAlign w:val="center"/>
          </w:tcPr>
          <w:p w14:paraId="00870F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7" w:type="dxa"/>
            <w:shd w:val="clear" w:color="auto" w:fill="auto"/>
            <w:vAlign w:val="center"/>
          </w:tcPr>
          <w:p w14:paraId="5447C7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0" w:type="dxa"/>
            <w:shd w:val="clear" w:color="auto" w:fill="auto"/>
            <w:vAlign w:val="center"/>
          </w:tcPr>
          <w:p w14:paraId="5DAA23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3" w:type="dxa"/>
            <w:shd w:val="clear" w:color="auto" w:fill="auto"/>
            <w:vAlign w:val="center"/>
          </w:tcPr>
          <w:p w14:paraId="4120CC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8" w:type="dxa"/>
            <w:shd w:val="clear" w:color="auto" w:fill="auto"/>
            <w:vAlign w:val="center"/>
          </w:tcPr>
          <w:p w14:paraId="506E8D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8" w:type="dxa"/>
            <w:shd w:val="clear" w:color="auto" w:fill="auto"/>
            <w:vAlign w:val="center"/>
          </w:tcPr>
          <w:p w14:paraId="4C98F77B">
            <w:pPr>
              <w:jc w:val="center"/>
              <w:rPr>
                <w:rFonts w:hint="eastAsia" w:ascii="宋体" w:hAnsi="宋体" w:eastAsia="宋体" w:cs="宋体"/>
                <w:i w:val="0"/>
                <w:iCs w:val="0"/>
                <w:color w:val="000000"/>
                <w:sz w:val="20"/>
                <w:szCs w:val="20"/>
                <w:u w:val="none"/>
              </w:rPr>
            </w:pPr>
          </w:p>
        </w:tc>
      </w:tr>
      <w:tr w14:paraId="43840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694" w:type="dxa"/>
            <w:vMerge w:val="continue"/>
            <w:shd w:val="clear" w:color="auto" w:fill="auto"/>
            <w:vAlign w:val="center"/>
          </w:tcPr>
          <w:p w14:paraId="29AD554E">
            <w:pPr>
              <w:jc w:val="center"/>
              <w:rPr>
                <w:rFonts w:hint="eastAsia" w:ascii="宋体" w:hAnsi="宋体" w:eastAsia="宋体" w:cs="宋体"/>
                <w:i w:val="0"/>
                <w:iCs w:val="0"/>
                <w:color w:val="000000"/>
                <w:sz w:val="20"/>
                <w:szCs w:val="20"/>
                <w:u w:val="none"/>
              </w:rPr>
            </w:pPr>
          </w:p>
        </w:tc>
        <w:tc>
          <w:tcPr>
            <w:tcW w:w="695" w:type="dxa"/>
            <w:vMerge w:val="restart"/>
            <w:shd w:val="clear" w:color="auto" w:fill="auto"/>
            <w:vAlign w:val="center"/>
          </w:tcPr>
          <w:p w14:paraId="3C893A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03" w:type="dxa"/>
            <w:shd w:val="clear" w:color="auto" w:fill="auto"/>
            <w:vAlign w:val="center"/>
          </w:tcPr>
          <w:p w14:paraId="450A89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294" w:type="dxa"/>
            <w:shd w:val="clear" w:color="auto" w:fill="auto"/>
            <w:vAlign w:val="center"/>
          </w:tcPr>
          <w:p w14:paraId="581DAD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7" w:type="dxa"/>
            <w:shd w:val="clear" w:color="auto" w:fill="auto"/>
            <w:vAlign w:val="center"/>
          </w:tcPr>
          <w:p w14:paraId="5E44F0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5" w:type="dxa"/>
            <w:shd w:val="clear" w:color="auto" w:fill="auto"/>
            <w:vAlign w:val="center"/>
          </w:tcPr>
          <w:p w14:paraId="6C9949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5" w:type="dxa"/>
            <w:shd w:val="clear" w:color="auto" w:fill="auto"/>
            <w:vAlign w:val="center"/>
          </w:tcPr>
          <w:p w14:paraId="057F33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2" w:type="dxa"/>
            <w:shd w:val="clear" w:color="auto" w:fill="auto"/>
            <w:vAlign w:val="center"/>
          </w:tcPr>
          <w:p w14:paraId="6E4B9E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3" w:type="dxa"/>
            <w:shd w:val="clear" w:color="auto" w:fill="auto"/>
            <w:vAlign w:val="center"/>
          </w:tcPr>
          <w:p w14:paraId="337946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7" w:type="dxa"/>
            <w:shd w:val="clear" w:color="auto" w:fill="auto"/>
            <w:vAlign w:val="center"/>
          </w:tcPr>
          <w:p w14:paraId="0C12F2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0" w:type="dxa"/>
            <w:shd w:val="clear" w:color="auto" w:fill="auto"/>
            <w:vAlign w:val="center"/>
          </w:tcPr>
          <w:p w14:paraId="27F0F9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3" w:type="dxa"/>
            <w:shd w:val="clear" w:color="auto" w:fill="auto"/>
            <w:vAlign w:val="center"/>
          </w:tcPr>
          <w:p w14:paraId="6EF39D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8" w:type="dxa"/>
            <w:shd w:val="clear" w:color="auto" w:fill="auto"/>
            <w:vAlign w:val="center"/>
          </w:tcPr>
          <w:p w14:paraId="6698F1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8" w:type="dxa"/>
            <w:shd w:val="clear" w:color="auto" w:fill="auto"/>
            <w:vAlign w:val="center"/>
          </w:tcPr>
          <w:p w14:paraId="174A7133">
            <w:pPr>
              <w:jc w:val="center"/>
              <w:rPr>
                <w:rFonts w:hint="eastAsia" w:ascii="宋体" w:hAnsi="宋体" w:eastAsia="宋体" w:cs="宋体"/>
                <w:i w:val="0"/>
                <w:iCs w:val="0"/>
                <w:color w:val="000000"/>
                <w:sz w:val="20"/>
                <w:szCs w:val="20"/>
                <w:u w:val="none"/>
              </w:rPr>
            </w:pPr>
          </w:p>
        </w:tc>
      </w:tr>
      <w:tr w14:paraId="7E219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94" w:type="dxa"/>
            <w:vMerge w:val="continue"/>
            <w:shd w:val="clear" w:color="auto" w:fill="auto"/>
            <w:vAlign w:val="center"/>
          </w:tcPr>
          <w:p w14:paraId="774FBA17">
            <w:pPr>
              <w:jc w:val="center"/>
              <w:rPr>
                <w:rFonts w:hint="eastAsia" w:ascii="宋体" w:hAnsi="宋体" w:eastAsia="宋体" w:cs="宋体"/>
                <w:i w:val="0"/>
                <w:iCs w:val="0"/>
                <w:color w:val="000000"/>
                <w:sz w:val="20"/>
                <w:szCs w:val="20"/>
                <w:u w:val="none"/>
              </w:rPr>
            </w:pPr>
          </w:p>
        </w:tc>
        <w:tc>
          <w:tcPr>
            <w:tcW w:w="695" w:type="dxa"/>
            <w:vMerge w:val="continue"/>
            <w:shd w:val="clear" w:color="auto" w:fill="auto"/>
            <w:vAlign w:val="center"/>
          </w:tcPr>
          <w:p w14:paraId="49E60250">
            <w:pPr>
              <w:jc w:val="center"/>
              <w:rPr>
                <w:rFonts w:hint="eastAsia" w:ascii="宋体" w:hAnsi="宋体" w:eastAsia="宋体" w:cs="宋体"/>
                <w:i w:val="0"/>
                <w:iCs w:val="0"/>
                <w:color w:val="000000"/>
                <w:sz w:val="20"/>
                <w:szCs w:val="20"/>
                <w:u w:val="none"/>
              </w:rPr>
            </w:pPr>
          </w:p>
        </w:tc>
        <w:tc>
          <w:tcPr>
            <w:tcW w:w="903" w:type="dxa"/>
            <w:vMerge w:val="restart"/>
            <w:shd w:val="clear" w:color="auto" w:fill="auto"/>
            <w:vAlign w:val="center"/>
          </w:tcPr>
          <w:p w14:paraId="31706C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94" w:type="dxa"/>
            <w:shd w:val="clear" w:color="auto" w:fill="auto"/>
            <w:vAlign w:val="center"/>
          </w:tcPr>
          <w:p w14:paraId="6C2AD5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参保离休老干部及时享受医疗待遇</w:t>
            </w:r>
          </w:p>
        </w:tc>
        <w:tc>
          <w:tcPr>
            <w:tcW w:w="1167" w:type="dxa"/>
            <w:shd w:val="clear" w:color="auto" w:fill="auto"/>
            <w:vAlign w:val="center"/>
          </w:tcPr>
          <w:p w14:paraId="0AFB18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及时享受</w:t>
            </w:r>
          </w:p>
        </w:tc>
        <w:tc>
          <w:tcPr>
            <w:tcW w:w="915" w:type="dxa"/>
            <w:shd w:val="clear" w:color="auto" w:fill="auto"/>
            <w:vAlign w:val="center"/>
          </w:tcPr>
          <w:p w14:paraId="73063C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5" w:type="dxa"/>
            <w:shd w:val="clear" w:color="auto" w:fill="auto"/>
            <w:vAlign w:val="center"/>
          </w:tcPr>
          <w:p w14:paraId="59F74E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及时享受</w:t>
            </w:r>
          </w:p>
        </w:tc>
        <w:tc>
          <w:tcPr>
            <w:tcW w:w="992" w:type="dxa"/>
            <w:shd w:val="clear" w:color="auto" w:fill="auto"/>
            <w:vAlign w:val="center"/>
          </w:tcPr>
          <w:p w14:paraId="0A461E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93" w:type="dxa"/>
            <w:shd w:val="clear" w:color="auto" w:fill="auto"/>
            <w:vAlign w:val="center"/>
          </w:tcPr>
          <w:p w14:paraId="3690C2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107" w:type="dxa"/>
            <w:shd w:val="clear" w:color="auto" w:fill="auto"/>
            <w:vAlign w:val="center"/>
          </w:tcPr>
          <w:p w14:paraId="1CA5B2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1060" w:type="dxa"/>
            <w:shd w:val="clear" w:color="auto" w:fill="auto"/>
            <w:vAlign w:val="center"/>
          </w:tcPr>
          <w:p w14:paraId="16B47B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3" w:type="dxa"/>
            <w:shd w:val="clear" w:color="auto" w:fill="auto"/>
            <w:vAlign w:val="center"/>
          </w:tcPr>
          <w:p w14:paraId="115355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8" w:type="dxa"/>
            <w:shd w:val="clear" w:color="auto" w:fill="auto"/>
            <w:vAlign w:val="center"/>
          </w:tcPr>
          <w:p w14:paraId="1F137B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08" w:type="dxa"/>
            <w:shd w:val="clear" w:color="auto" w:fill="auto"/>
            <w:vAlign w:val="center"/>
          </w:tcPr>
          <w:p w14:paraId="3C7386A0">
            <w:pPr>
              <w:jc w:val="center"/>
              <w:rPr>
                <w:rFonts w:hint="eastAsia" w:ascii="宋体" w:hAnsi="宋体" w:eastAsia="宋体" w:cs="宋体"/>
                <w:i w:val="0"/>
                <w:iCs w:val="0"/>
                <w:color w:val="000000"/>
                <w:sz w:val="20"/>
                <w:szCs w:val="20"/>
                <w:u w:val="none"/>
              </w:rPr>
            </w:pPr>
          </w:p>
        </w:tc>
      </w:tr>
      <w:tr w14:paraId="3710B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694" w:type="dxa"/>
            <w:vMerge w:val="continue"/>
            <w:shd w:val="clear" w:color="auto" w:fill="auto"/>
            <w:vAlign w:val="center"/>
          </w:tcPr>
          <w:p w14:paraId="6DEA000A">
            <w:pPr>
              <w:jc w:val="center"/>
              <w:rPr>
                <w:rFonts w:hint="eastAsia" w:ascii="宋体" w:hAnsi="宋体" w:eastAsia="宋体" w:cs="宋体"/>
                <w:i w:val="0"/>
                <w:iCs w:val="0"/>
                <w:color w:val="000000"/>
                <w:sz w:val="20"/>
                <w:szCs w:val="20"/>
                <w:u w:val="none"/>
              </w:rPr>
            </w:pPr>
          </w:p>
        </w:tc>
        <w:tc>
          <w:tcPr>
            <w:tcW w:w="695" w:type="dxa"/>
            <w:vMerge w:val="continue"/>
            <w:shd w:val="clear" w:color="auto" w:fill="auto"/>
            <w:vAlign w:val="center"/>
          </w:tcPr>
          <w:p w14:paraId="35DA4DCD">
            <w:pPr>
              <w:jc w:val="center"/>
              <w:rPr>
                <w:rFonts w:hint="eastAsia" w:ascii="宋体" w:hAnsi="宋体" w:eastAsia="宋体" w:cs="宋体"/>
                <w:i w:val="0"/>
                <w:iCs w:val="0"/>
                <w:color w:val="000000"/>
                <w:sz w:val="20"/>
                <w:szCs w:val="20"/>
                <w:u w:val="none"/>
              </w:rPr>
            </w:pPr>
          </w:p>
        </w:tc>
        <w:tc>
          <w:tcPr>
            <w:tcW w:w="903" w:type="dxa"/>
            <w:vMerge w:val="continue"/>
            <w:shd w:val="clear" w:color="auto" w:fill="auto"/>
            <w:vAlign w:val="center"/>
          </w:tcPr>
          <w:p w14:paraId="2ACC7288">
            <w:pPr>
              <w:jc w:val="center"/>
              <w:rPr>
                <w:rFonts w:hint="eastAsia" w:ascii="宋体" w:hAnsi="宋体" w:eastAsia="宋体" w:cs="宋体"/>
                <w:i w:val="0"/>
                <w:iCs w:val="0"/>
                <w:color w:val="000000"/>
                <w:sz w:val="20"/>
                <w:szCs w:val="20"/>
                <w:u w:val="none"/>
              </w:rPr>
            </w:pPr>
          </w:p>
        </w:tc>
        <w:tc>
          <w:tcPr>
            <w:tcW w:w="1294" w:type="dxa"/>
            <w:shd w:val="clear" w:color="auto" w:fill="auto"/>
            <w:vAlign w:val="center"/>
          </w:tcPr>
          <w:p w14:paraId="6B1987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减轻参保离休老干部就医经济负担,缓解社会矛盾</w:t>
            </w:r>
          </w:p>
        </w:tc>
        <w:tc>
          <w:tcPr>
            <w:tcW w:w="1167" w:type="dxa"/>
            <w:shd w:val="clear" w:color="auto" w:fill="auto"/>
            <w:vAlign w:val="center"/>
          </w:tcPr>
          <w:p w14:paraId="25A613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有效减轻</w:t>
            </w:r>
          </w:p>
        </w:tc>
        <w:tc>
          <w:tcPr>
            <w:tcW w:w="915" w:type="dxa"/>
            <w:shd w:val="clear" w:color="auto" w:fill="auto"/>
            <w:vAlign w:val="center"/>
          </w:tcPr>
          <w:p w14:paraId="526028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5" w:type="dxa"/>
            <w:shd w:val="clear" w:color="auto" w:fill="auto"/>
            <w:vAlign w:val="center"/>
          </w:tcPr>
          <w:p w14:paraId="553BCD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有效减轻</w:t>
            </w:r>
          </w:p>
        </w:tc>
        <w:tc>
          <w:tcPr>
            <w:tcW w:w="992" w:type="dxa"/>
            <w:shd w:val="clear" w:color="auto" w:fill="auto"/>
            <w:vAlign w:val="center"/>
          </w:tcPr>
          <w:p w14:paraId="040373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93" w:type="dxa"/>
            <w:shd w:val="clear" w:color="auto" w:fill="auto"/>
            <w:vAlign w:val="center"/>
          </w:tcPr>
          <w:p w14:paraId="61D9E8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107" w:type="dxa"/>
            <w:shd w:val="clear" w:color="auto" w:fill="auto"/>
            <w:vAlign w:val="center"/>
          </w:tcPr>
          <w:p w14:paraId="75910C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1060" w:type="dxa"/>
            <w:shd w:val="clear" w:color="auto" w:fill="auto"/>
            <w:vAlign w:val="center"/>
          </w:tcPr>
          <w:p w14:paraId="1190A9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3" w:type="dxa"/>
            <w:shd w:val="clear" w:color="auto" w:fill="auto"/>
            <w:vAlign w:val="center"/>
          </w:tcPr>
          <w:p w14:paraId="6749B9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8" w:type="dxa"/>
            <w:shd w:val="clear" w:color="auto" w:fill="auto"/>
            <w:vAlign w:val="center"/>
          </w:tcPr>
          <w:p w14:paraId="71FB24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08" w:type="dxa"/>
            <w:shd w:val="clear" w:color="auto" w:fill="auto"/>
            <w:vAlign w:val="center"/>
          </w:tcPr>
          <w:p w14:paraId="762D34ED">
            <w:pPr>
              <w:jc w:val="center"/>
              <w:rPr>
                <w:rFonts w:hint="eastAsia" w:ascii="宋体" w:hAnsi="宋体" w:eastAsia="宋体" w:cs="宋体"/>
                <w:i w:val="0"/>
                <w:iCs w:val="0"/>
                <w:color w:val="000000"/>
                <w:sz w:val="20"/>
                <w:szCs w:val="20"/>
                <w:u w:val="none"/>
              </w:rPr>
            </w:pPr>
          </w:p>
        </w:tc>
      </w:tr>
      <w:tr w14:paraId="13032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94" w:type="dxa"/>
            <w:vMerge w:val="continue"/>
            <w:shd w:val="clear" w:color="auto" w:fill="auto"/>
            <w:vAlign w:val="center"/>
          </w:tcPr>
          <w:p w14:paraId="2FB40041">
            <w:pPr>
              <w:jc w:val="center"/>
              <w:rPr>
                <w:rFonts w:hint="eastAsia" w:ascii="宋体" w:hAnsi="宋体" w:eastAsia="宋体" w:cs="宋体"/>
                <w:i w:val="0"/>
                <w:iCs w:val="0"/>
                <w:color w:val="000000"/>
                <w:sz w:val="20"/>
                <w:szCs w:val="20"/>
                <w:u w:val="none"/>
              </w:rPr>
            </w:pPr>
          </w:p>
        </w:tc>
        <w:tc>
          <w:tcPr>
            <w:tcW w:w="695" w:type="dxa"/>
            <w:vMerge w:val="continue"/>
            <w:shd w:val="clear" w:color="auto" w:fill="auto"/>
            <w:vAlign w:val="center"/>
          </w:tcPr>
          <w:p w14:paraId="609E6619">
            <w:pPr>
              <w:jc w:val="center"/>
              <w:rPr>
                <w:rFonts w:hint="eastAsia" w:ascii="宋体" w:hAnsi="宋体" w:eastAsia="宋体" w:cs="宋体"/>
                <w:i w:val="0"/>
                <w:iCs w:val="0"/>
                <w:color w:val="000000"/>
                <w:sz w:val="20"/>
                <w:szCs w:val="20"/>
                <w:u w:val="none"/>
              </w:rPr>
            </w:pPr>
          </w:p>
        </w:tc>
        <w:tc>
          <w:tcPr>
            <w:tcW w:w="903" w:type="dxa"/>
            <w:shd w:val="clear" w:color="auto" w:fill="auto"/>
            <w:vAlign w:val="center"/>
          </w:tcPr>
          <w:p w14:paraId="1BBAC1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294" w:type="dxa"/>
            <w:shd w:val="clear" w:color="auto" w:fill="auto"/>
            <w:vAlign w:val="center"/>
          </w:tcPr>
          <w:p w14:paraId="3458EF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7" w:type="dxa"/>
            <w:shd w:val="clear" w:color="auto" w:fill="auto"/>
            <w:vAlign w:val="center"/>
          </w:tcPr>
          <w:p w14:paraId="271F9B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5" w:type="dxa"/>
            <w:shd w:val="clear" w:color="auto" w:fill="auto"/>
            <w:vAlign w:val="center"/>
          </w:tcPr>
          <w:p w14:paraId="379386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5" w:type="dxa"/>
            <w:shd w:val="clear" w:color="auto" w:fill="auto"/>
            <w:vAlign w:val="center"/>
          </w:tcPr>
          <w:p w14:paraId="3FA8AE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2" w:type="dxa"/>
            <w:shd w:val="clear" w:color="auto" w:fill="auto"/>
            <w:vAlign w:val="center"/>
          </w:tcPr>
          <w:p w14:paraId="7F103A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3" w:type="dxa"/>
            <w:shd w:val="clear" w:color="auto" w:fill="auto"/>
            <w:vAlign w:val="center"/>
          </w:tcPr>
          <w:p w14:paraId="4B9D7E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7" w:type="dxa"/>
            <w:shd w:val="clear" w:color="auto" w:fill="auto"/>
            <w:vAlign w:val="center"/>
          </w:tcPr>
          <w:p w14:paraId="060842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0" w:type="dxa"/>
            <w:shd w:val="clear" w:color="auto" w:fill="auto"/>
            <w:vAlign w:val="center"/>
          </w:tcPr>
          <w:p w14:paraId="005D70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3" w:type="dxa"/>
            <w:shd w:val="clear" w:color="auto" w:fill="auto"/>
            <w:vAlign w:val="center"/>
          </w:tcPr>
          <w:p w14:paraId="37618A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8" w:type="dxa"/>
            <w:shd w:val="clear" w:color="auto" w:fill="auto"/>
            <w:vAlign w:val="center"/>
          </w:tcPr>
          <w:p w14:paraId="0D211915">
            <w:pPr>
              <w:jc w:val="center"/>
              <w:rPr>
                <w:rFonts w:hint="eastAsia" w:ascii="宋体" w:hAnsi="宋体" w:eastAsia="宋体" w:cs="宋体"/>
                <w:i w:val="0"/>
                <w:iCs w:val="0"/>
                <w:color w:val="000000"/>
                <w:sz w:val="20"/>
                <w:szCs w:val="20"/>
                <w:u w:val="none"/>
              </w:rPr>
            </w:pPr>
          </w:p>
        </w:tc>
        <w:tc>
          <w:tcPr>
            <w:tcW w:w="1408" w:type="dxa"/>
            <w:shd w:val="clear" w:color="auto" w:fill="auto"/>
            <w:vAlign w:val="center"/>
          </w:tcPr>
          <w:p w14:paraId="3ABC59AF">
            <w:pPr>
              <w:jc w:val="center"/>
              <w:rPr>
                <w:rFonts w:hint="eastAsia" w:ascii="宋体" w:hAnsi="宋体" w:eastAsia="宋体" w:cs="宋体"/>
                <w:i w:val="0"/>
                <w:iCs w:val="0"/>
                <w:color w:val="000000"/>
                <w:sz w:val="20"/>
                <w:szCs w:val="20"/>
                <w:u w:val="none"/>
              </w:rPr>
            </w:pPr>
          </w:p>
        </w:tc>
      </w:tr>
      <w:tr w14:paraId="6D6CB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94" w:type="dxa"/>
            <w:vMerge w:val="continue"/>
            <w:shd w:val="clear" w:color="auto" w:fill="auto"/>
            <w:vAlign w:val="center"/>
          </w:tcPr>
          <w:p w14:paraId="53A02436">
            <w:pPr>
              <w:jc w:val="center"/>
              <w:rPr>
                <w:rFonts w:hint="eastAsia" w:ascii="宋体" w:hAnsi="宋体" w:eastAsia="宋体" w:cs="宋体"/>
                <w:i w:val="0"/>
                <w:iCs w:val="0"/>
                <w:color w:val="000000"/>
                <w:sz w:val="20"/>
                <w:szCs w:val="20"/>
                <w:u w:val="none"/>
              </w:rPr>
            </w:pPr>
          </w:p>
        </w:tc>
        <w:tc>
          <w:tcPr>
            <w:tcW w:w="695" w:type="dxa"/>
            <w:shd w:val="clear" w:color="auto" w:fill="auto"/>
            <w:vAlign w:val="center"/>
          </w:tcPr>
          <w:p w14:paraId="48E4B0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03" w:type="dxa"/>
            <w:shd w:val="clear" w:color="auto" w:fill="auto"/>
            <w:vAlign w:val="center"/>
          </w:tcPr>
          <w:p w14:paraId="4E905F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94" w:type="dxa"/>
            <w:shd w:val="clear" w:color="auto" w:fill="auto"/>
            <w:vAlign w:val="center"/>
          </w:tcPr>
          <w:p w14:paraId="5E5BF4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离休老干部满意度</w:t>
            </w:r>
          </w:p>
        </w:tc>
        <w:tc>
          <w:tcPr>
            <w:tcW w:w="1167" w:type="dxa"/>
            <w:shd w:val="clear" w:color="auto" w:fill="auto"/>
            <w:vAlign w:val="center"/>
          </w:tcPr>
          <w:p w14:paraId="319BD6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15" w:type="dxa"/>
            <w:shd w:val="clear" w:color="auto" w:fill="auto"/>
            <w:vAlign w:val="center"/>
          </w:tcPr>
          <w:p w14:paraId="0C7B41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5" w:type="dxa"/>
            <w:shd w:val="clear" w:color="auto" w:fill="auto"/>
            <w:vAlign w:val="center"/>
          </w:tcPr>
          <w:p w14:paraId="6E69E3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92" w:type="dxa"/>
            <w:shd w:val="clear" w:color="auto" w:fill="auto"/>
            <w:vAlign w:val="center"/>
          </w:tcPr>
          <w:p w14:paraId="1D80D8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93" w:type="dxa"/>
            <w:shd w:val="clear" w:color="auto" w:fill="auto"/>
            <w:vAlign w:val="center"/>
          </w:tcPr>
          <w:p w14:paraId="1D6B0B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107" w:type="dxa"/>
            <w:shd w:val="clear" w:color="auto" w:fill="auto"/>
            <w:vAlign w:val="center"/>
          </w:tcPr>
          <w:p w14:paraId="22B86A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0" w:type="dxa"/>
            <w:shd w:val="clear" w:color="auto" w:fill="auto"/>
            <w:vAlign w:val="center"/>
          </w:tcPr>
          <w:p w14:paraId="7CA9F3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3" w:type="dxa"/>
            <w:shd w:val="clear" w:color="auto" w:fill="auto"/>
            <w:vAlign w:val="center"/>
          </w:tcPr>
          <w:p w14:paraId="1A93A3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8" w:type="dxa"/>
            <w:shd w:val="clear" w:color="auto" w:fill="auto"/>
            <w:vAlign w:val="center"/>
          </w:tcPr>
          <w:p w14:paraId="5816D4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08" w:type="dxa"/>
            <w:shd w:val="clear" w:color="auto" w:fill="auto"/>
            <w:vAlign w:val="center"/>
          </w:tcPr>
          <w:p w14:paraId="6E697915">
            <w:pPr>
              <w:jc w:val="center"/>
              <w:rPr>
                <w:rFonts w:hint="eastAsia" w:ascii="宋体" w:hAnsi="宋体" w:eastAsia="宋体" w:cs="宋体"/>
                <w:i w:val="0"/>
                <w:iCs w:val="0"/>
                <w:color w:val="000000"/>
                <w:sz w:val="20"/>
                <w:szCs w:val="20"/>
                <w:u w:val="none"/>
              </w:rPr>
            </w:pPr>
          </w:p>
        </w:tc>
      </w:tr>
      <w:tr w14:paraId="2E50A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586" w:type="dxa"/>
            <w:gridSpan w:val="4"/>
            <w:shd w:val="clear" w:color="auto" w:fill="auto"/>
            <w:vAlign w:val="center"/>
          </w:tcPr>
          <w:p w14:paraId="6E103E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67" w:type="dxa"/>
            <w:shd w:val="clear" w:color="auto" w:fill="auto"/>
            <w:vAlign w:val="center"/>
          </w:tcPr>
          <w:p w14:paraId="291A0704">
            <w:pPr>
              <w:jc w:val="center"/>
              <w:rPr>
                <w:rFonts w:hint="eastAsia" w:ascii="宋体" w:hAnsi="宋体" w:eastAsia="宋体" w:cs="宋体"/>
                <w:i w:val="0"/>
                <w:iCs w:val="0"/>
                <w:color w:val="000000"/>
                <w:sz w:val="20"/>
                <w:szCs w:val="20"/>
                <w:u w:val="none"/>
              </w:rPr>
            </w:pPr>
          </w:p>
        </w:tc>
        <w:tc>
          <w:tcPr>
            <w:tcW w:w="915" w:type="dxa"/>
            <w:shd w:val="clear" w:color="auto" w:fill="auto"/>
            <w:vAlign w:val="center"/>
          </w:tcPr>
          <w:p w14:paraId="23C00B50">
            <w:pPr>
              <w:rPr>
                <w:rFonts w:hint="eastAsia" w:ascii="宋体" w:hAnsi="宋体" w:eastAsia="宋体" w:cs="宋体"/>
                <w:b/>
                <w:bCs/>
                <w:i w:val="0"/>
                <w:iCs w:val="0"/>
                <w:color w:val="000000"/>
                <w:sz w:val="20"/>
                <w:szCs w:val="20"/>
                <w:u w:val="none"/>
              </w:rPr>
            </w:pPr>
          </w:p>
        </w:tc>
        <w:tc>
          <w:tcPr>
            <w:tcW w:w="915" w:type="dxa"/>
            <w:shd w:val="clear" w:color="auto" w:fill="auto"/>
            <w:vAlign w:val="center"/>
          </w:tcPr>
          <w:p w14:paraId="76C1EDD1">
            <w:pPr>
              <w:jc w:val="center"/>
              <w:rPr>
                <w:rFonts w:hint="eastAsia" w:ascii="宋体" w:hAnsi="宋体" w:eastAsia="宋体" w:cs="宋体"/>
                <w:i w:val="0"/>
                <w:iCs w:val="0"/>
                <w:color w:val="000000"/>
                <w:sz w:val="20"/>
                <w:szCs w:val="20"/>
                <w:u w:val="none"/>
              </w:rPr>
            </w:pPr>
          </w:p>
        </w:tc>
        <w:tc>
          <w:tcPr>
            <w:tcW w:w="992" w:type="dxa"/>
            <w:shd w:val="clear" w:color="auto" w:fill="auto"/>
            <w:vAlign w:val="center"/>
          </w:tcPr>
          <w:p w14:paraId="6A28F4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93" w:type="dxa"/>
            <w:shd w:val="clear" w:color="auto" w:fill="auto"/>
            <w:vAlign w:val="center"/>
          </w:tcPr>
          <w:p w14:paraId="5197D6B4">
            <w:pPr>
              <w:jc w:val="center"/>
              <w:rPr>
                <w:rFonts w:hint="eastAsia" w:ascii="宋体" w:hAnsi="宋体" w:eastAsia="宋体" w:cs="宋体"/>
                <w:i w:val="0"/>
                <w:iCs w:val="0"/>
                <w:color w:val="000000"/>
                <w:sz w:val="20"/>
                <w:szCs w:val="20"/>
                <w:u w:val="none"/>
              </w:rPr>
            </w:pPr>
          </w:p>
        </w:tc>
        <w:tc>
          <w:tcPr>
            <w:tcW w:w="1107" w:type="dxa"/>
            <w:shd w:val="clear" w:color="auto" w:fill="auto"/>
            <w:vAlign w:val="center"/>
          </w:tcPr>
          <w:p w14:paraId="379AA280">
            <w:pPr>
              <w:rPr>
                <w:rFonts w:hint="eastAsia" w:ascii="宋体" w:hAnsi="宋体" w:eastAsia="宋体" w:cs="宋体"/>
                <w:i w:val="0"/>
                <w:iCs w:val="0"/>
                <w:color w:val="000000"/>
                <w:sz w:val="20"/>
                <w:szCs w:val="20"/>
                <w:u w:val="none"/>
              </w:rPr>
            </w:pPr>
          </w:p>
        </w:tc>
        <w:tc>
          <w:tcPr>
            <w:tcW w:w="1060" w:type="dxa"/>
            <w:shd w:val="clear" w:color="auto" w:fill="auto"/>
            <w:vAlign w:val="center"/>
          </w:tcPr>
          <w:p w14:paraId="3C6B8081">
            <w:pPr>
              <w:rPr>
                <w:rFonts w:hint="eastAsia" w:ascii="宋体" w:hAnsi="宋体" w:eastAsia="宋体" w:cs="宋体"/>
                <w:i w:val="0"/>
                <w:iCs w:val="0"/>
                <w:color w:val="000000"/>
                <w:sz w:val="20"/>
                <w:szCs w:val="20"/>
                <w:u w:val="none"/>
              </w:rPr>
            </w:pPr>
          </w:p>
        </w:tc>
        <w:tc>
          <w:tcPr>
            <w:tcW w:w="1173" w:type="dxa"/>
            <w:shd w:val="clear" w:color="auto" w:fill="auto"/>
            <w:vAlign w:val="center"/>
          </w:tcPr>
          <w:p w14:paraId="3EF60741">
            <w:pPr>
              <w:rPr>
                <w:rFonts w:hint="eastAsia" w:ascii="宋体" w:hAnsi="宋体" w:eastAsia="宋体" w:cs="宋体"/>
                <w:i w:val="0"/>
                <w:iCs w:val="0"/>
                <w:color w:val="000000"/>
                <w:sz w:val="20"/>
                <w:szCs w:val="20"/>
                <w:u w:val="none"/>
              </w:rPr>
            </w:pPr>
          </w:p>
        </w:tc>
        <w:tc>
          <w:tcPr>
            <w:tcW w:w="858" w:type="dxa"/>
            <w:shd w:val="clear" w:color="auto" w:fill="auto"/>
            <w:vAlign w:val="center"/>
          </w:tcPr>
          <w:p w14:paraId="51BA55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08" w:type="dxa"/>
            <w:shd w:val="clear" w:color="auto" w:fill="auto"/>
            <w:vAlign w:val="center"/>
          </w:tcPr>
          <w:p w14:paraId="20C977AA">
            <w:pPr>
              <w:jc w:val="center"/>
              <w:rPr>
                <w:rFonts w:hint="eastAsia" w:ascii="宋体" w:hAnsi="宋体" w:eastAsia="宋体" w:cs="宋体"/>
                <w:i w:val="0"/>
                <w:iCs w:val="0"/>
                <w:color w:val="000000"/>
                <w:sz w:val="20"/>
                <w:szCs w:val="20"/>
                <w:u w:val="none"/>
              </w:rPr>
            </w:pPr>
          </w:p>
        </w:tc>
      </w:tr>
    </w:tbl>
    <w:p w14:paraId="11A0EB7F">
      <w:pPr>
        <w:ind w:left="0" w:leftChars="0" w:firstLine="0" w:firstLineChars="0"/>
        <w:rPr>
          <w:rFonts w:hint="default"/>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14:paraId="53ADF134">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7" w:name="_Toc15067"/>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87"/>
    </w:p>
    <w:tbl>
      <w:tblPr>
        <w:tblStyle w:val="12"/>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18749F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5CC7D383">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auto"/>
            <w:noWrap w:val="0"/>
            <w:vAlign w:val="center"/>
          </w:tcPr>
          <w:p w14:paraId="578ACD71">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820" w:type="dxa"/>
            <w:shd w:val="clear" w:color="auto" w:fill="auto"/>
            <w:noWrap w:val="0"/>
            <w:vAlign w:val="center"/>
          </w:tcPr>
          <w:p w14:paraId="075F60DC">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141" w:type="dxa"/>
            <w:shd w:val="clear" w:color="auto" w:fill="auto"/>
            <w:noWrap w:val="0"/>
            <w:vAlign w:val="center"/>
          </w:tcPr>
          <w:p w14:paraId="768E3529">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821" w:type="dxa"/>
            <w:shd w:val="clear" w:color="auto" w:fill="auto"/>
            <w:noWrap w:val="0"/>
            <w:vAlign w:val="center"/>
          </w:tcPr>
          <w:p w14:paraId="54DB6F34">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shd w:val="clear" w:color="auto" w:fill="auto"/>
            <w:noWrap w:val="0"/>
            <w:vAlign w:val="center"/>
          </w:tcPr>
          <w:p w14:paraId="552099C9">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auto"/>
            <w:noWrap w:val="0"/>
            <w:vAlign w:val="center"/>
          </w:tcPr>
          <w:p w14:paraId="44A7FF0B">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14:paraId="3E1EEE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5769855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14:paraId="340B2046">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5924D7F3">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shd w:val="clear" w:color="auto" w:fill="auto"/>
            <w:noWrap w:val="0"/>
            <w:vAlign w:val="center"/>
          </w:tcPr>
          <w:p w14:paraId="19CCC171">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项目立项　</w:t>
            </w:r>
          </w:p>
        </w:tc>
        <w:tc>
          <w:tcPr>
            <w:tcW w:w="820" w:type="dxa"/>
            <w:shd w:val="clear" w:color="auto" w:fill="auto"/>
            <w:noWrap w:val="0"/>
            <w:vAlign w:val="center"/>
          </w:tcPr>
          <w:p w14:paraId="28107E3A">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立项依据</w:t>
            </w:r>
          </w:p>
          <w:p w14:paraId="2492E061">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充分性</w:t>
            </w:r>
          </w:p>
        </w:tc>
        <w:tc>
          <w:tcPr>
            <w:tcW w:w="2141" w:type="dxa"/>
            <w:shd w:val="clear" w:color="auto" w:fill="auto"/>
            <w:noWrap w:val="0"/>
            <w:vAlign w:val="center"/>
          </w:tcPr>
          <w:p w14:paraId="1514D8FD">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039B21A6">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146FF35D">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①项目立项是否符合国家法律法规、国民经济发展规划和相关政策；</w:t>
            </w:r>
          </w:p>
          <w:p w14:paraId="261F7E72">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②项目立项是否符合行业发展规划和政策要求；</w:t>
            </w:r>
          </w:p>
          <w:p w14:paraId="259A39E0">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③项目立项是否与部门职责范围相符，属于部门履职所需；</w:t>
            </w:r>
          </w:p>
          <w:p w14:paraId="58E343AE">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④项目是否属于公共财政支持范围，是否符合中央、地方事权支出责任划分原则；</w:t>
            </w:r>
          </w:p>
          <w:p w14:paraId="7ECB3DF5">
            <w:pPr>
              <w:widowControl/>
              <w:spacing w:line="0" w:lineRule="atLeast"/>
              <w:ind w:firstLine="0" w:firstLineChars="0"/>
              <w:jc w:val="left"/>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⑤项目是否与相关部门同类项目或部门内部相关项目重复。</w:t>
            </w:r>
          </w:p>
        </w:tc>
        <w:tc>
          <w:tcPr>
            <w:tcW w:w="785" w:type="dxa"/>
            <w:shd w:val="clear" w:color="auto" w:fill="auto"/>
            <w:noWrap w:val="0"/>
            <w:vAlign w:val="center"/>
          </w:tcPr>
          <w:p w14:paraId="75AF98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7087B14">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2F557B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2FC25612">
            <w:pPr>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0B9B5805">
            <w:pPr>
              <w:widowControl/>
              <w:spacing w:line="0" w:lineRule="atLeast"/>
              <w:ind w:firstLine="0" w:firstLineChars="0"/>
              <w:jc w:val="center"/>
              <w:rPr>
                <w:rFonts w:ascii="宋体" w:hAnsi="宋体" w:eastAsia="宋体" w:cs="宋体"/>
                <w:color w:val="000000"/>
                <w:kern w:val="0"/>
                <w:sz w:val="22"/>
                <w:szCs w:val="22"/>
                <w:highlight w:val="none"/>
              </w:rPr>
            </w:pPr>
          </w:p>
        </w:tc>
        <w:tc>
          <w:tcPr>
            <w:tcW w:w="820" w:type="dxa"/>
            <w:shd w:val="clear" w:color="auto" w:fill="auto"/>
            <w:noWrap w:val="0"/>
            <w:vAlign w:val="center"/>
          </w:tcPr>
          <w:p w14:paraId="47BBECD8">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立项程序</w:t>
            </w:r>
          </w:p>
          <w:p w14:paraId="6D9FCBDA">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规范性</w:t>
            </w:r>
          </w:p>
        </w:tc>
        <w:tc>
          <w:tcPr>
            <w:tcW w:w="2141" w:type="dxa"/>
            <w:shd w:val="clear" w:color="auto" w:fill="auto"/>
            <w:noWrap w:val="0"/>
            <w:vAlign w:val="center"/>
          </w:tcPr>
          <w:p w14:paraId="092FA5CA">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330D0D97">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70500254">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①项目是否按照规定的程序申请设立；</w:t>
            </w:r>
          </w:p>
          <w:p w14:paraId="36C04408">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②审批文件、材料是否符合相关要求；</w:t>
            </w:r>
          </w:p>
          <w:p w14:paraId="65B0088B">
            <w:pPr>
              <w:widowControl/>
              <w:spacing w:line="0" w:lineRule="atLeast"/>
              <w:ind w:firstLine="0" w:firstLineChars="0"/>
              <w:jc w:val="left"/>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7E7378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F1B6943">
            <w:pPr>
              <w:widowControl/>
              <w:spacing w:line="0" w:lineRule="atLeast"/>
              <w:ind w:firstLine="0" w:firstLineChars="0"/>
              <w:jc w:val="left"/>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2.2</w:t>
            </w:r>
          </w:p>
        </w:tc>
      </w:tr>
      <w:tr w14:paraId="768FF9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5814372C">
            <w:pPr>
              <w:spacing w:line="0" w:lineRule="atLeast"/>
              <w:ind w:firstLine="0" w:firstLineChars="0"/>
              <w:jc w:val="center"/>
              <w:rPr>
                <w:rFonts w:ascii="宋体" w:hAnsi="宋体" w:eastAsia="宋体" w:cs="宋体"/>
                <w:color w:val="000000"/>
                <w:kern w:val="0"/>
                <w:sz w:val="22"/>
                <w:szCs w:val="22"/>
              </w:rPr>
            </w:pPr>
          </w:p>
        </w:tc>
        <w:tc>
          <w:tcPr>
            <w:tcW w:w="727" w:type="dxa"/>
            <w:shd w:val="clear" w:color="auto" w:fill="auto"/>
            <w:noWrap w:val="0"/>
            <w:vAlign w:val="center"/>
          </w:tcPr>
          <w:p w14:paraId="71CFE6C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820" w:type="dxa"/>
            <w:shd w:val="clear" w:color="auto" w:fill="auto"/>
            <w:noWrap w:val="0"/>
            <w:vAlign w:val="center"/>
          </w:tcPr>
          <w:p w14:paraId="4D9D56FD">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51FCC686">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noWrap w:val="0"/>
            <w:vAlign w:val="center"/>
          </w:tcPr>
          <w:p w14:paraId="5185E3C3">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772F7E1D">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51BE89B7">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14:paraId="49F35810">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14:paraId="3FFC4EB1">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14:paraId="4895CB78">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14:paraId="0419B702">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shd w:val="clear" w:color="auto" w:fill="auto"/>
            <w:noWrap w:val="0"/>
            <w:vAlign w:val="center"/>
          </w:tcPr>
          <w:p w14:paraId="6CEB17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59D23D1F">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132CB9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101D0F1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shd w:val="clear" w:color="auto" w:fill="auto"/>
            <w:noWrap w:val="0"/>
            <w:vAlign w:val="center"/>
          </w:tcPr>
          <w:p w14:paraId="29542DC3">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820" w:type="dxa"/>
            <w:shd w:val="clear" w:color="auto" w:fill="auto"/>
            <w:noWrap w:val="0"/>
            <w:vAlign w:val="center"/>
          </w:tcPr>
          <w:p w14:paraId="1DEE384C">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4730F05F">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141" w:type="dxa"/>
            <w:shd w:val="clear" w:color="auto" w:fill="auto"/>
            <w:noWrap w:val="0"/>
            <w:vAlign w:val="center"/>
          </w:tcPr>
          <w:p w14:paraId="49F5FCF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821" w:type="dxa"/>
            <w:shd w:val="clear" w:color="auto" w:fill="auto"/>
            <w:noWrap w:val="0"/>
            <w:vAlign w:val="center"/>
          </w:tcPr>
          <w:p w14:paraId="221A1EF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A16A20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14:paraId="61E83A4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14:paraId="0ECF0B9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14:paraId="1E62038E">
            <w:pPr>
              <w:widowControl/>
              <w:spacing w:line="0" w:lineRule="atLeast"/>
              <w:ind w:firstLine="0" w:firstLineChars="0"/>
              <w:rPr>
                <w:rFonts w:hint="eastAsia" w:ascii="宋体" w:hAnsi="宋体" w:eastAsia="宋体" w:cs="宋体"/>
                <w:color w:val="000000"/>
                <w:kern w:val="0"/>
                <w:sz w:val="22"/>
                <w:szCs w:val="22"/>
                <w:lang w:eastAsia="zh-CN"/>
              </w:rPr>
            </w:pPr>
          </w:p>
        </w:tc>
        <w:tc>
          <w:tcPr>
            <w:tcW w:w="785" w:type="dxa"/>
            <w:shd w:val="clear" w:color="auto" w:fill="auto"/>
            <w:noWrap w:val="0"/>
            <w:vAlign w:val="center"/>
          </w:tcPr>
          <w:p w14:paraId="6A5E31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7DF17DB7">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1ACE9C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30B1D40F">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noWrap w:val="0"/>
            <w:vAlign w:val="center"/>
          </w:tcPr>
          <w:p w14:paraId="3D29774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14:paraId="5F0BA1F3">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noWrap w:val="0"/>
            <w:vAlign w:val="center"/>
          </w:tcPr>
          <w:p w14:paraId="1D4E122E">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预算编制</w:t>
            </w:r>
          </w:p>
          <w:p w14:paraId="35B9607F">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科学性</w:t>
            </w:r>
          </w:p>
        </w:tc>
        <w:tc>
          <w:tcPr>
            <w:tcW w:w="2141" w:type="dxa"/>
            <w:shd w:val="clear" w:color="auto" w:fill="auto"/>
            <w:noWrap w:val="0"/>
            <w:vAlign w:val="center"/>
          </w:tcPr>
          <w:p w14:paraId="739A886D">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3AA897AD">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7CE2DE5A">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①预算编制是否经过科学论证；</w:t>
            </w:r>
          </w:p>
          <w:p w14:paraId="0328EBB5">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②预算内容与项目内容是否匹配；</w:t>
            </w:r>
          </w:p>
          <w:p w14:paraId="36DA96FB">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③预算额度测算依据是否充分，是否按照标准编制；</w:t>
            </w:r>
          </w:p>
          <w:p w14:paraId="0AB7EE74">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④预算确定的项目投资额或资金量是否与工作任务相匹配。</w:t>
            </w:r>
          </w:p>
        </w:tc>
        <w:tc>
          <w:tcPr>
            <w:tcW w:w="785" w:type="dxa"/>
            <w:shd w:val="clear" w:color="auto" w:fill="auto"/>
            <w:noWrap w:val="0"/>
            <w:vAlign w:val="center"/>
          </w:tcPr>
          <w:p w14:paraId="261F8C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6B7B1D4">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1.5</w:t>
            </w:r>
          </w:p>
        </w:tc>
      </w:tr>
      <w:tr w14:paraId="47917A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6E07EF43">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2246C5FD">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noWrap w:val="0"/>
            <w:vAlign w:val="center"/>
          </w:tcPr>
          <w:p w14:paraId="5A54898E">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785BB7B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noWrap w:val="0"/>
            <w:vAlign w:val="center"/>
          </w:tcPr>
          <w:p w14:paraId="4AF6055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308D1EB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7627D84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14:paraId="12EECB8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85" w:type="dxa"/>
            <w:shd w:val="clear" w:color="auto" w:fill="auto"/>
            <w:noWrap w:val="0"/>
            <w:vAlign w:val="center"/>
          </w:tcPr>
          <w:p w14:paraId="6F42EB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CA1E9BA">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780F26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47BB0092">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shd w:val="clear" w:color="auto" w:fill="auto"/>
            <w:noWrap w:val="0"/>
            <w:vAlign w:val="center"/>
          </w:tcPr>
          <w:p w14:paraId="63C896A4">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noWrap w:val="0"/>
            <w:vAlign w:val="center"/>
          </w:tcPr>
          <w:p w14:paraId="78883BD9">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141" w:type="dxa"/>
            <w:shd w:val="clear" w:color="auto" w:fill="auto"/>
            <w:noWrap w:val="0"/>
            <w:vAlign w:val="center"/>
          </w:tcPr>
          <w:p w14:paraId="04FC7D5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821" w:type="dxa"/>
            <w:shd w:val="clear" w:color="auto" w:fill="auto"/>
            <w:noWrap w:val="0"/>
            <w:vAlign w:val="center"/>
          </w:tcPr>
          <w:p w14:paraId="22B66879">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0B2E8703">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62CD8BA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shd w:val="clear" w:color="auto" w:fill="auto"/>
            <w:noWrap w:val="0"/>
            <w:vAlign w:val="center"/>
          </w:tcPr>
          <w:p w14:paraId="39B3A6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BA3D7BE">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5B66DC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2E50A447">
            <w:pPr>
              <w:spacing w:line="0" w:lineRule="atLeast"/>
              <w:ind w:firstLine="0" w:firstLineChars="0"/>
              <w:jc w:val="center"/>
              <w:rPr>
                <w:rFonts w:hint="eastAsia" w:ascii="宋体" w:hAnsi="宋体" w:eastAsia="宋体" w:cs="宋体"/>
                <w:color w:val="000000"/>
                <w:kern w:val="0"/>
                <w:sz w:val="22"/>
                <w:szCs w:val="22"/>
              </w:rPr>
            </w:pPr>
          </w:p>
        </w:tc>
        <w:tc>
          <w:tcPr>
            <w:tcW w:w="727" w:type="dxa"/>
            <w:vMerge w:val="continue"/>
            <w:shd w:val="clear" w:color="auto" w:fill="auto"/>
            <w:noWrap w:val="0"/>
            <w:vAlign w:val="center"/>
          </w:tcPr>
          <w:p w14:paraId="585FC74E">
            <w:pPr>
              <w:spacing w:line="0" w:lineRule="atLeast"/>
              <w:ind w:firstLine="0" w:firstLineChars="0"/>
              <w:jc w:val="center"/>
              <w:rPr>
                <w:rFonts w:hint="eastAsia" w:ascii="宋体" w:hAnsi="宋体" w:eastAsia="宋体" w:cs="宋体"/>
                <w:color w:val="000000"/>
                <w:kern w:val="0"/>
                <w:sz w:val="22"/>
                <w:szCs w:val="22"/>
              </w:rPr>
            </w:pPr>
          </w:p>
        </w:tc>
        <w:tc>
          <w:tcPr>
            <w:tcW w:w="820" w:type="dxa"/>
            <w:shd w:val="clear" w:color="auto" w:fill="auto"/>
            <w:noWrap w:val="0"/>
            <w:vAlign w:val="center"/>
          </w:tcPr>
          <w:p w14:paraId="6A46E613">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141" w:type="dxa"/>
            <w:shd w:val="clear" w:color="auto" w:fill="auto"/>
            <w:noWrap w:val="0"/>
            <w:vAlign w:val="center"/>
          </w:tcPr>
          <w:p w14:paraId="414AF7DB">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821" w:type="dxa"/>
            <w:shd w:val="clear" w:color="auto" w:fill="auto"/>
            <w:noWrap w:val="0"/>
            <w:vAlign w:val="center"/>
          </w:tcPr>
          <w:p w14:paraId="37654D5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14:paraId="5C666BF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85" w:type="dxa"/>
            <w:shd w:val="clear" w:color="auto" w:fill="auto"/>
            <w:noWrap w:val="0"/>
            <w:vAlign w:val="center"/>
          </w:tcPr>
          <w:p w14:paraId="05FD4D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664DBDE">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7F5465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789B842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0601DF11">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shd w:val="clear" w:color="auto" w:fill="auto"/>
            <w:noWrap w:val="0"/>
            <w:vAlign w:val="center"/>
          </w:tcPr>
          <w:p w14:paraId="36FB1571">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noWrap w:val="0"/>
            <w:vAlign w:val="center"/>
          </w:tcPr>
          <w:p w14:paraId="79A036AF">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385D0B2C">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141" w:type="dxa"/>
            <w:shd w:val="clear" w:color="auto" w:fill="auto"/>
            <w:noWrap w:val="0"/>
            <w:vAlign w:val="center"/>
          </w:tcPr>
          <w:p w14:paraId="2CE2626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821" w:type="dxa"/>
            <w:shd w:val="clear" w:color="auto" w:fill="auto"/>
            <w:noWrap w:val="0"/>
            <w:vAlign w:val="center"/>
          </w:tcPr>
          <w:p w14:paraId="130EFA3F">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60847276">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①是否符合国家财经法规和财务管理制度以及有关专项资金管理办法的规定；</w:t>
            </w:r>
          </w:p>
          <w:p w14:paraId="5518F90B">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②资金的拨付是否有完整的审批程序和手续；</w:t>
            </w:r>
          </w:p>
          <w:p w14:paraId="3BF118C0">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③是否符合项目预算批复或合同规定的用途；</w:t>
            </w:r>
          </w:p>
          <w:p w14:paraId="0FAF2490">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④是否存在截留、挤占、挪用、虚列支出等情况。</w:t>
            </w:r>
          </w:p>
        </w:tc>
        <w:tc>
          <w:tcPr>
            <w:tcW w:w="785" w:type="dxa"/>
            <w:shd w:val="clear" w:color="auto" w:fill="auto"/>
            <w:noWrap w:val="0"/>
            <w:vAlign w:val="center"/>
          </w:tcPr>
          <w:p w14:paraId="73DEA6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16DAF06">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14:paraId="18328B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7589BEAD">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noWrap w:val="0"/>
            <w:vAlign w:val="center"/>
          </w:tcPr>
          <w:p w14:paraId="7670947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14:paraId="7C632D35">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noWrap w:val="0"/>
            <w:vAlign w:val="center"/>
          </w:tcPr>
          <w:p w14:paraId="13CB95DB">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34061BB3">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141" w:type="dxa"/>
            <w:shd w:val="clear" w:color="auto" w:fill="auto"/>
            <w:noWrap w:val="0"/>
            <w:vAlign w:val="center"/>
          </w:tcPr>
          <w:p w14:paraId="438C984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44113621">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68084D51">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①是否已制定或具有相应的财务和业务管理制度；</w:t>
            </w:r>
          </w:p>
          <w:p w14:paraId="2B9CC9D0">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②财务和业务管理制度是否合法、合规、完整。</w:t>
            </w:r>
          </w:p>
        </w:tc>
        <w:tc>
          <w:tcPr>
            <w:tcW w:w="785" w:type="dxa"/>
            <w:shd w:val="clear" w:color="auto" w:fill="auto"/>
            <w:noWrap w:val="0"/>
            <w:vAlign w:val="center"/>
          </w:tcPr>
          <w:p w14:paraId="536282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8EAEF9B">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14:paraId="6857D0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62B152C9">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3383617E">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noWrap w:val="0"/>
            <w:vAlign w:val="center"/>
          </w:tcPr>
          <w:p w14:paraId="352FD939">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3673CF7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141" w:type="dxa"/>
            <w:shd w:val="clear" w:color="auto" w:fill="auto"/>
            <w:noWrap w:val="0"/>
            <w:vAlign w:val="center"/>
          </w:tcPr>
          <w:p w14:paraId="222F8B7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821" w:type="dxa"/>
            <w:shd w:val="clear" w:color="auto" w:fill="auto"/>
            <w:noWrap w:val="0"/>
            <w:vAlign w:val="center"/>
          </w:tcPr>
          <w:p w14:paraId="373B1877">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47585BBC">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①是否遵守相关法律法规和相关管理规定；</w:t>
            </w:r>
          </w:p>
          <w:p w14:paraId="01EA1A0E">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②项目调整及支出调整手续是否完备；</w:t>
            </w:r>
          </w:p>
          <w:p w14:paraId="329D5467">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③项目合同书、验收报告、技术鉴定等资料是否齐全并及时归档；</w:t>
            </w:r>
          </w:p>
          <w:p w14:paraId="3E015BFB">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④项目实施的人员条件、场地设备、信息支撑等是否落实到位。</w:t>
            </w:r>
          </w:p>
        </w:tc>
        <w:tc>
          <w:tcPr>
            <w:tcW w:w="785" w:type="dxa"/>
            <w:shd w:val="clear" w:color="auto" w:fill="auto"/>
            <w:noWrap w:val="0"/>
            <w:vAlign w:val="center"/>
          </w:tcPr>
          <w:p w14:paraId="716D32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673BC6C">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r>
      <w:tr w14:paraId="137F80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6C74B49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741F5D0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3D41659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离休老干部医疗补助人数</w:t>
            </w:r>
          </w:p>
        </w:tc>
        <w:tc>
          <w:tcPr>
            <w:tcW w:w="2141" w:type="dxa"/>
            <w:shd w:val="clear" w:color="auto" w:fill="auto"/>
            <w:noWrap w:val="0"/>
            <w:vAlign w:val="center"/>
          </w:tcPr>
          <w:p w14:paraId="14A08EB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14:paraId="5B6B0666">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14:paraId="32AA74BE">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14:paraId="7C90CA8B">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772EC3C8">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c>
          <w:tcPr>
            <w:tcW w:w="769" w:type="dxa"/>
            <w:shd w:val="clear" w:color="auto" w:fill="auto"/>
            <w:noWrap w:val="0"/>
            <w:vAlign w:val="center"/>
          </w:tcPr>
          <w:p w14:paraId="343E64D1">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r>
      <w:tr w14:paraId="58F50C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44DA9926">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1BD7C47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4337C7C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离休老干部医疗补助次数</w:t>
            </w:r>
          </w:p>
        </w:tc>
        <w:tc>
          <w:tcPr>
            <w:tcW w:w="2141" w:type="dxa"/>
            <w:shd w:val="clear" w:color="auto" w:fill="auto"/>
            <w:noWrap w:val="0"/>
            <w:vAlign w:val="center"/>
          </w:tcPr>
          <w:p w14:paraId="410615EC">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14:paraId="584D3EA5">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14:paraId="1AE9090F">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14:paraId="03B95E23">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62B75F57">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c>
          <w:tcPr>
            <w:tcW w:w="769" w:type="dxa"/>
            <w:shd w:val="clear" w:color="auto" w:fill="auto"/>
            <w:noWrap w:val="0"/>
            <w:vAlign w:val="center"/>
          </w:tcPr>
          <w:p w14:paraId="5DA977DE">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r>
      <w:tr w14:paraId="2D2B0C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079B35D2">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5B91F1F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r>
              <w:rPr>
                <w:rFonts w:hint="eastAsia" w:cs="宋体"/>
                <w:color w:val="auto"/>
                <w:kern w:val="0"/>
                <w:sz w:val="22"/>
                <w:szCs w:val="22"/>
                <w:highlight w:val="none"/>
                <w:lang w:val="en-US" w:eastAsia="zh-CN"/>
              </w:rPr>
              <w:t>质</w:t>
            </w:r>
            <w:r>
              <w:rPr>
                <w:rFonts w:hint="eastAsia" w:ascii="宋体" w:hAnsi="宋体" w:eastAsia="宋体" w:cs="宋体"/>
                <w:color w:val="auto"/>
                <w:kern w:val="0"/>
                <w:sz w:val="22"/>
                <w:szCs w:val="22"/>
                <w:highlight w:val="none"/>
              </w:rPr>
              <w:t>量</w:t>
            </w:r>
          </w:p>
        </w:tc>
        <w:tc>
          <w:tcPr>
            <w:tcW w:w="820" w:type="dxa"/>
            <w:shd w:val="clear" w:color="auto" w:fill="auto"/>
            <w:noWrap w:val="0"/>
            <w:vAlign w:val="center"/>
          </w:tcPr>
          <w:p w14:paraId="436C96D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离休老干部费用报销比例 </w:t>
            </w:r>
          </w:p>
        </w:tc>
        <w:tc>
          <w:tcPr>
            <w:tcW w:w="2141" w:type="dxa"/>
            <w:shd w:val="clear" w:color="auto" w:fill="auto"/>
            <w:noWrap w:val="0"/>
            <w:vAlign w:val="center"/>
          </w:tcPr>
          <w:p w14:paraId="75DBE57C">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14:paraId="2A64232B">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14:paraId="35F02DED">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14:paraId="4722ECD5">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17963760">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c>
          <w:tcPr>
            <w:tcW w:w="769" w:type="dxa"/>
            <w:shd w:val="clear" w:color="auto" w:fill="auto"/>
            <w:noWrap w:val="0"/>
            <w:vAlign w:val="center"/>
          </w:tcPr>
          <w:p w14:paraId="2D6DF1EE">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r>
      <w:tr w14:paraId="66F5F0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30CCD5C0">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43E3BC8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r>
              <w:rPr>
                <w:rFonts w:hint="eastAsia" w:cs="宋体"/>
                <w:color w:val="auto"/>
                <w:kern w:val="0"/>
                <w:sz w:val="22"/>
                <w:szCs w:val="22"/>
                <w:highlight w:val="none"/>
                <w:lang w:val="en-US" w:eastAsia="zh-CN"/>
              </w:rPr>
              <w:t>质</w:t>
            </w:r>
            <w:r>
              <w:rPr>
                <w:rFonts w:hint="eastAsia" w:ascii="宋体" w:hAnsi="宋体" w:eastAsia="宋体" w:cs="宋体"/>
                <w:color w:val="auto"/>
                <w:kern w:val="0"/>
                <w:sz w:val="22"/>
                <w:szCs w:val="22"/>
                <w:highlight w:val="none"/>
              </w:rPr>
              <w:t>量</w:t>
            </w:r>
          </w:p>
        </w:tc>
        <w:tc>
          <w:tcPr>
            <w:tcW w:w="820" w:type="dxa"/>
            <w:shd w:val="clear" w:color="auto" w:fill="auto"/>
            <w:noWrap w:val="0"/>
            <w:vAlign w:val="center"/>
          </w:tcPr>
          <w:p w14:paraId="429C7A5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离休老干部医疗补助报销及时率</w:t>
            </w:r>
          </w:p>
        </w:tc>
        <w:tc>
          <w:tcPr>
            <w:tcW w:w="2141" w:type="dxa"/>
            <w:shd w:val="clear" w:color="auto" w:fill="auto"/>
            <w:noWrap w:val="0"/>
            <w:vAlign w:val="center"/>
          </w:tcPr>
          <w:p w14:paraId="145D8576">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14:paraId="579E62F5">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14:paraId="00345563">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14:paraId="04472B56">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44D12E8E">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c>
          <w:tcPr>
            <w:tcW w:w="769" w:type="dxa"/>
            <w:shd w:val="clear" w:color="auto" w:fill="auto"/>
            <w:noWrap w:val="0"/>
            <w:vAlign w:val="center"/>
          </w:tcPr>
          <w:p w14:paraId="1B387372">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14:paraId="096935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28BCB908">
            <w:pPr>
              <w:widowControl/>
              <w:spacing w:line="0" w:lineRule="atLeast"/>
              <w:ind w:firstLine="0" w:firstLineChars="0"/>
              <w:jc w:val="center"/>
              <w:rPr>
                <w:rFonts w:hint="eastAsia" w:ascii="宋体" w:hAnsi="宋体" w:eastAsia="宋体" w:cs="宋体"/>
                <w:color w:val="000000"/>
                <w:kern w:val="0"/>
                <w:sz w:val="22"/>
                <w:szCs w:val="22"/>
                <w:highlight w:val="yellow"/>
              </w:rPr>
            </w:pPr>
          </w:p>
        </w:tc>
        <w:tc>
          <w:tcPr>
            <w:tcW w:w="727" w:type="dxa"/>
            <w:shd w:val="clear" w:color="auto" w:fill="auto"/>
            <w:noWrap w:val="0"/>
            <w:vAlign w:val="center"/>
          </w:tcPr>
          <w:p w14:paraId="34E09B88">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产出</w:t>
            </w:r>
            <w:r>
              <w:rPr>
                <w:rFonts w:hint="eastAsia" w:cs="宋体"/>
                <w:color w:val="000000"/>
                <w:kern w:val="0"/>
                <w:sz w:val="22"/>
                <w:szCs w:val="22"/>
                <w:highlight w:val="none"/>
                <w:lang w:val="en-US" w:eastAsia="zh-CN"/>
              </w:rPr>
              <w:t>时效</w:t>
            </w:r>
          </w:p>
        </w:tc>
        <w:tc>
          <w:tcPr>
            <w:tcW w:w="820" w:type="dxa"/>
            <w:shd w:val="clear" w:color="auto" w:fill="auto"/>
            <w:noWrap w:val="0"/>
            <w:vAlign w:val="center"/>
          </w:tcPr>
          <w:p w14:paraId="799D0C97">
            <w:pPr>
              <w:widowControl/>
              <w:tabs>
                <w:tab w:val="left" w:pos="544"/>
              </w:tabs>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cs="宋体"/>
                <w:color w:val="000000"/>
                <w:kern w:val="0"/>
                <w:sz w:val="22"/>
                <w:szCs w:val="22"/>
                <w:highlight w:val="none"/>
                <w:lang w:eastAsia="zh-CN"/>
              </w:rPr>
              <w:t>离休老干部医疗补助开始时间</w:t>
            </w:r>
          </w:p>
        </w:tc>
        <w:tc>
          <w:tcPr>
            <w:tcW w:w="2141" w:type="dxa"/>
            <w:shd w:val="clear" w:color="auto" w:fill="auto"/>
            <w:noWrap w:val="0"/>
            <w:vAlign w:val="center"/>
          </w:tcPr>
          <w:p w14:paraId="0643BFD1">
            <w:pPr>
              <w:widowControl/>
              <w:spacing w:line="0" w:lineRule="atLeast"/>
              <w:ind w:firstLine="0" w:firstLineChars="0"/>
              <w:rPr>
                <w:rFonts w:hint="default" w:ascii="宋体" w:hAnsi="宋体" w:eastAsia="宋体" w:cs="宋体"/>
                <w:color w:val="000000"/>
                <w:kern w:val="0"/>
                <w:sz w:val="22"/>
                <w:szCs w:val="22"/>
                <w:lang w:val="en-US"/>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14:paraId="52B96E86">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实际完成时间：项目实施单位完成该项目实际所耗用的时间。</w:t>
            </w:r>
          </w:p>
          <w:p w14:paraId="3D19D4C6">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476F0529">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auto" w:fill="auto"/>
            <w:noWrap w:val="0"/>
            <w:vAlign w:val="center"/>
          </w:tcPr>
          <w:p w14:paraId="682E6E5F">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14:paraId="06E932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174EDA11">
            <w:pPr>
              <w:widowControl/>
              <w:spacing w:line="0" w:lineRule="atLeast"/>
              <w:ind w:firstLine="0" w:firstLineChars="0"/>
              <w:jc w:val="center"/>
              <w:rPr>
                <w:rFonts w:hint="eastAsia" w:ascii="宋体" w:hAnsi="宋体" w:eastAsia="宋体" w:cs="宋体"/>
                <w:color w:val="000000"/>
                <w:kern w:val="0"/>
                <w:sz w:val="22"/>
                <w:szCs w:val="22"/>
                <w:highlight w:val="yellow"/>
              </w:rPr>
            </w:pPr>
          </w:p>
        </w:tc>
        <w:tc>
          <w:tcPr>
            <w:tcW w:w="727" w:type="dxa"/>
            <w:shd w:val="clear" w:color="auto" w:fill="auto"/>
            <w:noWrap w:val="0"/>
            <w:vAlign w:val="center"/>
          </w:tcPr>
          <w:p w14:paraId="190367E1">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产出时效</w:t>
            </w:r>
          </w:p>
        </w:tc>
        <w:tc>
          <w:tcPr>
            <w:tcW w:w="820" w:type="dxa"/>
            <w:shd w:val="clear" w:color="auto" w:fill="auto"/>
            <w:noWrap w:val="0"/>
            <w:vAlign w:val="center"/>
          </w:tcPr>
          <w:p w14:paraId="3CB21A39">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离休老干部医疗补助截止时间</w:t>
            </w:r>
          </w:p>
        </w:tc>
        <w:tc>
          <w:tcPr>
            <w:tcW w:w="2141" w:type="dxa"/>
            <w:shd w:val="clear" w:color="auto" w:fill="auto"/>
            <w:noWrap w:val="0"/>
            <w:vAlign w:val="center"/>
          </w:tcPr>
          <w:p w14:paraId="64BA4207">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14:paraId="6339599B">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实际完成时间：项目实施单位完成该项目实际所耗用的时间。</w:t>
            </w:r>
          </w:p>
          <w:p w14:paraId="4A645AFD">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2178A0D9">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c>
          <w:tcPr>
            <w:tcW w:w="769" w:type="dxa"/>
            <w:shd w:val="clear" w:color="auto" w:fill="auto"/>
            <w:noWrap w:val="0"/>
            <w:vAlign w:val="center"/>
          </w:tcPr>
          <w:p w14:paraId="28906D34">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r>
      <w:tr w14:paraId="36986B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76D34E18">
            <w:pPr>
              <w:widowControl/>
              <w:spacing w:line="0" w:lineRule="atLeast"/>
              <w:ind w:firstLine="0" w:firstLineChars="0"/>
              <w:jc w:val="center"/>
              <w:rPr>
                <w:rFonts w:ascii="宋体" w:hAnsi="宋体" w:eastAsia="宋体" w:cs="宋体"/>
                <w:color w:val="000000"/>
                <w:kern w:val="0"/>
                <w:sz w:val="22"/>
                <w:szCs w:val="22"/>
                <w:highlight w:val="yellow"/>
              </w:rPr>
            </w:pPr>
          </w:p>
        </w:tc>
        <w:tc>
          <w:tcPr>
            <w:tcW w:w="727" w:type="dxa"/>
            <w:shd w:val="clear" w:color="auto" w:fill="auto"/>
            <w:noWrap w:val="0"/>
            <w:vAlign w:val="center"/>
          </w:tcPr>
          <w:p w14:paraId="5959B9D4">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产出成本</w:t>
            </w:r>
          </w:p>
        </w:tc>
        <w:tc>
          <w:tcPr>
            <w:tcW w:w="820" w:type="dxa"/>
            <w:shd w:val="clear" w:color="auto" w:fill="auto"/>
            <w:noWrap w:val="0"/>
            <w:vAlign w:val="center"/>
          </w:tcPr>
          <w:p w14:paraId="0AF844DA">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离休老干部住院报销费用</w:t>
            </w:r>
          </w:p>
        </w:tc>
        <w:tc>
          <w:tcPr>
            <w:tcW w:w="2141" w:type="dxa"/>
            <w:shd w:val="clear" w:color="auto" w:fill="auto"/>
            <w:noWrap w:val="0"/>
            <w:vAlign w:val="center"/>
          </w:tcPr>
          <w:p w14:paraId="3CA8281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shd w:val="clear" w:color="auto" w:fill="auto"/>
            <w:noWrap w:val="0"/>
            <w:vAlign w:val="center"/>
          </w:tcPr>
          <w:p w14:paraId="174F1A57">
            <w:pPr>
              <w:widowControl/>
              <w:spacing w:line="0" w:lineRule="atLeast"/>
              <w:ind w:firstLine="0" w:firstLineChars="0"/>
              <w:rPr>
                <w:rFonts w:hint="eastAsia" w:ascii="宋体" w:hAnsi="宋体" w:eastAsia="宋体" w:cs="宋体"/>
                <w:color w:val="000000"/>
                <w:kern w:val="0"/>
                <w:sz w:val="22"/>
                <w:szCs w:val="22"/>
                <w:highlight w:val="none"/>
                <w:lang w:eastAsia="zh-CN"/>
              </w:rPr>
            </w:pPr>
          </w:p>
          <w:p w14:paraId="465EF811">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14:paraId="181AC03D">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14:paraId="657C0A8E">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4554AD28">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c>
          <w:tcPr>
            <w:tcW w:w="769" w:type="dxa"/>
            <w:shd w:val="clear" w:color="auto" w:fill="auto"/>
            <w:noWrap w:val="0"/>
            <w:vAlign w:val="center"/>
          </w:tcPr>
          <w:p w14:paraId="7FF1F0CF">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r>
      <w:tr w14:paraId="4A01DB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535F327B">
            <w:pPr>
              <w:widowControl/>
              <w:spacing w:line="0" w:lineRule="atLeast"/>
              <w:ind w:firstLine="0" w:firstLineChars="0"/>
              <w:jc w:val="center"/>
              <w:rPr>
                <w:rFonts w:ascii="宋体" w:hAnsi="宋体" w:eastAsia="宋体" w:cs="宋体"/>
                <w:color w:val="000000"/>
                <w:kern w:val="0"/>
                <w:sz w:val="22"/>
                <w:szCs w:val="22"/>
                <w:highlight w:val="yellow"/>
              </w:rPr>
            </w:pPr>
          </w:p>
        </w:tc>
        <w:tc>
          <w:tcPr>
            <w:tcW w:w="727" w:type="dxa"/>
            <w:shd w:val="clear" w:color="auto" w:fill="auto"/>
            <w:noWrap w:val="0"/>
            <w:vAlign w:val="center"/>
          </w:tcPr>
          <w:p w14:paraId="24C67E64">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产出成本</w:t>
            </w:r>
          </w:p>
        </w:tc>
        <w:tc>
          <w:tcPr>
            <w:tcW w:w="820" w:type="dxa"/>
            <w:shd w:val="clear" w:color="auto" w:fill="auto"/>
            <w:noWrap w:val="0"/>
            <w:vAlign w:val="center"/>
          </w:tcPr>
          <w:p w14:paraId="5295E84E">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离休老干部门诊购药报销费用</w:t>
            </w:r>
          </w:p>
        </w:tc>
        <w:tc>
          <w:tcPr>
            <w:tcW w:w="2141" w:type="dxa"/>
            <w:shd w:val="clear" w:color="auto" w:fill="auto"/>
            <w:noWrap w:val="0"/>
            <w:vAlign w:val="center"/>
          </w:tcPr>
          <w:p w14:paraId="4DEF5E05">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shd w:val="clear" w:color="auto" w:fill="auto"/>
            <w:noWrap w:val="0"/>
            <w:vAlign w:val="center"/>
          </w:tcPr>
          <w:p w14:paraId="4FCB7D34">
            <w:pPr>
              <w:widowControl/>
              <w:spacing w:line="0" w:lineRule="atLeast"/>
              <w:ind w:firstLine="0" w:firstLineChars="0"/>
              <w:rPr>
                <w:rFonts w:hint="eastAsia" w:ascii="宋体" w:hAnsi="宋体" w:eastAsia="宋体" w:cs="宋体"/>
                <w:color w:val="000000"/>
                <w:kern w:val="0"/>
                <w:sz w:val="22"/>
                <w:szCs w:val="22"/>
                <w:highlight w:val="none"/>
                <w:lang w:eastAsia="zh-CN"/>
              </w:rPr>
            </w:pPr>
          </w:p>
          <w:p w14:paraId="6EA1544A">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14:paraId="57517490">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14:paraId="7DEA41D8">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61517A3D">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c>
          <w:tcPr>
            <w:tcW w:w="769" w:type="dxa"/>
            <w:shd w:val="clear" w:color="auto" w:fill="auto"/>
            <w:noWrap w:val="0"/>
            <w:vAlign w:val="center"/>
          </w:tcPr>
          <w:p w14:paraId="2088A7BA">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r>
      <w:tr w14:paraId="032DD5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481C230A">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效益　</w:t>
            </w:r>
          </w:p>
        </w:tc>
        <w:tc>
          <w:tcPr>
            <w:tcW w:w="727" w:type="dxa"/>
            <w:vMerge w:val="restart"/>
            <w:shd w:val="clear" w:color="auto" w:fill="auto"/>
            <w:noWrap w:val="0"/>
            <w:vAlign w:val="center"/>
          </w:tcPr>
          <w:p w14:paraId="5026AC21">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项目效益　</w:t>
            </w:r>
          </w:p>
        </w:tc>
        <w:tc>
          <w:tcPr>
            <w:tcW w:w="820" w:type="dxa"/>
            <w:shd w:val="clear" w:color="auto" w:fill="auto"/>
            <w:noWrap w:val="0"/>
            <w:vAlign w:val="center"/>
          </w:tcPr>
          <w:p w14:paraId="5CFDF679">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xml:space="preserve">参保离休老干部及时享受医疗待遇  </w:t>
            </w:r>
          </w:p>
        </w:tc>
        <w:tc>
          <w:tcPr>
            <w:tcW w:w="2141" w:type="dxa"/>
            <w:shd w:val="clear" w:color="auto" w:fill="auto"/>
            <w:noWrap w:val="0"/>
            <w:vAlign w:val="center"/>
          </w:tcPr>
          <w:p w14:paraId="4F41688D">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821" w:type="dxa"/>
            <w:shd w:val="clear" w:color="auto" w:fill="auto"/>
            <w:noWrap w:val="0"/>
            <w:vAlign w:val="center"/>
          </w:tcPr>
          <w:p w14:paraId="0E3EC507">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5C90EBA9">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c>
          <w:tcPr>
            <w:tcW w:w="769" w:type="dxa"/>
            <w:shd w:val="clear" w:color="auto" w:fill="auto"/>
            <w:noWrap w:val="0"/>
            <w:vAlign w:val="center"/>
          </w:tcPr>
          <w:p w14:paraId="56665D9E">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r>
      <w:tr w14:paraId="7A5A9D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56B67F24">
            <w:pPr>
              <w:widowControl/>
              <w:spacing w:line="0" w:lineRule="atLeast"/>
              <w:ind w:firstLine="0" w:firstLineChars="0"/>
              <w:jc w:val="center"/>
              <w:rPr>
                <w:rFonts w:ascii="宋体" w:hAnsi="宋体" w:eastAsia="宋体" w:cs="宋体"/>
                <w:color w:val="000000"/>
                <w:kern w:val="0"/>
                <w:sz w:val="22"/>
                <w:szCs w:val="22"/>
                <w:highlight w:val="yellow"/>
              </w:rPr>
            </w:pPr>
          </w:p>
        </w:tc>
        <w:tc>
          <w:tcPr>
            <w:tcW w:w="727" w:type="dxa"/>
            <w:vMerge w:val="continue"/>
            <w:shd w:val="clear" w:color="auto" w:fill="auto"/>
            <w:noWrap w:val="0"/>
            <w:vAlign w:val="center"/>
          </w:tcPr>
          <w:p w14:paraId="0BA03B17">
            <w:pPr>
              <w:widowControl/>
              <w:spacing w:line="0" w:lineRule="atLeast"/>
              <w:ind w:firstLine="0" w:firstLineChars="0"/>
              <w:jc w:val="center"/>
              <w:rPr>
                <w:rFonts w:ascii="宋体" w:hAnsi="宋体" w:eastAsia="宋体" w:cs="宋体"/>
                <w:color w:val="000000"/>
                <w:kern w:val="0"/>
                <w:sz w:val="22"/>
                <w:szCs w:val="22"/>
                <w:highlight w:val="yellow"/>
              </w:rPr>
            </w:pPr>
          </w:p>
        </w:tc>
        <w:tc>
          <w:tcPr>
            <w:tcW w:w="820" w:type="dxa"/>
            <w:shd w:val="clear" w:color="auto" w:fill="auto"/>
            <w:noWrap w:val="0"/>
            <w:vAlign w:val="center"/>
          </w:tcPr>
          <w:p w14:paraId="190C73D4">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减轻参保离休老干部就医经济负担,缓解社会矛盾</w:t>
            </w:r>
          </w:p>
        </w:tc>
        <w:tc>
          <w:tcPr>
            <w:tcW w:w="2141" w:type="dxa"/>
            <w:shd w:val="clear" w:color="auto" w:fill="auto"/>
            <w:noWrap w:val="0"/>
            <w:vAlign w:val="center"/>
          </w:tcPr>
          <w:p w14:paraId="79EB69EE">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821" w:type="dxa"/>
            <w:shd w:val="clear" w:color="auto" w:fill="auto"/>
            <w:noWrap w:val="0"/>
            <w:vAlign w:val="center"/>
          </w:tcPr>
          <w:p w14:paraId="620A8561">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0F9ED234">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c>
          <w:tcPr>
            <w:tcW w:w="769" w:type="dxa"/>
            <w:shd w:val="clear" w:color="auto" w:fill="auto"/>
            <w:noWrap w:val="0"/>
            <w:vAlign w:val="center"/>
          </w:tcPr>
          <w:p w14:paraId="292CFC29">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r>
      <w:tr w14:paraId="52DFFB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3082881E">
            <w:pPr>
              <w:widowControl/>
              <w:spacing w:line="0" w:lineRule="atLeast"/>
              <w:ind w:firstLine="0" w:firstLineChars="0"/>
              <w:jc w:val="center"/>
              <w:rPr>
                <w:rFonts w:ascii="宋体" w:hAnsi="宋体" w:eastAsia="宋体" w:cs="宋体"/>
                <w:color w:val="000000"/>
                <w:kern w:val="0"/>
                <w:sz w:val="22"/>
                <w:szCs w:val="22"/>
                <w:highlight w:val="yellow"/>
              </w:rPr>
            </w:pPr>
          </w:p>
        </w:tc>
        <w:tc>
          <w:tcPr>
            <w:tcW w:w="727" w:type="dxa"/>
            <w:vMerge w:val="continue"/>
            <w:shd w:val="clear" w:color="auto" w:fill="auto"/>
            <w:noWrap w:val="0"/>
            <w:vAlign w:val="center"/>
          </w:tcPr>
          <w:p w14:paraId="50AF6189">
            <w:pPr>
              <w:widowControl/>
              <w:spacing w:line="0" w:lineRule="atLeast"/>
              <w:ind w:firstLine="0" w:firstLineChars="0"/>
              <w:jc w:val="center"/>
              <w:rPr>
                <w:rFonts w:ascii="宋体" w:hAnsi="宋体" w:eastAsia="宋体" w:cs="宋体"/>
                <w:color w:val="000000"/>
                <w:kern w:val="0"/>
                <w:sz w:val="22"/>
                <w:szCs w:val="22"/>
                <w:highlight w:val="yellow"/>
              </w:rPr>
            </w:pPr>
          </w:p>
        </w:tc>
        <w:tc>
          <w:tcPr>
            <w:tcW w:w="820" w:type="dxa"/>
            <w:shd w:val="clear" w:color="auto" w:fill="auto"/>
            <w:noWrap w:val="0"/>
            <w:vAlign w:val="center"/>
          </w:tcPr>
          <w:p w14:paraId="52346C4B">
            <w:pPr>
              <w:widowControl/>
              <w:spacing w:line="0" w:lineRule="atLeast"/>
              <w:ind w:firstLine="0" w:firstLineChars="0"/>
              <w:jc w:val="center"/>
              <w:rPr>
                <w:rFonts w:ascii="宋体" w:hAnsi="宋体" w:eastAsia="宋体" w:cs="宋体"/>
                <w:color w:val="000000"/>
                <w:kern w:val="0"/>
                <w:sz w:val="22"/>
                <w:szCs w:val="22"/>
                <w:highlight w:val="yellow"/>
              </w:rPr>
            </w:pPr>
            <w:r>
              <w:rPr>
                <w:rFonts w:hint="eastAsia" w:ascii="宋体" w:hAnsi="宋体" w:eastAsia="宋体" w:cs="宋体"/>
                <w:color w:val="auto"/>
                <w:kern w:val="0"/>
                <w:sz w:val="20"/>
                <w:szCs w:val="20"/>
                <w:highlight w:val="none"/>
                <w:shd w:val="clear" w:color="auto" w:fill="auto"/>
                <w:lang w:val="en-US" w:eastAsia="zh-CN"/>
              </w:rPr>
              <w:t>离休老干部满意度</w:t>
            </w:r>
          </w:p>
        </w:tc>
        <w:tc>
          <w:tcPr>
            <w:tcW w:w="2141" w:type="dxa"/>
            <w:shd w:val="clear" w:color="auto" w:fill="auto"/>
            <w:noWrap w:val="0"/>
            <w:vAlign w:val="center"/>
          </w:tcPr>
          <w:p w14:paraId="684808BD">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821" w:type="dxa"/>
            <w:shd w:val="clear" w:color="auto" w:fill="auto"/>
            <w:noWrap w:val="0"/>
            <w:vAlign w:val="center"/>
          </w:tcPr>
          <w:p w14:paraId="48EF08E3">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2F082DC6">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c>
          <w:tcPr>
            <w:tcW w:w="769" w:type="dxa"/>
            <w:shd w:val="clear" w:color="auto" w:fill="auto"/>
            <w:noWrap w:val="0"/>
            <w:vAlign w:val="center"/>
          </w:tcPr>
          <w:p w14:paraId="43D938E5">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r>
      <w:tr w14:paraId="2FD7F0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74CBF26E">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合计</w:t>
            </w:r>
          </w:p>
        </w:tc>
        <w:tc>
          <w:tcPr>
            <w:tcW w:w="7821" w:type="dxa"/>
            <w:shd w:val="clear" w:color="auto" w:fill="auto"/>
            <w:noWrap w:val="0"/>
            <w:vAlign w:val="center"/>
          </w:tcPr>
          <w:p w14:paraId="0468039B">
            <w:pPr>
              <w:widowControl/>
              <w:spacing w:line="0" w:lineRule="atLeast"/>
              <w:ind w:firstLine="0" w:firstLineChars="0"/>
              <w:rPr>
                <w:rFonts w:hint="eastAsia" w:ascii="宋体" w:hAnsi="宋体" w:eastAsia="宋体" w:cs="宋体"/>
                <w:color w:val="000000"/>
                <w:kern w:val="0"/>
                <w:sz w:val="22"/>
                <w:szCs w:val="22"/>
                <w:highlight w:val="none"/>
              </w:rPr>
            </w:pPr>
          </w:p>
        </w:tc>
        <w:tc>
          <w:tcPr>
            <w:tcW w:w="785" w:type="dxa"/>
            <w:shd w:val="clear" w:color="auto" w:fill="auto"/>
            <w:noWrap w:val="0"/>
            <w:vAlign w:val="center"/>
          </w:tcPr>
          <w:p w14:paraId="607AA870">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100</w:t>
            </w:r>
          </w:p>
        </w:tc>
        <w:tc>
          <w:tcPr>
            <w:tcW w:w="769" w:type="dxa"/>
            <w:shd w:val="clear" w:color="auto" w:fill="auto"/>
            <w:noWrap w:val="0"/>
            <w:vAlign w:val="center"/>
          </w:tcPr>
          <w:p w14:paraId="66FAABF1">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97.7</w:t>
            </w:r>
          </w:p>
        </w:tc>
      </w:tr>
    </w:tbl>
    <w:p w14:paraId="41B85419">
      <w:pPr>
        <w:spacing w:line="240" w:lineRule="auto"/>
        <w:ind w:firstLine="0" w:firstLineChars="0"/>
        <w:rPr>
          <w:rFonts w:ascii="Times New Roman" w:hAnsi="Times New Roman" w:eastAsia="仿宋_GB2312" w:cs="Times New Roman"/>
          <w:sz w:val="30"/>
          <w:szCs w:val="24"/>
        </w:rPr>
      </w:pPr>
    </w:p>
    <w:p w14:paraId="5D6BF75A">
      <w:pPr>
        <w:rPr>
          <w:rFonts w:hint="default"/>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C1EDB2">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5DD855">
                          <w:pPr>
                            <w:pStyle w:val="7"/>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D5DD855">
                    <w:pPr>
                      <w:pStyle w:val="7"/>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0436EB"/>
    <w:rsid w:val="00417EF4"/>
    <w:rsid w:val="005940DC"/>
    <w:rsid w:val="006933B8"/>
    <w:rsid w:val="007D6A04"/>
    <w:rsid w:val="00E23C81"/>
    <w:rsid w:val="00F72CA9"/>
    <w:rsid w:val="01253350"/>
    <w:rsid w:val="01282E62"/>
    <w:rsid w:val="014029CF"/>
    <w:rsid w:val="01470C4C"/>
    <w:rsid w:val="015C1353"/>
    <w:rsid w:val="01C750DB"/>
    <w:rsid w:val="01D33087"/>
    <w:rsid w:val="02165151"/>
    <w:rsid w:val="02200440"/>
    <w:rsid w:val="02284B43"/>
    <w:rsid w:val="0229456E"/>
    <w:rsid w:val="02B015E2"/>
    <w:rsid w:val="02CC7A3C"/>
    <w:rsid w:val="02D53CDB"/>
    <w:rsid w:val="02DC08FA"/>
    <w:rsid w:val="02E01C47"/>
    <w:rsid w:val="033B569D"/>
    <w:rsid w:val="034A3B92"/>
    <w:rsid w:val="039C3BA0"/>
    <w:rsid w:val="03A845BB"/>
    <w:rsid w:val="03B45AD1"/>
    <w:rsid w:val="03DE5A5A"/>
    <w:rsid w:val="03E72E47"/>
    <w:rsid w:val="03E8363A"/>
    <w:rsid w:val="046E3282"/>
    <w:rsid w:val="04B74C29"/>
    <w:rsid w:val="04D12EE4"/>
    <w:rsid w:val="04D63993"/>
    <w:rsid w:val="052971A9"/>
    <w:rsid w:val="05726DA2"/>
    <w:rsid w:val="05850883"/>
    <w:rsid w:val="05A750EC"/>
    <w:rsid w:val="05CD6918"/>
    <w:rsid w:val="061C2ACD"/>
    <w:rsid w:val="062E4A77"/>
    <w:rsid w:val="06400C4E"/>
    <w:rsid w:val="06857248"/>
    <w:rsid w:val="06C466A1"/>
    <w:rsid w:val="076B3AA9"/>
    <w:rsid w:val="07890F4F"/>
    <w:rsid w:val="078C172A"/>
    <w:rsid w:val="08892439"/>
    <w:rsid w:val="08A54D99"/>
    <w:rsid w:val="08EB30F3"/>
    <w:rsid w:val="09237408"/>
    <w:rsid w:val="092959CA"/>
    <w:rsid w:val="09644C54"/>
    <w:rsid w:val="09781BD6"/>
    <w:rsid w:val="09E55D95"/>
    <w:rsid w:val="09F359DF"/>
    <w:rsid w:val="0A082436"/>
    <w:rsid w:val="0A165F4E"/>
    <w:rsid w:val="0A4D50B5"/>
    <w:rsid w:val="0A575E65"/>
    <w:rsid w:val="0A79472F"/>
    <w:rsid w:val="0A8C6210"/>
    <w:rsid w:val="0ACA0AB6"/>
    <w:rsid w:val="0BE0299C"/>
    <w:rsid w:val="0C032502"/>
    <w:rsid w:val="0C27698C"/>
    <w:rsid w:val="0C5B40EC"/>
    <w:rsid w:val="0CC25F19"/>
    <w:rsid w:val="0D4452F3"/>
    <w:rsid w:val="0D4F3069"/>
    <w:rsid w:val="0D6E5691"/>
    <w:rsid w:val="0D9773A6"/>
    <w:rsid w:val="0E176739"/>
    <w:rsid w:val="0E3A5F83"/>
    <w:rsid w:val="0E433D2B"/>
    <w:rsid w:val="0E67321C"/>
    <w:rsid w:val="0E6D60E2"/>
    <w:rsid w:val="0E833DCE"/>
    <w:rsid w:val="0E927B6D"/>
    <w:rsid w:val="0EF56A7A"/>
    <w:rsid w:val="0F0942D3"/>
    <w:rsid w:val="0F5E5042"/>
    <w:rsid w:val="0F670FFA"/>
    <w:rsid w:val="0F783207"/>
    <w:rsid w:val="0FC4644C"/>
    <w:rsid w:val="0FE95707"/>
    <w:rsid w:val="100A1FE6"/>
    <w:rsid w:val="10510571"/>
    <w:rsid w:val="10787A20"/>
    <w:rsid w:val="10817E99"/>
    <w:rsid w:val="108672DE"/>
    <w:rsid w:val="10D578F6"/>
    <w:rsid w:val="10EC685A"/>
    <w:rsid w:val="112F3D99"/>
    <w:rsid w:val="11660481"/>
    <w:rsid w:val="11A227BD"/>
    <w:rsid w:val="11B04EDA"/>
    <w:rsid w:val="11B36778"/>
    <w:rsid w:val="11B374A9"/>
    <w:rsid w:val="11FA6155"/>
    <w:rsid w:val="1215193A"/>
    <w:rsid w:val="123B4485"/>
    <w:rsid w:val="1247338A"/>
    <w:rsid w:val="12971BF6"/>
    <w:rsid w:val="12CF0947"/>
    <w:rsid w:val="12F1313F"/>
    <w:rsid w:val="13313DF9"/>
    <w:rsid w:val="134E49AB"/>
    <w:rsid w:val="135A334F"/>
    <w:rsid w:val="136C678E"/>
    <w:rsid w:val="137A57A0"/>
    <w:rsid w:val="13BB1914"/>
    <w:rsid w:val="13EB2FF5"/>
    <w:rsid w:val="14AE7133"/>
    <w:rsid w:val="14E05AD6"/>
    <w:rsid w:val="14E96C4E"/>
    <w:rsid w:val="14F74BCE"/>
    <w:rsid w:val="15090B94"/>
    <w:rsid w:val="151026FF"/>
    <w:rsid w:val="15566A61"/>
    <w:rsid w:val="156F29B6"/>
    <w:rsid w:val="15A27D2B"/>
    <w:rsid w:val="15A46B04"/>
    <w:rsid w:val="15C81668"/>
    <w:rsid w:val="15D66ED9"/>
    <w:rsid w:val="163D2AB4"/>
    <w:rsid w:val="165247B2"/>
    <w:rsid w:val="165825BC"/>
    <w:rsid w:val="16796957"/>
    <w:rsid w:val="16BC5D73"/>
    <w:rsid w:val="170A7367"/>
    <w:rsid w:val="171E4694"/>
    <w:rsid w:val="17296627"/>
    <w:rsid w:val="174401A3"/>
    <w:rsid w:val="176F36D7"/>
    <w:rsid w:val="17885FB1"/>
    <w:rsid w:val="1795226D"/>
    <w:rsid w:val="18456B1E"/>
    <w:rsid w:val="187C78C4"/>
    <w:rsid w:val="1890336F"/>
    <w:rsid w:val="18C94AD3"/>
    <w:rsid w:val="18D14BE5"/>
    <w:rsid w:val="18E611E1"/>
    <w:rsid w:val="19653542"/>
    <w:rsid w:val="19911A88"/>
    <w:rsid w:val="19F65454"/>
    <w:rsid w:val="1AFF658A"/>
    <w:rsid w:val="1B5C112B"/>
    <w:rsid w:val="1B854CE1"/>
    <w:rsid w:val="1BE33FCA"/>
    <w:rsid w:val="1C1171C5"/>
    <w:rsid w:val="1C402A6D"/>
    <w:rsid w:val="1C622616"/>
    <w:rsid w:val="1CBB0921"/>
    <w:rsid w:val="1CEC0D90"/>
    <w:rsid w:val="1CF801FC"/>
    <w:rsid w:val="1D265138"/>
    <w:rsid w:val="1D7B6BCA"/>
    <w:rsid w:val="1DA41A79"/>
    <w:rsid w:val="1DF53469"/>
    <w:rsid w:val="1DFE6FCD"/>
    <w:rsid w:val="1E2F24F2"/>
    <w:rsid w:val="1E58492F"/>
    <w:rsid w:val="1E5B6757"/>
    <w:rsid w:val="1EB05A22"/>
    <w:rsid w:val="1ED10AC6"/>
    <w:rsid w:val="1ED80850"/>
    <w:rsid w:val="1EE14925"/>
    <w:rsid w:val="1F19036F"/>
    <w:rsid w:val="1F4073AA"/>
    <w:rsid w:val="1F89225F"/>
    <w:rsid w:val="1F900A1F"/>
    <w:rsid w:val="1FC009DE"/>
    <w:rsid w:val="1FC0575D"/>
    <w:rsid w:val="1FEF4E1F"/>
    <w:rsid w:val="203211B0"/>
    <w:rsid w:val="206132C7"/>
    <w:rsid w:val="20ED1B60"/>
    <w:rsid w:val="20FD76DF"/>
    <w:rsid w:val="210C72D7"/>
    <w:rsid w:val="213631E7"/>
    <w:rsid w:val="21B00C1D"/>
    <w:rsid w:val="21B53E47"/>
    <w:rsid w:val="22235254"/>
    <w:rsid w:val="22833F45"/>
    <w:rsid w:val="22B03D37"/>
    <w:rsid w:val="22B805C1"/>
    <w:rsid w:val="22BC0EC2"/>
    <w:rsid w:val="22C95DFC"/>
    <w:rsid w:val="23031BEB"/>
    <w:rsid w:val="23257845"/>
    <w:rsid w:val="23917691"/>
    <w:rsid w:val="23952182"/>
    <w:rsid w:val="239D2DE4"/>
    <w:rsid w:val="242F6132"/>
    <w:rsid w:val="244031BD"/>
    <w:rsid w:val="244D65B8"/>
    <w:rsid w:val="245E1E24"/>
    <w:rsid w:val="248B17AA"/>
    <w:rsid w:val="24951E16"/>
    <w:rsid w:val="249B591C"/>
    <w:rsid w:val="249D12EE"/>
    <w:rsid w:val="24BB79C6"/>
    <w:rsid w:val="25432192"/>
    <w:rsid w:val="254E4396"/>
    <w:rsid w:val="257B1D8C"/>
    <w:rsid w:val="25A15388"/>
    <w:rsid w:val="25AD5E5D"/>
    <w:rsid w:val="25BA2B95"/>
    <w:rsid w:val="25DA508F"/>
    <w:rsid w:val="26306192"/>
    <w:rsid w:val="264B4CE9"/>
    <w:rsid w:val="26BE19EF"/>
    <w:rsid w:val="2705392F"/>
    <w:rsid w:val="271635D9"/>
    <w:rsid w:val="271D35ED"/>
    <w:rsid w:val="2732478D"/>
    <w:rsid w:val="27661469"/>
    <w:rsid w:val="2779092B"/>
    <w:rsid w:val="27900EAD"/>
    <w:rsid w:val="279B538A"/>
    <w:rsid w:val="280B42F7"/>
    <w:rsid w:val="283454E6"/>
    <w:rsid w:val="286F11F3"/>
    <w:rsid w:val="286F545C"/>
    <w:rsid w:val="29232C98"/>
    <w:rsid w:val="29314FBC"/>
    <w:rsid w:val="29BB0034"/>
    <w:rsid w:val="29DF7D53"/>
    <w:rsid w:val="2A172511"/>
    <w:rsid w:val="2A3F69A3"/>
    <w:rsid w:val="2A922F77"/>
    <w:rsid w:val="2AA97559"/>
    <w:rsid w:val="2AAE58D7"/>
    <w:rsid w:val="2ABD599C"/>
    <w:rsid w:val="2B2B0E7F"/>
    <w:rsid w:val="2B706947"/>
    <w:rsid w:val="2B917B56"/>
    <w:rsid w:val="2BC929C8"/>
    <w:rsid w:val="2BCB6B77"/>
    <w:rsid w:val="2BD63571"/>
    <w:rsid w:val="2BFE6254"/>
    <w:rsid w:val="2C024B86"/>
    <w:rsid w:val="2C2220D9"/>
    <w:rsid w:val="2C506C46"/>
    <w:rsid w:val="2C927671"/>
    <w:rsid w:val="2CD525A2"/>
    <w:rsid w:val="2D4F4169"/>
    <w:rsid w:val="2D7C5CD6"/>
    <w:rsid w:val="2D99461C"/>
    <w:rsid w:val="2DF301D1"/>
    <w:rsid w:val="2E0028ED"/>
    <w:rsid w:val="2E483E7E"/>
    <w:rsid w:val="2E4D171D"/>
    <w:rsid w:val="2E690493"/>
    <w:rsid w:val="2E6E3CFB"/>
    <w:rsid w:val="2E9854BD"/>
    <w:rsid w:val="2F0401BB"/>
    <w:rsid w:val="2F0D407F"/>
    <w:rsid w:val="2F454B19"/>
    <w:rsid w:val="2F4963B6"/>
    <w:rsid w:val="2F526AD5"/>
    <w:rsid w:val="2F5B427F"/>
    <w:rsid w:val="2FD87696"/>
    <w:rsid w:val="2FE75B13"/>
    <w:rsid w:val="2FF90EC2"/>
    <w:rsid w:val="306558E3"/>
    <w:rsid w:val="30977539"/>
    <w:rsid w:val="30CC6AB7"/>
    <w:rsid w:val="310224D9"/>
    <w:rsid w:val="313C0EC4"/>
    <w:rsid w:val="31AF440F"/>
    <w:rsid w:val="31B4621C"/>
    <w:rsid w:val="31CE752C"/>
    <w:rsid w:val="31E3230A"/>
    <w:rsid w:val="31F67082"/>
    <w:rsid w:val="323B5739"/>
    <w:rsid w:val="32EC3A5E"/>
    <w:rsid w:val="330957E0"/>
    <w:rsid w:val="33266952"/>
    <w:rsid w:val="33356F64"/>
    <w:rsid w:val="33850EEA"/>
    <w:rsid w:val="33900270"/>
    <w:rsid w:val="33944516"/>
    <w:rsid w:val="33B11A6E"/>
    <w:rsid w:val="33B95A18"/>
    <w:rsid w:val="340F3735"/>
    <w:rsid w:val="34441786"/>
    <w:rsid w:val="346F257B"/>
    <w:rsid w:val="34B62907"/>
    <w:rsid w:val="34C77CC1"/>
    <w:rsid w:val="355754E9"/>
    <w:rsid w:val="361C3935"/>
    <w:rsid w:val="364B0F2B"/>
    <w:rsid w:val="36615A3A"/>
    <w:rsid w:val="36910587"/>
    <w:rsid w:val="36BD137C"/>
    <w:rsid w:val="377F3076"/>
    <w:rsid w:val="378D51F2"/>
    <w:rsid w:val="379E11AD"/>
    <w:rsid w:val="37A62C80"/>
    <w:rsid w:val="37D07774"/>
    <w:rsid w:val="38000118"/>
    <w:rsid w:val="38033706"/>
    <w:rsid w:val="381E409C"/>
    <w:rsid w:val="385D37E7"/>
    <w:rsid w:val="38685317"/>
    <w:rsid w:val="386D0B7F"/>
    <w:rsid w:val="38782EDD"/>
    <w:rsid w:val="389E69A8"/>
    <w:rsid w:val="38EF77E6"/>
    <w:rsid w:val="39335925"/>
    <w:rsid w:val="393A3157"/>
    <w:rsid w:val="39580AC1"/>
    <w:rsid w:val="39A22AAB"/>
    <w:rsid w:val="3A3D75F6"/>
    <w:rsid w:val="3AC0768C"/>
    <w:rsid w:val="3AD216B8"/>
    <w:rsid w:val="3AE97A67"/>
    <w:rsid w:val="3B0D21A6"/>
    <w:rsid w:val="3B42664A"/>
    <w:rsid w:val="3BD3795C"/>
    <w:rsid w:val="3C1E28BD"/>
    <w:rsid w:val="3C236CEA"/>
    <w:rsid w:val="3C4172D0"/>
    <w:rsid w:val="3CAB1C76"/>
    <w:rsid w:val="3CAE038B"/>
    <w:rsid w:val="3CE753A4"/>
    <w:rsid w:val="3D007F65"/>
    <w:rsid w:val="3D485717"/>
    <w:rsid w:val="3D836A4E"/>
    <w:rsid w:val="3DA94408"/>
    <w:rsid w:val="3DC708F1"/>
    <w:rsid w:val="3E151A9D"/>
    <w:rsid w:val="3E833AFA"/>
    <w:rsid w:val="3E8B6203"/>
    <w:rsid w:val="3E94330A"/>
    <w:rsid w:val="3EA37E97"/>
    <w:rsid w:val="3F0B4C4E"/>
    <w:rsid w:val="3F0C431C"/>
    <w:rsid w:val="3F23468E"/>
    <w:rsid w:val="3F9335C1"/>
    <w:rsid w:val="3FBE0BC5"/>
    <w:rsid w:val="400224F5"/>
    <w:rsid w:val="4048103A"/>
    <w:rsid w:val="406960D0"/>
    <w:rsid w:val="40736643"/>
    <w:rsid w:val="40D24A7A"/>
    <w:rsid w:val="411E510D"/>
    <w:rsid w:val="41474664"/>
    <w:rsid w:val="418954B3"/>
    <w:rsid w:val="419D24D5"/>
    <w:rsid w:val="41E41EB2"/>
    <w:rsid w:val="41F30844"/>
    <w:rsid w:val="42246753"/>
    <w:rsid w:val="42621029"/>
    <w:rsid w:val="42ED2326"/>
    <w:rsid w:val="43081BD1"/>
    <w:rsid w:val="433E3844"/>
    <w:rsid w:val="435241E2"/>
    <w:rsid w:val="438020AF"/>
    <w:rsid w:val="43803E5D"/>
    <w:rsid w:val="43902CB5"/>
    <w:rsid w:val="43975C51"/>
    <w:rsid w:val="439E3FA7"/>
    <w:rsid w:val="43D70C1C"/>
    <w:rsid w:val="441B1DD7"/>
    <w:rsid w:val="44227A63"/>
    <w:rsid w:val="448B0D0B"/>
    <w:rsid w:val="44B32266"/>
    <w:rsid w:val="44FC64F4"/>
    <w:rsid w:val="458C612F"/>
    <w:rsid w:val="458C747A"/>
    <w:rsid w:val="46122FAE"/>
    <w:rsid w:val="467F4585"/>
    <w:rsid w:val="46D57966"/>
    <w:rsid w:val="46DD3374"/>
    <w:rsid w:val="470628CB"/>
    <w:rsid w:val="4710489D"/>
    <w:rsid w:val="474E6020"/>
    <w:rsid w:val="47555BD4"/>
    <w:rsid w:val="47C53B72"/>
    <w:rsid w:val="47E96399"/>
    <w:rsid w:val="484C1C48"/>
    <w:rsid w:val="48C061AB"/>
    <w:rsid w:val="48C8093C"/>
    <w:rsid w:val="48E12B50"/>
    <w:rsid w:val="492928A1"/>
    <w:rsid w:val="4989333F"/>
    <w:rsid w:val="499441BE"/>
    <w:rsid w:val="499A554C"/>
    <w:rsid w:val="499A6C1C"/>
    <w:rsid w:val="49AF0FF8"/>
    <w:rsid w:val="4A2138F0"/>
    <w:rsid w:val="4A583887"/>
    <w:rsid w:val="4A834233"/>
    <w:rsid w:val="4AAE5753"/>
    <w:rsid w:val="4AE56C80"/>
    <w:rsid w:val="4B09298A"/>
    <w:rsid w:val="4B31022B"/>
    <w:rsid w:val="4B937F9D"/>
    <w:rsid w:val="4B9F6E02"/>
    <w:rsid w:val="4BBA0128"/>
    <w:rsid w:val="4C89637B"/>
    <w:rsid w:val="4CA913A8"/>
    <w:rsid w:val="4CAE6E2A"/>
    <w:rsid w:val="4CF4056B"/>
    <w:rsid w:val="4CF52786"/>
    <w:rsid w:val="4D371A30"/>
    <w:rsid w:val="4D7F5185"/>
    <w:rsid w:val="4D896004"/>
    <w:rsid w:val="4E1E06A4"/>
    <w:rsid w:val="4E494C7B"/>
    <w:rsid w:val="4E6E48A8"/>
    <w:rsid w:val="4E744688"/>
    <w:rsid w:val="4E7D7917"/>
    <w:rsid w:val="4EAC1CCF"/>
    <w:rsid w:val="4EEC036B"/>
    <w:rsid w:val="4F251D5C"/>
    <w:rsid w:val="4F457D08"/>
    <w:rsid w:val="4FE14746"/>
    <w:rsid w:val="501D2673"/>
    <w:rsid w:val="50546455"/>
    <w:rsid w:val="50BF33FA"/>
    <w:rsid w:val="50C80BF1"/>
    <w:rsid w:val="50ED4422"/>
    <w:rsid w:val="515F5FEC"/>
    <w:rsid w:val="51852833"/>
    <w:rsid w:val="51CC0487"/>
    <w:rsid w:val="51DE2B29"/>
    <w:rsid w:val="52707792"/>
    <w:rsid w:val="52922049"/>
    <w:rsid w:val="52AC342F"/>
    <w:rsid w:val="52AD62F0"/>
    <w:rsid w:val="52F11AC8"/>
    <w:rsid w:val="530451CE"/>
    <w:rsid w:val="534F49D9"/>
    <w:rsid w:val="53555F0F"/>
    <w:rsid w:val="535D23D5"/>
    <w:rsid w:val="536270DB"/>
    <w:rsid w:val="53EB5322"/>
    <w:rsid w:val="54085ED4"/>
    <w:rsid w:val="543E4332"/>
    <w:rsid w:val="54862A53"/>
    <w:rsid w:val="5509332A"/>
    <w:rsid w:val="551408A9"/>
    <w:rsid w:val="55222FC6"/>
    <w:rsid w:val="55A35948"/>
    <w:rsid w:val="55E069DD"/>
    <w:rsid w:val="564F2FD3"/>
    <w:rsid w:val="565C2507"/>
    <w:rsid w:val="568B4B9B"/>
    <w:rsid w:val="56D54068"/>
    <w:rsid w:val="56F4341A"/>
    <w:rsid w:val="575A7321"/>
    <w:rsid w:val="57743881"/>
    <w:rsid w:val="580C3AB9"/>
    <w:rsid w:val="583C7AE0"/>
    <w:rsid w:val="586C1E9A"/>
    <w:rsid w:val="586E0800"/>
    <w:rsid w:val="587B3461"/>
    <w:rsid w:val="58A7012D"/>
    <w:rsid w:val="58BB16F8"/>
    <w:rsid w:val="58C61EBA"/>
    <w:rsid w:val="58E32A6C"/>
    <w:rsid w:val="59216F96"/>
    <w:rsid w:val="598C4145"/>
    <w:rsid w:val="598F04FE"/>
    <w:rsid w:val="59957D1B"/>
    <w:rsid w:val="59D4294E"/>
    <w:rsid w:val="5A104B74"/>
    <w:rsid w:val="5A26722A"/>
    <w:rsid w:val="5A2C3F9F"/>
    <w:rsid w:val="5A8B6F17"/>
    <w:rsid w:val="5A951E27"/>
    <w:rsid w:val="5AA61104"/>
    <w:rsid w:val="5B280B1F"/>
    <w:rsid w:val="5B4209D9"/>
    <w:rsid w:val="5B634312"/>
    <w:rsid w:val="5B9D2CCD"/>
    <w:rsid w:val="5B9E71EA"/>
    <w:rsid w:val="5BA06B14"/>
    <w:rsid w:val="5C3F26AF"/>
    <w:rsid w:val="5C4A1688"/>
    <w:rsid w:val="5CBC7642"/>
    <w:rsid w:val="5DD802C1"/>
    <w:rsid w:val="5DE84321"/>
    <w:rsid w:val="5E226FBC"/>
    <w:rsid w:val="5E457D25"/>
    <w:rsid w:val="5E9860A7"/>
    <w:rsid w:val="5EF7101F"/>
    <w:rsid w:val="5F3B65AF"/>
    <w:rsid w:val="5F4F0E5B"/>
    <w:rsid w:val="5FE72BD2"/>
    <w:rsid w:val="60120613"/>
    <w:rsid w:val="60177214"/>
    <w:rsid w:val="60425F69"/>
    <w:rsid w:val="612A6738"/>
    <w:rsid w:val="61370C95"/>
    <w:rsid w:val="615648BD"/>
    <w:rsid w:val="615E35D8"/>
    <w:rsid w:val="618D5292"/>
    <w:rsid w:val="61E84C4F"/>
    <w:rsid w:val="622E78FA"/>
    <w:rsid w:val="62326812"/>
    <w:rsid w:val="624327CD"/>
    <w:rsid w:val="62462DDE"/>
    <w:rsid w:val="628F518D"/>
    <w:rsid w:val="63343F70"/>
    <w:rsid w:val="639257BA"/>
    <w:rsid w:val="63B05C41"/>
    <w:rsid w:val="63CD67F3"/>
    <w:rsid w:val="64175CC0"/>
    <w:rsid w:val="64296E1C"/>
    <w:rsid w:val="64542A70"/>
    <w:rsid w:val="64947310"/>
    <w:rsid w:val="649E64A2"/>
    <w:rsid w:val="64A5151D"/>
    <w:rsid w:val="654A79CF"/>
    <w:rsid w:val="65E5270A"/>
    <w:rsid w:val="663D3C54"/>
    <w:rsid w:val="66862C89"/>
    <w:rsid w:val="669467C2"/>
    <w:rsid w:val="669A37B9"/>
    <w:rsid w:val="66BB486D"/>
    <w:rsid w:val="66D41C46"/>
    <w:rsid w:val="66F978FF"/>
    <w:rsid w:val="67394C7D"/>
    <w:rsid w:val="67766731"/>
    <w:rsid w:val="67A259FB"/>
    <w:rsid w:val="67B83316"/>
    <w:rsid w:val="680541FF"/>
    <w:rsid w:val="68126B38"/>
    <w:rsid w:val="68291A1A"/>
    <w:rsid w:val="68344185"/>
    <w:rsid w:val="68352BB8"/>
    <w:rsid w:val="68394457"/>
    <w:rsid w:val="68541290"/>
    <w:rsid w:val="686274F6"/>
    <w:rsid w:val="68D21626"/>
    <w:rsid w:val="691B1594"/>
    <w:rsid w:val="69252C2D"/>
    <w:rsid w:val="693A016B"/>
    <w:rsid w:val="695232F6"/>
    <w:rsid w:val="696D4574"/>
    <w:rsid w:val="69F83E9D"/>
    <w:rsid w:val="6A17429C"/>
    <w:rsid w:val="6A554E4C"/>
    <w:rsid w:val="6A567EA3"/>
    <w:rsid w:val="6A6E7666"/>
    <w:rsid w:val="6A8614A9"/>
    <w:rsid w:val="6AE12B83"/>
    <w:rsid w:val="6AE771FA"/>
    <w:rsid w:val="6AEE3B06"/>
    <w:rsid w:val="6AFC5C0F"/>
    <w:rsid w:val="6B1B651F"/>
    <w:rsid w:val="6B4B4368"/>
    <w:rsid w:val="6B60619E"/>
    <w:rsid w:val="6B79100E"/>
    <w:rsid w:val="6C34490C"/>
    <w:rsid w:val="6C3D7088"/>
    <w:rsid w:val="6C496C32"/>
    <w:rsid w:val="6C4E5FF7"/>
    <w:rsid w:val="6C844C00"/>
    <w:rsid w:val="6CAB061E"/>
    <w:rsid w:val="6CDF7159"/>
    <w:rsid w:val="6D2D0302"/>
    <w:rsid w:val="6D527D69"/>
    <w:rsid w:val="6E0B0643"/>
    <w:rsid w:val="6E10212C"/>
    <w:rsid w:val="6E43561A"/>
    <w:rsid w:val="6E557973"/>
    <w:rsid w:val="6E9568DB"/>
    <w:rsid w:val="6EB26D11"/>
    <w:rsid w:val="6F0D6C22"/>
    <w:rsid w:val="6F213F20"/>
    <w:rsid w:val="6F47657F"/>
    <w:rsid w:val="6F725C30"/>
    <w:rsid w:val="6F972E2A"/>
    <w:rsid w:val="6FA10B33"/>
    <w:rsid w:val="6FAF23D9"/>
    <w:rsid w:val="6FF70753"/>
    <w:rsid w:val="70271038"/>
    <w:rsid w:val="704D0C14"/>
    <w:rsid w:val="70635CF6"/>
    <w:rsid w:val="70670707"/>
    <w:rsid w:val="707B1384"/>
    <w:rsid w:val="70A12321"/>
    <w:rsid w:val="70B56644"/>
    <w:rsid w:val="712620A5"/>
    <w:rsid w:val="719B7F30"/>
    <w:rsid w:val="71A2029D"/>
    <w:rsid w:val="71B2527A"/>
    <w:rsid w:val="71F65FDB"/>
    <w:rsid w:val="720E3691"/>
    <w:rsid w:val="72283F10"/>
    <w:rsid w:val="724E244C"/>
    <w:rsid w:val="725D4C15"/>
    <w:rsid w:val="729167ED"/>
    <w:rsid w:val="72DA6946"/>
    <w:rsid w:val="72DC10CC"/>
    <w:rsid w:val="73263829"/>
    <w:rsid w:val="732764B3"/>
    <w:rsid w:val="739629B5"/>
    <w:rsid w:val="739E5AB6"/>
    <w:rsid w:val="73B726D3"/>
    <w:rsid w:val="73D73B83"/>
    <w:rsid w:val="74026044"/>
    <w:rsid w:val="74181EA5"/>
    <w:rsid w:val="74281CB7"/>
    <w:rsid w:val="74746410"/>
    <w:rsid w:val="74AB142D"/>
    <w:rsid w:val="74D13C69"/>
    <w:rsid w:val="75091655"/>
    <w:rsid w:val="75134281"/>
    <w:rsid w:val="75C537CD"/>
    <w:rsid w:val="75E5007C"/>
    <w:rsid w:val="76CF41D8"/>
    <w:rsid w:val="76CF5F86"/>
    <w:rsid w:val="77813724"/>
    <w:rsid w:val="77861774"/>
    <w:rsid w:val="779E16A0"/>
    <w:rsid w:val="77F2791F"/>
    <w:rsid w:val="784D1858"/>
    <w:rsid w:val="78DA6689"/>
    <w:rsid w:val="78F31435"/>
    <w:rsid w:val="79300B45"/>
    <w:rsid w:val="793E37CF"/>
    <w:rsid w:val="794D3E18"/>
    <w:rsid w:val="796432FD"/>
    <w:rsid w:val="798E037A"/>
    <w:rsid w:val="79F3729A"/>
    <w:rsid w:val="7A013C8D"/>
    <w:rsid w:val="7A0A27AC"/>
    <w:rsid w:val="7A880722"/>
    <w:rsid w:val="7A9D2984"/>
    <w:rsid w:val="7ACB0498"/>
    <w:rsid w:val="7AED0B4D"/>
    <w:rsid w:val="7B0703E4"/>
    <w:rsid w:val="7B3B1E3C"/>
    <w:rsid w:val="7B4914A5"/>
    <w:rsid w:val="7B580C40"/>
    <w:rsid w:val="7C116825"/>
    <w:rsid w:val="7C1E4487"/>
    <w:rsid w:val="7C215E02"/>
    <w:rsid w:val="7C324FED"/>
    <w:rsid w:val="7C792C1C"/>
    <w:rsid w:val="7CD9190C"/>
    <w:rsid w:val="7CDD077D"/>
    <w:rsid w:val="7CF23764"/>
    <w:rsid w:val="7D8A2C07"/>
    <w:rsid w:val="7E546060"/>
    <w:rsid w:val="7E797F74"/>
    <w:rsid w:val="7EB048EF"/>
    <w:rsid w:val="7F1730AB"/>
    <w:rsid w:val="7F5B0FF9"/>
    <w:rsid w:val="7F924011"/>
    <w:rsid w:val="7FA327DD"/>
    <w:rsid w:val="7FAC3308"/>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autoRedefine/>
    <w:qFormat/>
    <w:uiPriority w:val="0"/>
    <w:pPr>
      <w:spacing w:before="240" w:after="240" w:line="360" w:lineRule="auto"/>
      <w:jc w:val="center"/>
    </w:pPr>
    <w:rPr>
      <w:b/>
      <w:sz w:val="4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2"/>
    <w:basedOn w:val="1"/>
    <w:autoRedefine/>
    <w:qFormat/>
    <w:uiPriority w:val="0"/>
    <w:pPr>
      <w:spacing w:after="120" w:line="480" w:lineRule="auto"/>
    </w:pPr>
    <w:rPr>
      <w:rFonts w:ascii="Times New Roman" w:hAnsi="Times New Roman" w:eastAsia="宋体" w:cs="Times New Roman"/>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11">
    <w:name w:val="Body Text First Indent"/>
    <w:basedOn w:val="6"/>
    <w:next w:val="1"/>
    <w:autoRedefine/>
    <w:qFormat/>
    <w:uiPriority w:val="0"/>
    <w:pPr>
      <w:spacing w:after="0"/>
      <w:ind w:firstLine="200" w:firstLineChars="200"/>
    </w:pPr>
  </w:style>
  <w:style w:type="paragraph" w:customStyle="1" w:styleId="14">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3"/>
    <w:autoRedefine/>
    <w:qFormat/>
    <w:uiPriority w:val="0"/>
    <w:rPr>
      <w:rFonts w:ascii="Arial" w:hAnsi="Arial" w:eastAsia="楷体"/>
      <w:b/>
      <w:sz w:val="32"/>
    </w:rPr>
  </w:style>
  <w:style w:type="paragraph" w:customStyle="1" w:styleId="16">
    <w:name w:val="WPSOffice手动目录 1"/>
    <w:autoRedefine/>
    <w:qFormat/>
    <w:uiPriority w:val="0"/>
    <w:pPr>
      <w:ind w:leftChars="0"/>
    </w:pPr>
    <w:rPr>
      <w:rFonts w:ascii="Times New Roman" w:hAnsi="Times New Roman" w:eastAsia="宋体" w:cs="Times New Roman"/>
      <w:sz w:val="20"/>
      <w:szCs w:val="20"/>
    </w:rPr>
  </w:style>
  <w:style w:type="paragraph" w:customStyle="1" w:styleId="17">
    <w:name w:val="WPSOffice手动目录 2"/>
    <w:autoRedefine/>
    <w:qFormat/>
    <w:uiPriority w:val="0"/>
    <w:pPr>
      <w:ind w:leftChars="200"/>
    </w:pPr>
    <w:rPr>
      <w:rFonts w:ascii="Times New Roman" w:hAnsi="Times New Roman" w:eastAsia="宋体" w:cs="Times New Roman"/>
      <w:sz w:val="20"/>
      <w:szCs w:val="20"/>
    </w:rPr>
  </w:style>
  <w:style w:type="paragraph" w:customStyle="1" w:styleId="18">
    <w:name w:val="WPSOffice手动目录 3"/>
    <w:autoRedefine/>
    <w:qFormat/>
    <w:uiPriority w:val="0"/>
    <w:pPr>
      <w:ind w:leftChars="400"/>
    </w:pPr>
    <w:rPr>
      <w:rFonts w:ascii="Times New Roman" w:hAnsi="Times New Roman" w:eastAsia="宋体" w:cs="Times New Roman"/>
      <w:sz w:val="20"/>
      <w:szCs w:val="20"/>
    </w:rPr>
  </w:style>
  <w:style w:type="character" w:customStyle="1" w:styleId="19">
    <w:name w:val="font112"/>
    <w:basedOn w:val="13"/>
    <w:autoRedefine/>
    <w:qFormat/>
    <w:uiPriority w:val="0"/>
    <w:rPr>
      <w:rFonts w:hint="eastAsia" w:ascii="宋体" w:hAnsi="宋体" w:eastAsia="宋体" w:cs="宋体"/>
      <w:color w:val="000000"/>
      <w:sz w:val="20"/>
      <w:szCs w:val="20"/>
      <w:u w:val="none"/>
    </w:rPr>
  </w:style>
  <w:style w:type="character" w:customStyle="1" w:styleId="20">
    <w:name w:val="font61"/>
    <w:basedOn w:val="13"/>
    <w:autoRedefine/>
    <w:qFormat/>
    <w:uiPriority w:val="0"/>
    <w:rPr>
      <w:rFonts w:hint="default" w:ascii="Arial" w:hAnsi="Arial" w:cs="Arial"/>
      <w:color w:val="000000"/>
      <w:sz w:val="20"/>
      <w:szCs w:val="20"/>
      <w:u w:val="none"/>
    </w:rPr>
  </w:style>
  <w:style w:type="character" w:customStyle="1" w:styleId="21">
    <w:name w:val="font41"/>
    <w:basedOn w:val="13"/>
    <w:autoRedefine/>
    <w:qFormat/>
    <w:uiPriority w:val="0"/>
    <w:rPr>
      <w:rFonts w:hint="eastAsia" w:ascii="宋体" w:hAnsi="宋体" w:eastAsia="宋体" w:cs="宋体"/>
      <w:color w:val="000000"/>
      <w:sz w:val="20"/>
      <w:szCs w:val="20"/>
      <w:u w:val="none"/>
    </w:rPr>
  </w:style>
  <w:style w:type="character" w:customStyle="1" w:styleId="22">
    <w:name w:val="font51"/>
    <w:basedOn w:val="1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8053</Words>
  <Characters>8397</Characters>
  <Lines>0</Lines>
  <Paragraphs>0</Paragraphs>
  <TotalTime>1</TotalTime>
  <ScaleCrop>false</ScaleCrop>
  <LinksUpToDate>false</LinksUpToDate>
  <CharactersWithSpaces>8458</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想不到的瑞</cp:lastModifiedBy>
  <dcterms:modified xsi:type="dcterms:W3CDTF">2024-10-10T08:09:52Z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