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中央集中彩票公益金支持体育事业专项资金</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项目名称：中央集中彩票公益金支持体育事业专项资金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阜康市文化体育广播电视和旅游局</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阜康市文化体育广播电视和旅游局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lang w:val="en-US" w:eastAsia="zh-CN"/>
        </w:rPr>
      </w:pPr>
      <w:bookmarkStart w:id="1" w:name="_Toc1194"/>
      <w:r>
        <w:rPr>
          <w:rFonts w:hint="eastAsia" w:ascii="宋体" w:hAnsi="宋体" w:eastAsia="宋体" w:cs="宋体"/>
          <w:b/>
          <w:bCs/>
          <w:color w:val="auto"/>
          <w:sz w:val="36"/>
          <w:szCs w:val="36"/>
          <w:highlight w:val="none"/>
          <w:shd w:val="clear" w:color="auto" w:fill="auto"/>
          <w:lang w:val="en-US" w:eastAsia="zh-CN"/>
        </w:rPr>
        <w:t>中央集中彩票公益金支持体育事业专项资金</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支出绩效评价报告</w:t>
      </w:r>
      <w:bookmarkEnd w:id="1"/>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ind w:firstLine="560" w:firstLineChars="200"/>
        <w:rPr>
          <w:rFonts w:hint="default"/>
          <w:color w:val="auto"/>
          <w:highlight w:val="none"/>
          <w:lang w:val="en-US" w:eastAsia="zh-CN"/>
        </w:rPr>
      </w:pPr>
      <w:r>
        <w:rPr>
          <w:rFonts w:hint="eastAsia"/>
          <w:color w:val="auto"/>
          <w:highlight w:val="none"/>
          <w:lang w:eastAsia="zh-CN"/>
        </w:rPr>
        <w:t>根据《中央集中彩票公益金支持体育事业专项资金管理办法》</w:t>
      </w:r>
      <w:r>
        <w:rPr>
          <w:rFonts w:hint="eastAsia"/>
          <w:color w:val="auto"/>
          <w:highlight w:val="none"/>
          <w:lang w:val="en-US" w:eastAsia="zh-CN"/>
        </w:rPr>
        <w:t>（昌州财教[2022]62号）文件精神，</w:t>
      </w:r>
      <w:r>
        <w:rPr>
          <w:rFonts w:hint="eastAsia" w:ascii="宋体" w:hAnsi="宋体" w:eastAsia="宋体" w:cs="宋体"/>
          <w:color w:val="auto"/>
          <w:highlight w:val="none"/>
          <w:lang w:val="en-US" w:eastAsia="zh-CN"/>
        </w:rPr>
        <w:t>中央集中彩票公益金支持体育事业专项资金</w:t>
      </w:r>
      <w:r>
        <w:rPr>
          <w:rFonts w:hint="eastAsia" w:ascii="宋体" w:hAnsi="宋体" w:eastAsia="宋体" w:cs="宋体"/>
          <w:color w:val="auto"/>
          <w:highlight w:val="none"/>
          <w:lang w:eastAsia="zh-CN"/>
        </w:rPr>
        <w:t>该项</w:t>
      </w:r>
      <w:r>
        <w:rPr>
          <w:rFonts w:hint="eastAsia"/>
          <w:color w:val="auto"/>
          <w:highlight w:val="none"/>
          <w:lang w:eastAsia="zh-CN"/>
        </w:rPr>
        <w:t>目为民生类项目，中央集中彩票公益金支持体育事业资金主要用于丰富人民群众文化体育生活。统筹文化、体育、广播电视和旅游事业，产业振兴发展。</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8"/>
          <w:szCs w:val="28"/>
          <w:highlight w:val="none"/>
          <w:lang w:val="en-US" w:eastAsia="zh-CN" w:bidi="ar-SA"/>
        </w:rPr>
      </w:pPr>
      <w:bookmarkStart w:id="6" w:name="_Toc16592"/>
      <w:r>
        <w:rPr>
          <w:rFonts w:hint="eastAsia" w:ascii="宋体" w:hAnsi="宋体" w:eastAsia="宋体" w:cs="宋体"/>
          <w:b w:val="0"/>
          <w:bCs w:val="0"/>
          <w:color w:val="auto"/>
          <w:kern w:val="2"/>
          <w:sz w:val="28"/>
          <w:szCs w:val="28"/>
          <w:highlight w:val="none"/>
          <w:lang w:val="en-US" w:eastAsia="zh-CN" w:bidi="ar-SA"/>
        </w:rPr>
        <w:t>主要内容：</w:t>
      </w:r>
      <w:bookmarkEnd w:id="6"/>
      <w:r>
        <w:rPr>
          <w:rFonts w:hint="eastAsia" w:ascii="宋体" w:hAnsi="宋体" w:eastAsia="宋体" w:cs="宋体"/>
          <w:b w:val="0"/>
          <w:bCs w:val="0"/>
          <w:color w:val="auto"/>
          <w:kern w:val="2"/>
          <w:sz w:val="28"/>
          <w:szCs w:val="28"/>
          <w:highlight w:val="none"/>
          <w:lang w:val="en-US" w:eastAsia="zh-CN" w:bidi="ar-SA"/>
        </w:rPr>
        <w:t>该项目</w:t>
      </w:r>
      <w:bookmarkStart w:id="7" w:name="_Toc1858"/>
      <w:r>
        <w:rPr>
          <w:rFonts w:hint="eastAsia" w:ascii="宋体" w:hAnsi="宋体" w:eastAsia="宋体" w:cs="宋体"/>
          <w:b w:val="0"/>
          <w:bCs w:val="0"/>
          <w:color w:val="auto"/>
          <w:kern w:val="2"/>
          <w:sz w:val="28"/>
          <w:szCs w:val="28"/>
          <w:highlight w:val="none"/>
          <w:lang w:val="en-US" w:eastAsia="zh-CN" w:bidi="ar-SA"/>
        </w:rPr>
        <w:t>实施实现了统筹文化、体育、广播电视和旅游事业，产业振兴发展。确保能够享受配发体育器材使用人数达到5000人及以上，发放体育器材数量达到25套，在阜康市修建400米标准室外滑冰场；全民健身系列赛事1场。2023年计划利用体育彩票公益金给全市乡镇、街道、市区配备和维护体育健身器材，达到市、乡、村三级全民健身网络全覆盖，为阜康市群众健身提供便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昌州财教[2022]62号《提前下达2023年中央集中彩票公益金支持体育事业专项资金》</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文旅局党组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王轶锋</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张铁录</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项目负责人为杨超,</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李博</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马瑞晗、陈利</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杨超</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李博</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马瑞晗、陈利</w:t>
      </w:r>
      <w:r>
        <w:rPr>
          <w:rFonts w:hint="eastAsia" w:ascii="宋体" w:hAnsi="宋体" w:eastAsia="宋体" w:cs="宋体"/>
          <w:color w:val="auto"/>
          <w:highlight w:val="none"/>
          <w:shd w:val="clear" w:color="auto" w:fill="auto"/>
          <w:lang w:val="en-US" w:eastAsia="zh-CN"/>
        </w:rPr>
        <w:t>负责资金拨付工作。</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highlight w:val="none"/>
          <w:shd w:val="clear" w:color="auto" w:fill="auto"/>
          <w:lang w:val="en-US" w:eastAsia="zh-CN"/>
        </w:rPr>
      </w:pPr>
      <w:r>
        <w:rPr>
          <w:rFonts w:hint="eastAsia" w:ascii="宋体" w:hAnsi="宋体" w:eastAsia="宋体" w:cs="宋体"/>
          <w:b w:val="0"/>
          <w:bCs/>
          <w:color w:val="auto"/>
          <w:kern w:val="2"/>
          <w:sz w:val="28"/>
          <w:szCs w:val="28"/>
          <w:highlight w:val="none"/>
          <w:shd w:val="clear" w:color="auto" w:fill="auto"/>
          <w:lang w:val="en-US" w:eastAsia="zh-CN"/>
        </w:rPr>
        <w:t>中央集中彩票公益金支持体育事业专项资金</w:t>
      </w:r>
      <w:r>
        <w:rPr>
          <w:rFonts w:hint="eastAsia" w:cs="宋体"/>
          <w:b w:val="0"/>
          <w:bCs/>
          <w:color w:val="auto"/>
          <w:kern w:val="2"/>
          <w:sz w:val="28"/>
          <w:szCs w:val="28"/>
          <w:highlight w:val="none"/>
          <w:shd w:val="clear" w:color="auto" w:fill="auto"/>
          <w:lang w:val="en-US" w:eastAsia="zh-CN"/>
        </w:rPr>
        <w:t>项目</w:t>
      </w:r>
      <w:r>
        <w:rPr>
          <w:rFonts w:hint="eastAsia" w:ascii="宋体" w:hAnsi="宋体" w:eastAsia="宋体" w:cs="宋体"/>
          <w:b w:val="0"/>
          <w:bCs/>
          <w:color w:val="auto"/>
          <w:highlight w:val="none"/>
          <w:shd w:val="clear" w:color="auto" w:fill="auto"/>
          <w:lang w:val="en-US" w:eastAsia="zh-CN"/>
        </w:rPr>
        <w:t>预算安排总额为</w:t>
      </w:r>
      <w:r>
        <w:rPr>
          <w:rFonts w:hint="eastAsia" w:cs="宋体"/>
          <w:b w:val="0"/>
          <w:bCs/>
          <w:color w:val="auto"/>
          <w:highlight w:val="none"/>
          <w:shd w:val="clear" w:color="auto" w:fill="auto"/>
          <w:lang w:val="en-US" w:eastAsia="zh-CN"/>
        </w:rPr>
        <w:t>78.51</w:t>
      </w:r>
      <w:r>
        <w:rPr>
          <w:rFonts w:hint="eastAsia" w:ascii="宋体" w:hAnsi="宋体" w:eastAsia="宋体" w:cs="宋体"/>
          <w:b w:val="0"/>
          <w:bCs/>
          <w:color w:val="auto"/>
          <w:highlight w:val="none"/>
          <w:shd w:val="clear" w:color="auto" w:fill="auto"/>
          <w:lang w:val="en-US" w:eastAsia="zh-CN"/>
        </w:rPr>
        <w:t>万元，其中财政资</w:t>
      </w:r>
      <w:r>
        <w:rPr>
          <w:rFonts w:hint="eastAsia" w:cs="宋体"/>
          <w:b w:val="0"/>
          <w:bCs/>
          <w:color w:val="auto"/>
          <w:highlight w:val="none"/>
          <w:shd w:val="clear" w:color="auto" w:fill="auto"/>
          <w:lang w:val="en-US" w:eastAsia="zh-CN"/>
        </w:rPr>
        <w:t>金78.51</w:t>
      </w:r>
      <w:r>
        <w:rPr>
          <w:rFonts w:hint="eastAsia" w:ascii="宋体" w:hAnsi="宋体" w:eastAsia="宋体" w:cs="宋体"/>
          <w:b w:val="0"/>
          <w:bCs/>
          <w:color w:val="auto"/>
          <w:highlight w:val="none"/>
          <w:shd w:val="clear" w:color="auto" w:fill="auto"/>
          <w:lang w:val="en-US" w:eastAsia="zh-CN"/>
        </w:rPr>
        <w:t>万元，其他资金</w:t>
      </w:r>
      <w:r>
        <w:rPr>
          <w:rFonts w:hint="eastAsia" w:cs="宋体"/>
          <w:b w:val="0"/>
          <w:bCs/>
          <w:color w:val="auto"/>
          <w:highlight w:val="none"/>
          <w:shd w:val="clear" w:color="auto" w:fill="auto"/>
          <w:lang w:val="en-US" w:eastAsia="zh-CN"/>
        </w:rPr>
        <w:t>0</w:t>
      </w:r>
      <w:r>
        <w:rPr>
          <w:rFonts w:hint="eastAsia" w:ascii="宋体" w:hAnsi="宋体" w:eastAsia="宋体" w:cs="宋体"/>
          <w:b w:val="0"/>
          <w:bCs/>
          <w:color w:val="auto"/>
          <w:highlight w:val="none"/>
          <w:shd w:val="clear" w:color="auto" w:fill="auto"/>
          <w:lang w:val="en-US" w:eastAsia="zh-CN"/>
        </w:rPr>
        <w:t>万元，</w:t>
      </w:r>
      <w:r>
        <w:rPr>
          <w:rFonts w:hint="eastAsia" w:cs="宋体"/>
          <w:b w:val="0"/>
          <w:bCs/>
          <w:color w:val="auto"/>
          <w:highlight w:val="none"/>
          <w:shd w:val="clear" w:color="auto" w:fill="auto"/>
          <w:lang w:val="en-US" w:eastAsia="zh-CN"/>
        </w:rPr>
        <w:t>2023</w:t>
      </w:r>
      <w:r>
        <w:rPr>
          <w:rFonts w:hint="eastAsia" w:ascii="宋体" w:hAnsi="宋体" w:eastAsia="宋体" w:cs="宋体"/>
          <w:b w:val="0"/>
          <w:bCs/>
          <w:color w:val="auto"/>
          <w:highlight w:val="none"/>
          <w:shd w:val="clear" w:color="auto" w:fill="auto"/>
          <w:lang w:val="en-US" w:eastAsia="zh-CN"/>
        </w:rPr>
        <w:t>年实际收到预算资金</w:t>
      </w:r>
      <w:r>
        <w:rPr>
          <w:rFonts w:hint="eastAsia" w:cs="宋体"/>
          <w:b w:val="0"/>
          <w:bCs/>
          <w:color w:val="auto"/>
          <w:highlight w:val="none"/>
          <w:shd w:val="clear" w:color="auto" w:fill="auto"/>
          <w:lang w:val="en-US" w:eastAsia="zh-CN"/>
        </w:rPr>
        <w:t>78.51</w:t>
      </w:r>
      <w:r>
        <w:rPr>
          <w:rFonts w:hint="eastAsia" w:ascii="宋体" w:hAnsi="宋体" w:eastAsia="宋体" w:cs="宋体"/>
          <w:b w:val="0"/>
          <w:bCs/>
          <w:color w:val="auto"/>
          <w:highlight w:val="none"/>
          <w:shd w:val="clear" w:color="auto" w:fill="auto"/>
          <w:lang w:val="en-US" w:eastAsia="zh-CN"/>
        </w:rPr>
        <w:t>万元，预算资金到位率为</w:t>
      </w:r>
      <w:r>
        <w:rPr>
          <w:rFonts w:hint="eastAsia" w:cs="宋体"/>
          <w:b w:val="0"/>
          <w:bCs/>
          <w:color w:val="auto"/>
          <w:highlight w:val="none"/>
          <w:shd w:val="clear" w:color="auto" w:fill="auto"/>
          <w:lang w:val="en-US" w:eastAsia="zh-CN"/>
        </w:rPr>
        <w:t>100</w:t>
      </w:r>
      <w:r>
        <w:rPr>
          <w:rFonts w:hint="eastAsia" w:ascii="宋体" w:hAnsi="宋体" w:eastAsia="宋体" w:cs="宋体"/>
          <w:b w:val="0"/>
          <w:bCs/>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 w:val="0"/>
          <w:bCs/>
          <w:color w:val="auto"/>
          <w:spacing w:val="-4"/>
          <w:highlight w:val="none"/>
          <w:shd w:val="clear" w:color="auto" w:fill="auto"/>
        </w:rPr>
      </w:pPr>
      <w:r>
        <w:rPr>
          <w:rFonts w:hint="eastAsia" w:ascii="宋体" w:hAnsi="宋体" w:eastAsia="宋体" w:cs="宋体"/>
          <w:b w:val="0"/>
          <w:bCs/>
          <w:color w:val="auto"/>
          <w:spacing w:val="-4"/>
          <w:highlight w:val="none"/>
          <w:shd w:val="clear" w:color="auto" w:fill="auto"/>
          <w:lang w:eastAsia="zh-CN"/>
        </w:rPr>
        <w:t>（</w:t>
      </w:r>
      <w:r>
        <w:rPr>
          <w:rFonts w:hint="eastAsia" w:ascii="宋体" w:hAnsi="宋体" w:eastAsia="宋体" w:cs="宋体"/>
          <w:b w:val="0"/>
          <w:bCs/>
          <w:color w:val="auto"/>
          <w:spacing w:val="-4"/>
          <w:highlight w:val="none"/>
          <w:shd w:val="clear" w:color="auto" w:fill="auto"/>
          <w:lang w:val="en-US" w:eastAsia="zh-CN"/>
        </w:rPr>
        <w:t>2</w:t>
      </w:r>
      <w:r>
        <w:rPr>
          <w:rFonts w:hint="eastAsia" w:ascii="宋体" w:hAnsi="宋体" w:eastAsia="宋体" w:cs="宋体"/>
          <w:b w:val="0"/>
          <w:bCs/>
          <w:color w:val="auto"/>
          <w:spacing w:val="-4"/>
          <w:highlight w:val="none"/>
          <w:shd w:val="clear" w:color="auto" w:fill="auto"/>
          <w:lang w:eastAsia="zh-CN"/>
        </w:rPr>
        <w:t>）</w:t>
      </w:r>
      <w:r>
        <w:rPr>
          <w:rFonts w:hint="eastAsia" w:ascii="宋体" w:hAnsi="宋体" w:eastAsia="宋体" w:cs="宋体"/>
          <w:b w:val="0"/>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b w:val="0"/>
          <w:bCs/>
          <w:color w:val="auto"/>
          <w:highlight w:val="none"/>
          <w:shd w:val="clear" w:color="auto" w:fill="auto"/>
          <w:lang w:val="en-US" w:eastAsia="zh-CN"/>
        </w:rPr>
        <w:t>截至2023年12月31日，</w:t>
      </w:r>
      <w:r>
        <w:rPr>
          <w:rFonts w:hint="eastAsia" w:ascii="宋体" w:hAnsi="宋体" w:eastAsia="宋体" w:cs="宋体"/>
          <w:b w:val="0"/>
          <w:bCs/>
          <w:color w:val="auto"/>
          <w:kern w:val="2"/>
          <w:sz w:val="28"/>
          <w:szCs w:val="28"/>
          <w:highlight w:val="none"/>
          <w:shd w:val="clear" w:color="auto" w:fill="auto"/>
          <w:lang w:val="en-US" w:eastAsia="zh-CN"/>
        </w:rPr>
        <w:t>中央集中彩票公益金支持体育事业专项资金</w:t>
      </w:r>
      <w:r>
        <w:rPr>
          <w:rFonts w:hint="eastAsia" w:cs="宋体"/>
          <w:b w:val="0"/>
          <w:bCs/>
          <w:color w:val="auto"/>
          <w:kern w:val="2"/>
          <w:sz w:val="28"/>
          <w:szCs w:val="28"/>
          <w:highlight w:val="none"/>
          <w:shd w:val="clear" w:color="auto" w:fill="auto"/>
          <w:lang w:val="en-US" w:eastAsia="zh-CN"/>
        </w:rPr>
        <w:t>项目</w:t>
      </w:r>
      <w:r>
        <w:rPr>
          <w:rFonts w:hint="eastAsia" w:ascii="宋体" w:hAnsi="宋体" w:eastAsia="宋体" w:cs="宋体"/>
          <w:b w:val="0"/>
          <w:bCs/>
          <w:color w:val="auto"/>
          <w:highlight w:val="none"/>
          <w:shd w:val="clear" w:color="auto" w:fill="auto"/>
        </w:rPr>
        <w:t>实际支付资金</w:t>
      </w:r>
      <w:r>
        <w:rPr>
          <w:rFonts w:hint="eastAsia" w:cs="宋体"/>
          <w:b w:val="0"/>
          <w:bCs/>
          <w:color w:val="auto"/>
          <w:highlight w:val="none"/>
          <w:shd w:val="clear" w:color="auto" w:fill="auto"/>
          <w:lang w:val="en-US" w:eastAsia="zh-CN"/>
        </w:rPr>
        <w:t>78.51</w:t>
      </w:r>
      <w:r>
        <w:rPr>
          <w:rFonts w:hint="eastAsia" w:ascii="宋体" w:hAnsi="宋体" w:eastAsia="宋体" w:cs="宋体"/>
          <w:b w:val="0"/>
          <w:bCs/>
          <w:color w:val="auto"/>
          <w:highlight w:val="none"/>
          <w:shd w:val="clear" w:color="auto" w:fill="auto"/>
        </w:rPr>
        <w:t>万元，预算执行率</w:t>
      </w:r>
      <w:r>
        <w:rPr>
          <w:rFonts w:hint="eastAsia" w:cs="宋体"/>
          <w:b w:val="0"/>
          <w:bCs/>
          <w:color w:val="auto"/>
          <w:highlight w:val="none"/>
          <w:shd w:val="clear" w:color="auto" w:fill="auto"/>
          <w:lang w:val="en-US" w:eastAsia="zh-CN"/>
        </w:rPr>
        <w:t>100</w:t>
      </w:r>
      <w:r>
        <w:rPr>
          <w:rFonts w:hint="eastAsia" w:ascii="宋体" w:hAnsi="宋体" w:eastAsia="宋体" w:cs="宋体"/>
          <w:b w:val="0"/>
          <w:bCs/>
          <w:color w:val="auto"/>
          <w:highlight w:val="none"/>
          <w:shd w:val="clear" w:color="auto" w:fill="auto"/>
        </w:rPr>
        <w:t>%</w:t>
      </w:r>
      <w:r>
        <w:rPr>
          <w:rFonts w:hint="eastAsia" w:ascii="宋体" w:hAnsi="宋体" w:eastAsia="宋体" w:cs="宋体"/>
          <w:b w:val="0"/>
          <w:bCs/>
          <w:color w:val="auto"/>
          <w:highlight w:val="none"/>
          <w:shd w:val="clear" w:color="auto" w:fill="auto"/>
          <w:lang w:eastAsia="zh-CN"/>
        </w:rPr>
        <w:t>。</w:t>
      </w:r>
      <w:r>
        <w:rPr>
          <w:rFonts w:hint="eastAsia" w:ascii="宋体" w:hAnsi="宋体" w:eastAsia="宋体" w:cs="宋体"/>
          <w:b w:val="0"/>
          <w:bCs/>
          <w:color w:val="auto"/>
          <w:highlight w:val="none"/>
          <w:shd w:val="clear" w:color="auto" w:fill="auto"/>
        </w:rPr>
        <w:t>结</w:t>
      </w:r>
      <w:r>
        <w:rPr>
          <w:rFonts w:hint="eastAsia" w:cs="宋体"/>
          <w:b w:val="0"/>
          <w:bCs/>
          <w:color w:val="auto"/>
          <w:highlight w:val="none"/>
          <w:shd w:val="clear" w:color="auto" w:fill="auto"/>
          <w:lang w:val="en-US" w:eastAsia="zh-CN"/>
        </w:rPr>
        <w:t>转</w:t>
      </w:r>
      <w:r>
        <w:rPr>
          <w:rFonts w:hint="eastAsia" w:ascii="宋体" w:hAnsi="宋体" w:eastAsia="宋体" w:cs="宋体"/>
          <w:b w:val="0"/>
          <w:bCs/>
          <w:color w:val="auto"/>
          <w:highlight w:val="none"/>
          <w:shd w:val="clear" w:color="auto" w:fill="auto"/>
          <w:lang w:eastAsia="zh-CN"/>
        </w:rPr>
        <w:t>结余资金</w:t>
      </w:r>
      <w:r>
        <w:rPr>
          <w:rFonts w:hint="eastAsia" w:cs="宋体"/>
          <w:b w:val="0"/>
          <w:bCs/>
          <w:color w:val="auto"/>
          <w:highlight w:val="none"/>
          <w:shd w:val="clear" w:color="auto" w:fill="auto"/>
          <w:lang w:val="en-US" w:eastAsia="zh-CN"/>
        </w:rPr>
        <w:t>0</w:t>
      </w:r>
      <w:r>
        <w:rPr>
          <w:rFonts w:hint="eastAsia" w:ascii="宋体" w:hAnsi="宋体" w:eastAsia="宋体" w:cs="宋体"/>
          <w:b w:val="0"/>
          <w:bCs/>
          <w:color w:val="auto"/>
          <w:highlight w:val="none"/>
          <w:shd w:val="clear" w:color="auto" w:fill="auto"/>
          <w:lang w:val="en-US" w:eastAsia="zh-CN"/>
        </w:rPr>
        <w:t>万元，已上缴国库。</w:t>
      </w:r>
      <w:r>
        <w:rPr>
          <w:rFonts w:hint="eastAsia" w:ascii="宋体" w:hAnsi="宋体" w:eastAsia="宋体" w:cs="宋体"/>
          <w:b w:val="0"/>
          <w:bCs/>
          <w:color w:val="auto"/>
          <w:highlight w:val="none"/>
          <w:shd w:val="clear" w:color="auto" w:fill="auto"/>
        </w:rPr>
        <w:t>项目资金主要用于</w:t>
      </w:r>
      <w:r>
        <w:rPr>
          <w:rFonts w:hint="eastAsia" w:cs="宋体"/>
          <w:b w:val="0"/>
          <w:bCs/>
          <w:color w:val="auto"/>
          <w:highlight w:val="none"/>
          <w:shd w:val="clear" w:color="auto" w:fill="auto"/>
          <w:lang w:eastAsia="zh-CN"/>
        </w:rPr>
        <w:t>发放为乡镇街道配发配套体育器材、修建室外滑冰场用于滑冰比赛、昌吉州全民健</w:t>
      </w:r>
      <w:r>
        <w:rPr>
          <w:rFonts w:hint="eastAsia" w:cs="宋体"/>
          <w:color w:val="auto"/>
          <w:highlight w:val="none"/>
          <w:shd w:val="clear" w:color="auto" w:fill="auto"/>
          <w:lang w:eastAsia="zh-CN"/>
        </w:rPr>
        <w:t>身系列赛事相关支出</w:t>
      </w:r>
      <w:r>
        <w:rPr>
          <w:rFonts w:hint="eastAsia" w:cs="宋体"/>
          <w:color w:val="auto"/>
          <w:highlight w:val="none"/>
          <w:shd w:val="clear" w:color="auto" w:fill="auto"/>
          <w:lang w:val="en-US" w:eastAsia="zh-CN"/>
        </w:rPr>
        <w:t>等方面。</w:t>
      </w:r>
    </w:p>
    <w:p>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highlight w:val="none"/>
          <w:shd w:val="clear" w:color="auto" w:fill="auto"/>
          <w:lang w:val="en-US" w:eastAsia="zh-CN"/>
        </w:rPr>
      </w:pPr>
      <w:r>
        <w:rPr>
          <w:rFonts w:hint="eastAsia" w:ascii="宋体" w:hAnsi="宋体" w:eastAsia="宋体" w:cs="宋体"/>
          <w:b w:val="0"/>
          <w:bCs/>
          <w:color w:val="auto"/>
          <w:kern w:val="2"/>
          <w:sz w:val="28"/>
          <w:szCs w:val="28"/>
          <w:highlight w:val="none"/>
          <w:shd w:val="clear" w:color="auto" w:fill="auto"/>
          <w:lang w:val="en-US" w:eastAsia="zh-CN"/>
        </w:rPr>
        <w:t>中央集中彩票公益金支持体育事业专项资金</w:t>
      </w:r>
      <w:r>
        <w:rPr>
          <w:rFonts w:hint="eastAsia" w:cs="宋体"/>
          <w:b w:val="0"/>
          <w:bCs/>
          <w:color w:val="auto"/>
          <w:kern w:val="2"/>
          <w:sz w:val="28"/>
          <w:szCs w:val="28"/>
          <w:highlight w:val="none"/>
          <w:shd w:val="clear" w:color="auto" w:fill="auto"/>
          <w:lang w:val="en-US" w:eastAsia="zh-CN"/>
        </w:rPr>
        <w:t>项目</w:t>
      </w:r>
      <w:r>
        <w:rPr>
          <w:rFonts w:hint="eastAsia" w:cs="宋体"/>
          <w:b w:val="0"/>
          <w:bCs/>
          <w:color w:val="auto"/>
          <w:highlight w:val="none"/>
          <w:shd w:val="clear" w:color="auto" w:fill="auto"/>
          <w:lang w:val="en-US" w:eastAsia="zh-CN"/>
        </w:rPr>
        <w:t>绩效总体目标为：统筹文化、体育、广播电视和旅游事业，产业振兴发展。确保能够享受配发体育器材使用人数达到5000人及以上，发放体育器材数量达到25套，在阜康市修建400米标准室外滑冰场；全民健身系列赛事1场。2023年计划利用体育彩票公益金给全市乡镇、街道、市区配备和维护体育健身器材，达到市、乡、村三级全民健身网络全覆盖，为阜康市群众健身提供便利。</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配发体育健身器材和享受体育健身器材人数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为≥5000人；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发放体育健身器材和体育健身器材数量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为'=25套；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室外滑冰场建设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 xml:space="preserve">全民健身系列赛事 </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为≥1场</w:t>
      </w:r>
      <w:r>
        <w:rPr>
          <w:rFonts w:hint="eastAsia"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目标人群覆盖率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年度配发率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完成全年发放体育健身器材时间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完成全年发放体育健身器材及时率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r>
        <w:rPr>
          <w:rFonts w:hint="eastAsia" w:cs="宋体"/>
          <w:color w:val="auto"/>
          <w:highlight w:val="none"/>
          <w:shd w:val="clear" w:color="auto" w:fill="auto"/>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 xml:space="preserve">     ①经济成本指标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全年发放体育器材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为≤59.97万元；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冰场建设成本</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为≤25万元；</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有效提高群众基本生活水平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为有效提高；</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长期提升健全社会全民健身体系</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为持续长期；</w:t>
      </w:r>
    </w:p>
    <w:p>
      <w:pPr>
        <w:pageBreakBefore w:val="0"/>
        <w:widowControl w:val="0"/>
        <w:numPr>
          <w:ilvl w:val="0"/>
          <w:numId w:val="0"/>
        </w:numPr>
        <w:kinsoku/>
        <w:wordWrap/>
        <w:overflowPunct/>
        <w:topLinePunct w:val="0"/>
        <w:autoSpaceDE/>
        <w:autoSpaceDN/>
        <w:bidi w:val="0"/>
        <w:adjustRightInd/>
        <w:snapToGrid/>
        <w:spacing w:line="360" w:lineRule="auto"/>
        <w:ind w:left="0" w:leftChars="0" w:firstLine="560" w:firstLineChars="200"/>
        <w:textAlignment w:val="auto"/>
        <w:rPr>
          <w:rFonts w:hint="eastAsia" w:cs="宋体"/>
          <w:color w:val="auto"/>
          <w:highlight w:val="none"/>
          <w:shd w:val="clear" w:color="auto" w:fill="auto"/>
          <w:lang w:eastAsia="zh-CN"/>
        </w:rPr>
      </w:pPr>
      <w:bookmarkStart w:id="11" w:name="_Toc2549"/>
      <w:r>
        <w:rPr>
          <w:rFonts w:hint="eastAsia" w:ascii="宋体" w:hAnsi="宋体" w:eastAsia="宋体" w:cs="宋体"/>
          <w:color w:val="auto"/>
          <w:kern w:val="2"/>
          <w:sz w:val="28"/>
          <w:szCs w:val="28"/>
          <w:highlight w:val="none"/>
          <w:shd w:val="clear" w:fill="auto"/>
          <w:lang w:val="en-US" w:eastAsia="zh-CN" w:bidi="ar-SA"/>
        </w:rPr>
        <w:t>（</w:t>
      </w:r>
      <w:r>
        <w:rPr>
          <w:rFonts w:hint="eastAsia" w:cs="宋体"/>
          <w:color w:val="auto"/>
          <w:kern w:val="2"/>
          <w:sz w:val="28"/>
          <w:szCs w:val="28"/>
          <w:highlight w:val="none"/>
          <w:shd w:val="clear" w:fill="auto"/>
          <w:lang w:val="en-US" w:eastAsia="zh-CN" w:bidi="ar-SA"/>
        </w:rPr>
        <w:t>4</w:t>
      </w:r>
      <w:r>
        <w:rPr>
          <w:rFonts w:hint="eastAsia" w:ascii="宋体" w:hAnsi="宋体" w:eastAsia="宋体" w:cs="宋体"/>
          <w:color w:val="auto"/>
          <w:kern w:val="2"/>
          <w:sz w:val="28"/>
          <w:szCs w:val="28"/>
          <w:highlight w:val="none"/>
          <w:shd w:val="clear" w:fill="auto"/>
          <w:lang w:val="en-US" w:eastAsia="zh-CN" w:bidi="ar-SA"/>
        </w:rPr>
        <w:t>）</w:t>
      </w:r>
      <w:r>
        <w:rPr>
          <w:rFonts w:hint="eastAsia" w:cs="宋体"/>
          <w:color w:val="auto"/>
          <w:highlight w:val="none"/>
          <w:shd w:val="clear" w:color="auto" w:fill="auto"/>
          <w:lang w:eastAsia="zh-CN"/>
        </w:rPr>
        <w:t>满意度指标</w:t>
      </w:r>
    </w:p>
    <w:p>
      <w:pPr>
        <w:pStyle w:val="3"/>
        <w:numPr>
          <w:ilvl w:val="0"/>
          <w:numId w:val="0"/>
        </w:numPr>
        <w:ind w:leftChars="200"/>
        <w:rPr>
          <w:rFonts w:hint="eastAsia" w:ascii="宋体" w:hAnsi="宋体" w:eastAsia="宋体" w:cs="宋体"/>
          <w:b w:val="0"/>
          <w:color w:val="auto"/>
          <w:kern w:val="2"/>
          <w:sz w:val="28"/>
          <w:szCs w:val="28"/>
          <w:highlight w:val="none"/>
          <w:shd w:val="clear" w:color="auto" w:fill="auto"/>
          <w:lang w:val="en-US" w:eastAsia="zh-CN" w:bidi="ar-SA"/>
        </w:rPr>
      </w:pPr>
      <w:r>
        <w:rPr>
          <w:rFonts w:hint="eastAsia" w:ascii="宋体" w:hAnsi="宋体" w:eastAsia="宋体" w:cs="宋体"/>
          <w:b w:val="0"/>
          <w:color w:val="auto"/>
          <w:kern w:val="2"/>
          <w:sz w:val="28"/>
          <w:szCs w:val="28"/>
          <w:highlight w:val="none"/>
          <w:shd w:val="clear" w:color="auto" w:fill="auto"/>
          <w:lang w:val="en-US" w:eastAsia="zh-CN" w:bidi="ar-SA"/>
        </w:rPr>
        <w:t>①满意度指标</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享受体育健身器材人群满意率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为≥98%；</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169_WPSOffice_Level2"/>
      <w:bookmarkStart w:id="13" w:name="_Toc26632"/>
      <w:bookmarkStart w:id="14" w:name="_Toc5462343"/>
      <w:bookmarkStart w:id="15" w:name="_Toc12868"/>
      <w:bookmarkStart w:id="16" w:name="_Toc22922"/>
      <w:bookmarkStart w:id="17" w:name="_Toc5258"/>
      <w:bookmarkStart w:id="18" w:name="_Toc480473081"/>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年度我单位实施的中央集中彩票公益金支持体育事业专项资金</w:t>
      </w:r>
      <w:r>
        <w:rPr>
          <w:rFonts w:hint="eastAsia"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3"/>
        <w:pageBreakBefore w:val="0"/>
        <w:numPr>
          <w:ilvl w:val="0"/>
          <w:numId w:val="3"/>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中央集中彩票公益金支持体育事业专项资金项目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19984722"/>
      <w:bookmarkStart w:id="26" w:name="_Toc428278230"/>
      <w:bookmarkStart w:id="27" w:name="_Toc26131"/>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中央集中彩票公益金支持体育事业专项资金项目</w:t>
      </w:r>
      <w:r>
        <w:rPr>
          <w:rFonts w:hint="eastAsia" w:ascii="宋体" w:hAnsi="宋体" w:eastAsia="宋体" w:cs="宋体"/>
          <w:color w:val="auto"/>
          <w:highlight w:val="none"/>
          <w:shd w:val="clear" w:color="auto" w:fill="auto"/>
          <w:lang w:val="en-US" w:eastAsia="zh-CN"/>
        </w:rPr>
        <w:t>进行评价。</w:t>
      </w:r>
    </w:p>
    <w:p>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中央集中彩票公益金支持体育事业专项资金</w:t>
      </w:r>
      <w:r>
        <w:rPr>
          <w:rFonts w:hint="eastAsia" w:ascii="宋体" w:hAnsi="宋体" w:eastAsia="宋体" w:cs="宋体"/>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中央集中彩票公益金支持体育事业专项资金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ascii="宋体" w:hAnsi="宋体" w:eastAsia="宋体"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ascii="宋体" w:hAnsi="宋体" w:eastAsia="宋体" w:cs="宋体"/>
                <w:b/>
                <w:color w:val="auto"/>
                <w:kern w:val="2"/>
                <w:sz w:val="28"/>
                <w:szCs w:val="28"/>
                <w:highlight w:val="none"/>
                <w:shd w:val="clear" w:color="auto" w:fill="auto"/>
                <w:lang w:val="en-US" w:eastAsia="zh-CN"/>
              </w:rPr>
              <w:t>中央集中彩票公益金支持体育事业专项资金</w:t>
            </w:r>
            <w:r>
              <w:rPr>
                <w:rFonts w:hint="eastAsia" w:ascii="宋体" w:hAnsi="宋体" w:eastAsia="宋体" w:cs="宋体"/>
                <w:b/>
                <w:bCs/>
                <w:color w:val="auto"/>
                <w:kern w:val="0"/>
                <w:sz w:val="28"/>
                <w:szCs w:val="28"/>
                <w:highlight w:val="none"/>
                <w:shd w:val="clear" w:color="auto" w:fill="auto"/>
                <w:lang w:val="en-US" w:eastAsia="zh-CN"/>
              </w:rPr>
              <w:t>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4" w:hRule="atLeast"/>
          <w:tblHeader/>
          <w:jc w:val="center"/>
        </w:trPr>
        <w:tc>
          <w:tcPr>
            <w:tcW w:w="3285" w:type="dxa"/>
            <w:gridSpan w:val="3"/>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l2br w:val="nil"/>
              <w:tr2bl w:val="nil"/>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eastAsia"/>
          <w:color w:val="auto"/>
          <w:highlight w:val="none"/>
          <w:lang w:eastAsia="zh-CN"/>
        </w:rPr>
      </w:pPr>
      <w:r>
        <w:rPr>
          <w:rFonts w:hint="eastAsia"/>
          <w:color w:val="auto"/>
          <w:highlight w:val="none"/>
          <w:lang w:eastAsia="zh-CN"/>
        </w:rPr>
        <w:t>①该项目立项符合《中央集中彩票公益金支持体育事业专项资金管理办法》</w:t>
      </w:r>
      <w:r>
        <w:rPr>
          <w:rFonts w:hint="eastAsia"/>
          <w:color w:val="auto"/>
          <w:highlight w:val="none"/>
          <w:lang w:val="en-US" w:eastAsia="zh-CN"/>
        </w:rPr>
        <w:t>（昌州财教[2022]62号）</w:t>
      </w:r>
      <w:r>
        <w:rPr>
          <w:rFonts w:hint="eastAsia"/>
          <w:color w:val="auto"/>
          <w:highlight w:val="none"/>
          <w:lang w:eastAsia="zh-CN"/>
        </w:rPr>
        <w:t>和《阜康市“十四五”规划》；</w:t>
      </w:r>
    </w:p>
    <w:p>
      <w:pPr>
        <w:bidi w:val="0"/>
        <w:rPr>
          <w:rFonts w:hint="eastAsia" w:ascii="宋体" w:hAnsi="宋体" w:eastAsia="宋体" w:cs="宋体"/>
          <w:color w:val="auto"/>
          <w:highlight w:val="none"/>
          <w:lang w:eastAsia="zh-CN"/>
        </w:rPr>
      </w:pPr>
      <w:r>
        <w:rPr>
          <w:rFonts w:hint="eastAsia"/>
          <w:color w:val="auto"/>
          <w:highlight w:val="none"/>
          <w:lang w:eastAsia="zh-CN"/>
        </w:rPr>
        <w:t>②该项目立项</w:t>
      </w:r>
      <w:r>
        <w:rPr>
          <w:rFonts w:hint="eastAsia" w:ascii="宋体" w:hAnsi="宋体" w:eastAsia="宋体" w:cs="宋体"/>
          <w:color w:val="auto"/>
          <w:highlight w:val="none"/>
          <w:lang w:val="en-US" w:eastAsia="zh-CN"/>
        </w:rPr>
        <w:t>符</w:t>
      </w:r>
      <w:r>
        <w:rPr>
          <w:rFonts w:hint="eastAsia" w:ascii="宋体" w:hAnsi="宋体" w:eastAsia="宋体" w:cs="宋体"/>
          <w:color w:val="auto"/>
          <w:highlight w:val="none"/>
          <w:lang w:eastAsia="zh-CN"/>
        </w:rPr>
        <w:t>合</w:t>
      </w:r>
      <w:r>
        <w:rPr>
          <w:rFonts w:hint="default" w:ascii="宋体" w:hAnsi="宋体" w:eastAsia="宋体" w:cs="宋体"/>
          <w:color w:val="auto"/>
          <w:highlight w:val="none"/>
          <w:lang w:val="en-US" w:eastAsia="zh-CN"/>
        </w:rPr>
        <w:t>文化润疆工程、旅游兴疆战略，以新发展理念引领高质量发展，不断丰富文化旅游业态，增加产品供给</w:t>
      </w:r>
      <w:r>
        <w:rPr>
          <w:rFonts w:hint="eastAsia" w:ascii="宋体" w:hAnsi="宋体" w:eastAsia="宋体" w:cs="宋体"/>
          <w:color w:val="auto"/>
          <w:highlight w:val="none"/>
          <w:lang w:eastAsia="zh-CN"/>
        </w:rPr>
        <w:t>行业发展规划和《阜康市</w:t>
      </w:r>
      <w:r>
        <w:rPr>
          <w:rFonts w:hint="eastAsia" w:cs="宋体"/>
          <w:color w:val="auto"/>
          <w:highlight w:val="none"/>
          <w:lang w:eastAsia="zh-CN"/>
        </w:rPr>
        <w:t>“十四五”规划</w:t>
      </w:r>
      <w:r>
        <w:rPr>
          <w:rFonts w:hint="eastAsia" w:ascii="宋体" w:hAnsi="宋体" w:eastAsia="宋体" w:cs="宋体"/>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③该项目立项与阜康市文化体育广播电视和旅</w:t>
      </w:r>
      <w:r>
        <w:rPr>
          <w:rFonts w:hint="eastAsia"/>
          <w:color w:val="auto"/>
          <w:highlight w:val="none"/>
          <w:shd w:val="clear"/>
          <w:lang w:eastAsia="zh-CN"/>
        </w:rPr>
        <w:t>游局统筹全市文化体育事业发展</w:t>
      </w:r>
      <w:r>
        <w:rPr>
          <w:rFonts w:hint="eastAsia"/>
          <w:color w:val="auto"/>
          <w:highlight w:val="none"/>
          <w:lang w:eastAsia="zh-CN"/>
        </w:rPr>
        <w:t>职责范围相符，属于部门履职所需；</w:t>
      </w:r>
    </w:p>
    <w:p>
      <w:pPr>
        <w:bidi w:val="0"/>
        <w:rPr>
          <w:rFonts w:hint="eastAsia"/>
          <w:color w:val="auto"/>
          <w:highlight w:val="none"/>
          <w:lang w:eastAsia="zh-CN"/>
        </w:rPr>
      </w:pPr>
      <w:r>
        <w:rPr>
          <w:rFonts w:hint="eastAsia"/>
          <w:color w:val="auto"/>
          <w:highlight w:val="none"/>
          <w:lang w:eastAsia="zh-CN"/>
        </w:rPr>
        <w:t>④该项目属于公共财政支持范围，符合中央、地方事权支出责任划分原则；</w:t>
      </w:r>
      <w:bookmarkStart w:id="86" w:name="_GoBack"/>
      <w:bookmarkEnd w:id="86"/>
    </w:p>
    <w:p>
      <w:pPr>
        <w:bidi w:val="0"/>
        <w:rPr>
          <w:rFonts w:hint="eastAsia"/>
          <w:color w:val="auto"/>
          <w:highlight w:val="none"/>
          <w:lang w:eastAsia="zh-CN"/>
        </w:rPr>
      </w:pPr>
      <w:r>
        <w:rPr>
          <w:rFonts w:hint="eastAsia"/>
          <w:color w:val="auto"/>
          <w:highlight w:val="none"/>
          <w:lang w:eastAsia="zh-CN"/>
        </w:rPr>
        <w:t>⑤该项目与相关部门同类项目或部门内部相关项目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①该项目按照规定的程序申请设立；</w:t>
      </w:r>
    </w:p>
    <w:p>
      <w:pPr>
        <w:bidi w:val="0"/>
        <w:rPr>
          <w:rFonts w:hint="eastAsia"/>
          <w:color w:val="auto"/>
          <w:highlight w:val="none"/>
          <w:lang w:eastAsia="zh-CN"/>
        </w:rPr>
      </w:pPr>
      <w:r>
        <w:rPr>
          <w:rFonts w:hint="eastAsia"/>
          <w:color w:val="auto"/>
          <w:highlight w:val="none"/>
          <w:lang w:eastAsia="zh-CN"/>
        </w:rPr>
        <w:t>②该项目审批文件、材料符合相关要求；</w:t>
      </w:r>
    </w:p>
    <w:p>
      <w:pPr>
        <w:bidi w:val="0"/>
        <w:rPr>
          <w:rFonts w:hint="eastAsia"/>
          <w:color w:val="auto"/>
          <w:highlight w:val="none"/>
          <w:lang w:eastAsia="zh-CN"/>
        </w:rPr>
      </w:pPr>
      <w:r>
        <w:rPr>
          <w:rFonts w:hint="eastAsia"/>
          <w:color w:val="auto"/>
          <w:highlight w:val="none"/>
          <w:lang w:eastAsia="zh-CN"/>
        </w:rPr>
        <w:t>③事前未经过必要的可行性研究、专家论证、风险评估、绩效评估，仅经过集体决策，扣</w:t>
      </w:r>
      <w:r>
        <w:rPr>
          <w:rFonts w:hint="eastAsia"/>
          <w:color w:val="auto"/>
          <w:highlight w:val="none"/>
          <w:lang w:val="en-US" w:eastAsia="zh-CN"/>
        </w:rPr>
        <w:t>1分</w:t>
      </w:r>
      <w:r>
        <w:rPr>
          <w:rFonts w:hint="eastAsia"/>
          <w:color w:val="auto"/>
          <w:highlight w:val="none"/>
          <w:lang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①该项目有绩效目标；</w:t>
      </w:r>
    </w:p>
    <w:p>
      <w:pPr>
        <w:bidi w:val="0"/>
        <w:rPr>
          <w:rFonts w:hint="eastAsia"/>
          <w:color w:val="auto"/>
          <w:highlight w:val="none"/>
          <w:lang w:eastAsia="zh-CN"/>
        </w:rPr>
      </w:pPr>
      <w:r>
        <w:rPr>
          <w:rFonts w:hint="eastAsia"/>
          <w:color w:val="auto"/>
          <w:highlight w:val="none"/>
          <w:lang w:eastAsia="zh-CN"/>
        </w:rPr>
        <w:t>②该项目绩效目标与实际工作内容具有相关性；</w:t>
      </w:r>
    </w:p>
    <w:p>
      <w:pPr>
        <w:bidi w:val="0"/>
        <w:rPr>
          <w:rFonts w:hint="eastAsia"/>
          <w:color w:val="auto"/>
          <w:highlight w:val="none"/>
          <w:lang w:eastAsia="zh-CN"/>
        </w:rPr>
      </w:pPr>
      <w:r>
        <w:rPr>
          <w:rFonts w:hint="eastAsia"/>
          <w:color w:val="auto"/>
          <w:highlight w:val="none"/>
          <w:lang w:eastAsia="zh-CN"/>
        </w:rPr>
        <w:t>③该项目预期产出效益和效果符合正常的业绩水平；</w:t>
      </w:r>
    </w:p>
    <w:p>
      <w:pPr>
        <w:bidi w:val="0"/>
        <w:rPr>
          <w:rFonts w:hint="eastAsia"/>
          <w:color w:val="auto"/>
          <w:highlight w:val="none"/>
          <w:lang w:eastAsia="zh-CN"/>
        </w:rPr>
      </w:pPr>
      <w:r>
        <w:rPr>
          <w:rFonts w:hint="eastAsia"/>
          <w:color w:val="auto"/>
          <w:highlight w:val="none"/>
          <w:lang w:eastAsia="zh-CN"/>
        </w:rPr>
        <w:t>④该项目与预算确定的项目投资额或资金量相匹配。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①该项目绩效目标细化分解一级指标</w:t>
      </w:r>
      <w:r>
        <w:rPr>
          <w:rFonts w:hint="eastAsia"/>
          <w:color w:val="auto"/>
          <w:highlight w:val="none"/>
          <w:lang w:val="en-US" w:eastAsia="zh-CN"/>
        </w:rPr>
        <w:t>3</w:t>
      </w:r>
      <w:r>
        <w:rPr>
          <w:rFonts w:hint="eastAsia"/>
          <w:color w:val="auto"/>
          <w:highlight w:val="none"/>
          <w:lang w:eastAsia="zh-CN"/>
        </w:rPr>
        <w:t>个、二级指标</w:t>
      </w:r>
      <w:r>
        <w:rPr>
          <w:rFonts w:hint="eastAsia"/>
          <w:color w:val="auto"/>
          <w:highlight w:val="none"/>
          <w:lang w:val="en-US" w:eastAsia="zh-CN"/>
        </w:rPr>
        <w:t>5</w:t>
      </w:r>
      <w:r>
        <w:rPr>
          <w:rFonts w:hint="eastAsia"/>
          <w:color w:val="auto"/>
          <w:highlight w:val="none"/>
          <w:lang w:eastAsia="zh-CN"/>
        </w:rPr>
        <w:t>个；</w:t>
      </w:r>
    </w:p>
    <w:p>
      <w:pPr>
        <w:bidi w:val="0"/>
        <w:rPr>
          <w:rFonts w:hint="eastAsia"/>
          <w:color w:val="auto"/>
          <w:highlight w:val="none"/>
          <w:lang w:eastAsia="zh-CN"/>
        </w:rPr>
      </w:pPr>
      <w:r>
        <w:rPr>
          <w:rFonts w:hint="eastAsia"/>
          <w:color w:val="auto"/>
          <w:highlight w:val="none"/>
          <w:lang w:eastAsia="zh-CN"/>
        </w:rPr>
        <w:t>②通过清晰、可衡量的指标值予以体现：本单位三级指标</w:t>
      </w:r>
      <w:r>
        <w:rPr>
          <w:rFonts w:hint="eastAsia"/>
          <w:color w:val="auto"/>
          <w:highlight w:val="none"/>
          <w:lang w:val="en-US" w:eastAsia="zh-CN"/>
        </w:rPr>
        <w:t>13条，其中可量化的指标为11条，量化比例达到85%。</w:t>
      </w:r>
    </w:p>
    <w:p>
      <w:pPr>
        <w:bidi w:val="0"/>
        <w:rPr>
          <w:rFonts w:hint="eastAsia"/>
          <w:color w:val="auto"/>
          <w:highlight w:val="none"/>
          <w:lang w:eastAsia="zh-CN"/>
        </w:rPr>
      </w:pPr>
      <w:r>
        <w:rPr>
          <w:rFonts w:hint="eastAsia"/>
          <w:color w:val="auto"/>
          <w:highlight w:val="none"/>
          <w:lang w:eastAsia="zh-CN"/>
        </w:rPr>
        <w:t>③该项目目标任务数或计划数相对应。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①该项目预算编制经过科学论证；</w:t>
      </w:r>
    </w:p>
    <w:p>
      <w:pPr>
        <w:bidi w:val="0"/>
        <w:rPr>
          <w:rFonts w:hint="eastAsia"/>
          <w:color w:val="auto"/>
          <w:highlight w:val="none"/>
          <w:lang w:eastAsia="zh-CN"/>
        </w:rPr>
      </w:pPr>
      <w:r>
        <w:rPr>
          <w:rFonts w:hint="eastAsia"/>
          <w:color w:val="auto"/>
          <w:highlight w:val="none"/>
          <w:lang w:eastAsia="zh-CN"/>
        </w:rPr>
        <w:t>②该项目预算内容与项目内容匹配；</w:t>
      </w:r>
    </w:p>
    <w:p>
      <w:pPr>
        <w:bidi w:val="0"/>
        <w:rPr>
          <w:rFonts w:hint="eastAsia"/>
          <w:color w:val="auto"/>
          <w:highlight w:val="none"/>
          <w:lang w:eastAsia="zh-CN"/>
        </w:rPr>
      </w:pPr>
      <w:r>
        <w:rPr>
          <w:rFonts w:hint="eastAsia"/>
          <w:color w:val="auto"/>
          <w:highlight w:val="none"/>
          <w:lang w:eastAsia="zh-CN"/>
        </w:rPr>
        <w:t>③该项目预算额度测算依据充分，按照标准编制；</w:t>
      </w:r>
    </w:p>
    <w:p>
      <w:pPr>
        <w:bidi w:val="0"/>
        <w:rPr>
          <w:rFonts w:hint="eastAsia"/>
          <w:color w:val="auto"/>
          <w:highlight w:val="none"/>
          <w:lang w:eastAsia="zh-CN"/>
        </w:rPr>
      </w:pPr>
      <w:r>
        <w:rPr>
          <w:rFonts w:hint="eastAsia"/>
          <w:color w:val="auto"/>
          <w:highlight w:val="none"/>
          <w:lang w:eastAsia="zh-CN"/>
        </w:rPr>
        <w:t>④该项目预算确定的项目投资额或资金量与工作任务相匹配。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①该项目预算资金分配依据充分；</w:t>
      </w:r>
    </w:p>
    <w:p>
      <w:pPr>
        <w:bidi w:val="0"/>
        <w:rPr>
          <w:rFonts w:hint="eastAsia"/>
          <w:color w:val="auto"/>
          <w:highlight w:val="none"/>
          <w:lang w:eastAsia="zh-CN"/>
        </w:rPr>
      </w:pPr>
      <w:r>
        <w:rPr>
          <w:rFonts w:hint="eastAsia"/>
          <w:color w:val="auto"/>
          <w:highlight w:val="none"/>
          <w:lang w:eastAsia="zh-CN"/>
        </w:rPr>
        <w:t>②该项目资金分配额度合理，与项目单位或地方实际相适应。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78.51万元</w:t>
      </w:r>
      <w:r>
        <w:rPr>
          <w:rFonts w:hint="eastAsia"/>
          <w:color w:val="auto"/>
          <w:highlight w:val="none"/>
          <w:lang w:eastAsia="zh-CN"/>
        </w:rPr>
        <w:t>/</w:t>
      </w:r>
      <w:r>
        <w:rPr>
          <w:rFonts w:hint="eastAsia"/>
          <w:color w:val="auto"/>
          <w:highlight w:val="none"/>
          <w:lang w:val="en-US" w:eastAsia="zh-CN"/>
        </w:rPr>
        <w:t>78.51万元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78.51万元</w:t>
      </w:r>
      <w:r>
        <w:rPr>
          <w:rFonts w:hint="eastAsia"/>
          <w:color w:val="auto"/>
          <w:highlight w:val="none"/>
          <w:lang w:eastAsia="zh-CN"/>
        </w:rPr>
        <w:t>/</w:t>
      </w:r>
      <w:r>
        <w:rPr>
          <w:rFonts w:hint="eastAsia"/>
          <w:color w:val="auto"/>
          <w:highlight w:val="none"/>
          <w:lang w:val="en-US" w:eastAsia="zh-CN"/>
        </w:rPr>
        <w:t>78.51万元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①符合国家财经法规和《阜康市文化体育广播电视和旅游局财务管理制度》以及《中央集中彩票公益金支持体育事业专项资金管理办法》</w:t>
      </w:r>
      <w:r>
        <w:rPr>
          <w:rFonts w:hint="eastAsia"/>
          <w:color w:val="auto"/>
          <w:highlight w:val="none"/>
          <w:lang w:val="en-US" w:eastAsia="zh-CN"/>
        </w:rPr>
        <w:t>（昌州财教[2022]62号）</w:t>
      </w:r>
      <w:r>
        <w:rPr>
          <w:rFonts w:hint="eastAsia"/>
          <w:color w:val="auto"/>
          <w:highlight w:val="none"/>
          <w:lang w:eastAsia="zh-CN"/>
        </w:rPr>
        <w:t>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color w:val="auto"/>
          <w:highlight w:val="none"/>
          <w:lang w:eastAsia="zh-CN"/>
        </w:rPr>
      </w:pPr>
      <w:r>
        <w:rPr>
          <w:rFonts w:hint="eastAsia"/>
          <w:b/>
          <w:bCs/>
          <w:color w:val="auto"/>
          <w:highlight w:val="none"/>
          <w:lang w:val="en-US" w:eastAsia="zh-CN"/>
        </w:rPr>
        <w:t>4.管理制度健全性</w:t>
      </w:r>
      <w:r>
        <w:rPr>
          <w:rFonts w:hint="eastAsia"/>
          <w:color w:val="auto"/>
          <w:highlight w:val="none"/>
          <w:lang w:eastAsia="zh-CN"/>
        </w:rPr>
        <w:t>①已制定或具有相应的《阜康市文化体育广播电视和旅游局财务管理制度》《阜康市文化体育广播电视和旅游局资金支付制度》；</w:t>
      </w:r>
    </w:p>
    <w:p>
      <w:pPr>
        <w:bidi w:val="0"/>
        <w:rPr>
          <w:rFonts w:hint="eastAsia"/>
          <w:color w:val="auto"/>
          <w:highlight w:val="none"/>
          <w:lang w:eastAsia="zh-CN"/>
        </w:rPr>
      </w:pPr>
      <w:r>
        <w:rPr>
          <w:rFonts w:hint="eastAsia"/>
          <w:color w:val="auto"/>
          <w:highlight w:val="none"/>
          <w:lang w:eastAsia="zh-CN"/>
        </w:rPr>
        <w:t>②《阜康市文化体育广播电视和旅游局财务管理制度》《阜康市文化体育广播电视和旅游局资金支付制度》合法、合规、完整。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②《项目涉及资金预算审批表》调整及《项目资金支出调整》手续完备；</w:t>
      </w:r>
    </w:p>
    <w:p>
      <w:pPr>
        <w:bidi w:val="0"/>
        <w:rPr>
          <w:rFonts w:hint="eastAsia"/>
          <w:color w:val="auto"/>
          <w:highlight w:val="none"/>
          <w:lang w:eastAsia="zh-CN"/>
        </w:rPr>
      </w:pPr>
      <w:r>
        <w:rPr>
          <w:rFonts w:hint="eastAsia"/>
          <w:color w:val="auto"/>
          <w:highlight w:val="none"/>
          <w:lang w:eastAsia="zh-CN"/>
        </w:rPr>
        <w:t>③体育器材采购合同、体育器材验收报告、室外冰场建造合同、室外冰场验收报告等资料齐全并及时归档。</w:t>
      </w:r>
    </w:p>
    <w:p>
      <w:pPr>
        <w:bidi w:val="0"/>
        <w:rPr>
          <w:rFonts w:hint="default"/>
          <w:color w:val="auto"/>
          <w:highlight w:val="none"/>
          <w:lang w:val="en-US" w:eastAsia="zh-CN"/>
        </w:rPr>
      </w:pPr>
      <w:r>
        <w:rPr>
          <w:rFonts w:hint="eastAsia"/>
          <w:color w:val="auto"/>
          <w:highlight w:val="none"/>
          <w:lang w:val="en-US" w:eastAsia="zh-CN"/>
        </w:rPr>
        <w:t>④项目有足够的人力资源来支持实施，业务人员确保能够掌握与自身职责相关的基本技术指导职能，保障业务经办的顺利开展。本项目开展所需的物质资源和设备均满足要求，确保项目所需物质资源和设备的可用性、数量和质量，并制定采购计划。</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10</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 xml:space="preserve">配发体育健身器材和享受体育健身器材人数 </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≥5000人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610000人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发放体育健身器材和体育健身器材数量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=25套</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25套</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室外滑冰场建设</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全民健身系列赛事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目标人群覆盖率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年度配发率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完成全年发放体育健身器材时间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完成全年发放体育健身器材及时率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全年发放体育器材</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≤59.97万元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both"/>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冰场建设成本</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25万元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eastAsia"/>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 xml:space="preserve">配发体育健身器材和享受体育健身器材人数 </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指标，预期目标值为≥5000人，实际完成为610000人。实际完成率=（5000人/610000人）×100%=0.82%。预期目标值为≥5000人，实际完成为610000人，超额完成，实现预期目标。</w:t>
      </w:r>
    </w:p>
    <w:p>
      <w:pPr>
        <w:bidi w:val="0"/>
        <w:rPr>
          <w:rFonts w:hint="eastAsia"/>
          <w:b/>
          <w:bCs/>
          <w:color w:val="auto"/>
          <w:highlight w:val="none"/>
          <w:lang w:val="en-US" w:eastAsia="zh-CN"/>
        </w:rPr>
      </w:pPr>
      <w:r>
        <w:rPr>
          <w:rFonts w:hint="eastAsia"/>
          <w:b/>
          <w:bCs/>
          <w:color w:val="auto"/>
          <w:highlight w:val="none"/>
          <w:lang w:val="en-US" w:eastAsia="zh-CN"/>
        </w:rPr>
        <w:t>综上，该项指标满分1分，得分1分。</w:t>
      </w:r>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 xml:space="preserve">发放体育健身器材和体育健身器材数量 </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指标，预期目标值为=25套，实际完成为=25套。实际完成率=（25套/25套）×100%=100%。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 xml:space="preserve">室外滑冰场建设 </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指标，预期目标值为≥1个，实际完成为1个。实际完成率=（1个/1个）×100%=100%。</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rPr>
          <w:rFonts w:hint="eastAsia"/>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 xml:space="preserve">全民健身系列赛事 </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指标，预期目标值为≥1场，实际完成为1场。实际完成率=（1场/1场）×100%=100%。</w:t>
      </w:r>
    </w:p>
    <w:p>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目标人群覆盖率</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指标，预期目标值为100%，实际完成为100%。</w:t>
      </w:r>
    </w:p>
    <w:p>
      <w:pPr>
        <w:bidi w:val="0"/>
        <w:rPr>
          <w:rFonts w:hint="eastAsia"/>
          <w:color w:val="auto"/>
          <w:highlight w:val="none"/>
          <w:lang w:val="en-US" w:eastAsia="zh-CN"/>
        </w:rPr>
      </w:pPr>
      <w:r>
        <w:rPr>
          <w:rFonts w:hint="eastAsia"/>
          <w:b/>
          <w:bCs/>
          <w:color w:val="auto"/>
          <w:highlight w:val="none"/>
          <w:lang w:val="en-US" w:eastAsia="zh-CN"/>
        </w:rPr>
        <w:t>综上，该项指标满分1分，得分1分。</w:t>
      </w:r>
    </w:p>
    <w:p>
      <w:pPr>
        <w:bidi w:val="0"/>
        <w:rPr>
          <w:rFonts w:hint="eastAsia"/>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年度配发率</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ascii="宋体" w:hAnsi="宋体" w:eastAsia="宋体" w:cs="宋体"/>
          <w:color w:val="auto"/>
          <w:highlight w:val="none"/>
          <w:lang w:val="zh-TW"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完成全年发放体育健身器材时间</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指标，预期目标值为≤2023年12月，实际完成为100%。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综上，该项指标满分3分，得分3分。</w:t>
      </w:r>
    </w:p>
    <w:p>
      <w:pPr>
        <w:bidi w:val="0"/>
        <w:rPr>
          <w:rFonts w:hint="eastAsia" w:ascii="宋体" w:hAnsi="宋体" w:eastAsia="宋体" w:cs="宋体"/>
          <w:color w:val="auto"/>
          <w:highlight w:val="none"/>
          <w:lang w:val="zh-TW"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完成全年发放体育健身器材及时率</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指标，预期目标值为100%，实际完成为100%。</w:t>
      </w:r>
    </w:p>
    <w:p>
      <w:pPr>
        <w:bidi w:val="0"/>
        <w:rPr>
          <w:rFonts w:hint="eastAsia"/>
          <w:b/>
          <w:bCs/>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全年发放体育器材</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指标，预期目标值为≤59.97万元，实际完成为11.15万元。实际完成率=（11.15万元/59.97万元）×100%=18.6%。预期目标值设定为≤59.97万元，实际支出11.15万元，符合设定目标值。</w:t>
      </w:r>
    </w:p>
    <w:p>
      <w:pPr>
        <w:bidi w:val="0"/>
        <w:rPr>
          <w:rFonts w:hint="eastAsia"/>
          <w:color w:val="auto"/>
          <w:highlight w:val="none"/>
          <w:lang w:val="en-US" w:eastAsia="zh-CN"/>
        </w:rPr>
      </w:pPr>
      <w:r>
        <w:rPr>
          <w:rFonts w:hint="eastAsia"/>
          <w:b/>
          <w:bCs/>
          <w:color w:val="auto"/>
          <w:highlight w:val="none"/>
          <w:lang w:val="en-US" w:eastAsia="zh-CN"/>
        </w:rPr>
        <w:t>综上，该项指标满分1分，得分1分。</w:t>
      </w:r>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冰场建设成本</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指标，预期目标值为≤25万元，实际完成率=（25万元/25万元）×100%=100%。实际完成为100%。</w:t>
      </w:r>
    </w:p>
    <w:p>
      <w:pPr>
        <w:bidi w:val="0"/>
        <w:rPr>
          <w:rFonts w:hint="eastAsia"/>
          <w:color w:val="auto"/>
          <w:highlight w:val="none"/>
          <w:lang w:eastAsia="zh-CN"/>
        </w:rPr>
      </w:pPr>
      <w:r>
        <w:rPr>
          <w:rFonts w:hint="eastAsia"/>
          <w:b/>
          <w:bCs/>
          <w:color w:val="auto"/>
          <w:highlight w:val="none"/>
          <w:lang w:val="en-US" w:eastAsia="zh-CN"/>
        </w:rPr>
        <w:t>综上，该项指标满分9分，得分9分。</w:t>
      </w:r>
    </w:p>
    <w:p>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cs="宋体"/>
          <w:b/>
          <w:bCs/>
          <w:color w:val="auto"/>
          <w:kern w:val="0"/>
          <w:sz w:val="28"/>
          <w:szCs w:val="28"/>
          <w:highlight w:val="none"/>
          <w:shd w:val="clear" w:color="auto" w:fill="auto"/>
          <w:lang w:val="zh-TW" w:eastAsia="zh-CN"/>
        </w:rPr>
      </w:pPr>
      <w:r>
        <w:rPr>
          <w:rFonts w:hint="eastAsia" w:ascii="宋体" w:hAnsi="宋体" w:eastAsia="宋体" w:cs="宋体"/>
          <w:color w:val="auto"/>
          <w:highlight w:val="none"/>
          <w:lang w:val="zh-TW" w:eastAsia="zh-TW"/>
        </w:rPr>
        <w:t>项目</w:t>
      </w:r>
      <w:r>
        <w:rPr>
          <w:rFonts w:hint="eastAsia" w:cs="宋体"/>
          <w:color w:val="auto"/>
          <w:highlight w:val="none"/>
          <w:lang w:val="en-US" w:eastAsia="zh-CN"/>
        </w:rPr>
        <w:t>效益</w:t>
      </w:r>
      <w:r>
        <w:rPr>
          <w:rFonts w:hint="eastAsia" w:ascii="宋体" w:hAnsi="宋体" w:eastAsia="宋体" w:cs="宋体"/>
          <w:color w:val="auto"/>
          <w:highlight w:val="none"/>
          <w:lang w:val="zh-TW" w:eastAsia="zh-TW"/>
        </w:rPr>
        <w:t>类指标由</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val="zh-TW" w:eastAsia="zh-TW"/>
        </w:rPr>
        <w:t>个</w:t>
      </w:r>
      <w:r>
        <w:rPr>
          <w:rFonts w:hint="eastAsia" w:ascii="宋体" w:hAnsi="宋体" w:eastAsia="宋体" w:cs="宋体"/>
          <w:color w:val="auto"/>
          <w:highlight w:val="none"/>
          <w:lang w:val="zh-TW" w:eastAsia="zh-CN"/>
        </w:rPr>
        <w:t>二</w:t>
      </w:r>
      <w:r>
        <w:rPr>
          <w:rFonts w:hint="eastAsia" w:ascii="宋体" w:hAnsi="宋体" w:eastAsia="宋体" w:cs="宋体"/>
          <w:color w:val="auto"/>
          <w:highlight w:val="none"/>
          <w:lang w:val="zh-TW" w:eastAsia="zh-TW"/>
        </w:rPr>
        <w:t>级指标和</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lang w:val="zh-TW" w:eastAsia="zh-TW"/>
        </w:rPr>
        <w:t>个</w:t>
      </w:r>
      <w:r>
        <w:rPr>
          <w:rFonts w:hint="eastAsia" w:ascii="宋体" w:hAnsi="宋体" w:eastAsia="宋体" w:cs="宋体"/>
          <w:color w:val="auto"/>
          <w:highlight w:val="none"/>
          <w:lang w:val="zh-TW" w:eastAsia="zh-CN"/>
        </w:rPr>
        <w:t>三</w:t>
      </w:r>
      <w:r>
        <w:rPr>
          <w:rFonts w:hint="eastAsia" w:ascii="宋体" w:hAnsi="宋体" w:eastAsia="宋体" w:cs="宋体"/>
          <w:color w:val="auto"/>
          <w:highlight w:val="none"/>
          <w:lang w:val="zh-TW" w:eastAsia="zh-TW"/>
        </w:rPr>
        <w:t>级指标构成，权重分</w:t>
      </w:r>
      <w:r>
        <w:rPr>
          <w:rFonts w:hint="eastAsia" w:ascii="宋体" w:hAnsi="宋体" w:eastAsia="宋体" w:cs="宋体"/>
          <w:color w:val="auto"/>
          <w:highlight w:val="none"/>
          <w:lang w:val="en-US" w:eastAsia="zh-CN"/>
        </w:rPr>
        <w:t>30</w:t>
      </w:r>
      <w:r>
        <w:rPr>
          <w:rFonts w:hint="eastAsia" w:ascii="宋体" w:hAnsi="宋体" w:eastAsia="宋体" w:cs="宋体"/>
          <w:color w:val="auto"/>
          <w:highlight w:val="none"/>
          <w:lang w:val="zh-TW" w:eastAsia="zh-TW"/>
        </w:rPr>
        <w:t>分，实际得分</w:t>
      </w:r>
      <w:r>
        <w:rPr>
          <w:rFonts w:hint="eastAsia" w:ascii="宋体" w:hAnsi="宋体" w:eastAsia="宋体" w:cs="宋体"/>
          <w:color w:val="auto"/>
          <w:highlight w:val="none"/>
          <w:lang w:val="en-US" w:eastAsia="zh-CN"/>
        </w:rPr>
        <w:t>30</w:t>
      </w:r>
      <w:r>
        <w:rPr>
          <w:rFonts w:hint="eastAsia" w:ascii="宋体" w:hAnsi="宋体" w:eastAsia="宋体" w:cs="宋体"/>
          <w:color w:val="auto"/>
          <w:highlight w:val="none"/>
          <w:lang w:val="zh-TW" w:eastAsia="zh-TW"/>
        </w:rPr>
        <w:t>分</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zh-TW" w:eastAsia="zh-TW"/>
        </w:rPr>
        <w:t>各指标业绩值和绩效分值如表</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有效提高群众基本生活水平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长期提升健全社会全民健身体系</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持续长期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享受体育健身器材人群满意率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≥98%</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w:t>
      </w:r>
      <w:bookmarkEnd w:id="75"/>
      <w:r>
        <w:rPr>
          <w:rFonts w:hint="eastAsia"/>
          <w:b/>
          <w:bCs/>
          <w:color w:val="auto"/>
          <w:highlight w:val="none"/>
          <w:lang w:val="en-US" w:eastAsia="zh-CN"/>
        </w:rPr>
        <w:t>社会效益指标</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default" w:ascii="宋体" w:hAnsi="宋体" w:eastAsia="宋体" w:cs="宋体"/>
          <w:color w:val="auto"/>
          <w:highlight w:val="none"/>
          <w:lang w:val="en-US" w:eastAsia="zh-CN"/>
        </w:rPr>
        <w:t>有效提高群众基本生活水平</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指标，预期目标值为有效提高，实际完成为100%。</w:t>
      </w:r>
    </w:p>
    <w:p>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w:t>
      </w:r>
      <w:r>
        <w:rPr>
          <w:rFonts w:hint="default" w:ascii="宋体" w:hAnsi="宋体" w:eastAsia="宋体" w:cs="宋体"/>
          <w:color w:val="auto"/>
          <w:kern w:val="0"/>
          <w:sz w:val="20"/>
          <w:szCs w:val="20"/>
          <w:highlight w:val="none"/>
          <w:shd w:val="clear" w:color="auto" w:fill="auto"/>
          <w:lang w:val="en-US" w:eastAsia="zh-CN"/>
        </w:rPr>
        <w:t>有效提高</w:t>
      </w:r>
      <w:r>
        <w:rPr>
          <w:rFonts w:hint="eastAsia" w:ascii="宋体" w:hAnsi="宋体" w:eastAsia="宋体" w:cs="宋体"/>
          <w:color w:val="auto"/>
          <w:kern w:val="0"/>
          <w:sz w:val="20"/>
          <w:szCs w:val="20"/>
          <w:highlight w:val="none"/>
          <w:shd w:val="clear" w:color="auto" w:fill="auto"/>
          <w:lang w:val="en-US" w:eastAsia="zh-CN"/>
        </w:rPr>
        <w:t>了</w:t>
      </w:r>
      <w:r>
        <w:rPr>
          <w:rFonts w:hint="default" w:ascii="宋体" w:hAnsi="宋体" w:eastAsia="宋体" w:cs="宋体"/>
          <w:color w:val="auto"/>
          <w:kern w:val="0"/>
          <w:sz w:val="20"/>
          <w:szCs w:val="20"/>
          <w:highlight w:val="none"/>
          <w:shd w:val="clear" w:color="auto" w:fill="auto"/>
          <w:lang w:val="en-US" w:eastAsia="zh-CN"/>
        </w:rPr>
        <w:t>群众基本生活水平</w:t>
      </w:r>
      <w:r>
        <w:rPr>
          <w:rFonts w:hint="eastAsia"/>
          <w:b w:val="0"/>
          <w:bCs w:val="0"/>
          <w:color w:val="auto"/>
          <w:highlight w:val="none"/>
          <w:lang w:val="en-US" w:eastAsia="zh-CN"/>
        </w:rPr>
        <w:t>。</w:t>
      </w:r>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长期提升健全社会全民健身体系</w:t>
      </w:r>
      <w:r>
        <w:rPr>
          <w:rFonts w:hint="eastAsia" w:ascii="宋体" w:hAnsi="宋体" w:eastAsia="宋体" w:cs="宋体"/>
          <w:color w:val="auto"/>
          <w:highlight w:val="none"/>
          <w:lang w:val="zh-TW" w:eastAsia="zh-CN"/>
        </w:rPr>
        <w:t>”</w:t>
      </w:r>
      <w:r>
        <w:rPr>
          <w:rFonts w:hint="eastAsia" w:ascii="宋体" w:hAnsi="宋体" w:eastAsia="宋体" w:cs="宋体"/>
          <w:color w:val="auto"/>
          <w:highlight w:val="none"/>
          <w:lang w:val="en-US" w:eastAsia="zh-CN"/>
        </w:rPr>
        <w:t>指标，预期目标值为持续长期，实际完成为100%。</w:t>
      </w:r>
    </w:p>
    <w:p>
      <w:pPr>
        <w:bidi w:val="0"/>
        <w:rPr>
          <w:rFonts w:hint="default"/>
          <w:b w:val="0"/>
          <w:bCs w:val="0"/>
          <w:color w:val="auto"/>
          <w:highlight w:val="none"/>
          <w:lang w:val="en-US" w:eastAsia="zh-CN"/>
        </w:rPr>
      </w:pPr>
      <w:r>
        <w:rPr>
          <w:rFonts w:hint="eastAsia" w:ascii="宋体" w:hAnsi="宋体" w:eastAsia="宋体" w:cs="宋体"/>
          <w:color w:val="auto"/>
          <w:highlight w:val="none"/>
          <w:lang w:val="en-US" w:eastAsia="zh-CN"/>
        </w:rPr>
        <w:t>通过项目的实施，持续长期提升健全社会全民健身体系的建设。</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2.满意度指标</w:t>
      </w:r>
      <w:bookmarkEnd w:id="76"/>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“享受体育健身器材人群满意率”指标，预期目标值为≥98%，实际完成为100%。</w:t>
      </w:r>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通过项目的实施，使得享受健身器材人群更加热爱体育活动，持续长期提升健全社会全民健身体系的建设。</w:t>
      </w:r>
    </w:p>
    <w:p>
      <w:pPr>
        <w:bidi w:val="0"/>
        <w:rPr>
          <w:rFonts w:hint="eastAsia"/>
          <w:color w:val="auto"/>
          <w:highlight w:val="none"/>
          <w:lang w:val="en-US" w:eastAsia="zh-CN"/>
        </w:rPr>
      </w:pPr>
      <w:r>
        <w:rPr>
          <w:rFonts w:hint="eastAsia"/>
          <w:b/>
          <w:bCs/>
          <w:color w:val="auto"/>
          <w:highlight w:val="none"/>
          <w:lang w:val="en-US" w:eastAsia="zh-CN"/>
        </w:rPr>
        <w:t>综上，该项指标满5分，得分5分。</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9962"/>
      <w:r>
        <w:rPr>
          <w:rFonts w:hint="eastAsia" w:ascii="宋体" w:hAnsi="宋体" w:eastAsia="宋体" w:cs="宋体"/>
          <w:b/>
          <w:bCs/>
          <w:color w:val="auto"/>
          <w:highlight w:val="none"/>
          <w:shd w:val="clear" w:color="auto" w:fill="auto"/>
          <w:lang w:val="en-US" w:eastAsia="zh-CN"/>
        </w:rPr>
        <w:t>五、预算执行进度与指标偏差</w:t>
      </w:r>
      <w:bookmarkEnd w:id="77"/>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该项目预算资金总额为78.51万元，全年执行数为78.51万元，预算执行率为100%，总体完成率为100</w:t>
      </w:r>
      <w:r>
        <w:rPr>
          <w:rFonts w:hint="eastAsia" w:ascii="宋体" w:hAnsi="宋体" w:eastAsia="宋体" w:cs="宋体"/>
          <w:color w:val="auto"/>
          <w:highlight w:val="none"/>
          <w:lang w:val="zh-TW" w:eastAsia="zh-TW"/>
        </w:rPr>
        <w:t>%。</w:t>
      </w:r>
      <w:r>
        <w:rPr>
          <w:rFonts w:hint="eastAsia" w:ascii="宋体" w:hAnsi="宋体" w:eastAsia="宋体" w:cs="宋体"/>
          <w:color w:val="auto"/>
          <w:highlight w:val="none"/>
          <w:lang w:val="en-US" w:eastAsia="zh-CN"/>
        </w:rPr>
        <w:t>预算执行率与总体完成率之间的偏差为0%，无偏差。</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8"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78"/>
    </w:p>
    <w:p>
      <w:pPr>
        <w:numPr>
          <w:ilvl w:val="0"/>
          <w:numId w:val="0"/>
        </w:numPr>
        <w:bidi w:val="0"/>
        <w:ind w:left="560" w:leftChars="0"/>
        <w:outlineLvl w:val="1"/>
        <w:rPr>
          <w:rFonts w:hint="eastAsia"/>
          <w:b/>
          <w:bCs/>
          <w:color w:val="auto"/>
          <w:highlight w:val="none"/>
          <w:lang w:eastAsia="zh-CN"/>
        </w:rPr>
      </w:pPr>
      <w:bookmarkStart w:id="79" w:name="_Toc13160"/>
      <w:bookmarkStart w:id="80" w:name="_Toc28290"/>
      <w:bookmarkStart w:id="81"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9"/>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中央集中彩票公益金支持体育事业专项资金项目2023年预算数为78.51万元，截至2023年12月31日共支出78.51万元，预算执行率为100%。</w:t>
      </w:r>
    </w:p>
    <w:p>
      <w:pPr>
        <w:bidi w:val="0"/>
        <w:rPr>
          <w:rFonts w:hint="eastAsia"/>
          <w:color w:val="auto"/>
          <w:highlight w:val="none"/>
          <w:lang w:eastAsia="zh-CN"/>
        </w:rPr>
      </w:pPr>
      <w:r>
        <w:rPr>
          <w:rFonts w:hint="eastAsia"/>
          <w:color w:val="auto"/>
          <w:highlight w:val="none"/>
          <w:lang w:val="en-US" w:eastAsia="zh-CN"/>
        </w:rPr>
        <w:t>阜康市文化体育广播电视和旅游局</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阜康市文化体育广播电视和旅游局</w:t>
      </w:r>
      <w:r>
        <w:rPr>
          <w:rFonts w:hint="eastAsia"/>
          <w:color w:val="auto"/>
          <w:highlight w:val="none"/>
          <w:lang w:eastAsia="zh-CN"/>
        </w:rPr>
        <w:t>事业发展中关系民生与稳定的项目，切实优化资源配置，提高了资金使用的效率和效果。</w:t>
      </w:r>
    </w:p>
    <w:bookmarkEnd w:id="80"/>
    <w:bookmarkEnd w:id="81"/>
    <w:p>
      <w:pPr>
        <w:bidi w:val="0"/>
        <w:outlineLvl w:val="1"/>
        <w:rPr>
          <w:rFonts w:hint="eastAsia"/>
          <w:b/>
          <w:bCs/>
          <w:color w:val="auto"/>
          <w:highlight w:val="none"/>
          <w:lang w:eastAsia="zh-CN"/>
        </w:rPr>
      </w:pPr>
      <w:bookmarkStart w:id="82"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2"/>
    </w:p>
    <w:p>
      <w:pPr>
        <w:bidi w:val="0"/>
        <w:rPr>
          <w:rFonts w:hint="eastAsia"/>
          <w:color w:val="auto"/>
          <w:highlight w:val="none"/>
          <w:lang w:val="en-US" w:eastAsia="zh-CN"/>
        </w:rPr>
      </w:pPr>
      <w:bookmarkStart w:id="83" w:name="_Toc5230"/>
      <w:r>
        <w:rPr>
          <w:rFonts w:hint="eastAsia"/>
          <w:color w:val="auto"/>
          <w:highlight w:val="none"/>
          <w:lang w:val="en-US" w:eastAsia="zh-CN"/>
        </w:rPr>
        <w:t>1.单位内控职责不够细化，项目预算的绩效设定与实际的项目支出存在些许差距。原因是单位对内控工作不够重视。</w:t>
      </w:r>
    </w:p>
    <w:p>
      <w:pPr>
        <w:bidi w:val="0"/>
        <w:rPr>
          <w:rFonts w:hint="eastAsia"/>
          <w:color w:val="auto"/>
          <w:highlight w:val="none"/>
          <w:lang w:val="en-US" w:eastAsia="zh-CN"/>
        </w:rPr>
      </w:pPr>
      <w:r>
        <w:rPr>
          <w:rFonts w:hint="eastAsia"/>
          <w:color w:val="auto"/>
          <w:highlight w:val="none"/>
          <w:lang w:val="en-US" w:eastAsia="zh-CN"/>
        </w:rPr>
        <w:t>2.目前财务人员工作量较大，任务繁重。人员交接存在问题，财务人员对此项工作不熟悉，影响工作进度。原因是财务人员能力有待提升。</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3"/>
    </w:p>
    <w:p>
      <w:pPr>
        <w:bidi w:val="0"/>
        <w:rPr>
          <w:rFonts w:hint="eastAsia"/>
          <w:color w:val="auto"/>
          <w:highlight w:val="none"/>
          <w:lang w:val="en-US" w:eastAsia="zh-CN"/>
        </w:rPr>
      </w:pPr>
      <w:bookmarkStart w:id="84" w:name="_Toc15618"/>
      <w:r>
        <w:rPr>
          <w:rFonts w:hint="eastAsia"/>
          <w:color w:val="auto"/>
          <w:highlight w:val="none"/>
          <w:lang w:val="en-US" w:eastAsia="zh-CN"/>
        </w:rPr>
        <w:t>（一）进一步细化单位内控职责，进一步细化预算编制工作，认真做好预算的编制。进一步加强单位内部机构的内控管理机制，严格按照预算编制的相关制度和要求进行预算编制。</w:t>
      </w:r>
    </w:p>
    <w:p>
      <w:pPr>
        <w:bidi w:val="0"/>
        <w:rPr>
          <w:rFonts w:hint="eastAsia"/>
          <w:color w:val="auto"/>
          <w:highlight w:val="none"/>
          <w:lang w:val="en-US" w:eastAsia="zh-CN"/>
        </w:rPr>
      </w:pPr>
      <w:r>
        <w:rPr>
          <w:rFonts w:hint="eastAsia"/>
          <w:color w:val="auto"/>
          <w:highlight w:val="none"/>
          <w:lang w:val="en-US" w:eastAsia="zh-CN"/>
        </w:rPr>
        <w:t>（二）加强财务管理，严格财务审核。加强单位财务管理，健全单位财务管理制度体系，规范单位财务行为。在费用报账支付时，按照预算规定的费用项目和用途进行资金使用审核、列报支付、财务核算，杜绝无预算支出现象的发生。在单位岗位设置上，上级各部门能够真正重视事业单位内部控制制度建设，落实到人。</w:t>
      </w:r>
    </w:p>
    <w:p>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4"/>
    </w:p>
    <w:p>
      <w:pPr>
        <w:bidi w:val="0"/>
        <w:rPr>
          <w:rFonts w:hint="eastAsia" w:ascii="宋体" w:hAnsi="宋体" w:eastAsia="宋体" w:cs="宋体"/>
          <w:color w:val="auto"/>
          <w:highlight w:val="none"/>
          <w:lang w:val="en-US" w:eastAsia="zh-CN"/>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pPr>
        <w:bidi w:val="0"/>
        <w:ind w:left="0" w:leftChars="0" w:firstLine="0" w:firstLineChars="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附件一、项目支出绩效自评表</w:t>
      </w:r>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698"/>
        <w:gridCol w:w="699"/>
        <w:gridCol w:w="915"/>
        <w:gridCol w:w="1268"/>
        <w:gridCol w:w="944"/>
        <w:gridCol w:w="925"/>
        <w:gridCol w:w="1001"/>
        <w:gridCol w:w="868"/>
        <w:gridCol w:w="1001"/>
        <w:gridCol w:w="803"/>
        <w:gridCol w:w="1067"/>
        <w:gridCol w:w="887"/>
        <w:gridCol w:w="1058"/>
        <w:gridCol w:w="20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799"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9" w:hRule="atLeast"/>
        </w:trPr>
        <w:tc>
          <w:tcPr>
            <w:tcW w:w="14174" w:type="dxa"/>
            <w:gridSpan w:val="14"/>
            <w:tcBorders>
              <w:tl2br w:val="nil"/>
              <w:tr2bl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9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777" w:type="dxa"/>
            <w:gridSpan w:val="1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中央集中彩票公益金支持体育事业专项资金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97"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53"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8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85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97" w:type="dxa"/>
            <w:gridSpan w:val="2"/>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8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9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8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94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执行率</w:t>
            </w:r>
          </w:p>
        </w:tc>
        <w:tc>
          <w:tcPr>
            <w:tcW w:w="2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9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78.51 </w:t>
            </w:r>
          </w:p>
        </w:tc>
        <w:tc>
          <w:tcPr>
            <w:tcW w:w="19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78.51 </w:t>
            </w:r>
          </w:p>
        </w:tc>
        <w:tc>
          <w:tcPr>
            <w:tcW w:w="18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78.51 </w:t>
            </w:r>
          </w:p>
        </w:tc>
        <w:tc>
          <w:tcPr>
            <w:tcW w:w="18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94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100.0%</w:t>
            </w:r>
          </w:p>
        </w:tc>
        <w:tc>
          <w:tcPr>
            <w:tcW w:w="2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139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78.51 </w:t>
            </w:r>
          </w:p>
        </w:tc>
        <w:tc>
          <w:tcPr>
            <w:tcW w:w="19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78.51 </w:t>
            </w:r>
          </w:p>
        </w:tc>
        <w:tc>
          <w:tcPr>
            <w:tcW w:w="18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78.51 </w:t>
            </w:r>
          </w:p>
        </w:tc>
        <w:tc>
          <w:tcPr>
            <w:tcW w:w="18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4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397" w:type="dxa"/>
            <w:gridSpan w:val="2"/>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83"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6"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69"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70"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945" w:type="dxa"/>
            <w:gridSpan w:val="2"/>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2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6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21"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85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4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621" w:type="dxa"/>
            <w:gridSpan w:val="8"/>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统筹文化、体育、广播电视和旅游事业，产业振兴发展。确保能够享受配发体育器材使用人数达到5000人及以上，发放体育器材数量达到25套，在阜康市修建400米标准室外滑冰场；全民健身系列赛事1场。2023年计划利用体育彩票公益金给全市乡镇、街道、市区配备和维护体育健身器材，达到市、乡、村三级全民健身网络全覆盖，为阜康市群众健身提供便利。</w:t>
            </w:r>
          </w:p>
        </w:tc>
        <w:tc>
          <w:tcPr>
            <w:tcW w:w="5855" w:type="dxa"/>
            <w:gridSpan w:val="5"/>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截止12月31日，已发放体育器材25套；完成室外滑冰场建设1个；完成全民健身赛事1场。持续长期提升全社会全民健身积极性。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0" w:hRule="atLeast"/>
        </w:trPr>
        <w:tc>
          <w:tcPr>
            <w:tcW w:w="698"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完成率</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2040"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80" w:hRule="atLeast"/>
        </w:trPr>
        <w:tc>
          <w:tcPr>
            <w:tcW w:w="698"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1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配发体育健身器材和享受体育健身器材人数 </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≥5000人</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=5000人</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610000人</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发放体育健身器材和体育健身器材数量</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=25套</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25套</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25套</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8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室外滑冰场建设</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8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全民健身系列赛事</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≥1场</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1场</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8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目标人群覆盖率</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2"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年度配发率</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02"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完成全年发放体育健身器材时间</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直接赋分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完成全年发放体育健身器材及时率</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40"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40"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1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全年发放体育器材</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≤59.97万元</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40" w:type="dxa"/>
            <w:tcBorders>
              <w:tl2br w:val="nil"/>
              <w:tr2bl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39"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冰场建设成本</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≤25万元</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25万元</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39"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15" w:type="dxa"/>
            <w:vMerge w:val="restart"/>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有效提高群众基本生活水平</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39"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15"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长期提升健全社会全民健身体系</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持续长期</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39" w:hRule="atLeast"/>
        </w:trPr>
        <w:tc>
          <w:tcPr>
            <w:tcW w:w="698" w:type="dxa"/>
            <w:vMerge w:val="continue"/>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9"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1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享受体育健身器材人群满意率</w:t>
            </w:r>
          </w:p>
        </w:tc>
        <w:tc>
          <w:tcPr>
            <w:tcW w:w="944"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925"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01"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803"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06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7"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40"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0" w:hRule="atLeast"/>
        </w:trPr>
        <w:tc>
          <w:tcPr>
            <w:tcW w:w="3580" w:type="dxa"/>
            <w:gridSpan w:val="4"/>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44"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25" w:type="dxa"/>
            <w:tcBorders>
              <w:tl2br w:val="nil"/>
              <w:tr2bl w:val="nil"/>
            </w:tcBorders>
            <w:shd w:val="clear" w:color="auto" w:fill="auto"/>
            <w:vAlign w:val="center"/>
          </w:tcPr>
          <w:p>
            <w:pPr>
              <w:rPr>
                <w:rFonts w:hint="eastAsia" w:ascii="宋体" w:hAnsi="宋体" w:eastAsia="宋体" w:cs="宋体"/>
                <w:b/>
                <w:bCs/>
                <w:i w:val="0"/>
                <w:iCs w:val="0"/>
                <w:color w:val="000000"/>
                <w:sz w:val="20"/>
                <w:szCs w:val="20"/>
                <w:u w:val="none"/>
              </w:rPr>
            </w:pPr>
          </w:p>
        </w:tc>
        <w:tc>
          <w:tcPr>
            <w:tcW w:w="100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6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001" w:type="dxa"/>
            <w:tcBorders>
              <w:tl2br w:val="nil"/>
              <w:tr2bl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03"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1067"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c>
          <w:tcPr>
            <w:tcW w:w="887" w:type="dxa"/>
            <w:tcBorders>
              <w:tl2br w:val="nil"/>
              <w:tr2bl w:val="nil"/>
            </w:tcBorders>
            <w:shd w:val="clear" w:color="auto" w:fill="auto"/>
            <w:vAlign w:val="center"/>
          </w:tcPr>
          <w:p/>
        </w:tc>
        <w:tc>
          <w:tcPr>
            <w:tcW w:w="1058" w:type="dxa"/>
            <w:tcBorders>
              <w:tl2br w:val="nil"/>
              <w:tr2bl w:val="nil"/>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040" w:type="dxa"/>
            <w:tcBorders>
              <w:tl2br w:val="nil"/>
              <w:tr2bl w:val="nil"/>
            </w:tcBorders>
            <w:shd w:val="clear" w:color="auto" w:fill="auto"/>
            <w:vAlign w:val="center"/>
          </w:tcPr>
          <w:p>
            <w:pPr>
              <w:rPr>
                <w:rFonts w:hint="eastAsia" w:ascii="宋体" w:hAnsi="宋体" w:eastAsia="宋体" w:cs="宋体"/>
                <w:i w:val="0"/>
                <w:iCs w:val="0"/>
                <w:color w:val="000000"/>
                <w:sz w:val="20"/>
                <w:szCs w:val="20"/>
                <w:u w:val="none"/>
              </w:rPr>
            </w:pPr>
          </w:p>
        </w:tc>
      </w:tr>
    </w:tbl>
    <w:p>
      <w:pPr>
        <w:bidi w:val="0"/>
        <w:ind w:left="0" w:leftChars="0" w:firstLine="0" w:firstLineChars="0"/>
        <w:rPr>
          <w:color w:val="auto"/>
          <w:highlight w:val="none"/>
        </w:rPr>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start="1"/>
          <w:cols w:space="0" w:num="1"/>
          <w:rtlGutter w:val="0"/>
          <w:docGrid w:type="lines" w:linePitch="415" w:charSpace="0"/>
        </w:sectPr>
      </w:pPr>
    </w:p>
    <w:p>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5"/>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17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数量指标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配发体育健身器材和享受体育健身器材人数 </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b/>
                <w:bCs/>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发放体育健身器材和体育健身器材数量</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室外滑冰场建设</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全民健身系列赛事</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质量指标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目标人群覆盖率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18"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年度配发率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时效指标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完成全年发放体育健身器材时间</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cs="宋体"/>
                <w:color w:val="auto"/>
                <w:kern w:val="0"/>
                <w:sz w:val="22"/>
                <w:szCs w:val="22"/>
                <w:highlight w:val="none"/>
                <w:lang w:eastAsia="zh-CN"/>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完成全年发放体育健身器材及时率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全年发放体育器材</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370"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冰场建设成本</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有效提高群众基本生活水平</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长期提升健全社会全民健身体系</w:t>
            </w:r>
          </w:p>
        </w:tc>
        <w:tc>
          <w:tcPr>
            <w:tcW w:w="214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享受体育健身器材人群满意率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3" w:right="1440" w:bottom="1803" w:left="1440" w:header="737" w:footer="850" w:gutter="0"/>
      <w:pgBorders>
        <w:top w:val="none" w:sz="0" w:space="0"/>
        <w:left w:val="none" w:sz="0" w:space="0"/>
        <w:bottom w:val="none" w:sz="0" w:space="0"/>
        <w:right w:val="none" w:sz="0" w:space="0"/>
      </w:pgBorders>
      <w:pgNumType w:fmt="decimal"/>
      <w:cols w:space="0" w:num="1"/>
      <w:rtlGutter w:val="0"/>
      <w:docGrid w:type="lines" w:linePitch="4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AFA2C6EB"/>
    <w:multiLevelType w:val="singleLevel"/>
    <w:tmpl w:val="AFA2C6EB"/>
    <w:lvl w:ilvl="0" w:tentative="0">
      <w:start w:val="2"/>
      <w:numFmt w:val="decimal"/>
      <w:suff w:val="nothing"/>
      <w:lvlText w:val="（%1）"/>
      <w:lvlJc w:val="left"/>
    </w:lvl>
  </w:abstractNum>
  <w:abstractNum w:abstractNumId="2">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3C468C"/>
    <w:rsid w:val="007D6A04"/>
    <w:rsid w:val="00E23C81"/>
    <w:rsid w:val="01253350"/>
    <w:rsid w:val="01282E62"/>
    <w:rsid w:val="014029CF"/>
    <w:rsid w:val="01470C4C"/>
    <w:rsid w:val="014A4B87"/>
    <w:rsid w:val="018F4C90"/>
    <w:rsid w:val="019422A6"/>
    <w:rsid w:val="02200440"/>
    <w:rsid w:val="02284B43"/>
    <w:rsid w:val="02A97FD3"/>
    <w:rsid w:val="02B015E2"/>
    <w:rsid w:val="02DC08FA"/>
    <w:rsid w:val="02F15B96"/>
    <w:rsid w:val="02F76F90"/>
    <w:rsid w:val="03253AFD"/>
    <w:rsid w:val="033B569D"/>
    <w:rsid w:val="036C60B3"/>
    <w:rsid w:val="03815D28"/>
    <w:rsid w:val="039C3BA0"/>
    <w:rsid w:val="03A845BB"/>
    <w:rsid w:val="03B45AD1"/>
    <w:rsid w:val="03B66504"/>
    <w:rsid w:val="03F51722"/>
    <w:rsid w:val="04937D1C"/>
    <w:rsid w:val="04D12EE4"/>
    <w:rsid w:val="04D63993"/>
    <w:rsid w:val="04F512AE"/>
    <w:rsid w:val="04FD6E2C"/>
    <w:rsid w:val="05047743"/>
    <w:rsid w:val="05074C50"/>
    <w:rsid w:val="051A0D14"/>
    <w:rsid w:val="054F51B4"/>
    <w:rsid w:val="05614B95"/>
    <w:rsid w:val="06112117"/>
    <w:rsid w:val="068C5662"/>
    <w:rsid w:val="06E15F0E"/>
    <w:rsid w:val="070F6640"/>
    <w:rsid w:val="07397047"/>
    <w:rsid w:val="075E75DE"/>
    <w:rsid w:val="076A6F4E"/>
    <w:rsid w:val="07890F4F"/>
    <w:rsid w:val="07AD2313"/>
    <w:rsid w:val="07ED4A91"/>
    <w:rsid w:val="08892439"/>
    <w:rsid w:val="08EB30F3"/>
    <w:rsid w:val="090D12BC"/>
    <w:rsid w:val="09237408"/>
    <w:rsid w:val="09781BD6"/>
    <w:rsid w:val="09A339CE"/>
    <w:rsid w:val="09D75426"/>
    <w:rsid w:val="09F359DF"/>
    <w:rsid w:val="0A24026C"/>
    <w:rsid w:val="0A2763AD"/>
    <w:rsid w:val="0A575E65"/>
    <w:rsid w:val="0AC97464"/>
    <w:rsid w:val="0ACA0AB6"/>
    <w:rsid w:val="0B077B5B"/>
    <w:rsid w:val="0B090B59"/>
    <w:rsid w:val="0B4A50B1"/>
    <w:rsid w:val="0B81389B"/>
    <w:rsid w:val="0C032502"/>
    <w:rsid w:val="0C27698C"/>
    <w:rsid w:val="0C580AA0"/>
    <w:rsid w:val="0C6E02C3"/>
    <w:rsid w:val="0D026150"/>
    <w:rsid w:val="0D4452F3"/>
    <w:rsid w:val="0D577DD8"/>
    <w:rsid w:val="0D731909"/>
    <w:rsid w:val="0D945077"/>
    <w:rsid w:val="0E7D2A40"/>
    <w:rsid w:val="0F5E5042"/>
    <w:rsid w:val="0F96482E"/>
    <w:rsid w:val="0F9F0794"/>
    <w:rsid w:val="0FE95707"/>
    <w:rsid w:val="10510571"/>
    <w:rsid w:val="10787A20"/>
    <w:rsid w:val="108672DE"/>
    <w:rsid w:val="10C06C14"/>
    <w:rsid w:val="10EC685A"/>
    <w:rsid w:val="11C97D4A"/>
    <w:rsid w:val="11FA6155"/>
    <w:rsid w:val="121D7D7D"/>
    <w:rsid w:val="12430420"/>
    <w:rsid w:val="1281451F"/>
    <w:rsid w:val="12CF0947"/>
    <w:rsid w:val="12EC33C5"/>
    <w:rsid w:val="12F1313F"/>
    <w:rsid w:val="13107A5B"/>
    <w:rsid w:val="13637D2A"/>
    <w:rsid w:val="136C678E"/>
    <w:rsid w:val="139C4AD2"/>
    <w:rsid w:val="13CD35AF"/>
    <w:rsid w:val="13EB2FF5"/>
    <w:rsid w:val="15A46B04"/>
    <w:rsid w:val="165825BC"/>
    <w:rsid w:val="16BC5D73"/>
    <w:rsid w:val="16E625A6"/>
    <w:rsid w:val="17426FCC"/>
    <w:rsid w:val="176F36D7"/>
    <w:rsid w:val="1795226D"/>
    <w:rsid w:val="17F84F99"/>
    <w:rsid w:val="18456B1E"/>
    <w:rsid w:val="1934789C"/>
    <w:rsid w:val="19CC6522"/>
    <w:rsid w:val="19E61424"/>
    <w:rsid w:val="1A3F329F"/>
    <w:rsid w:val="1AE37688"/>
    <w:rsid w:val="1B1464DA"/>
    <w:rsid w:val="1B7927E1"/>
    <w:rsid w:val="1BDD2D6F"/>
    <w:rsid w:val="1C1171C5"/>
    <w:rsid w:val="1CCC71CF"/>
    <w:rsid w:val="1D04432C"/>
    <w:rsid w:val="1D0E51AB"/>
    <w:rsid w:val="1D265138"/>
    <w:rsid w:val="1D7B6BCA"/>
    <w:rsid w:val="1D7C3EC2"/>
    <w:rsid w:val="1D7D70E5"/>
    <w:rsid w:val="1DA0076B"/>
    <w:rsid w:val="1DA41A79"/>
    <w:rsid w:val="1DF53469"/>
    <w:rsid w:val="1E1E4F79"/>
    <w:rsid w:val="1E2F24F2"/>
    <w:rsid w:val="1E58492F"/>
    <w:rsid w:val="1E5B6757"/>
    <w:rsid w:val="1EA33966"/>
    <w:rsid w:val="1ED10AC6"/>
    <w:rsid w:val="1EFA173C"/>
    <w:rsid w:val="1F4D6FE8"/>
    <w:rsid w:val="1F89225F"/>
    <w:rsid w:val="1F900A1F"/>
    <w:rsid w:val="1FC0575D"/>
    <w:rsid w:val="201047DB"/>
    <w:rsid w:val="20210D51"/>
    <w:rsid w:val="203D26AB"/>
    <w:rsid w:val="204B177C"/>
    <w:rsid w:val="206132C7"/>
    <w:rsid w:val="208153EF"/>
    <w:rsid w:val="210963B5"/>
    <w:rsid w:val="2186090F"/>
    <w:rsid w:val="21B00C1D"/>
    <w:rsid w:val="22A20349"/>
    <w:rsid w:val="22AF6F3A"/>
    <w:rsid w:val="22B21178"/>
    <w:rsid w:val="23031BEB"/>
    <w:rsid w:val="234D300A"/>
    <w:rsid w:val="23601CC6"/>
    <w:rsid w:val="237C6608"/>
    <w:rsid w:val="23917691"/>
    <w:rsid w:val="239A1546"/>
    <w:rsid w:val="244D65B8"/>
    <w:rsid w:val="245E1E24"/>
    <w:rsid w:val="249469B6"/>
    <w:rsid w:val="24A5067B"/>
    <w:rsid w:val="24CA7C09"/>
    <w:rsid w:val="24D942F0"/>
    <w:rsid w:val="25010A51"/>
    <w:rsid w:val="255E0351"/>
    <w:rsid w:val="25AD5E5D"/>
    <w:rsid w:val="26045F78"/>
    <w:rsid w:val="26F03369"/>
    <w:rsid w:val="2714160F"/>
    <w:rsid w:val="2732478D"/>
    <w:rsid w:val="27433CA3"/>
    <w:rsid w:val="27661469"/>
    <w:rsid w:val="27900EAD"/>
    <w:rsid w:val="279938C3"/>
    <w:rsid w:val="279B538A"/>
    <w:rsid w:val="286F545C"/>
    <w:rsid w:val="28724840"/>
    <w:rsid w:val="28BA1D43"/>
    <w:rsid w:val="28ED2118"/>
    <w:rsid w:val="29314FBC"/>
    <w:rsid w:val="299B6018"/>
    <w:rsid w:val="29B669AE"/>
    <w:rsid w:val="2A392E8B"/>
    <w:rsid w:val="2A4A665B"/>
    <w:rsid w:val="2A843359"/>
    <w:rsid w:val="2AD6555A"/>
    <w:rsid w:val="2B1A01E5"/>
    <w:rsid w:val="2B724B56"/>
    <w:rsid w:val="2B7D53C5"/>
    <w:rsid w:val="2B844FB6"/>
    <w:rsid w:val="2BAD2E92"/>
    <w:rsid w:val="2C024B86"/>
    <w:rsid w:val="2C29452E"/>
    <w:rsid w:val="2C927671"/>
    <w:rsid w:val="2C994A91"/>
    <w:rsid w:val="2CDB05E3"/>
    <w:rsid w:val="2D5D4E48"/>
    <w:rsid w:val="2D6055AE"/>
    <w:rsid w:val="2D7C5CD6"/>
    <w:rsid w:val="2E0306E6"/>
    <w:rsid w:val="2E483E7E"/>
    <w:rsid w:val="2E690493"/>
    <w:rsid w:val="2E8E2CF1"/>
    <w:rsid w:val="2E9854BD"/>
    <w:rsid w:val="2EED4C20"/>
    <w:rsid w:val="2EF44200"/>
    <w:rsid w:val="2F0D407F"/>
    <w:rsid w:val="2F454B19"/>
    <w:rsid w:val="2F7E3ACA"/>
    <w:rsid w:val="2F994880"/>
    <w:rsid w:val="2FC72F82"/>
    <w:rsid w:val="2FDB716E"/>
    <w:rsid w:val="302A4165"/>
    <w:rsid w:val="30633EC9"/>
    <w:rsid w:val="30923039"/>
    <w:rsid w:val="310224D9"/>
    <w:rsid w:val="31141A56"/>
    <w:rsid w:val="315F16D9"/>
    <w:rsid w:val="31B4621C"/>
    <w:rsid w:val="31E3230A"/>
    <w:rsid w:val="327F64D7"/>
    <w:rsid w:val="32AC3044"/>
    <w:rsid w:val="330957E0"/>
    <w:rsid w:val="33356F64"/>
    <w:rsid w:val="33944516"/>
    <w:rsid w:val="34045181"/>
    <w:rsid w:val="344F012B"/>
    <w:rsid w:val="34806536"/>
    <w:rsid w:val="34AC5B95"/>
    <w:rsid w:val="34B62907"/>
    <w:rsid w:val="34F845E3"/>
    <w:rsid w:val="35973B37"/>
    <w:rsid w:val="35A12B28"/>
    <w:rsid w:val="360920AB"/>
    <w:rsid w:val="36201231"/>
    <w:rsid w:val="36360FC4"/>
    <w:rsid w:val="36A03084"/>
    <w:rsid w:val="36BD137C"/>
    <w:rsid w:val="383E64EC"/>
    <w:rsid w:val="385D37E7"/>
    <w:rsid w:val="38782EDD"/>
    <w:rsid w:val="398D772B"/>
    <w:rsid w:val="39A1068A"/>
    <w:rsid w:val="3A822A09"/>
    <w:rsid w:val="3AC21656"/>
    <w:rsid w:val="3AF85078"/>
    <w:rsid w:val="3B42664A"/>
    <w:rsid w:val="3B4E6A46"/>
    <w:rsid w:val="3B844B5E"/>
    <w:rsid w:val="3BA2345E"/>
    <w:rsid w:val="3BFA4E20"/>
    <w:rsid w:val="3C591297"/>
    <w:rsid w:val="3C5C6491"/>
    <w:rsid w:val="3CF54FBC"/>
    <w:rsid w:val="3D3D7B05"/>
    <w:rsid w:val="3D40058F"/>
    <w:rsid w:val="3D4A7070"/>
    <w:rsid w:val="3D836A4E"/>
    <w:rsid w:val="3E1E6326"/>
    <w:rsid w:val="3E500D27"/>
    <w:rsid w:val="3E5500EC"/>
    <w:rsid w:val="3E5F3D73"/>
    <w:rsid w:val="3E66679D"/>
    <w:rsid w:val="3EA37E97"/>
    <w:rsid w:val="3EEB0A50"/>
    <w:rsid w:val="3FB13A48"/>
    <w:rsid w:val="3FBE0BC5"/>
    <w:rsid w:val="4048103A"/>
    <w:rsid w:val="40673039"/>
    <w:rsid w:val="406C796F"/>
    <w:rsid w:val="40721429"/>
    <w:rsid w:val="40736643"/>
    <w:rsid w:val="40740DC7"/>
    <w:rsid w:val="40B51316"/>
    <w:rsid w:val="40C65577"/>
    <w:rsid w:val="40D24A7A"/>
    <w:rsid w:val="414F4B32"/>
    <w:rsid w:val="41BB6E00"/>
    <w:rsid w:val="42621029"/>
    <w:rsid w:val="42887570"/>
    <w:rsid w:val="43382285"/>
    <w:rsid w:val="435241E2"/>
    <w:rsid w:val="43975C51"/>
    <w:rsid w:val="439E3FA7"/>
    <w:rsid w:val="43C07EA3"/>
    <w:rsid w:val="44B32266"/>
    <w:rsid w:val="44CA4D74"/>
    <w:rsid w:val="44CC1616"/>
    <w:rsid w:val="44FC64F4"/>
    <w:rsid w:val="44FF34A7"/>
    <w:rsid w:val="45036AF3"/>
    <w:rsid w:val="453A628D"/>
    <w:rsid w:val="454B049A"/>
    <w:rsid w:val="45DC10F2"/>
    <w:rsid w:val="467F4585"/>
    <w:rsid w:val="46FC7C9E"/>
    <w:rsid w:val="470628CB"/>
    <w:rsid w:val="473F5E35"/>
    <w:rsid w:val="47462CC7"/>
    <w:rsid w:val="47555BD4"/>
    <w:rsid w:val="47AB6FCE"/>
    <w:rsid w:val="47E96399"/>
    <w:rsid w:val="47EB31BE"/>
    <w:rsid w:val="483461A1"/>
    <w:rsid w:val="48425B85"/>
    <w:rsid w:val="48477F32"/>
    <w:rsid w:val="48650457"/>
    <w:rsid w:val="48E12B50"/>
    <w:rsid w:val="48F82DD3"/>
    <w:rsid w:val="493C7B61"/>
    <w:rsid w:val="49627B61"/>
    <w:rsid w:val="499441BE"/>
    <w:rsid w:val="49960C5F"/>
    <w:rsid w:val="499A6C1C"/>
    <w:rsid w:val="49BF4FB3"/>
    <w:rsid w:val="4A2138F0"/>
    <w:rsid w:val="4A583887"/>
    <w:rsid w:val="4A5F2825"/>
    <w:rsid w:val="4A8D5B79"/>
    <w:rsid w:val="4A9401EE"/>
    <w:rsid w:val="4A9B77CE"/>
    <w:rsid w:val="4AE03433"/>
    <w:rsid w:val="4AED633F"/>
    <w:rsid w:val="4B051762"/>
    <w:rsid w:val="4B1A5C84"/>
    <w:rsid w:val="4B2C6678"/>
    <w:rsid w:val="4B780BE5"/>
    <w:rsid w:val="4B83098E"/>
    <w:rsid w:val="4B9F6E02"/>
    <w:rsid w:val="4C8340B0"/>
    <w:rsid w:val="4C89637B"/>
    <w:rsid w:val="4CC2242B"/>
    <w:rsid w:val="4CEF795D"/>
    <w:rsid w:val="4DD83605"/>
    <w:rsid w:val="4E65727A"/>
    <w:rsid w:val="4E6E48A8"/>
    <w:rsid w:val="4EEC036B"/>
    <w:rsid w:val="4F1F277C"/>
    <w:rsid w:val="4FB530E0"/>
    <w:rsid w:val="501D2673"/>
    <w:rsid w:val="50487AB0"/>
    <w:rsid w:val="50BA78FA"/>
    <w:rsid w:val="50C80BF1"/>
    <w:rsid w:val="51384974"/>
    <w:rsid w:val="51450494"/>
    <w:rsid w:val="5164091A"/>
    <w:rsid w:val="51852833"/>
    <w:rsid w:val="51C4760A"/>
    <w:rsid w:val="51EA5FD3"/>
    <w:rsid w:val="524D7979"/>
    <w:rsid w:val="52746BF9"/>
    <w:rsid w:val="529E42FF"/>
    <w:rsid w:val="52D90E94"/>
    <w:rsid w:val="52F11AC8"/>
    <w:rsid w:val="534F49D9"/>
    <w:rsid w:val="53555F0F"/>
    <w:rsid w:val="535D23D5"/>
    <w:rsid w:val="53B13BBE"/>
    <w:rsid w:val="540957A8"/>
    <w:rsid w:val="556E743D"/>
    <w:rsid w:val="55BC2E74"/>
    <w:rsid w:val="55F52488"/>
    <w:rsid w:val="56D93B58"/>
    <w:rsid w:val="56F4341A"/>
    <w:rsid w:val="575A7321"/>
    <w:rsid w:val="57A35F14"/>
    <w:rsid w:val="580C3AB9"/>
    <w:rsid w:val="583C7AE0"/>
    <w:rsid w:val="58467135"/>
    <w:rsid w:val="5865141B"/>
    <w:rsid w:val="586C1E9A"/>
    <w:rsid w:val="586E0800"/>
    <w:rsid w:val="587F306B"/>
    <w:rsid w:val="589C6084"/>
    <w:rsid w:val="58AD6822"/>
    <w:rsid w:val="58C61035"/>
    <w:rsid w:val="58FE432C"/>
    <w:rsid w:val="59216F96"/>
    <w:rsid w:val="598C4145"/>
    <w:rsid w:val="59957D1B"/>
    <w:rsid w:val="59C3464B"/>
    <w:rsid w:val="59C9614B"/>
    <w:rsid w:val="59D4294E"/>
    <w:rsid w:val="5ADB2ADA"/>
    <w:rsid w:val="5B634312"/>
    <w:rsid w:val="5B9D2CCD"/>
    <w:rsid w:val="5B9E71EA"/>
    <w:rsid w:val="5BB81440"/>
    <w:rsid w:val="5D923EF9"/>
    <w:rsid w:val="5DCA5FA9"/>
    <w:rsid w:val="5DEF1EB3"/>
    <w:rsid w:val="5E226FBC"/>
    <w:rsid w:val="5E3B505F"/>
    <w:rsid w:val="5E774B6A"/>
    <w:rsid w:val="5E8527A1"/>
    <w:rsid w:val="5FE72BD2"/>
    <w:rsid w:val="60120613"/>
    <w:rsid w:val="6048773A"/>
    <w:rsid w:val="606C0E8A"/>
    <w:rsid w:val="607725DF"/>
    <w:rsid w:val="618D5292"/>
    <w:rsid w:val="61FB6701"/>
    <w:rsid w:val="622E78FA"/>
    <w:rsid w:val="62586279"/>
    <w:rsid w:val="628C07DC"/>
    <w:rsid w:val="62B86C57"/>
    <w:rsid w:val="63343F70"/>
    <w:rsid w:val="63AF5290"/>
    <w:rsid w:val="64296E1C"/>
    <w:rsid w:val="64754794"/>
    <w:rsid w:val="649E64A2"/>
    <w:rsid w:val="64EA33D4"/>
    <w:rsid w:val="64F35AB8"/>
    <w:rsid w:val="650C50F9"/>
    <w:rsid w:val="653271B1"/>
    <w:rsid w:val="65336B06"/>
    <w:rsid w:val="654E3963"/>
    <w:rsid w:val="655F005C"/>
    <w:rsid w:val="65D50976"/>
    <w:rsid w:val="65E5270A"/>
    <w:rsid w:val="65ED4F2A"/>
    <w:rsid w:val="66155C4E"/>
    <w:rsid w:val="663D3C54"/>
    <w:rsid w:val="666E4B3D"/>
    <w:rsid w:val="66862C89"/>
    <w:rsid w:val="66BB486D"/>
    <w:rsid w:val="672030DD"/>
    <w:rsid w:val="67394C7D"/>
    <w:rsid w:val="67421A01"/>
    <w:rsid w:val="67AD7D06"/>
    <w:rsid w:val="67E22141"/>
    <w:rsid w:val="67FE132C"/>
    <w:rsid w:val="68126B38"/>
    <w:rsid w:val="68291A1A"/>
    <w:rsid w:val="682F23A6"/>
    <w:rsid w:val="68352BB8"/>
    <w:rsid w:val="683C4023"/>
    <w:rsid w:val="68CC52CB"/>
    <w:rsid w:val="691B1594"/>
    <w:rsid w:val="693A016B"/>
    <w:rsid w:val="6A17429C"/>
    <w:rsid w:val="6A2E10AD"/>
    <w:rsid w:val="6A567EA3"/>
    <w:rsid w:val="6B0A032C"/>
    <w:rsid w:val="6B4B4368"/>
    <w:rsid w:val="6B7134AC"/>
    <w:rsid w:val="6B79100E"/>
    <w:rsid w:val="6BBC779D"/>
    <w:rsid w:val="6BF31CBD"/>
    <w:rsid w:val="6C0A7EB8"/>
    <w:rsid w:val="6C4A62AF"/>
    <w:rsid w:val="6C5E41AC"/>
    <w:rsid w:val="6C844C00"/>
    <w:rsid w:val="6CCC3D44"/>
    <w:rsid w:val="6DCF760B"/>
    <w:rsid w:val="6DD10C8D"/>
    <w:rsid w:val="6E10212C"/>
    <w:rsid w:val="6E43561A"/>
    <w:rsid w:val="6E4753F3"/>
    <w:rsid w:val="6E557973"/>
    <w:rsid w:val="6E8E3284"/>
    <w:rsid w:val="6E9568DB"/>
    <w:rsid w:val="6EDF4C0E"/>
    <w:rsid w:val="6F0D6C22"/>
    <w:rsid w:val="6F47657F"/>
    <w:rsid w:val="6F527ABC"/>
    <w:rsid w:val="6F6F075E"/>
    <w:rsid w:val="6F8B1310"/>
    <w:rsid w:val="6FAF23D9"/>
    <w:rsid w:val="6FC50CC6"/>
    <w:rsid w:val="703F2DEC"/>
    <w:rsid w:val="70635CF6"/>
    <w:rsid w:val="70670707"/>
    <w:rsid w:val="70DF36C1"/>
    <w:rsid w:val="70F62380"/>
    <w:rsid w:val="720E3691"/>
    <w:rsid w:val="724E244C"/>
    <w:rsid w:val="72B55021"/>
    <w:rsid w:val="72DA6946"/>
    <w:rsid w:val="72EB27F1"/>
    <w:rsid w:val="7315786E"/>
    <w:rsid w:val="732764B3"/>
    <w:rsid w:val="735D7B5C"/>
    <w:rsid w:val="73922C6D"/>
    <w:rsid w:val="73AC0A07"/>
    <w:rsid w:val="74026044"/>
    <w:rsid w:val="7445400C"/>
    <w:rsid w:val="74746410"/>
    <w:rsid w:val="74D472B5"/>
    <w:rsid w:val="750A4C67"/>
    <w:rsid w:val="751C1388"/>
    <w:rsid w:val="75260FAA"/>
    <w:rsid w:val="75DE663D"/>
    <w:rsid w:val="75E5007C"/>
    <w:rsid w:val="766111ED"/>
    <w:rsid w:val="76BA50D3"/>
    <w:rsid w:val="76CD3BEB"/>
    <w:rsid w:val="76CE0460"/>
    <w:rsid w:val="77057BFA"/>
    <w:rsid w:val="772F6AD6"/>
    <w:rsid w:val="77336515"/>
    <w:rsid w:val="77813724"/>
    <w:rsid w:val="77861774"/>
    <w:rsid w:val="77B55A79"/>
    <w:rsid w:val="7859644F"/>
    <w:rsid w:val="78F31435"/>
    <w:rsid w:val="79244E84"/>
    <w:rsid w:val="79300B45"/>
    <w:rsid w:val="79402F29"/>
    <w:rsid w:val="794D3E18"/>
    <w:rsid w:val="79F3729A"/>
    <w:rsid w:val="7A880722"/>
    <w:rsid w:val="7ABD0F17"/>
    <w:rsid w:val="7ACB0498"/>
    <w:rsid w:val="7AED0B4D"/>
    <w:rsid w:val="7B2E501F"/>
    <w:rsid w:val="7B592B59"/>
    <w:rsid w:val="7BAC4AE8"/>
    <w:rsid w:val="7BFD5343"/>
    <w:rsid w:val="7C1E4487"/>
    <w:rsid w:val="7C215E02"/>
    <w:rsid w:val="7C4411C4"/>
    <w:rsid w:val="7C5A2DA8"/>
    <w:rsid w:val="7C885555"/>
    <w:rsid w:val="7CF23764"/>
    <w:rsid w:val="7D70288E"/>
    <w:rsid w:val="7DF05160"/>
    <w:rsid w:val="7E0636DE"/>
    <w:rsid w:val="7E2117BD"/>
    <w:rsid w:val="7E797F74"/>
    <w:rsid w:val="7EB42631"/>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14389</Words>
  <Characters>15159</Characters>
  <Lines>0</Lines>
  <Paragraphs>0</Paragraphs>
  <TotalTime>1</TotalTime>
  <ScaleCrop>false</ScaleCrop>
  <LinksUpToDate>false</LinksUpToDate>
  <CharactersWithSpaces>15253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2024-10-15T11:24:25Z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52A8D79E07F44BF2A742BC366FD4E8AF_13</vt:lpwstr>
  </property>
</Properties>
</file>