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水磨沟乡</w:t>
      </w:r>
      <w:r>
        <w:rPr>
          <w:rFonts w:hint="eastAsia" w:ascii="宋体" w:hAnsi="宋体" w:eastAsia="宋体" w:cs="宋体"/>
          <w:b/>
          <w:color w:val="auto"/>
          <w:kern w:val="2"/>
          <w:sz w:val="28"/>
          <w:szCs w:val="28"/>
          <w:highlight w:val="none"/>
          <w:shd w:val="clear" w:color="auto" w:fill="auto"/>
          <w:lang w:val="en-US" w:eastAsia="zh-CN"/>
        </w:rPr>
        <w:t>中心幼儿园</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ind w:firstLine="560" w:firstLineChars="200"/>
        <w:rPr>
          <w:rFonts w:hint="eastAsia"/>
          <w:color w:val="auto"/>
          <w:highlight w:val="none"/>
          <w:lang w:val="en-US" w:eastAsia="zh-CN"/>
        </w:rPr>
      </w:pPr>
      <w:r>
        <w:rPr>
          <w:rFonts w:hint="eastAsia" w:cs="宋体"/>
          <w:color w:val="auto"/>
          <w:highlight w:val="none"/>
          <w:shd w:val="clear" w:color="auto" w:fill="auto"/>
          <w:lang w:val="en-US" w:eastAsia="zh-CN"/>
        </w:rPr>
        <w:t>为了能够更好地为幼儿提供</w:t>
      </w:r>
      <w:r>
        <w:rPr>
          <w:rFonts w:hint="eastAsia"/>
          <w:color w:val="auto"/>
          <w:highlight w:val="none"/>
          <w:lang w:val="en-US" w:eastAsia="zh-CN"/>
        </w:rPr>
        <w:t>保育与教育，落实好学前三年教育目</w:t>
      </w:r>
    </w:p>
    <w:p>
      <w:pPr>
        <w:ind w:left="0" w:leftChars="0" w:firstLine="0" w:firstLineChars="0"/>
        <w:rPr>
          <w:rFonts w:hint="eastAsia"/>
          <w:color w:val="auto"/>
          <w:highlight w:val="none"/>
          <w:lang w:val="en-US" w:eastAsia="zh-CN"/>
        </w:rPr>
      </w:pPr>
      <w:r>
        <w:rPr>
          <w:rFonts w:hint="eastAsia"/>
          <w:color w:val="auto"/>
          <w:highlight w:val="none"/>
          <w:lang w:val="en-US" w:eastAsia="zh-CN"/>
        </w:rPr>
        <w:t>标，改善幼儿园的办学条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本项目主要内容为维护幼儿园教育教学工作和幼儿园日常运转所需的水费、电费、办公用品采购，卫生用品采购等物品的购置和设施设备的维修等。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王荣</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何风娴</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项目负责人为腊红静,</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俞晴、高水利、马翠</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王荣</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俞晴</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马翠</w:t>
      </w:r>
      <w:r>
        <w:rPr>
          <w:rFonts w:hint="eastAsia" w:ascii="宋体" w:hAnsi="宋体" w:eastAsia="宋体" w:cs="宋体"/>
          <w:color w:val="auto"/>
          <w:highlight w:val="none"/>
          <w:shd w:val="clear" w:color="auto" w:fill="auto"/>
          <w:lang w:val="en-US" w:eastAsia="zh-CN"/>
        </w:rPr>
        <w:t>负责资金拨付工作。</w:t>
      </w:r>
    </w:p>
    <w:p>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44</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金44</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44</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44</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幼儿园日常运转及办公所需的水电费、电话费、办公用品和卫生用品购置及设施设备维修等方面。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400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≥400人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w:t>
      </w:r>
      <w:r>
        <w:rPr>
          <w:rFonts w:hint="eastAsia" w:cs="宋体"/>
          <w:color w:val="auto"/>
          <w:highlight w:val="none"/>
          <w:shd w:val="clear" w:color="auto" w:fill="auto"/>
          <w:lang w:eastAsia="zh-CN"/>
        </w:rPr>
        <w:t>成本</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840" w:firstLineChars="3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经济</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保障教育教学活动开展的办公费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≦41万元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olor w:val="auto"/>
          <w:highlight w:val="none"/>
          <w:lang w:val="en-US" w:eastAsia="zh-CN"/>
        </w:rPr>
        <w:t>保障教育教学活动开展的维护费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≦3万元</w:t>
      </w:r>
    </w:p>
    <w:p>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ind w:firstLine="840" w:firstLineChars="3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项目满意度指标</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ind w:firstLine="840" w:firstLineChars="300"/>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满意度指标。</w:t>
      </w:r>
    </w:p>
    <w:p>
      <w:pPr>
        <w:pStyle w:val="2"/>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olor w:val="auto"/>
          <w:highlight w:val="none"/>
          <w:lang w:val="en-US" w:eastAsia="zh-CN"/>
        </w:rPr>
        <w:t>家长及教师满意度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2"/>
        <w:numPr>
          <w:ilvl w:val="0"/>
          <w:numId w:val="0"/>
        </w:numPr>
        <w:rPr>
          <w:rFonts w:hint="eastAsia"/>
          <w:color w:val="auto"/>
          <w:highlight w:val="none"/>
          <w:lang w:eastAsia="zh-CN"/>
        </w:rPr>
      </w:pP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12868"/>
      <w:bookmarkStart w:id="14" w:name="_Toc5462343"/>
      <w:bookmarkStart w:id="15" w:name="_Toc480473081"/>
      <w:bookmarkStart w:id="16" w:name="_Toc22169_WPSOffice_Level2"/>
      <w:bookmarkStart w:id="17" w:name="_Toc5258"/>
      <w:bookmarkStart w:id="18" w:name="_Toc21664"/>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26131"/>
      <w:bookmarkStart w:id="27" w:name="_Toc428278230"/>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表3-1：昌州财教【2022】82号提前下达2023年新疆西藏地区特殊教育补助资金得分表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98.8</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pPr>
        <w:bidi w:val="0"/>
        <w:rPr>
          <w:rFonts w:hint="eastAsia"/>
          <w:color w:val="auto"/>
          <w:highlight w:val="none"/>
          <w:lang w:eastAsia="zh-CN"/>
        </w:rPr>
      </w:pPr>
      <w:r>
        <w:rPr>
          <w:rFonts w:hint="eastAsia"/>
          <w:color w:val="auto"/>
          <w:highlight w:val="none"/>
          <w:lang w:eastAsia="zh-CN"/>
        </w:rPr>
        <w:t>②项目立项符合阜教【2023】1号关于印发《阜康市2023年教</w:t>
      </w:r>
      <w:r>
        <w:rPr>
          <w:rFonts w:hint="eastAsia" w:ascii="宋体" w:hAnsi="宋体" w:eastAsia="宋体" w:cs="宋体"/>
          <w:color w:val="auto"/>
          <w:highlight w:val="none"/>
          <w:lang w:eastAsia="zh-CN"/>
        </w:rPr>
        <w:t>育工作要点》的通知；《昌吉州幼儿园规范化办园行为等级评估标准》</w:t>
      </w:r>
      <w:r>
        <w:rPr>
          <w:rFonts w:hint="eastAsia" w:ascii="宋体" w:hAnsi="宋体" w:eastAsia="宋体" w:cs="宋体"/>
          <w:color w:val="auto"/>
          <w:highlight w:val="none"/>
          <w:lang w:val="en-US" w:eastAsia="zh-CN"/>
        </w:rPr>
        <w:t xml:space="preserve">    </w:t>
      </w: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2</w:t>
      </w:r>
      <w:r>
        <w:rPr>
          <w:rFonts w:hint="eastAsia" w:cs="宋体"/>
          <w:color w:val="auto"/>
          <w:highlight w:val="none"/>
          <w:shd w:val="clear" w:color="auto" w:fill="auto"/>
          <w:lang w:val="en-US" w:eastAsia="zh-CN"/>
        </w:rPr>
        <w:t>023年度</w:t>
      </w:r>
      <w:r>
        <w:rPr>
          <w:rFonts w:hint="eastAsia"/>
          <w:color w:val="auto"/>
          <w:highlight w:val="none"/>
          <w:lang w:eastAsia="zh-CN"/>
        </w:rPr>
        <w:t>昌州财教【2022】82号提前下达2023年新疆西藏地区特殊教育补助资金（农村学前免费保障资金）；</w:t>
      </w:r>
      <w:r>
        <w:rPr>
          <w:rFonts w:hint="eastAsia" w:ascii="宋体" w:hAnsi="宋体" w:eastAsia="宋体" w:cs="宋体"/>
          <w:color w:val="auto"/>
          <w:kern w:val="0"/>
          <w:szCs w:val="30"/>
          <w:highlight w:val="none"/>
        </w:rPr>
        <w:t>立项资料齐全，立项程序规范；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pPr>
        <w:bidi w:val="0"/>
        <w:rPr>
          <w:rFonts w:hint="eastAsia"/>
          <w:color w:val="auto"/>
          <w:highlight w:val="none"/>
          <w:lang w:eastAsia="zh-CN"/>
        </w:rPr>
      </w:pPr>
      <w:r>
        <w:rPr>
          <w:rFonts w:hint="eastAsia"/>
          <w:color w:val="auto"/>
          <w:highlight w:val="none"/>
          <w:lang w:eastAsia="zh-CN"/>
        </w:rPr>
        <w:t>③事前经过《阜康市水磨沟乡中心幼儿园党总支会议》集体决策，没有进行可行性研究、专家论证、风险评估、绩效评估，扣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44万元，资金执行数为44万元，</w:t>
      </w:r>
      <w:r>
        <w:rPr>
          <w:rFonts w:hint="eastAsia"/>
          <w:color w:val="auto"/>
          <w:highlight w:val="none"/>
          <w:lang w:eastAsia="zh-CN"/>
        </w:rPr>
        <w:t>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4个，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6个，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11</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9</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2个，量化率达到81.82%</w:t>
      </w:r>
      <w:r>
        <w:rPr>
          <w:rFonts w:hint="eastAsia"/>
          <w:color w:val="auto"/>
          <w:highlight w:val="none"/>
          <w:lang w:eastAsia="zh-CN"/>
        </w:rPr>
        <w:t>；</w:t>
      </w:r>
    </w:p>
    <w:p>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44</w:t>
      </w:r>
      <w:r>
        <w:rPr>
          <w:rFonts w:hint="eastAsia"/>
          <w:color w:val="auto"/>
          <w:highlight w:val="none"/>
          <w:lang w:eastAsia="zh-CN"/>
        </w:rPr>
        <w:t>万元，依据《财政支出绩效评价管理暂行办法》》，符合市场标准；</w:t>
      </w:r>
    </w:p>
    <w:p>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《阜康市水磨沟乡中心幼儿园收支业务管理办法》充分；</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》《阜康市水磨沟乡中心幼儿园收支业务管理办法》额度合理，与项目单位相适应。</w:t>
      </w:r>
    </w:p>
    <w:p>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val="0"/>
          <w:bCs w:val="0"/>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44万元/44万元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44万元/44万元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①符合国家财经法规和《阜康市水磨沟乡中心幼儿园收支业务管理办法》；以及有关专项资金管理办法的规定；该建设项目严格按照《会计法》、《预算法》严格执行；</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pPr>
        <w:bidi w:val="0"/>
        <w:rPr>
          <w:rFonts w:hint="eastAsia"/>
          <w:color w:val="auto"/>
          <w:highlight w:val="none"/>
          <w:lang w:eastAsia="zh-CN"/>
        </w:rPr>
      </w:pPr>
      <w:r>
        <w:rPr>
          <w:rFonts w:hint="eastAsia"/>
          <w:color w:val="auto"/>
          <w:highlight w:val="none"/>
          <w:lang w:eastAsia="zh-CN"/>
        </w:rPr>
        <w:t>③符合项目预算《阜康市水磨沟乡中心幼儿园党总支会议》批复规定的用途；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eastAsia"/>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lang w:eastAsia="zh-CN"/>
        </w:rPr>
      </w:pPr>
      <w:r>
        <w:rPr>
          <w:rFonts w:hint="eastAsia"/>
          <w:color w:val="auto"/>
          <w:highlight w:val="none"/>
          <w:lang w:eastAsia="zh-CN"/>
        </w:rPr>
        <w:t>①已制定</w:t>
      </w:r>
      <w:r>
        <w:rPr>
          <w:rFonts w:hint="eastAsia"/>
          <w:color w:val="auto"/>
          <w:highlight w:val="none"/>
        </w:rPr>
        <w:t>《</w:t>
      </w:r>
      <w:r>
        <w:rPr>
          <w:rFonts w:hint="eastAsia"/>
          <w:color w:val="auto"/>
          <w:highlight w:val="none"/>
          <w:lang w:val="en-US" w:eastAsia="zh-CN"/>
        </w:rPr>
        <w:t>阜康市</w:t>
      </w:r>
      <w:r>
        <w:rPr>
          <w:rFonts w:hint="eastAsia"/>
          <w:color w:val="auto"/>
          <w:highlight w:val="none"/>
          <w:lang w:eastAsia="zh-CN"/>
        </w:rPr>
        <w:t>水磨沟乡</w:t>
      </w:r>
      <w:r>
        <w:rPr>
          <w:rFonts w:hint="eastAsia"/>
          <w:color w:val="auto"/>
          <w:highlight w:val="none"/>
          <w:lang w:val="en-US" w:eastAsia="zh-CN"/>
        </w:rPr>
        <w:t>中心幼儿园</w:t>
      </w:r>
      <w:r>
        <w:rPr>
          <w:rFonts w:hint="eastAsia"/>
          <w:color w:val="auto"/>
          <w:highlight w:val="none"/>
        </w:rPr>
        <w:t>内部控制规范》《</w:t>
      </w:r>
      <w:r>
        <w:rPr>
          <w:rFonts w:hint="eastAsia"/>
          <w:color w:val="auto"/>
          <w:highlight w:val="none"/>
          <w:lang w:val="en-US" w:eastAsia="zh-CN"/>
        </w:rPr>
        <w:t>阜康市</w:t>
      </w:r>
      <w:r>
        <w:rPr>
          <w:rFonts w:hint="eastAsia"/>
          <w:color w:val="auto"/>
          <w:highlight w:val="none"/>
          <w:lang w:eastAsia="zh-CN"/>
        </w:rPr>
        <w:t>水磨沟乡</w:t>
      </w:r>
      <w:r>
        <w:rPr>
          <w:rFonts w:hint="eastAsia"/>
          <w:color w:val="auto"/>
          <w:highlight w:val="none"/>
          <w:lang w:val="en-US" w:eastAsia="zh-CN"/>
        </w:rPr>
        <w:t>中心幼儿园</w:t>
      </w:r>
      <w:r>
        <w:rPr>
          <w:rFonts w:hint="eastAsia"/>
          <w:color w:val="auto"/>
          <w:highlight w:val="none"/>
        </w:rPr>
        <w:t>项目管理规范》等资金</w:t>
      </w:r>
      <w:r>
        <w:rPr>
          <w:rFonts w:hint="eastAsia"/>
          <w:color w:val="auto"/>
          <w:highlight w:val="none"/>
          <w:lang w:eastAsia="zh-CN"/>
        </w:rPr>
        <w:t>管理制度；</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①遵守《阜康市水磨沟乡中心幼儿园建设项目管理办法》，《阜康市水磨沟乡中心幼儿园收支业务管理办法》等相关管理规定；</w:t>
      </w:r>
    </w:p>
    <w:p>
      <w:pPr>
        <w:bidi w:val="0"/>
        <w:rPr>
          <w:rFonts w:hint="eastAsia"/>
          <w:color w:val="auto"/>
          <w:highlight w:val="none"/>
          <w:lang w:eastAsia="zh-CN"/>
        </w:rPr>
      </w:pPr>
      <w:r>
        <w:rPr>
          <w:rFonts w:hint="eastAsia"/>
          <w:color w:val="auto"/>
          <w:highlight w:val="none"/>
          <w:lang w:eastAsia="zh-CN"/>
        </w:rPr>
        <w:t>②项目未调整；</w:t>
      </w:r>
    </w:p>
    <w:p>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522"/>
        <w:gridCol w:w="1040"/>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52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p>
            <w:pPr>
              <w:keepNext w:val="0"/>
              <w:keepLines w:val="0"/>
              <w:pageBreakBefore w:val="0"/>
              <w:widowControl/>
              <w:tabs>
                <w:tab w:val="left" w:pos="425"/>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ab/>
            </w:r>
          </w:p>
        </w:tc>
        <w:tc>
          <w:tcPr>
            <w:tcW w:w="104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≧400人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400</w:t>
            </w:r>
            <w:r>
              <w:rPr>
                <w:rFonts w:hint="eastAsia" w:ascii="宋体" w:hAnsi="宋体" w:eastAsia="宋体" w:cs="宋体"/>
                <w:i w:val="0"/>
                <w:color w:val="auto"/>
                <w:kern w:val="0"/>
                <w:sz w:val="20"/>
                <w:szCs w:val="20"/>
                <w:highlight w:val="none"/>
                <w:u w:val="none"/>
                <w:lang w:val="en-US" w:eastAsia="zh-CN" w:bidi="ar"/>
              </w:rPr>
              <w:t>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4</w:t>
            </w:r>
          </w:p>
        </w:tc>
      </w:tr>
      <w:tr>
        <w:tblPrEx>
          <w:tblLayout w:type="fixed"/>
          <w:tblCellMar>
            <w:top w:w="0" w:type="dxa"/>
            <w:left w:w="0" w:type="dxa"/>
            <w:bottom w:w="0" w:type="dxa"/>
            <w:right w:w="0" w:type="dxa"/>
          </w:tblCellMar>
        </w:tblPrEx>
        <w:trPr>
          <w:trHeight w:val="41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r>
      <w:tr>
        <w:tblPrEx>
          <w:tblLayout w:type="fixed"/>
          <w:tblCellMar>
            <w:top w:w="0" w:type="dxa"/>
            <w:left w:w="0" w:type="dxa"/>
            <w:bottom w:w="0" w:type="dxa"/>
            <w:right w:w="0" w:type="dxa"/>
          </w:tblCellMar>
        </w:tblPrEx>
        <w:trPr>
          <w:trHeight w:val="41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5</w:t>
            </w:r>
          </w:p>
        </w:tc>
      </w:tr>
      <w:tr>
        <w:tblPrEx>
          <w:tblLayout w:type="fixed"/>
          <w:tblCellMar>
            <w:top w:w="0" w:type="dxa"/>
            <w:left w:w="0" w:type="dxa"/>
            <w:bottom w:w="0" w:type="dxa"/>
            <w:right w:w="0" w:type="dxa"/>
          </w:tblCellMar>
        </w:tblPrEx>
        <w:trPr>
          <w:trHeight w:val="41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w w:val="90"/>
                <w:kern w:val="0"/>
                <w:sz w:val="20"/>
                <w:szCs w:val="20"/>
                <w:highlight w:val="none"/>
                <w:u w:val="none"/>
                <w:lang w:val="en-US" w:eastAsia="zh-CN" w:bidi="ar"/>
              </w:rPr>
              <w:t>2023</w:t>
            </w:r>
            <w:r>
              <w:rPr>
                <w:rStyle w:val="19"/>
                <w:rFonts w:hint="eastAsia" w:eastAsia="宋体"/>
                <w:color w:val="auto"/>
                <w:w w:val="90"/>
                <w:highlight w:val="none"/>
                <w:lang w:val="en-US" w:eastAsia="zh-CN" w:bidi="ar"/>
              </w:rPr>
              <w:t>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p>
        </w:tc>
      </w:tr>
      <w:tr>
        <w:tblPrEx>
          <w:tblLayout w:type="fixed"/>
          <w:tblCellMar>
            <w:top w:w="0" w:type="dxa"/>
            <w:left w:w="0" w:type="dxa"/>
            <w:bottom w:w="0" w:type="dxa"/>
            <w:right w:w="0" w:type="dxa"/>
          </w:tblCellMar>
        </w:tblPrEx>
        <w:trPr>
          <w:trHeight w:val="9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90" w:hRule="atLeast"/>
        </w:trPr>
        <w:tc>
          <w:tcPr>
            <w:tcW w:w="52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425"/>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restart"/>
            <w:tcBorders>
              <w:top w:val="single" w:color="000000"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经济成本指标</w:t>
            </w:r>
          </w:p>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教学活动开展的办公费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auto"/>
                <w:kern w:val="0"/>
                <w:sz w:val="20"/>
                <w:szCs w:val="20"/>
                <w:highlight w:val="none"/>
                <w:u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41万元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i w:val="0"/>
                <w:color w:val="auto"/>
                <w:kern w:val="0"/>
                <w:sz w:val="20"/>
                <w:szCs w:val="20"/>
                <w:highlight w:val="none"/>
                <w:u w:val="none"/>
                <w:lang w:val="en-US" w:eastAsia="zh-CN" w:bidi="ar"/>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90" w:hRule="atLeast"/>
        </w:trPr>
        <w:tc>
          <w:tcPr>
            <w:tcW w:w="522" w:type="dxa"/>
            <w:vMerge w:val="continue"/>
            <w:tcBorders>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40" w:type="dxa"/>
            <w:vMerge w:val="continue"/>
            <w:tcBorders>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保障教育教学活动开展的维护费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cs="宋体"/>
                <w:i w:val="0"/>
                <w:color w:val="auto"/>
                <w:kern w:val="0"/>
                <w:sz w:val="20"/>
                <w:szCs w:val="20"/>
                <w:highlight w:val="none"/>
                <w:u w:val="none"/>
                <w:lang w:val="en-US" w:eastAsia="zh-CN" w:bidi="ar"/>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农村学前三年适龄幼儿人数</w:t>
      </w:r>
      <w:r>
        <w:rPr>
          <w:rFonts w:hint="eastAsia"/>
          <w:color w:val="auto"/>
          <w:highlight w:val="none"/>
          <w:lang w:eastAsia="zh-CN"/>
        </w:rPr>
        <w:t>”</w:t>
      </w:r>
      <w:r>
        <w:rPr>
          <w:rFonts w:hint="eastAsia"/>
          <w:color w:val="auto"/>
          <w:highlight w:val="none"/>
          <w:lang w:val="en-US" w:eastAsia="zh-CN"/>
        </w:rPr>
        <w:t>指标，预期目标值为≥400人，实际完成为400人。实际完成率=（400人/400人）×100%=100%。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开展教育教学活动次数</w:t>
      </w:r>
      <w:r>
        <w:rPr>
          <w:rFonts w:hint="eastAsia"/>
          <w:color w:val="auto"/>
          <w:highlight w:val="none"/>
          <w:lang w:eastAsia="zh-CN"/>
        </w:rPr>
        <w:t>”</w:t>
      </w:r>
      <w:r>
        <w:rPr>
          <w:rFonts w:hint="eastAsia"/>
          <w:color w:val="auto"/>
          <w:highlight w:val="none"/>
          <w:lang w:val="en-US" w:eastAsia="zh-CN"/>
        </w:rPr>
        <w:t>指标，预期目标值为≥600次，实际完成为600次。实际完成率=（600次/600次）×100%=100%。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设施设备维护次数</w:t>
      </w:r>
      <w:r>
        <w:rPr>
          <w:rFonts w:hint="eastAsia"/>
          <w:color w:val="auto"/>
          <w:highlight w:val="none"/>
          <w:lang w:eastAsia="zh-CN"/>
        </w:rPr>
        <w:t>”</w:t>
      </w:r>
      <w:r>
        <w:rPr>
          <w:rFonts w:hint="eastAsia"/>
          <w:color w:val="auto"/>
          <w:highlight w:val="none"/>
          <w:lang w:val="en-US" w:eastAsia="zh-CN"/>
        </w:rPr>
        <w:t>指标，预期目标值为≥20次，实际完成为20次。实际完成率=（20次/20次）×100%=100%。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val="en-US" w:eastAsia="zh-CN"/>
        </w:rPr>
      </w:pPr>
      <w:r>
        <w:rPr>
          <w:rFonts w:hint="eastAsia"/>
          <w:color w:val="auto"/>
          <w:highlight w:val="none"/>
          <w:lang w:eastAsia="zh-CN"/>
        </w:rPr>
        <w:t>“完成年度教育教学活动工作达标率”</w:t>
      </w:r>
      <w:r>
        <w:rPr>
          <w:rFonts w:hint="eastAsia"/>
          <w:color w:val="auto"/>
          <w:highlight w:val="none"/>
          <w:lang w:val="en-US" w:eastAsia="zh-CN"/>
        </w:rPr>
        <w:t>指标，预期目标值为=100%，实际完成为100%，实际完成率100%。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教育教学活动工作开展时间</w:t>
      </w:r>
      <w:r>
        <w:rPr>
          <w:rFonts w:hint="eastAsia"/>
          <w:color w:val="auto"/>
          <w:highlight w:val="none"/>
          <w:lang w:eastAsia="zh-CN"/>
        </w:rPr>
        <w:t>”</w:t>
      </w:r>
      <w:r>
        <w:rPr>
          <w:rFonts w:hint="eastAsia"/>
          <w:color w:val="auto"/>
          <w:highlight w:val="none"/>
          <w:lang w:val="en-US" w:eastAsia="zh-CN"/>
        </w:rPr>
        <w:t>指标，预期目标值为2023年1月-12月，实际完成为2023-12-31，实际完成率100%。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教育教学活动工作开展及时率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保障教育教学活动开展的办公费</w:t>
      </w:r>
      <w:r>
        <w:rPr>
          <w:rFonts w:hint="eastAsia"/>
          <w:color w:val="auto"/>
          <w:highlight w:val="none"/>
          <w:lang w:eastAsia="zh-CN"/>
        </w:rPr>
        <w:t>”</w:t>
      </w:r>
      <w:r>
        <w:rPr>
          <w:rFonts w:hint="eastAsia"/>
          <w:color w:val="auto"/>
          <w:highlight w:val="none"/>
          <w:lang w:val="en-US" w:eastAsia="zh-CN"/>
        </w:rPr>
        <w:t>指标，预期目标值为≦41万元，实际完成为41万元，实际完成率=100%。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0" w:leftChars="0" w:firstLine="560" w:firstLineChars="200"/>
        <w:rPr>
          <w:rFonts w:hint="eastAsia"/>
          <w:color w:val="auto"/>
          <w:highlight w:val="none"/>
          <w:lang w:eastAsia="zh-CN"/>
        </w:rPr>
      </w:pPr>
      <w:r>
        <w:rPr>
          <w:rFonts w:hint="eastAsia"/>
          <w:color w:val="auto"/>
          <w:highlight w:val="none"/>
          <w:lang w:eastAsia="zh-CN"/>
        </w:rPr>
        <w:t>“保障教育教学活动开展的维护费”</w:t>
      </w:r>
      <w:r>
        <w:rPr>
          <w:rFonts w:hint="eastAsia"/>
          <w:color w:val="auto"/>
          <w:highlight w:val="none"/>
          <w:lang w:val="en-US" w:eastAsia="zh-CN"/>
        </w:rPr>
        <w:t>指标，预期目标值为≦3万元，实际完成为3万元，实际完成率=100%。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tblInd w:w="0" w:type="dxa"/>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b w:val="0"/>
          <w:bCs w:val="0"/>
          <w:color w:val="auto"/>
          <w:highlight w:val="none"/>
          <w:lang w:val="en-US" w:eastAsia="zh-CN"/>
        </w:rPr>
        <w:t>保障幼儿园各项工作平稳进行”指标</w:t>
      </w:r>
      <w:r>
        <w:rPr>
          <w:rFonts w:hint="eastAsia"/>
          <w:color w:val="auto"/>
          <w:highlight w:val="none"/>
          <w:lang w:val="en-US" w:eastAsia="zh-CN"/>
        </w:rPr>
        <w:t>，预期目标值为有效提升，实际完成为100%，实际完成率100%。</w:t>
      </w:r>
    </w:p>
    <w:p>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w:t>
      </w:r>
    </w:p>
    <w:p>
      <w:pPr>
        <w:bidi w:val="0"/>
        <w:ind w:left="0" w:leftChars="0" w:firstLine="0" w:firstLineChars="0"/>
        <w:rPr>
          <w:rFonts w:hint="eastAsia"/>
          <w:color w:val="auto"/>
          <w:highlight w:val="none"/>
          <w:lang w:val="en-US" w:eastAsia="zh-CN"/>
        </w:rPr>
      </w:pPr>
      <w:r>
        <w:rPr>
          <w:rFonts w:hint="eastAsia"/>
          <w:color w:val="auto"/>
          <w:highlight w:val="none"/>
          <w:lang w:val="en-US" w:eastAsia="zh-CN"/>
        </w:rPr>
        <w:t>消除校园安全隐患，改善全校师生员工的生活条件，有效提升了教学质量。</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highlight w:val="none"/>
          <w:lang w:val="en-US" w:eastAsia="zh-CN"/>
        </w:rPr>
        <w:t>”指标</w:t>
      </w:r>
      <w:r>
        <w:rPr>
          <w:rFonts w:hint="eastAsia"/>
          <w:color w:val="auto"/>
          <w:highlight w:val="none"/>
          <w:lang w:val="en-US" w:eastAsia="zh-CN"/>
        </w:rPr>
        <w:t>，预期目标值为有效提升，实际完成为100%，实际完成率100%。</w:t>
      </w:r>
    </w:p>
    <w:p>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pPr>
        <w:pStyle w:val="2"/>
        <w:numPr>
          <w:ilvl w:val="0"/>
          <w:numId w:val="3"/>
        </w:numPr>
        <w:rPr>
          <w:rFonts w:hint="default"/>
          <w:color w:val="auto"/>
          <w:highlight w:val="none"/>
          <w:lang w:val="en-US" w:eastAsia="zh-CN"/>
        </w:rPr>
      </w:pPr>
      <w:r>
        <w:rPr>
          <w:rFonts w:hint="eastAsia"/>
          <w:b/>
          <w:bCs/>
          <w:color w:val="auto"/>
          <w:highlight w:val="none"/>
          <w:lang w:val="en-US" w:eastAsia="zh-CN"/>
        </w:rPr>
        <w:t>可持续影响指标</w:t>
      </w:r>
    </w:p>
    <w:p>
      <w:pPr>
        <w:rPr>
          <w:rFonts w:hint="default"/>
          <w:color w:val="auto"/>
          <w:highlight w:val="none"/>
          <w:lang w:val="en-US" w:eastAsia="zh-CN"/>
        </w:rPr>
      </w:pPr>
      <w:r>
        <w:rPr>
          <w:rFonts w:hint="eastAsia"/>
          <w:b w:val="0"/>
          <w:bCs w:val="0"/>
          <w:color w:val="auto"/>
          <w:highlight w:val="none"/>
          <w:lang w:val="en-US" w:eastAsia="zh-CN"/>
        </w:rPr>
        <w:t>项目不涉及可持续影响指标</w:t>
      </w:r>
    </w:p>
    <w:p>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pPr>
        <w:bidi w:val="0"/>
        <w:rPr>
          <w:rFonts w:hint="eastAsia"/>
          <w:color w:val="auto"/>
          <w:highlight w:val="none"/>
          <w:lang w:val="en-US" w:eastAsia="zh-CN"/>
        </w:rPr>
      </w:pPr>
      <w:r>
        <w:rPr>
          <w:rFonts w:hint="eastAsia"/>
          <w:color w:val="auto"/>
          <w:highlight w:val="none"/>
          <w:lang w:val="en-US" w:eastAsia="zh-CN"/>
        </w:rPr>
        <w:t>“教师满意度”指标，预期目标值为90%，实际完成为90%，实际完成率100%。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w:t>
      </w:r>
      <w:r>
        <w:rPr>
          <w:rFonts w:hint="eastAsia" w:cs="仿宋_GB2312"/>
          <w:b w:val="0"/>
          <w:bCs w:val="0"/>
          <w:color w:val="auto"/>
          <w:sz w:val="28"/>
          <w:szCs w:val="28"/>
          <w:highlight w:val="none"/>
          <w:lang w:eastAsia="zh-CN"/>
        </w:rPr>
        <w:t>为</w:t>
      </w:r>
      <w:r>
        <w:rPr>
          <w:rFonts w:hint="eastAsia"/>
          <w:b w:val="0"/>
          <w:bCs w:val="0"/>
          <w:color w:val="auto"/>
          <w:highlight w:val="none"/>
          <w:lang w:val="en-US" w:eastAsia="zh-CN"/>
        </w:rPr>
        <w:t>44</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44</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昌州财教【2022】82号提前下达2023年新疆西藏地区特殊教育补助资金（农村学前免费保障资金）项目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44</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44</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bookmarkEnd w:id="82"/>
      <w:bookmarkEnd w:id="83"/>
      <w:bookmarkStart w:id="84" w:name="_Toc9582"/>
    </w:p>
    <w:p>
      <w:pPr>
        <w:bidi w:val="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阜康市水磨沟乡中心幼儿园建立健全了预算管理规章制度，各部门严格按照预算编制的原则和要求做好当年预算编制工作，在预算绩效管理工作中，做到合理安排各项资金，重点保障基本支出，按轻重缓急顺序原则，优先安排了阜康市水磨沟乡中心幼儿园事业发展中关系民生与稳定的项目，切实优化资源配置，提高了资金使用的效率和效果。</w:t>
      </w:r>
    </w:p>
    <w:p>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pPr>
        <w:bidi w:val="0"/>
        <w:rPr>
          <w:rFonts w:hint="eastAsia" w:ascii="宋体" w:hAnsi="宋体" w:eastAsia="宋体" w:cs="宋体"/>
          <w:color w:val="auto"/>
          <w:kern w:val="2"/>
          <w:sz w:val="28"/>
          <w:szCs w:val="28"/>
          <w:highlight w:val="none"/>
          <w:lang w:val="en-US" w:eastAsia="zh-CN" w:bidi="ar-SA"/>
        </w:rPr>
      </w:pPr>
      <w:bookmarkStart w:id="85" w:name="_Toc5230"/>
      <w:r>
        <w:rPr>
          <w:rFonts w:hint="eastAsia" w:ascii="宋体" w:hAnsi="宋体" w:eastAsia="宋体" w:cs="宋体"/>
          <w:color w:val="auto"/>
          <w:kern w:val="2"/>
          <w:sz w:val="28"/>
          <w:szCs w:val="28"/>
          <w:highlight w:val="none"/>
          <w:lang w:val="en-US" w:eastAsia="zh-CN" w:bidi="ar-SA"/>
        </w:rPr>
        <w:t>1.因项目实施人员对项目采购流程不熟悉，导致项目前期采购手续不完整，存在部分采购缺少验收单情况等问题。</w:t>
      </w:r>
    </w:p>
    <w:p>
      <w:pPr>
        <w:bidi w:val="0"/>
        <w:rPr>
          <w:rFonts w:hint="eastAsia"/>
          <w:color w:val="auto"/>
          <w:highlight w:val="none"/>
          <w:lang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事前经过《阜康市水磨沟乡</w:t>
      </w:r>
      <w:r>
        <w:rPr>
          <w:rFonts w:hint="eastAsia"/>
          <w:color w:val="auto"/>
          <w:highlight w:val="none"/>
          <w:lang w:val="en-US" w:eastAsia="zh-CN"/>
        </w:rPr>
        <w:t>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bookmarkStart w:id="86" w:name="_Toc15618"/>
    </w:p>
    <w:p>
      <w:pPr>
        <w:bidi w:val="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pPr>
        <w:bidi w:val="0"/>
        <w:rPr>
          <w:rFonts w:hint="default" w:ascii="宋体" w:hAnsi="宋体" w:eastAsia="宋体" w:cs="宋体"/>
          <w:color w:val="auto"/>
          <w:highlight w:val="none"/>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pPr>
        <w:bidi w:val="0"/>
        <w:ind w:left="0" w:leftChars="0" w:firstLine="562" w:firstLineChars="20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color w:val="auto"/>
          <w:highlight w:val="none"/>
          <w:lang w:val="en-US" w:eastAsia="zh-CN"/>
        </w:rPr>
        <w:t>无其他需要说明的问题。</w:t>
      </w:r>
      <w:r>
        <w:rPr>
          <w:rFonts w:hint="eastAsia" w:ascii="宋体" w:hAnsi="宋体" w:eastAsia="宋体" w:cs="宋体"/>
          <w:b/>
          <w:bCs/>
          <w:color w:val="auto"/>
          <w:kern w:val="2"/>
          <w:sz w:val="36"/>
          <w:szCs w:val="28"/>
          <w:highlight w:val="none"/>
          <w:lang w:val="en-US" w:eastAsia="zh-CN" w:bidi="ar-SA"/>
        </w:rPr>
        <w:br w:type="page"/>
      </w:r>
    </w:p>
    <w:p>
      <w:pPr>
        <w:pStyle w:val="2"/>
        <w:ind w:left="0" w:leftChars="0" w:firstLine="0" w:firstLineChars="0"/>
        <w:rPr>
          <w:rFonts w:hint="default"/>
          <w:color w:val="auto"/>
          <w:highlight w:val="none"/>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3887"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60"/>
        <w:gridCol w:w="660"/>
        <w:gridCol w:w="864"/>
        <w:gridCol w:w="1222"/>
        <w:gridCol w:w="1087"/>
        <w:gridCol w:w="874"/>
        <w:gridCol w:w="947"/>
        <w:gridCol w:w="821"/>
        <w:gridCol w:w="946"/>
        <w:gridCol w:w="928"/>
        <w:gridCol w:w="1008"/>
        <w:gridCol w:w="838"/>
        <w:gridCol w:w="937"/>
        <w:gridCol w:w="2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404" w:hRule="atLeast"/>
        </w:trPr>
        <w:tc>
          <w:tcPr>
            <w:tcW w:w="13887" w:type="dxa"/>
            <w:gridSpan w:val="14"/>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i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5" w:hRule="atLeast"/>
        </w:trPr>
        <w:tc>
          <w:tcPr>
            <w:tcW w:w="13887" w:type="dxa"/>
            <w:gridSpan w:val="14"/>
            <w:tcBorders>
              <w:top w:val="nil"/>
              <w:left w:val="nil"/>
              <w:bottom w:val="single" w:color="auto" w:sz="4" w:space="0"/>
              <w:right w:val="nil"/>
            </w:tcBorders>
            <w:shd w:val="clear" w:color="auto" w:fill="auto"/>
            <w:tcMar>
              <w:top w:w="12" w:type="dxa"/>
              <w:left w:w="12" w:type="dxa"/>
              <w:right w:w="12" w:type="dxa"/>
            </w:tcMar>
            <w:vAlign w:val="center"/>
          </w:tcPr>
          <w:p>
            <w:pPr>
              <w:keepNext w:val="0"/>
              <w:keepLines w:val="0"/>
              <w:widowControl/>
              <w:suppressLineNumbers w:val="0"/>
              <w:ind w:firstLine="442" w:firstLineChars="200"/>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132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67"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132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994"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80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阜康市水磨沟乡中心幼儿园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32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执行率</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atLeast"/>
        </w:trPr>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44.00 </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208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6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36"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775"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9" w:hRule="atLeast"/>
        </w:trPr>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21"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80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9"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7421"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400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80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iCs w:val="0"/>
                <w:color w:val="000000"/>
                <w:kern w:val="0"/>
                <w:sz w:val="20"/>
                <w:szCs w:val="20"/>
                <w:u w:val="none"/>
                <w:lang w:val="en-US" w:eastAsia="zh-CN" w:bidi="ar"/>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0" w:hRule="atLeast"/>
        </w:trPr>
        <w:tc>
          <w:tcPr>
            <w:tcW w:w="66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86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完成率</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2" w:hRule="atLeast"/>
        </w:trPr>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400人</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455人</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400人</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1"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9"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42"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6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正式资料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10"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2023年1月-12月</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2022-12-31前</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2023/12/31</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7"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37"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保障教育教学活动开展的办公费</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41万元</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41万元</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正式资料、原始凭证</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8"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保障教育教学活动开展的维护费</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≦3万元</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≦3万元</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正式资料、原始凭证</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90"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6"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6" w:hRule="atLeast"/>
        </w:trPr>
        <w:tc>
          <w:tcPr>
            <w:tcW w:w="6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sz w:val="20"/>
                <w:szCs w:val="20"/>
                <w:highlight w:val="none"/>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86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122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家长及教师 满意度</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其他标准</w:t>
            </w: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95%</w:t>
            </w: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满意度赋分</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3406" w:type="dxa"/>
            <w:gridSpan w:val="4"/>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108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7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94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21"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94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100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auto"/>
                <w:kern w:val="0"/>
                <w:sz w:val="20"/>
                <w:szCs w:val="20"/>
                <w:highlight w:val="none"/>
                <w:u w:val="none"/>
                <w:lang w:val="en-US" w:eastAsia="zh-CN" w:bidi="ar"/>
              </w:rPr>
            </w:pPr>
          </w:p>
        </w:tc>
        <w:tc>
          <w:tcPr>
            <w:tcW w:w="83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pPr>
          </w:p>
        </w:tc>
        <w:tc>
          <w:tcPr>
            <w:tcW w:w="93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209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rPr>
                <w:rFonts w:hint="eastAsia" w:ascii="宋体" w:hAnsi="宋体" w:eastAsia="宋体" w:cs="宋体"/>
                <w:i w:val="0"/>
                <w:color w:val="auto"/>
                <w:kern w:val="0"/>
                <w:sz w:val="20"/>
                <w:szCs w:val="20"/>
                <w:highlight w:val="none"/>
                <w:u w:val="none"/>
                <w:lang w:val="en-US" w:eastAsia="zh-CN" w:bidi="ar"/>
              </w:rPr>
            </w:pPr>
          </w:p>
        </w:tc>
      </w:tr>
    </w:tbl>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p>
    <w:bookmarkEnd w:id="88"/>
    <w:p>
      <w:pPr>
        <w:spacing w:line="240" w:lineRule="auto"/>
        <w:ind w:firstLine="0" w:firstLineChars="0"/>
        <w:rPr>
          <w:rFonts w:ascii="Times New Roman" w:hAnsi="Times New Roman" w:eastAsia="仿宋_GB2312" w:cs="Times New Roman"/>
          <w:color w:val="auto"/>
          <w:sz w:val="30"/>
          <w:szCs w:val="24"/>
          <w:highlight w:val="none"/>
        </w:r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ascii="宋体" w:hAnsi="宋体" w:eastAsia="宋体" w:cs="宋体"/>
          <w:color w:val="auto"/>
          <w:kern w:val="2"/>
          <w:sz w:val="28"/>
          <w:szCs w:val="28"/>
          <w:highlight w:val="none"/>
          <w:lang w:val="en-US" w:eastAsia="zh-CN" w:bidi="ar-SA"/>
        </w:rPr>
      </w:pPr>
      <w:r>
        <w:rPr>
          <w:rFonts w:hint="eastAsia" w:ascii="宋体" w:hAnsi="宋体" w:eastAsia="宋体" w:cs="宋体"/>
          <w:b/>
          <w:bCs/>
          <w:color w:val="auto"/>
          <w:highlight w:val="none"/>
          <w:shd w:val="clear" w:color="auto" w:fill="auto"/>
          <w:lang w:val="en-US" w:eastAsia="zh-CN"/>
        </w:rPr>
        <w:t>附件二、项目支出绩效评价指标体系打分表</w:t>
      </w:r>
    </w:p>
    <w:tbl>
      <w:tblPr>
        <w:tblStyle w:val="12"/>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4</w:t>
            </w:r>
          </w:p>
        </w:tc>
        <w:tc>
          <w:tcPr>
            <w:tcW w:w="769" w:type="dxa"/>
            <w:shd w:val="clear" w:color="auto" w:fill="auto"/>
            <w:noWrap w:val="0"/>
            <w:vAlign w:val="center"/>
          </w:tcPr>
          <w:p>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3</w:t>
            </w:r>
          </w:p>
        </w:tc>
        <w:tc>
          <w:tcPr>
            <w:tcW w:w="769" w:type="dxa"/>
            <w:shd w:val="clear" w:color="auto" w:fill="auto"/>
            <w:noWrap w:val="0"/>
            <w:vAlign w:val="center"/>
          </w:tcPr>
          <w:p>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5"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2"/>
                <w:szCs w:val="22"/>
                <w:highlight w:val="none"/>
                <w:lang w:val="en-US" w:eastAsia="zh-CN"/>
              </w:rPr>
            </w:pPr>
            <w:r>
              <w:rPr>
                <w:rFonts w:hint="eastAsia" w:cs="宋体"/>
                <w:i w:val="0"/>
                <w:iCs w:val="0"/>
                <w:color w:val="auto"/>
                <w:kern w:val="0"/>
                <w:sz w:val="20"/>
                <w:szCs w:val="20"/>
                <w:highlight w:val="none"/>
                <w:u w:val="none"/>
                <w:lang w:val="en-US" w:eastAsia="zh-CN" w:bidi="ar"/>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861" w:type="dxa"/>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保障教育教学活动开展的办公费</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1" w:hRule="atLeast"/>
          <w:jc w:val="center"/>
        </w:trPr>
        <w:tc>
          <w:tcPr>
            <w:tcW w:w="861" w:type="dxa"/>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保障教育教学活动开展的维护费</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3"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满意度</w:t>
            </w:r>
            <w:r>
              <w:rPr>
                <w:rFonts w:hint="eastAsia" w:ascii="宋体" w:hAnsi="宋体" w:eastAsia="宋体" w:cs="宋体"/>
                <w:color w:val="auto"/>
                <w:kern w:val="0"/>
                <w:sz w:val="22"/>
                <w:szCs w:val="22"/>
                <w:highlight w:val="none"/>
                <w:lang w:val="en-US" w:eastAsia="zh-CN"/>
              </w:rPr>
              <w:t>指标</w:t>
            </w:r>
          </w:p>
        </w:tc>
        <w:tc>
          <w:tcPr>
            <w:tcW w:w="820" w:type="dxa"/>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98.8</w:t>
            </w:r>
          </w:p>
        </w:tc>
      </w:tr>
    </w:tbl>
    <w:p>
      <w:pPr>
        <w:ind w:left="0" w:leftChars="0" w:firstLine="0" w:firstLineChars="0"/>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322F2F"/>
    <w:rsid w:val="04D12EE4"/>
    <w:rsid w:val="04D63993"/>
    <w:rsid w:val="060E2D51"/>
    <w:rsid w:val="07890F4F"/>
    <w:rsid w:val="07AD486E"/>
    <w:rsid w:val="08892439"/>
    <w:rsid w:val="08EB30F3"/>
    <w:rsid w:val="08F46FE5"/>
    <w:rsid w:val="09237408"/>
    <w:rsid w:val="09781BD6"/>
    <w:rsid w:val="09F359DF"/>
    <w:rsid w:val="0A575E65"/>
    <w:rsid w:val="0ACA0AB6"/>
    <w:rsid w:val="0BAE3629"/>
    <w:rsid w:val="0C032502"/>
    <w:rsid w:val="0C27698C"/>
    <w:rsid w:val="0D4452F3"/>
    <w:rsid w:val="0EC53851"/>
    <w:rsid w:val="0F5E5042"/>
    <w:rsid w:val="0FE95707"/>
    <w:rsid w:val="10510571"/>
    <w:rsid w:val="10787A20"/>
    <w:rsid w:val="108672DE"/>
    <w:rsid w:val="10E94834"/>
    <w:rsid w:val="10EC685A"/>
    <w:rsid w:val="11FA6155"/>
    <w:rsid w:val="12CF0947"/>
    <w:rsid w:val="12F1313F"/>
    <w:rsid w:val="136C678E"/>
    <w:rsid w:val="13EB2FF5"/>
    <w:rsid w:val="15A46B04"/>
    <w:rsid w:val="165825BC"/>
    <w:rsid w:val="16BC5D73"/>
    <w:rsid w:val="176F36D7"/>
    <w:rsid w:val="1795226D"/>
    <w:rsid w:val="18456B1E"/>
    <w:rsid w:val="1BB3626C"/>
    <w:rsid w:val="1C1171C5"/>
    <w:rsid w:val="1D265138"/>
    <w:rsid w:val="1D7B6BCA"/>
    <w:rsid w:val="1DA41A79"/>
    <w:rsid w:val="1DF53469"/>
    <w:rsid w:val="1E2F24F2"/>
    <w:rsid w:val="1E5208BA"/>
    <w:rsid w:val="1E58492F"/>
    <w:rsid w:val="1E5B6757"/>
    <w:rsid w:val="1EA341D5"/>
    <w:rsid w:val="1ED10AC6"/>
    <w:rsid w:val="1F89225F"/>
    <w:rsid w:val="1F900A1F"/>
    <w:rsid w:val="1FC0575D"/>
    <w:rsid w:val="206132C7"/>
    <w:rsid w:val="21B00C1D"/>
    <w:rsid w:val="22EB2D0F"/>
    <w:rsid w:val="23031BEB"/>
    <w:rsid w:val="23917691"/>
    <w:rsid w:val="244D65B8"/>
    <w:rsid w:val="245E1E24"/>
    <w:rsid w:val="25070E5D"/>
    <w:rsid w:val="25AD5E5D"/>
    <w:rsid w:val="2732478D"/>
    <w:rsid w:val="27661469"/>
    <w:rsid w:val="27900EAD"/>
    <w:rsid w:val="279B538A"/>
    <w:rsid w:val="27D56FF1"/>
    <w:rsid w:val="286F545C"/>
    <w:rsid w:val="29314FBC"/>
    <w:rsid w:val="29CC4B42"/>
    <w:rsid w:val="2C024B86"/>
    <w:rsid w:val="2C5737E5"/>
    <w:rsid w:val="2C927671"/>
    <w:rsid w:val="2D7C5CD6"/>
    <w:rsid w:val="2E483E7E"/>
    <w:rsid w:val="2E690493"/>
    <w:rsid w:val="2E9854BD"/>
    <w:rsid w:val="2F0D407F"/>
    <w:rsid w:val="2F454B19"/>
    <w:rsid w:val="310224D9"/>
    <w:rsid w:val="314A45AB"/>
    <w:rsid w:val="31B4621C"/>
    <w:rsid w:val="31E3230A"/>
    <w:rsid w:val="32883964"/>
    <w:rsid w:val="32935D9A"/>
    <w:rsid w:val="330957E0"/>
    <w:rsid w:val="33356F64"/>
    <w:rsid w:val="33944516"/>
    <w:rsid w:val="34B62907"/>
    <w:rsid w:val="36182570"/>
    <w:rsid w:val="36BD137C"/>
    <w:rsid w:val="385D37E7"/>
    <w:rsid w:val="38782EDD"/>
    <w:rsid w:val="39596CFA"/>
    <w:rsid w:val="396B1DBD"/>
    <w:rsid w:val="3B42664A"/>
    <w:rsid w:val="3D836A4E"/>
    <w:rsid w:val="3DBB0439"/>
    <w:rsid w:val="3EA37E97"/>
    <w:rsid w:val="3FBE0BC5"/>
    <w:rsid w:val="4048103A"/>
    <w:rsid w:val="40736643"/>
    <w:rsid w:val="40D24A7A"/>
    <w:rsid w:val="42621029"/>
    <w:rsid w:val="426A072B"/>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D6E7507"/>
    <w:rsid w:val="4E6E48A8"/>
    <w:rsid w:val="4EE86615"/>
    <w:rsid w:val="4EEC036B"/>
    <w:rsid w:val="501D2673"/>
    <w:rsid w:val="50C80BF1"/>
    <w:rsid w:val="511826D5"/>
    <w:rsid w:val="51852833"/>
    <w:rsid w:val="52F11AC8"/>
    <w:rsid w:val="534F49D9"/>
    <w:rsid w:val="53555F0F"/>
    <w:rsid w:val="535D23D5"/>
    <w:rsid w:val="53EC1565"/>
    <w:rsid w:val="56F4341A"/>
    <w:rsid w:val="575A7321"/>
    <w:rsid w:val="580C3AB9"/>
    <w:rsid w:val="583C7AE0"/>
    <w:rsid w:val="586C1E9A"/>
    <w:rsid w:val="586E0800"/>
    <w:rsid w:val="59216F96"/>
    <w:rsid w:val="598C4145"/>
    <w:rsid w:val="59957D1B"/>
    <w:rsid w:val="59D4294E"/>
    <w:rsid w:val="5B0264BF"/>
    <w:rsid w:val="5B634312"/>
    <w:rsid w:val="5B9D2CCD"/>
    <w:rsid w:val="5B9E71EA"/>
    <w:rsid w:val="5BF14F80"/>
    <w:rsid w:val="5E226FBC"/>
    <w:rsid w:val="5FE72BD2"/>
    <w:rsid w:val="60120613"/>
    <w:rsid w:val="618D5292"/>
    <w:rsid w:val="622E78FA"/>
    <w:rsid w:val="63343F70"/>
    <w:rsid w:val="63565F21"/>
    <w:rsid w:val="63E16A4E"/>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684D9C"/>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75832A5"/>
    <w:rsid w:val="77813724"/>
    <w:rsid w:val="77861774"/>
    <w:rsid w:val="78E94700"/>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character" w:customStyle="1" w:styleId="19">
    <w:name w:val="font31"/>
    <w:basedOn w:val="13"/>
    <w:qFormat/>
    <w:uiPriority w:val="0"/>
    <w:rPr>
      <w:rFonts w:hint="default" w:ascii="Arial" w:hAnsi="Arial" w:cs="Arial"/>
      <w:color w:val="000000"/>
      <w:sz w:val="20"/>
      <w:szCs w:val="20"/>
      <w:u w:val="none"/>
    </w:rPr>
  </w:style>
  <w:style w:type="character" w:customStyle="1" w:styleId="20">
    <w:name w:val="font01"/>
    <w:basedOn w:val="13"/>
    <w:qFormat/>
    <w:uiPriority w:val="0"/>
    <w:rPr>
      <w:rFonts w:hint="eastAsia" w:ascii="宋体" w:hAnsi="宋体" w:eastAsia="宋体" w:cs="宋体"/>
      <w:color w:val="000000"/>
      <w:sz w:val="20"/>
      <w:szCs w:val="20"/>
      <w:u w:val="none"/>
    </w:rPr>
  </w:style>
  <w:style w:type="paragraph" w:styleId="21">
    <w:name w:val="List Paragraph"/>
    <w:basedOn w:val="1"/>
    <w:unhideWhenUsed/>
    <w:qFormat/>
    <w:uiPriority w:val="99"/>
    <w:pPr>
      <w:ind w:firstLine="420" w:firstLineChars="200"/>
    </w:pPr>
  </w:style>
  <w:style w:type="character" w:customStyle="1" w:styleId="22">
    <w:name w:val="font21"/>
    <w:basedOn w:val="13"/>
    <w:qFormat/>
    <w:uiPriority w:val="0"/>
    <w:rPr>
      <w:rFonts w:hint="default" w:ascii="Arial" w:hAnsi="Arial" w:cs="Arial"/>
      <w:color w:val="000000"/>
      <w:sz w:val="20"/>
      <w:szCs w:val="20"/>
      <w:u w:val="none"/>
    </w:rPr>
  </w:style>
  <w:style w:type="character" w:customStyle="1" w:styleId="23">
    <w:name w:val="font61"/>
    <w:basedOn w:val="13"/>
    <w:qFormat/>
    <w:uiPriority w:val="0"/>
    <w:rPr>
      <w:rFonts w:hint="eastAsia" w:ascii="宋体" w:hAnsi="宋体" w:eastAsia="宋体" w:cs="宋体"/>
      <w:color w:val="000000"/>
      <w:sz w:val="20"/>
      <w:szCs w:val="20"/>
      <w:u w:val="none"/>
    </w:rPr>
  </w:style>
  <w:style w:type="character" w:customStyle="1" w:styleId="24">
    <w:name w:val="font11"/>
    <w:basedOn w:val="13"/>
    <w:qFormat/>
    <w:uiPriority w:val="0"/>
    <w:rPr>
      <w:rFonts w:ascii="宋体" w:hAnsi="宋体" w:eastAsia="宋体" w:cs="宋体"/>
      <w:color w:val="000000"/>
      <w:sz w:val="20"/>
      <w:szCs w:val="20"/>
      <w:u w:val="none"/>
    </w:rPr>
  </w:style>
  <w:style w:type="character" w:customStyle="1" w:styleId="25">
    <w:name w:val="font41"/>
    <w:basedOn w:val="13"/>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14625</Words>
  <Characters>15475</Characters>
  <Lines>0</Lines>
  <Paragraphs>0</Paragraphs>
  <TotalTime>1</TotalTime>
  <ScaleCrop>false</ScaleCrop>
  <LinksUpToDate>false</LinksUpToDate>
  <CharactersWithSpaces>15562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2024-10-15T11:25:32Z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