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9CFCAC">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618BB8E6">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0462B38">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F011498">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36"/>
          <w:szCs w:val="36"/>
          <w:highlight w:val="none"/>
          <w:shd w:val="clear" w:color="auto" w:fill="auto"/>
          <w:lang w:val="en-US" w:eastAsia="zh-CN"/>
        </w:rPr>
      </w:pPr>
      <w:bookmarkStart w:id="0" w:name="_Toc15679"/>
      <w:r>
        <w:rPr>
          <w:rFonts w:hint="eastAsia" w:ascii="宋体" w:hAnsi="宋体" w:eastAsia="宋体" w:cs="宋体"/>
          <w:b/>
          <w:bCs/>
          <w:color w:val="auto"/>
          <w:sz w:val="36"/>
          <w:szCs w:val="36"/>
          <w:highlight w:val="none"/>
          <w:shd w:val="clear" w:color="auto" w:fill="auto"/>
          <w:lang w:val="en-US" w:eastAsia="zh-CN"/>
        </w:rPr>
        <w:t>2017年美丽乡村建设项目-山泉村乡村旅游开发</w:t>
      </w:r>
    </w:p>
    <w:p w14:paraId="3CBEF62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2EE25E5F">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464115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CE42B7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31D317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633961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23A02E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2A9D099">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6F861BA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项目名称：水磨沟乡2017年美丽乡村建设项目-山泉村乡村旅游开发项目</w:t>
      </w:r>
    </w:p>
    <w:p w14:paraId="7F04F4E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阜康市水磨沟乡人民政府</w:t>
      </w:r>
    </w:p>
    <w:p w14:paraId="62FEAFC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阜康市水磨沟乡人民政府</w:t>
      </w:r>
    </w:p>
    <w:p w14:paraId="61E3AD1B">
      <w:pPr>
        <w:pStyle w:val="10"/>
        <w:outlineLvl w:val="9"/>
        <w:rPr>
          <w:rFonts w:hint="eastAsia" w:ascii="宋体" w:hAnsi="宋体" w:eastAsia="宋体" w:cs="宋体"/>
          <w:b/>
          <w:color w:val="auto"/>
          <w:kern w:val="2"/>
          <w:sz w:val="28"/>
          <w:szCs w:val="28"/>
          <w:highlight w:val="none"/>
          <w:shd w:val="clear" w:color="auto" w:fill="auto"/>
          <w:lang w:val="en-US" w:eastAsia="zh-CN"/>
        </w:rPr>
      </w:pPr>
    </w:p>
    <w:p w14:paraId="4A066CAE">
      <w:pPr>
        <w:rPr>
          <w:rFonts w:hint="eastAsia"/>
          <w:color w:val="auto"/>
          <w:highlight w:val="none"/>
          <w:lang w:val="en-US" w:eastAsia="zh-CN"/>
        </w:rPr>
      </w:pPr>
      <w:r>
        <w:rPr>
          <w:rFonts w:hint="eastAsia"/>
          <w:color w:val="auto"/>
          <w:highlight w:val="none"/>
          <w:lang w:val="en-US" w:eastAsia="zh-CN"/>
        </w:rPr>
        <w:br w:type="page"/>
      </w:r>
    </w:p>
    <w:p w14:paraId="15CC2C41">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3228CD30">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0BACFDE9">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51C5CADF">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A5CF1D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79A063E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2793AA26">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358BF2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183A6B8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6DFBD67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31D54A5A">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66F9CB2">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96749A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14:paraId="3FED144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2D502D9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038525A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rFonts w:hint="eastAsia"/>
              <w:color w:val="auto"/>
              <w:sz w:val="28"/>
              <w:szCs w:val="28"/>
              <w:highlight w:val="none"/>
              <w:lang w:val="en-US" w:eastAsia="zh-CN"/>
            </w:rPr>
            <w:fldChar w:fldCharType="end"/>
          </w:r>
        </w:p>
        <w:p w14:paraId="20894505">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17</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115CD4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17</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3C326A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349EC35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5AB3F24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59C968D">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39078E6">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2BA81ABB">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550218BC">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2017年美丽乡村建设项目-山泉村乡村旅游开发项目</w:t>
      </w:r>
      <w:r>
        <w:rPr>
          <w:rFonts w:hint="eastAsia" w:ascii="宋体" w:hAnsi="宋体" w:eastAsia="宋体" w:cs="宋体"/>
          <w:b/>
          <w:bCs/>
          <w:color w:val="auto"/>
          <w:sz w:val="36"/>
          <w:szCs w:val="36"/>
          <w:highlight w:val="none"/>
          <w:shd w:val="clear" w:color="auto" w:fill="auto"/>
        </w:rPr>
        <w:t>支出绩效评价报告</w:t>
      </w:r>
      <w:bookmarkEnd w:id="1"/>
    </w:p>
    <w:p w14:paraId="20E14E85">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75D72FB4">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01EBCBFE">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p>
    <w:p w14:paraId="6110A080">
      <w:pPr>
        <w:pStyle w:val="2"/>
        <w:pageBreakBefore w:val="0"/>
        <w:kinsoku/>
        <w:wordWrap/>
        <w:overflowPunct/>
        <w:topLinePunct w:val="0"/>
        <w:autoSpaceDE/>
        <w:autoSpaceDN/>
        <w:bidi w:val="0"/>
        <w:adjustRightInd/>
        <w:spacing w:line="360" w:lineRule="auto"/>
        <w:textAlignment w:val="auto"/>
        <w:rPr>
          <w:rFonts w:hint="eastAsia"/>
          <w:color w:val="auto"/>
          <w:highlight w:val="none"/>
          <w:lang w:val="en-US" w:eastAsia="zh-CN"/>
        </w:rPr>
      </w:pPr>
      <w:r>
        <w:rPr>
          <w:rFonts w:hint="eastAsia" w:ascii="宋体" w:hAnsi="宋体" w:eastAsia="宋体" w:cs="宋体"/>
          <w:b w:val="0"/>
          <w:bCs w:val="0"/>
          <w:color w:val="auto"/>
          <w:kern w:val="2"/>
          <w:sz w:val="28"/>
          <w:szCs w:val="28"/>
          <w:highlight w:val="none"/>
          <w:lang w:val="en-US" w:eastAsia="zh-CN" w:bidi="ar-SA"/>
        </w:rPr>
        <w:t>为改善农村人居环境，提升乡村基础设施水平，2017年实施改善农村人居环境建设项目-水磨沟乡乡村旅游开发-山泉村乡村旅游开发项目，强化人居环境治理，提升牧民居住环境质量。</w:t>
      </w:r>
      <w:bookmarkEnd w:id="4"/>
    </w:p>
    <w:p w14:paraId="556206A8">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7F0A9560">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ascii="宋体" w:hAnsi="宋体" w:eastAsia="宋体" w:cs="宋体"/>
          <w:b w:val="0"/>
          <w:bCs w:val="0"/>
          <w:color w:val="auto"/>
          <w:kern w:val="2"/>
          <w:sz w:val="28"/>
          <w:szCs w:val="28"/>
          <w:highlight w:val="none"/>
          <w:lang w:val="en-US" w:eastAsia="zh-CN" w:bidi="ar-SA"/>
        </w:rPr>
        <w:t>水磨沟乡乡村旅游开发-山泉村乡村旅游开发项目，包括3.9公里石头路步道、硬化。主要施工内容：15cm厚C30水泥混凝土道路、路长3575.6m、款4m,混凝土路沿石安装等。</w:t>
      </w:r>
    </w:p>
    <w:p w14:paraId="2EEDACF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b/>
          <w:bCs/>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2017</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阜发改投资〔2017〕91号</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项目领导</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木拉提别克</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张金龙</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项目负责人为王启行,</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王启行</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张金龙</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张金龙</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王启行</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财政局</w:t>
      </w:r>
      <w:r>
        <w:rPr>
          <w:rFonts w:hint="eastAsia" w:ascii="宋体" w:hAnsi="宋体" w:eastAsia="宋体" w:cs="宋体"/>
          <w:color w:val="auto"/>
          <w:highlight w:val="none"/>
          <w:shd w:val="clear" w:color="auto" w:fill="auto"/>
          <w:lang w:val="en-US" w:eastAsia="zh-CN"/>
        </w:rPr>
        <w:t>负责资金拨付工作。</w:t>
      </w:r>
    </w:p>
    <w:p w14:paraId="7C82566A">
      <w:pPr>
        <w:pStyle w:val="5"/>
        <w:rPr>
          <w:rFonts w:hint="default"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本项目完成15cm厚C30水泥混凝土道路、路长3575.6m、宽4m，混凝土路沿石安装等，完成竣工验收和审计工作，正常投入使用）</w:t>
      </w:r>
    </w:p>
    <w:p w14:paraId="0E0EC656">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24109A5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721464C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b w:val="0"/>
          <w:bCs/>
          <w:color w:val="auto"/>
          <w:kern w:val="2"/>
          <w:sz w:val="28"/>
          <w:szCs w:val="28"/>
          <w:highlight w:val="none"/>
          <w:shd w:val="clear" w:color="auto" w:fill="auto"/>
          <w:lang w:val="en-US" w:eastAsia="zh-CN"/>
        </w:rPr>
        <w:t>2017年美丽乡村建设项目-山泉村乡村旅游开发项目</w:t>
      </w:r>
      <w:r>
        <w:rPr>
          <w:rFonts w:hint="eastAsia" w:ascii="宋体" w:hAnsi="宋体" w:eastAsia="宋体" w:cs="宋体"/>
          <w:color w:val="auto"/>
          <w:highlight w:val="none"/>
          <w:shd w:val="clear" w:color="auto" w:fill="auto"/>
          <w:lang w:val="en-US" w:eastAsia="zh-CN"/>
        </w:rPr>
        <w:t>预算安排总额为10万元，其中财政资金10万元，其他资金0万元，20</w:t>
      </w:r>
      <w:r>
        <w:rPr>
          <w:rFonts w:hint="eastAsia" w:cs="宋体"/>
          <w:color w:val="auto"/>
          <w:highlight w:val="none"/>
          <w:shd w:val="clear" w:color="auto" w:fill="auto"/>
          <w:lang w:val="en-US" w:eastAsia="zh-CN"/>
        </w:rPr>
        <w:t>23</w:t>
      </w:r>
      <w:r>
        <w:rPr>
          <w:rFonts w:hint="eastAsia" w:ascii="宋体" w:hAnsi="宋体" w:eastAsia="宋体" w:cs="宋体"/>
          <w:color w:val="auto"/>
          <w:highlight w:val="none"/>
          <w:shd w:val="clear" w:color="auto" w:fill="auto"/>
          <w:lang w:val="en-US" w:eastAsia="zh-CN"/>
        </w:rPr>
        <w:t>年实际收到预算资金10万元，预算资金到位率为100%。</w:t>
      </w:r>
    </w:p>
    <w:p w14:paraId="6E1CD94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04B8D159">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w:t>
      </w:r>
      <w:r>
        <w:rPr>
          <w:rFonts w:hint="eastAsia" w:ascii="宋体" w:hAnsi="宋体" w:eastAsia="宋体" w:cs="宋体"/>
          <w:color w:val="auto"/>
          <w:highlight w:val="none"/>
          <w:shd w:val="clear" w:color="auto" w:fill="auto"/>
          <w:lang w:val="en-US" w:eastAsia="zh-CN"/>
        </w:rPr>
        <w:t>2017年美丽乡村建设项目-山泉村乡村旅游开发项目</w:t>
      </w:r>
      <w:r>
        <w:rPr>
          <w:rFonts w:hint="eastAsia" w:ascii="宋体" w:hAnsi="宋体" w:eastAsia="宋体" w:cs="宋体"/>
          <w:color w:val="auto"/>
          <w:highlight w:val="none"/>
          <w:shd w:val="clear" w:color="auto" w:fill="auto"/>
        </w:rPr>
        <w:t>实际支付资金</w:t>
      </w:r>
      <w:r>
        <w:rPr>
          <w:rFonts w:hint="eastAsia" w:ascii="宋体" w:hAnsi="宋体" w:eastAsia="宋体" w:cs="宋体"/>
          <w:color w:val="auto"/>
          <w:highlight w:val="none"/>
          <w:shd w:val="clear" w:color="auto" w:fill="auto"/>
          <w:lang w:val="en-US" w:eastAsia="zh-CN"/>
        </w:rPr>
        <w:t>10</w:t>
      </w:r>
      <w:r>
        <w:rPr>
          <w:rFonts w:hint="eastAsia" w:ascii="宋体" w:hAnsi="宋体" w:eastAsia="宋体" w:cs="宋体"/>
          <w:color w:val="auto"/>
          <w:highlight w:val="none"/>
          <w:shd w:val="clear" w:color="auto" w:fill="auto"/>
        </w:rPr>
        <w:t>万元，预算执行率</w:t>
      </w:r>
      <w:r>
        <w:rPr>
          <w:rFonts w:hint="eastAsia" w:ascii="宋体" w:hAnsi="宋体" w:eastAsia="宋体"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ascii="宋体" w:hAnsi="宋体" w:eastAsia="宋体"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ascii="宋体" w:hAnsi="宋体" w:eastAsia="宋体" w:cs="宋体"/>
          <w:color w:val="auto"/>
          <w:highlight w:val="none"/>
          <w:shd w:val="clear" w:color="auto" w:fill="auto"/>
          <w:lang w:val="en-US" w:eastAsia="zh-CN"/>
        </w:rPr>
        <w:t>0万元，已上缴国库。</w:t>
      </w:r>
      <w:r>
        <w:rPr>
          <w:rFonts w:hint="eastAsia" w:ascii="宋体" w:hAnsi="宋体" w:eastAsia="宋体" w:cs="宋体"/>
          <w:color w:val="auto"/>
          <w:highlight w:val="none"/>
          <w:shd w:val="clear" w:color="auto" w:fill="auto"/>
        </w:rPr>
        <w:t>项目资金主要用于</w:t>
      </w:r>
      <w:r>
        <w:rPr>
          <w:rFonts w:hint="eastAsia" w:ascii="宋体" w:hAnsi="宋体" w:eastAsia="宋体" w:cs="宋体"/>
          <w:color w:val="auto"/>
          <w:highlight w:val="none"/>
          <w:shd w:val="clear" w:color="auto" w:fill="auto"/>
          <w:lang w:val="en-US" w:eastAsia="zh-CN"/>
        </w:rPr>
        <w:t>化解债务等</w:t>
      </w:r>
      <w:r>
        <w:rPr>
          <w:rFonts w:hint="eastAsia" w:cs="宋体"/>
          <w:color w:val="auto"/>
          <w:highlight w:val="none"/>
          <w:shd w:val="clear" w:color="auto" w:fill="auto"/>
          <w:lang w:val="en-US" w:eastAsia="zh-CN"/>
        </w:rPr>
        <w:t>方面。</w:t>
      </w:r>
    </w:p>
    <w:p w14:paraId="6E3C6637">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2BCE75F0">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3DCEA7E4">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val="0"/>
          <w:bCs w:val="0"/>
          <w:color w:val="auto"/>
          <w:highlight w:val="none"/>
          <w:shd w:val="clear" w:color="auto" w:fill="auto"/>
          <w:lang w:val="en-US" w:eastAsia="zh-CN"/>
        </w:rPr>
      </w:pPr>
      <w:r>
        <w:rPr>
          <w:rFonts w:hint="eastAsia" w:ascii="宋体" w:hAnsi="宋体" w:eastAsia="宋体" w:cs="宋体"/>
          <w:b w:val="0"/>
          <w:bCs/>
          <w:color w:val="auto"/>
          <w:kern w:val="2"/>
          <w:sz w:val="28"/>
          <w:szCs w:val="28"/>
          <w:highlight w:val="none"/>
          <w:shd w:val="clear" w:color="auto" w:fill="auto"/>
          <w:lang w:val="en-US" w:eastAsia="zh-CN"/>
        </w:rPr>
        <w:t>2017年美丽乡村建设项目-山泉村乡村旅游开发项目</w:t>
      </w:r>
      <w:r>
        <w:rPr>
          <w:rFonts w:hint="eastAsia" w:cs="宋体"/>
          <w:color w:val="auto"/>
          <w:highlight w:val="none"/>
          <w:shd w:val="clear" w:color="auto" w:fill="auto"/>
          <w:lang w:val="en-US" w:eastAsia="zh-CN"/>
        </w:rPr>
        <w:t>绩效总体目标为</w:t>
      </w:r>
      <w:r>
        <w:rPr>
          <w:rFonts w:hint="eastAsia" w:cs="宋体"/>
          <w:b w:val="0"/>
          <w:bCs w:val="0"/>
          <w:color w:val="auto"/>
          <w:highlight w:val="none"/>
          <w:shd w:val="clear" w:color="auto" w:fill="auto"/>
          <w:lang w:val="en-US" w:eastAsia="zh-CN"/>
        </w:rPr>
        <w:t>：通过支付水磨沟乡2017年美丽乡村建设项目-山泉村乡村旅游开发项目工程款，按照甲乙双方还款约定，计划年内支付10万元，用于及时回流施工单位资金，同时化解本级债务矛盾，促进社会和谐稳定</w:t>
      </w:r>
    </w:p>
    <w:p w14:paraId="6EA8625C">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34F24E7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0EAE530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67235C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3281D92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支付工程尾款施工单位数量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1家</w:t>
      </w:r>
      <w:r>
        <w:rPr>
          <w:rFonts w:hint="eastAsia" w:ascii="宋体" w:hAnsi="宋体" w:eastAsia="宋体" w:cs="宋体"/>
          <w:color w:val="auto"/>
          <w:highlight w:val="none"/>
          <w:shd w:val="clear" w:color="auto" w:fill="auto"/>
          <w:lang w:val="en-US" w:eastAsia="zh-CN"/>
        </w:rPr>
        <w:t>；</w:t>
      </w:r>
    </w:p>
    <w:p w14:paraId="1CFDE5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2F6AE2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资金支付准确率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5913B92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38662C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资金支付及时率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31BE6F5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资金发放完成时间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2023年5月</w:t>
      </w:r>
      <w:r>
        <w:rPr>
          <w:rFonts w:hint="eastAsia" w:ascii="宋体" w:hAnsi="宋体" w:eastAsia="宋体" w:cs="宋体"/>
          <w:color w:val="auto"/>
          <w:highlight w:val="none"/>
          <w:shd w:val="clear" w:color="auto" w:fill="auto"/>
          <w:lang w:val="en-US" w:eastAsia="zh-CN"/>
        </w:rPr>
        <w:t>；</w:t>
      </w:r>
    </w:p>
    <w:p w14:paraId="512820B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07B8169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支付工程尾款施工单位成本</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10万元</w:t>
      </w:r>
      <w:r>
        <w:rPr>
          <w:rFonts w:hint="eastAsia" w:ascii="宋体" w:hAnsi="宋体" w:eastAsia="宋体" w:cs="宋体"/>
          <w:color w:val="auto"/>
          <w:highlight w:val="none"/>
          <w:shd w:val="clear" w:color="auto" w:fill="auto"/>
          <w:lang w:val="en-US" w:eastAsia="zh-CN"/>
        </w:rPr>
        <w:t>；</w:t>
      </w:r>
    </w:p>
    <w:p w14:paraId="6AFD95C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06B11DB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0EA84E1D">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经济效益指标；</w:t>
      </w:r>
    </w:p>
    <w:p w14:paraId="3958B90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6D9B545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改善辖区生态环境</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持续改善</w:t>
      </w:r>
      <w:r>
        <w:rPr>
          <w:rFonts w:hint="eastAsia" w:ascii="宋体" w:hAnsi="宋体" w:eastAsia="宋体" w:cs="宋体"/>
          <w:color w:val="auto"/>
          <w:highlight w:val="none"/>
          <w:shd w:val="clear" w:color="auto" w:fill="auto"/>
          <w:lang w:val="en-US" w:eastAsia="zh-CN"/>
        </w:rPr>
        <w:t>；</w:t>
      </w:r>
    </w:p>
    <w:p w14:paraId="6311B3A2">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570686A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w:t>
      </w:r>
      <w:r>
        <w:rPr>
          <w:rFonts w:hint="eastAsia" w:ascii="宋体" w:hAnsi="宋体" w:eastAsia="宋体" w:cs="宋体"/>
          <w:color w:val="auto"/>
          <w:highlight w:val="none"/>
          <w:shd w:val="clear" w:color="auto" w:fill="auto"/>
          <w:lang w:val="en-US" w:eastAsia="zh-CN"/>
        </w:rPr>
        <w:t>效益指标；</w:t>
      </w:r>
    </w:p>
    <w:p w14:paraId="561263F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3E01259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可持续影响指标；</w:t>
      </w:r>
    </w:p>
    <w:p w14:paraId="36DAB45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436A492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辖区群众满意度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r>
        <w:rPr>
          <w:rFonts w:hint="eastAsia" w:cs="宋体"/>
          <w:color w:val="auto"/>
          <w:highlight w:val="none"/>
          <w:shd w:val="clear" w:color="auto" w:fill="auto"/>
          <w:lang w:val="en-US" w:eastAsia="zh-CN"/>
        </w:rPr>
        <w:t>。</w:t>
      </w:r>
    </w:p>
    <w:p w14:paraId="76388A1B">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7A20E59A">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5462343"/>
      <w:bookmarkStart w:id="13" w:name="_Toc21664"/>
      <w:bookmarkStart w:id="14" w:name="_Toc480473081"/>
      <w:bookmarkStart w:id="15" w:name="_Toc22169_WPSOffice_Level2"/>
      <w:bookmarkStart w:id="16" w:name="_Toc12868"/>
      <w:bookmarkStart w:id="17" w:name="_Toc26632"/>
      <w:bookmarkStart w:id="18" w:name="_Toc22922"/>
      <w:bookmarkStart w:id="19" w:name="_Toc5258"/>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60031CC1">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76AB58C5">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130FE015">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53F4EF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年度我单位实施的水磨沟乡2017年美丽乡村建设项目-山泉村乡村旅游开发项目开展部门绩效评价。</w:t>
      </w:r>
    </w:p>
    <w:p w14:paraId="1523695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69DF0FD2">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1A56E4CD">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35ADC43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水磨沟乡2017年美丽乡村建设项目-山泉村乡村旅游开发项目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448CC0A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34C9337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3482598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11FFA5E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4B9856D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30813456">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19984722"/>
      <w:bookmarkStart w:id="26" w:name="_Toc26131"/>
      <w:bookmarkStart w:id="27" w:name="_Toc428278230"/>
      <w:bookmarkStart w:id="28" w:name="_Toc1913"/>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4EE4A74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00EB008D">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6AE67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6A5D69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2E2D62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61EE1B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75A395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6C1E98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11985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28BA92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65DBFE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1F2CE4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40B900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1471CA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691D37D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354F5A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1A8B165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720F525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636434A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57E2554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1F891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0CD52C4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D593C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09159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19EFD5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0A7C420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7C40D98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8BB742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31D39B6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636D05F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3E533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6BD29E5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14726B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0C83E0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00E70F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38A636F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3C44A01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2345A5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7CA171A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67E42C5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51D8307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550DF4C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56F25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573891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94ACD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37246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3AB1F5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6F0C54C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6BA090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DF931B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730344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04E9BD5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7CDB3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067C5E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638D52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686781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44EAD1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795054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71A9B9F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C3C08B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1416D61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6659750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7E10819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23BD4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334707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ECC17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FEAA4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1F7C8B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396B3AF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6CD40B1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B2A84A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475FB2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13723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2431CB8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71C75E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25BD75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2ABEA41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68A3162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09C550F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75FAF3C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0A9E6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215F0EE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CF0E95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B26C5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113C677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493AB20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1DD58E5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5E1FF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51B1D2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D22DD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A77C5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554381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357295D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1EA31A2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D10FD9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5A567B3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12105AB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0D4A5E4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54135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4585A13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24DD0B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663897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5E84B7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45D8C3E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79E0E62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637382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5CD690B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72F74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2275FA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98CCC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1FA13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138519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1CE355C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3F25055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E136A8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0DFA296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7A50948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644E001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74E34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3C50FE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326216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35B67A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76537EE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17DDB9B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343CB8E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6105547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1AC2D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4CAD2C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67E327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1B07B9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3574DEF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1B4D846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3500C8C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389B4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5A04BB1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0487EC0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4C5D4A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785D562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70CA9B8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1AA4BDA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0A0FF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2CEC12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0CAF4A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0B6DAE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36E479D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542C13D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2488BF0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00FF23F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15221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2B3157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08BE58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76A100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6895EF8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62ED028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298A7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42BF2D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F0F74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FA5F3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578FEB0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521EC7D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02D7396F">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1AAB90F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水磨沟乡2017年美丽乡村建设项目-山泉村乡村旅游开发项目</w:t>
      </w:r>
      <w:r>
        <w:rPr>
          <w:rFonts w:hint="eastAsia" w:ascii="宋体" w:hAnsi="宋体" w:eastAsia="宋体" w:cs="宋体"/>
          <w:color w:val="auto"/>
          <w:highlight w:val="none"/>
          <w:shd w:val="clear" w:color="auto" w:fill="auto"/>
          <w:lang w:val="en-US" w:eastAsia="zh-CN"/>
        </w:rPr>
        <w:t>进行评价。</w:t>
      </w:r>
    </w:p>
    <w:p w14:paraId="78CF4189">
      <w:pPr>
        <w:pStyle w:val="2"/>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18138F2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5BFECA7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47A120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5D045B72">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599E7636">
      <w:pPr>
        <w:pStyle w:val="2"/>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63001B0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5ECC95A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79F3D8D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13EA2AF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4B3CA4A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水磨沟乡2017年美丽乡村建设项目-山泉村乡村旅游开发项目</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14:paraId="4FF8DE6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516862A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6223C86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0F91FA8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453C646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3CCF20F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32EB2D2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04E7A6A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52F63F6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5E3A8A1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3946545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5515943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11D79DD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09BA02A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51D163E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4AC90DB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0B13166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684B0280">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7EF5545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79E0F09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2E11CB8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水磨沟乡2017年美丽乡村建设项目-山泉村乡村旅游开发项目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优秀</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44F1E8A0">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7C250B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表3-1：水磨沟乡2017年美丽乡村建设项目-山泉村乡村旅游开发项目得分表</w:t>
            </w:r>
          </w:p>
        </w:tc>
      </w:tr>
      <w:tr w14:paraId="28E4F073">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5C6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AA3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3B1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086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7C2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B39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3912825F">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D21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4B5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C06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29D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C23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97E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68AD0CF0">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39A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F8B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B73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F70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0B6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8B3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14:paraId="3F06C28B">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519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717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13E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92C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E48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6289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14:paraId="22812CA6">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3B91BE3A">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2A71B32F">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2CEE57FC">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588AE112">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E7A2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27AB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D818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AC68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ADFB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FA5B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0CA8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1FB86A70">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F5123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72DCD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366B0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B8E54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56F5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DE20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8F43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68AF5EF5">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CB6EE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36FB4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F11F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9808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DE30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78D5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AC71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3AA25E10">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C3B60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D4FD4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FA7E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AA99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A722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E5CF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61D7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7B007D6F">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B0B6B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B5A21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5A83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857A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1C4C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1332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5824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8B52CCD">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87F91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3AC14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E4C7B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CC26C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BFE8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BC07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DC76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542A312">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BE01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A3B7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BB4E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B4CC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175B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C35E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F31F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1B258DD7">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C35B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40AF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2C4C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6378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4740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14:paraId="024AEA7C">
      <w:pPr>
        <w:bidi w:val="0"/>
        <w:ind w:left="0" w:leftChars="0" w:firstLine="0" w:firstLineChars="0"/>
        <w:rPr>
          <w:rFonts w:hint="eastAsia"/>
          <w:b/>
          <w:bCs/>
          <w:color w:val="auto"/>
          <w:highlight w:val="none"/>
          <w:lang w:val="en-US" w:eastAsia="zh-CN"/>
        </w:rPr>
      </w:pPr>
    </w:p>
    <w:p w14:paraId="10CA0CA0">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0E14E888">
      <w:pPr>
        <w:bidi w:val="0"/>
        <w:rPr>
          <w:rFonts w:hint="eastAsia"/>
          <w:color w:val="auto"/>
          <w:highlight w:val="none"/>
          <w:lang w:eastAsia="zh-CN"/>
        </w:rPr>
      </w:pPr>
      <w:r>
        <w:rPr>
          <w:rFonts w:hint="eastAsia"/>
          <w:color w:val="auto"/>
          <w:highlight w:val="none"/>
          <w:lang w:eastAsia="zh-CN"/>
        </w:rPr>
        <w:t>①项目立项符合《</w:t>
      </w:r>
      <w:r>
        <w:rPr>
          <w:rFonts w:hint="eastAsia"/>
          <w:color w:val="auto"/>
          <w:highlight w:val="none"/>
          <w:lang w:val="en-US" w:eastAsia="zh-CN"/>
        </w:rPr>
        <w:t>预算法</w:t>
      </w:r>
      <w:r>
        <w:rPr>
          <w:rFonts w:hint="eastAsia"/>
          <w:color w:val="auto"/>
          <w:highlight w:val="none"/>
          <w:lang w:eastAsia="zh-CN"/>
        </w:rPr>
        <w:t>》《</w:t>
      </w:r>
      <w:r>
        <w:rPr>
          <w:rFonts w:hint="eastAsia"/>
          <w:color w:val="auto"/>
          <w:highlight w:val="none"/>
          <w:lang w:val="en-US" w:eastAsia="zh-CN"/>
        </w:rPr>
        <w:t>阜康市党委常委（扩大）会议纪要</w:t>
      </w:r>
      <w:r>
        <w:rPr>
          <w:rFonts w:hint="eastAsia"/>
          <w:color w:val="auto"/>
          <w:highlight w:val="none"/>
          <w:lang w:eastAsia="zh-CN"/>
        </w:rPr>
        <w:t>》（</w:t>
      </w:r>
      <w:r>
        <w:rPr>
          <w:rFonts w:hint="eastAsia"/>
          <w:color w:val="auto"/>
          <w:highlight w:val="none"/>
          <w:lang w:val="en-US" w:eastAsia="zh-CN"/>
        </w:rPr>
        <w:t>阜党常【2016】21号</w:t>
      </w:r>
      <w:r>
        <w:rPr>
          <w:rFonts w:hint="eastAsia"/>
          <w:color w:val="auto"/>
          <w:highlight w:val="none"/>
          <w:lang w:eastAsia="zh-CN"/>
        </w:rPr>
        <w:t>）；</w:t>
      </w:r>
    </w:p>
    <w:p w14:paraId="39366E35">
      <w:pPr>
        <w:bidi w:val="0"/>
        <w:rPr>
          <w:rFonts w:hint="eastAsia"/>
          <w:color w:val="auto"/>
          <w:highlight w:val="none"/>
          <w:lang w:eastAsia="zh-CN"/>
        </w:rPr>
      </w:pPr>
      <w:r>
        <w:rPr>
          <w:rFonts w:hint="eastAsia"/>
          <w:color w:val="auto"/>
          <w:highlight w:val="none"/>
          <w:lang w:eastAsia="zh-CN"/>
        </w:rPr>
        <w:t>②项目立项符合《</w:t>
      </w:r>
      <w:r>
        <w:rPr>
          <w:rFonts w:hint="eastAsia"/>
          <w:color w:val="auto"/>
          <w:highlight w:val="none"/>
          <w:lang w:val="en-US" w:eastAsia="zh-CN"/>
        </w:rPr>
        <w:t>建设工程工程量清单计价规范</w:t>
      </w:r>
      <w:r>
        <w:rPr>
          <w:rFonts w:hint="eastAsia"/>
          <w:color w:val="auto"/>
          <w:highlight w:val="none"/>
          <w:lang w:eastAsia="zh-CN"/>
        </w:rPr>
        <w:t>》《</w:t>
      </w:r>
      <w:r>
        <w:rPr>
          <w:rFonts w:hint="eastAsia"/>
          <w:color w:val="auto"/>
          <w:highlight w:val="none"/>
          <w:lang w:val="en-US" w:eastAsia="zh-CN"/>
        </w:rPr>
        <w:t>新疆维吾尔自治区市政工程费用定额</w:t>
      </w:r>
      <w:r>
        <w:rPr>
          <w:rFonts w:hint="eastAsia"/>
          <w:color w:val="auto"/>
          <w:highlight w:val="none"/>
          <w:lang w:eastAsia="zh-CN"/>
        </w:rPr>
        <w:t>》；</w:t>
      </w:r>
    </w:p>
    <w:p w14:paraId="58D81CA4">
      <w:pPr>
        <w:bidi w:val="0"/>
        <w:rPr>
          <w:rFonts w:hint="eastAsia"/>
          <w:color w:val="auto"/>
          <w:highlight w:val="none"/>
          <w:lang w:eastAsia="zh-CN"/>
        </w:rPr>
      </w:pPr>
      <w:r>
        <w:rPr>
          <w:rFonts w:hint="eastAsia"/>
          <w:color w:val="auto"/>
          <w:highlight w:val="none"/>
          <w:lang w:eastAsia="zh-CN"/>
        </w:rPr>
        <w:t>③项目立项与</w:t>
      </w:r>
      <w:r>
        <w:rPr>
          <w:rFonts w:hint="eastAsia"/>
          <w:color w:val="auto"/>
          <w:highlight w:val="none"/>
          <w:lang w:val="en-US" w:eastAsia="zh-CN"/>
        </w:rPr>
        <w:t>山泉中心村道路进行指导、规划、协调，职责范围</w:t>
      </w:r>
      <w:r>
        <w:rPr>
          <w:rFonts w:hint="eastAsia"/>
          <w:color w:val="auto"/>
          <w:highlight w:val="none"/>
          <w:lang w:eastAsia="zh-CN"/>
        </w:rPr>
        <w:t>相符，属于部门履职所需；</w:t>
      </w:r>
    </w:p>
    <w:p w14:paraId="53512568">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65EDC67A">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62BD0281">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6C7B649E">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258F2318">
      <w:pPr>
        <w:bidi w:val="0"/>
        <w:rPr>
          <w:rFonts w:hint="eastAsia"/>
          <w:color w:val="auto"/>
          <w:highlight w:val="none"/>
          <w:lang w:eastAsia="zh-CN"/>
        </w:rPr>
      </w:pPr>
      <w:r>
        <w:rPr>
          <w:rFonts w:hint="eastAsia"/>
          <w:color w:val="auto"/>
          <w:highlight w:val="none"/>
          <w:lang w:eastAsia="zh-CN"/>
        </w:rPr>
        <w:t>①项目按照规定的程序申请设立；</w:t>
      </w:r>
    </w:p>
    <w:p w14:paraId="4ECEC8EE">
      <w:pPr>
        <w:bidi w:val="0"/>
        <w:rPr>
          <w:rFonts w:hint="eastAsia"/>
          <w:color w:val="auto"/>
          <w:highlight w:val="none"/>
          <w:lang w:eastAsia="zh-CN"/>
        </w:rPr>
      </w:pPr>
      <w:r>
        <w:rPr>
          <w:rFonts w:hint="eastAsia"/>
          <w:color w:val="auto"/>
          <w:highlight w:val="none"/>
          <w:lang w:eastAsia="zh-CN"/>
        </w:rPr>
        <w:t>②审批文件、材料符合相关要求；</w:t>
      </w:r>
    </w:p>
    <w:p w14:paraId="4C96A8EC">
      <w:pPr>
        <w:bidi w:val="0"/>
        <w:rPr>
          <w:rFonts w:hint="default" w:eastAsia="宋体"/>
          <w:color w:val="auto"/>
          <w:highlight w:val="none"/>
          <w:lang w:val="en-US" w:eastAsia="zh-CN"/>
        </w:rPr>
      </w:pPr>
      <w:r>
        <w:rPr>
          <w:rFonts w:hint="eastAsia"/>
          <w:color w:val="auto"/>
          <w:highlight w:val="none"/>
          <w:lang w:eastAsia="zh-CN"/>
        </w:rPr>
        <w:t>③事前经过必要的可行性研究、专家论证、风险评估、绩效评估、集体决策。</w:t>
      </w:r>
      <w:r>
        <w:rPr>
          <w:rFonts w:hint="eastAsia"/>
          <w:color w:val="auto"/>
          <w:highlight w:val="none"/>
          <w:lang w:val="en-US" w:eastAsia="zh-CN"/>
        </w:rPr>
        <w:t>根据</w:t>
      </w:r>
      <w:r>
        <w:rPr>
          <w:rFonts w:hint="eastAsia" w:cs="宋体"/>
          <w:color w:val="auto"/>
          <w:highlight w:val="none"/>
          <w:shd w:val="clear" w:color="auto" w:fill="auto"/>
          <w:lang w:val="en-US" w:eastAsia="zh-CN"/>
        </w:rPr>
        <w:t>阜发改投资〔2017〕91号</w:t>
      </w:r>
      <w:r>
        <w:rPr>
          <w:rFonts w:hint="eastAsia" w:ascii="宋体" w:hAnsi="宋体" w:eastAsia="宋体" w:cs="宋体"/>
          <w:color w:val="auto"/>
          <w:highlight w:val="none"/>
          <w:shd w:val="clear" w:color="auto" w:fill="auto"/>
          <w:lang w:val="en-US" w:eastAsia="zh-CN"/>
        </w:rPr>
        <w:t>文件批复，</w:t>
      </w:r>
      <w:r>
        <w:rPr>
          <w:rFonts w:hint="eastAsia"/>
          <w:color w:val="auto"/>
          <w:highlight w:val="none"/>
          <w:lang w:eastAsia="zh-CN"/>
        </w:rPr>
        <w:t>《</w:t>
      </w:r>
      <w:r>
        <w:rPr>
          <w:rFonts w:hint="eastAsia"/>
          <w:color w:val="auto"/>
          <w:highlight w:val="none"/>
          <w:lang w:val="en-US" w:eastAsia="zh-CN"/>
        </w:rPr>
        <w:t>阜康市党委常委（扩大）会议纪要</w:t>
      </w:r>
      <w:r>
        <w:rPr>
          <w:rFonts w:hint="eastAsia"/>
          <w:color w:val="auto"/>
          <w:highlight w:val="none"/>
          <w:lang w:eastAsia="zh-CN"/>
        </w:rPr>
        <w:t>》（</w:t>
      </w:r>
      <w:r>
        <w:rPr>
          <w:rFonts w:hint="eastAsia"/>
          <w:color w:val="auto"/>
          <w:highlight w:val="none"/>
          <w:lang w:val="en-US" w:eastAsia="zh-CN"/>
        </w:rPr>
        <w:t>阜党常【2016】21号</w:t>
      </w:r>
      <w:r>
        <w:rPr>
          <w:rFonts w:hint="eastAsia"/>
          <w:color w:val="auto"/>
          <w:highlight w:val="none"/>
          <w:lang w:eastAsia="zh-CN"/>
        </w:rPr>
        <w:t>）</w:t>
      </w:r>
      <w:r>
        <w:rPr>
          <w:rFonts w:hint="eastAsia"/>
          <w:color w:val="auto"/>
          <w:highlight w:val="none"/>
          <w:lang w:val="en-US" w:eastAsia="zh-CN"/>
        </w:rPr>
        <w:t>会议决定，3.9公里石头路建设。未经过</w:t>
      </w:r>
      <w:r>
        <w:rPr>
          <w:rFonts w:hint="eastAsia"/>
          <w:color w:val="auto"/>
          <w:highlight w:val="none"/>
          <w:lang w:eastAsia="zh-CN"/>
        </w:rPr>
        <w:t>绩效评估，</w:t>
      </w:r>
      <w:r>
        <w:rPr>
          <w:rFonts w:hint="eastAsia"/>
          <w:color w:val="auto"/>
          <w:highlight w:val="none"/>
          <w:lang w:val="en-US" w:eastAsia="zh-CN"/>
        </w:rPr>
        <w:t>扣1分。</w:t>
      </w:r>
    </w:p>
    <w:p w14:paraId="51BC835D">
      <w:pPr>
        <w:bidi w:val="0"/>
        <w:rPr>
          <w:rFonts w:hint="eastAsia"/>
          <w:color w:val="auto"/>
          <w:highlight w:val="none"/>
          <w:lang w:eastAsia="zh-CN"/>
        </w:rPr>
      </w:pPr>
      <w:r>
        <w:rPr>
          <w:rFonts w:hint="eastAsia"/>
          <w:b/>
          <w:bCs/>
          <w:color w:val="auto"/>
          <w:highlight w:val="none"/>
          <w:lang w:val="en-US" w:eastAsia="zh-CN"/>
        </w:rPr>
        <w:t>综上，该项指标满分3分，得分2分。</w:t>
      </w:r>
    </w:p>
    <w:p w14:paraId="4E5B1489">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2A5F61C0">
      <w:pPr>
        <w:bidi w:val="0"/>
        <w:rPr>
          <w:rFonts w:hint="eastAsia"/>
          <w:color w:val="auto"/>
          <w:highlight w:val="none"/>
          <w:lang w:eastAsia="zh-CN"/>
        </w:rPr>
      </w:pPr>
      <w:r>
        <w:rPr>
          <w:rFonts w:hint="eastAsia"/>
          <w:color w:val="auto"/>
          <w:highlight w:val="none"/>
          <w:lang w:eastAsia="zh-CN"/>
        </w:rPr>
        <w:t>①项目有绩效目标；</w:t>
      </w:r>
    </w:p>
    <w:p w14:paraId="685AD5CA">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4D7E8A48">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14:paraId="285A57A8">
      <w:pPr>
        <w:bidi w:val="0"/>
        <w:rPr>
          <w:rFonts w:hint="eastAsia"/>
          <w:color w:val="auto"/>
          <w:highlight w:val="none"/>
          <w:lang w:eastAsia="zh-CN"/>
        </w:rPr>
      </w:pPr>
      <w:r>
        <w:rPr>
          <w:rFonts w:hint="eastAsia"/>
          <w:color w:val="auto"/>
          <w:highlight w:val="none"/>
          <w:lang w:eastAsia="zh-CN"/>
        </w:rPr>
        <w:t>④与预算确定的项目投资额或资金量相匹配。</w:t>
      </w:r>
    </w:p>
    <w:p w14:paraId="1ECD8985">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699B2F0A">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1A10A2E8">
      <w:pPr>
        <w:bidi w:val="0"/>
        <w:rPr>
          <w:rFonts w:hint="eastAsia"/>
          <w:color w:val="auto"/>
          <w:highlight w:val="none"/>
          <w:lang w:eastAsia="zh-CN"/>
        </w:rPr>
      </w:pPr>
      <w:r>
        <w:rPr>
          <w:rFonts w:hint="eastAsia"/>
          <w:color w:val="auto"/>
          <w:highlight w:val="none"/>
          <w:lang w:eastAsia="zh-CN"/>
        </w:rPr>
        <w:t>①将项目绩效目标细化分解为具体的绩效指标，</w:t>
      </w:r>
      <w:r>
        <w:rPr>
          <w:rFonts w:hint="eastAsia" w:ascii="宋体" w:hAnsi="宋体" w:eastAsia="宋体" w:cs="宋体"/>
          <w:b w:val="0"/>
          <w:bCs w:val="0"/>
          <w:color w:val="auto"/>
          <w:kern w:val="2"/>
          <w:sz w:val="28"/>
          <w:szCs w:val="28"/>
          <w:highlight w:val="none"/>
          <w:lang w:val="en-US" w:eastAsia="zh-CN" w:bidi="ar-SA"/>
        </w:rPr>
        <w:t>项目绩效有4个一级指标，6个二级指标，7个三级指标</w:t>
      </w:r>
      <w:r>
        <w:rPr>
          <w:rFonts w:hint="eastAsia"/>
          <w:color w:val="auto"/>
          <w:highlight w:val="none"/>
          <w:lang w:eastAsia="zh-CN"/>
        </w:rPr>
        <w:t>；</w:t>
      </w:r>
    </w:p>
    <w:p w14:paraId="731C5A7C">
      <w:pPr>
        <w:bidi w:val="0"/>
        <w:rPr>
          <w:rFonts w:hint="eastAsia"/>
          <w:color w:val="auto"/>
          <w:highlight w:val="none"/>
          <w:lang w:eastAsia="zh-CN"/>
        </w:rPr>
      </w:pPr>
      <w:r>
        <w:rPr>
          <w:rFonts w:hint="eastAsia"/>
          <w:color w:val="auto"/>
          <w:highlight w:val="none"/>
          <w:lang w:eastAsia="zh-CN"/>
        </w:rPr>
        <w:t>②通过清晰、可衡量的指标值予以体现，</w:t>
      </w:r>
      <w:r>
        <w:rPr>
          <w:rFonts w:hint="eastAsia" w:ascii="宋体" w:hAnsi="宋体" w:eastAsia="宋体" w:cs="宋体"/>
          <w:b w:val="0"/>
          <w:bCs w:val="0"/>
          <w:color w:val="auto"/>
          <w:kern w:val="2"/>
          <w:sz w:val="28"/>
          <w:szCs w:val="28"/>
          <w:highlight w:val="none"/>
          <w:lang w:val="en-US" w:eastAsia="zh-CN" w:bidi="ar-SA"/>
        </w:rPr>
        <w:t>项目绩效有7个三级指标，量化值</w:t>
      </w:r>
      <w:r>
        <w:rPr>
          <w:rFonts w:hint="eastAsia" w:cs="宋体"/>
          <w:b w:val="0"/>
          <w:bCs w:val="0"/>
          <w:color w:val="auto"/>
          <w:kern w:val="2"/>
          <w:sz w:val="28"/>
          <w:szCs w:val="28"/>
          <w:highlight w:val="none"/>
          <w:lang w:val="en-US" w:eastAsia="zh-CN" w:bidi="ar-SA"/>
        </w:rPr>
        <w:t>率</w:t>
      </w:r>
      <w:r>
        <w:rPr>
          <w:rFonts w:hint="eastAsia" w:ascii="宋体" w:hAnsi="宋体" w:eastAsia="宋体" w:cs="宋体"/>
          <w:b w:val="0"/>
          <w:bCs w:val="0"/>
          <w:color w:val="auto"/>
          <w:kern w:val="2"/>
          <w:sz w:val="28"/>
          <w:szCs w:val="28"/>
          <w:highlight w:val="none"/>
          <w:lang w:val="en-US" w:eastAsia="zh-CN" w:bidi="ar-SA"/>
        </w:rPr>
        <w:t>90%</w:t>
      </w:r>
      <w:r>
        <w:rPr>
          <w:rFonts w:hint="eastAsia"/>
          <w:color w:val="auto"/>
          <w:highlight w:val="none"/>
          <w:lang w:eastAsia="zh-CN"/>
        </w:rPr>
        <w:t>；</w:t>
      </w:r>
    </w:p>
    <w:p w14:paraId="51D357AB">
      <w:pPr>
        <w:bidi w:val="0"/>
        <w:rPr>
          <w:rFonts w:hint="eastAsia"/>
          <w:color w:val="auto"/>
          <w:highlight w:val="none"/>
          <w:lang w:eastAsia="zh-CN"/>
        </w:rPr>
      </w:pPr>
      <w:r>
        <w:rPr>
          <w:rFonts w:hint="eastAsia"/>
          <w:color w:val="auto"/>
          <w:highlight w:val="none"/>
          <w:lang w:eastAsia="zh-CN"/>
        </w:rPr>
        <w:t>③与项目目标任务数或计划数相对应。</w:t>
      </w:r>
    </w:p>
    <w:p w14:paraId="3E33A3C3">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61F32BB">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44291772">
      <w:pPr>
        <w:bidi w:val="0"/>
        <w:rPr>
          <w:rFonts w:hint="eastAsia"/>
          <w:color w:val="auto"/>
          <w:highlight w:val="none"/>
          <w:lang w:eastAsia="zh-CN"/>
        </w:rPr>
      </w:pPr>
      <w:r>
        <w:rPr>
          <w:rFonts w:hint="eastAsia"/>
          <w:color w:val="auto"/>
          <w:highlight w:val="none"/>
          <w:lang w:eastAsia="zh-CN"/>
        </w:rPr>
        <w:t>①预算编制经过科学论证；</w:t>
      </w:r>
    </w:p>
    <w:p w14:paraId="0E61BE27">
      <w:pPr>
        <w:bidi w:val="0"/>
        <w:rPr>
          <w:rFonts w:hint="eastAsia"/>
          <w:color w:val="auto"/>
          <w:highlight w:val="none"/>
          <w:lang w:eastAsia="zh-CN"/>
        </w:rPr>
      </w:pPr>
      <w:r>
        <w:rPr>
          <w:rFonts w:hint="eastAsia"/>
          <w:color w:val="auto"/>
          <w:highlight w:val="none"/>
          <w:lang w:eastAsia="zh-CN"/>
        </w:rPr>
        <w:t>②预算内容与项目内容匹配；</w:t>
      </w:r>
    </w:p>
    <w:p w14:paraId="0F77E748">
      <w:pPr>
        <w:bidi w:val="0"/>
        <w:rPr>
          <w:rFonts w:hint="eastAsia"/>
          <w:color w:val="auto"/>
          <w:highlight w:val="none"/>
          <w:lang w:eastAsia="zh-CN"/>
        </w:rPr>
      </w:pPr>
      <w:r>
        <w:rPr>
          <w:rFonts w:hint="eastAsia"/>
          <w:color w:val="auto"/>
          <w:highlight w:val="none"/>
          <w:lang w:eastAsia="zh-CN"/>
        </w:rPr>
        <w:t>③预算额度测算依据充分，按照标准编制；</w:t>
      </w:r>
    </w:p>
    <w:p w14:paraId="4FAC5F06">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5C22B315">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69EA9826">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7DCEC935">
      <w:pPr>
        <w:bidi w:val="0"/>
        <w:rPr>
          <w:rFonts w:hint="eastAsia"/>
          <w:color w:val="auto"/>
          <w:highlight w:val="none"/>
          <w:lang w:eastAsia="zh-CN"/>
        </w:rPr>
      </w:pPr>
      <w:r>
        <w:rPr>
          <w:rFonts w:hint="eastAsia"/>
          <w:color w:val="auto"/>
          <w:highlight w:val="none"/>
          <w:lang w:eastAsia="zh-CN"/>
        </w:rPr>
        <w:t>①预算资金分配依据充分；</w:t>
      </w:r>
    </w:p>
    <w:p w14:paraId="75ED8B75">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76D24B0D">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5C563937">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4F525392">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7FEC6E5">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6B97FF89">
        <w:tblPrEx>
          <w:shd w:val="clear" w:color="auto" w:fill="auto"/>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9946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AEFD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0309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1C21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D7FD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EFFA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D716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5D5FA688">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BB0C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8F89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6A2C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1682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BAAE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D9A5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4FA3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AFDFC67">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7636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16E1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C02E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3174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E28B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291F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5817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53D1E66">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1748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D601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D75D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11C5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08EA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1CD4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18D2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C33FE17">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C2D0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F699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EA24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9025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36F5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EE0B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A374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B59E490">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BAA4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3E18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8F74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9D4E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07E1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3298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8EC4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C68E667">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C2DD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D931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8B21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B358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2040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3F08B77A">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4F4F0807">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10万元</w:t>
      </w:r>
      <w:r>
        <w:rPr>
          <w:rFonts w:hint="eastAsia"/>
          <w:color w:val="auto"/>
          <w:highlight w:val="none"/>
          <w:lang w:eastAsia="zh-CN"/>
        </w:rPr>
        <w:t>/</w:t>
      </w:r>
      <w:r>
        <w:rPr>
          <w:rFonts w:hint="eastAsia"/>
          <w:color w:val="auto"/>
          <w:highlight w:val="none"/>
          <w:lang w:val="en-US" w:eastAsia="zh-CN"/>
        </w:rPr>
        <w:t>10万元</w:t>
      </w:r>
      <w:r>
        <w:rPr>
          <w:rFonts w:hint="eastAsia"/>
          <w:color w:val="auto"/>
          <w:highlight w:val="none"/>
          <w:lang w:eastAsia="zh-CN"/>
        </w:rPr>
        <w:t>）×100%。</w:t>
      </w:r>
      <w:r>
        <w:rPr>
          <w:rFonts w:hint="eastAsia"/>
          <w:b/>
          <w:bCs/>
          <w:color w:val="auto"/>
          <w:highlight w:val="none"/>
          <w:lang w:val="en-US" w:eastAsia="zh-CN"/>
        </w:rPr>
        <w:t>=100%</w:t>
      </w:r>
    </w:p>
    <w:p w14:paraId="27A76312">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061A372">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1AB39EAE">
      <w:pPr>
        <w:bidi w:val="0"/>
        <w:rPr>
          <w:rFonts w:hint="eastAsia"/>
          <w:b/>
          <w:bCs/>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10万元</w:t>
      </w:r>
      <w:r>
        <w:rPr>
          <w:rFonts w:hint="eastAsia"/>
          <w:color w:val="auto"/>
          <w:highlight w:val="none"/>
          <w:lang w:eastAsia="zh-CN"/>
        </w:rPr>
        <w:t>/</w:t>
      </w:r>
      <w:r>
        <w:rPr>
          <w:rFonts w:hint="eastAsia"/>
          <w:color w:val="auto"/>
          <w:highlight w:val="none"/>
          <w:lang w:val="en-US" w:eastAsia="zh-CN"/>
        </w:rPr>
        <w:t>10万元</w:t>
      </w:r>
      <w:r>
        <w:rPr>
          <w:rFonts w:hint="eastAsia"/>
          <w:color w:val="auto"/>
          <w:highlight w:val="none"/>
          <w:lang w:eastAsia="zh-CN"/>
        </w:rPr>
        <w:t>）×100%。</w:t>
      </w:r>
      <w:r>
        <w:rPr>
          <w:rFonts w:hint="eastAsia"/>
          <w:b/>
          <w:bCs/>
          <w:color w:val="auto"/>
          <w:highlight w:val="none"/>
          <w:lang w:val="en-US" w:eastAsia="zh-CN"/>
        </w:rPr>
        <w:t>=100%</w:t>
      </w:r>
    </w:p>
    <w:p w14:paraId="55A3ECCE">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CE6383C">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69B688EA">
      <w:pPr>
        <w:bidi w:val="0"/>
        <w:rPr>
          <w:rFonts w:hint="eastAsia"/>
          <w:color w:val="auto"/>
          <w:highlight w:val="none"/>
          <w:lang w:eastAsia="zh-CN"/>
        </w:rPr>
      </w:pPr>
      <w:r>
        <w:rPr>
          <w:rFonts w:hint="eastAsia"/>
          <w:color w:val="auto"/>
          <w:highlight w:val="none"/>
          <w:lang w:eastAsia="zh-CN"/>
        </w:rPr>
        <w:t>①符合国家</w:t>
      </w:r>
      <w:r>
        <w:rPr>
          <w:rFonts w:hint="eastAsia"/>
          <w:color w:val="auto"/>
          <w:highlight w:val="none"/>
          <w:lang w:val="en-US" w:eastAsia="zh-CN"/>
        </w:rPr>
        <w:t>《水磨沟乡党委财经工作领导小组议事规则》</w:t>
      </w:r>
      <w:r>
        <w:rPr>
          <w:rFonts w:hint="eastAsia"/>
          <w:color w:val="auto"/>
          <w:highlight w:val="none"/>
          <w:lang w:eastAsia="zh-CN"/>
        </w:rPr>
        <w:t>以及有关专项资金管理办法的规定；</w:t>
      </w:r>
    </w:p>
    <w:p w14:paraId="6ED1CE1F">
      <w:pPr>
        <w:bidi w:val="0"/>
        <w:rPr>
          <w:rFonts w:hint="eastAsia"/>
          <w:color w:val="auto"/>
          <w:highlight w:val="none"/>
          <w:lang w:eastAsia="zh-CN"/>
        </w:rPr>
      </w:pPr>
      <w:r>
        <w:rPr>
          <w:rFonts w:hint="eastAsia"/>
          <w:color w:val="auto"/>
          <w:highlight w:val="none"/>
          <w:lang w:eastAsia="zh-CN"/>
        </w:rPr>
        <w:t>②资金的拨付有完整的审批程序和手续；</w:t>
      </w:r>
    </w:p>
    <w:p w14:paraId="164761C6">
      <w:pPr>
        <w:bidi w:val="0"/>
        <w:rPr>
          <w:rFonts w:hint="eastAsia"/>
          <w:color w:val="auto"/>
          <w:highlight w:val="none"/>
          <w:lang w:eastAsia="zh-CN"/>
        </w:rPr>
      </w:pPr>
      <w:r>
        <w:rPr>
          <w:rFonts w:hint="eastAsia"/>
          <w:color w:val="auto"/>
          <w:highlight w:val="none"/>
          <w:lang w:eastAsia="zh-CN"/>
        </w:rPr>
        <w:t>③符合项目预算批复或合同规定的用途；</w:t>
      </w:r>
    </w:p>
    <w:p w14:paraId="3EA77C3C">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3F31085D">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123FF4C">
      <w:pPr>
        <w:numPr>
          <w:ilvl w:val="0"/>
          <w:numId w:val="0"/>
        </w:numPr>
        <w:bidi w:val="0"/>
        <w:ind w:firstLine="562" w:firstLineChars="200"/>
        <w:rPr>
          <w:rFonts w:hint="eastAsia"/>
          <w:b/>
          <w:bCs/>
          <w:color w:val="auto"/>
          <w:highlight w:val="none"/>
          <w:lang w:val="en-US" w:eastAsia="zh-CN"/>
        </w:rPr>
      </w:pPr>
      <w:r>
        <w:rPr>
          <w:rFonts w:hint="eastAsia"/>
          <w:b/>
          <w:bCs/>
          <w:color w:val="auto"/>
          <w:highlight w:val="none"/>
          <w:lang w:val="en-US" w:eastAsia="zh-CN"/>
        </w:rPr>
        <w:t>4.管理制度健全性</w:t>
      </w:r>
    </w:p>
    <w:p w14:paraId="20E948B8">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①已制定或具有相应的水磨沟乡</w:t>
      </w:r>
      <w:r>
        <w:rPr>
          <w:rFonts w:hint="eastAsia"/>
          <w:color w:val="auto"/>
          <w:highlight w:val="none"/>
          <w:lang w:val="en-US" w:eastAsia="zh-CN"/>
        </w:rPr>
        <w:t>《水磨沟乡党委财经工作领导小组议事规则》</w:t>
      </w:r>
      <w:r>
        <w:rPr>
          <w:rFonts w:hint="eastAsia"/>
          <w:color w:val="auto"/>
          <w:highlight w:val="none"/>
          <w:lang w:eastAsia="zh-CN"/>
        </w:rPr>
        <w:t>；</w:t>
      </w:r>
    </w:p>
    <w:p w14:paraId="529D0986">
      <w:pPr>
        <w:bidi w:val="0"/>
        <w:rPr>
          <w:rFonts w:hint="eastAsia"/>
          <w:color w:val="auto"/>
          <w:highlight w:val="none"/>
          <w:lang w:eastAsia="zh-CN"/>
        </w:rPr>
      </w:pPr>
      <w:r>
        <w:rPr>
          <w:rFonts w:hint="eastAsia"/>
          <w:color w:val="auto"/>
          <w:highlight w:val="none"/>
          <w:lang w:eastAsia="zh-CN"/>
        </w:rPr>
        <w:t>②财务和业务管理制度</w:t>
      </w:r>
      <w:r>
        <w:rPr>
          <w:rFonts w:hint="eastAsia"/>
          <w:color w:val="auto"/>
          <w:highlight w:val="none"/>
          <w:lang w:val="en-US" w:eastAsia="zh-CN"/>
        </w:rPr>
        <w:t>是</w:t>
      </w:r>
      <w:r>
        <w:rPr>
          <w:rFonts w:hint="eastAsia"/>
          <w:color w:val="auto"/>
          <w:highlight w:val="none"/>
          <w:lang w:eastAsia="zh-CN"/>
        </w:rPr>
        <w:t>合法、合规、完整。</w:t>
      </w:r>
    </w:p>
    <w:p w14:paraId="29228594">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8446894">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2D7F8447">
      <w:pPr>
        <w:bidi w:val="0"/>
        <w:ind w:left="0" w:leftChars="0" w:firstLine="560" w:firstLineChars="200"/>
        <w:rPr>
          <w:rFonts w:hint="eastAsia"/>
          <w:color w:val="auto"/>
          <w:highlight w:val="none"/>
          <w:lang w:eastAsia="zh-CN"/>
        </w:rPr>
      </w:pPr>
      <w:r>
        <w:rPr>
          <w:rFonts w:hint="eastAsia"/>
          <w:color w:val="auto"/>
          <w:highlight w:val="none"/>
          <w:lang w:eastAsia="zh-CN"/>
        </w:rPr>
        <w:t>①遵守相关法律法规和相关管理规定；</w:t>
      </w:r>
    </w:p>
    <w:p w14:paraId="3B7B06E4">
      <w:pPr>
        <w:bidi w:val="0"/>
        <w:rPr>
          <w:rFonts w:hint="eastAsia"/>
          <w:color w:val="auto"/>
          <w:highlight w:val="none"/>
          <w:lang w:eastAsia="zh-CN"/>
        </w:rPr>
      </w:pPr>
      <w:r>
        <w:rPr>
          <w:rFonts w:hint="eastAsia"/>
          <w:color w:val="auto"/>
          <w:highlight w:val="none"/>
          <w:lang w:eastAsia="zh-CN"/>
        </w:rPr>
        <w:t>②项目</w:t>
      </w:r>
      <w:r>
        <w:rPr>
          <w:rFonts w:hint="eastAsia"/>
          <w:color w:val="auto"/>
          <w:highlight w:val="none"/>
          <w:lang w:val="en-US" w:eastAsia="zh-CN"/>
        </w:rPr>
        <w:t>未</w:t>
      </w:r>
      <w:r>
        <w:rPr>
          <w:rFonts w:hint="eastAsia"/>
          <w:color w:val="auto"/>
          <w:highlight w:val="none"/>
          <w:lang w:eastAsia="zh-CN"/>
        </w:rPr>
        <w:t>调整及支出调整手续完备；</w:t>
      </w:r>
    </w:p>
    <w:p w14:paraId="1D05730D">
      <w:pPr>
        <w:bidi w:val="0"/>
        <w:rPr>
          <w:rFonts w:hint="eastAsia"/>
          <w:color w:val="auto"/>
          <w:highlight w:val="none"/>
          <w:lang w:eastAsia="zh-CN"/>
        </w:rPr>
      </w:pPr>
      <w:r>
        <w:rPr>
          <w:rFonts w:hint="eastAsia"/>
          <w:color w:val="auto"/>
          <w:highlight w:val="none"/>
          <w:lang w:eastAsia="zh-CN"/>
        </w:rPr>
        <w:t>③项目合同书、</w:t>
      </w:r>
      <w:r>
        <w:rPr>
          <w:rFonts w:hint="eastAsia"/>
          <w:color w:val="auto"/>
          <w:highlight w:val="none"/>
          <w:lang w:val="en-US" w:eastAsia="zh-CN"/>
        </w:rPr>
        <w:t>中标通知书、欠款化解协议、造价咨询报告书、结算审查报告、工程结算审定签署表</w:t>
      </w:r>
      <w:r>
        <w:rPr>
          <w:rFonts w:hint="eastAsia"/>
          <w:color w:val="auto"/>
          <w:highlight w:val="none"/>
          <w:lang w:eastAsia="zh-CN"/>
        </w:rPr>
        <w:t>等资料齐全并及时归档；</w:t>
      </w:r>
    </w:p>
    <w:p w14:paraId="7870272A">
      <w:pPr>
        <w:bidi w:val="0"/>
        <w:rPr>
          <w:rFonts w:hint="eastAsia"/>
          <w:color w:val="auto"/>
          <w:highlight w:val="none"/>
          <w:lang w:eastAsia="zh-CN"/>
        </w:rPr>
      </w:pPr>
      <w:r>
        <w:rPr>
          <w:rFonts w:hint="eastAsia"/>
          <w:color w:val="auto"/>
          <w:highlight w:val="none"/>
          <w:lang w:eastAsia="zh-CN"/>
        </w:rPr>
        <w:t>④项目实施的人员条件</w:t>
      </w:r>
      <w:r>
        <w:rPr>
          <w:rFonts w:hint="eastAsia"/>
          <w:color w:val="auto"/>
          <w:highlight w:val="none"/>
          <w:shd w:val="clear"/>
          <w:lang w:eastAsia="zh-CN"/>
        </w:rPr>
        <w:t>、场地设备、信息支撑等落实到</w:t>
      </w:r>
      <w:r>
        <w:rPr>
          <w:rFonts w:hint="eastAsia"/>
          <w:color w:val="auto"/>
          <w:highlight w:val="none"/>
          <w:lang w:eastAsia="zh-CN"/>
        </w:rPr>
        <w:t>位。</w:t>
      </w:r>
    </w:p>
    <w:p w14:paraId="297AA10A">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C091D31">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1AE1D50F">
      <w:pPr>
        <w:pageBreakBefore w:val="0"/>
        <w:widowControl w:val="0"/>
        <w:kinsoku/>
        <w:wordWrap/>
        <w:overflowPunct/>
        <w:topLinePunct w:val="0"/>
        <w:autoSpaceDE/>
        <w:autoSpaceDN/>
        <w:bidi w:val="0"/>
        <w:adjustRightInd/>
        <w:spacing w:line="360" w:lineRule="auto"/>
        <w:ind w:firstLine="560"/>
        <w:textAlignment w:val="auto"/>
        <w:rPr>
          <w:rFonts w:hint="eastAsia" w:cs="宋体"/>
          <w:b/>
          <w:bCs/>
          <w:color w:val="auto"/>
          <w:kern w:val="0"/>
          <w:sz w:val="28"/>
          <w:szCs w:val="28"/>
          <w:highlight w:val="none"/>
          <w:shd w:val="clear" w:color="auto" w:fill="auto"/>
          <w:lang w:val="zh-TW" w:eastAsia="zh-CN"/>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454391CD">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41181F63">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D25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92F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682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7AA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572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7C9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7E5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6D2CC1D2">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84F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1D9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76B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支付工程尾款施工单位数量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A8A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1家</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5E7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5EC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1家</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61C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0979AA3B">
        <w:tblPrEx>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120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A4D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0857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资金支付准确率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F24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5D3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847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388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38019977">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C64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F707B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3B9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资金支付及时率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D9C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C27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D01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FB1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6188394">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D76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A14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6DF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资金发放完成时间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925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2023-5</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911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84C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2023-12</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91D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CE6FDA0">
        <w:tblPrEx>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F6F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EF0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D55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支付工程尾款施工单位成本</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21F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A5A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9CF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C6D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2735E82B">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6CA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AA7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B77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2D0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642E7F57">
      <w:pPr>
        <w:bidi w:val="0"/>
        <w:outlineLvl w:val="2"/>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1C238FE6">
      <w:pPr>
        <w:bidi w:val="0"/>
        <w:rPr>
          <w:rFonts w:hint="eastAsia"/>
          <w:color w:val="auto"/>
          <w:highlight w:val="none"/>
          <w:lang w:val="en-US" w:eastAsia="zh-CN"/>
        </w:rPr>
      </w:pPr>
      <w:r>
        <w:rPr>
          <w:rFonts w:hint="eastAsia" w:ascii="宋体" w:hAnsi="宋体" w:eastAsia="宋体" w:cs="宋体"/>
          <w:color w:val="auto"/>
          <w:highlight w:val="none"/>
          <w:lang w:val="en-US" w:eastAsia="zh-CN"/>
        </w:rPr>
        <w:t>“支付工程尾款施工单位数量”指标，预期目标值为一家，实际完成为一家。实际完成率=（1家/1家）×100%=100%。</w:t>
      </w:r>
    </w:p>
    <w:p w14:paraId="0461FFD2">
      <w:pPr>
        <w:bidi w:val="0"/>
        <w:rPr>
          <w:rFonts w:hint="eastAsia"/>
          <w:color w:val="auto"/>
          <w:highlight w:val="none"/>
          <w:lang w:eastAsia="zh-CN"/>
        </w:rPr>
      </w:pPr>
      <w:r>
        <w:rPr>
          <w:rFonts w:hint="eastAsia"/>
          <w:b/>
          <w:bCs/>
          <w:color w:val="auto"/>
          <w:highlight w:val="none"/>
          <w:lang w:val="en-US" w:eastAsia="zh-CN"/>
        </w:rPr>
        <w:t>综上，该项指标满分10分，得分10分。</w:t>
      </w:r>
    </w:p>
    <w:p w14:paraId="1F5620A7">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4BD8242B">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“资金支付准确率”指标，预期目标值为100%，实际完成为100%。</w:t>
      </w:r>
    </w:p>
    <w:p w14:paraId="773EB446">
      <w:pPr>
        <w:bidi w:val="0"/>
        <w:rPr>
          <w:rFonts w:hint="eastAsia"/>
          <w:color w:val="auto"/>
          <w:highlight w:val="none"/>
          <w:lang w:eastAsia="zh-CN"/>
        </w:rPr>
      </w:pPr>
      <w:r>
        <w:rPr>
          <w:rFonts w:hint="eastAsia"/>
          <w:b/>
          <w:bCs/>
          <w:color w:val="auto"/>
          <w:highlight w:val="none"/>
          <w:lang w:val="en-US" w:eastAsia="zh-CN"/>
        </w:rPr>
        <w:t>综上，该项指标满分10分，得分10分。</w:t>
      </w:r>
    </w:p>
    <w:p w14:paraId="6CE3189E">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5CA33C69">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“资金支付及时率”指标，预期目标值为10万元，实际完成为10万元。</w:t>
      </w:r>
    </w:p>
    <w:p w14:paraId="30D6E6A2">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“资金发放完成时间”指标，预期目标值为2023-5，实际完成为2023-12。</w:t>
      </w:r>
    </w:p>
    <w:p w14:paraId="35A18E5E">
      <w:pPr>
        <w:bidi w:val="0"/>
        <w:rPr>
          <w:rFonts w:hint="eastAsia"/>
          <w:color w:val="auto"/>
          <w:highlight w:val="none"/>
          <w:lang w:eastAsia="zh-CN"/>
        </w:rPr>
      </w:pPr>
      <w:r>
        <w:rPr>
          <w:rFonts w:hint="eastAsia"/>
          <w:b/>
          <w:bCs/>
          <w:color w:val="auto"/>
          <w:highlight w:val="none"/>
          <w:lang w:val="en-US" w:eastAsia="zh-CN"/>
        </w:rPr>
        <w:t>综上，该项指标满分10分，得分10分。</w:t>
      </w:r>
    </w:p>
    <w:p w14:paraId="257FAF3A">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16310C6F">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“支付工程尾款施工单位成本”指标，预期目标值为10万元，实际完成为10万元。实际完成率=（10</w:t>
      </w:r>
      <w:r>
        <w:rPr>
          <w:rFonts w:hint="eastAsia" w:cs="宋体"/>
          <w:color w:val="auto"/>
          <w:highlight w:val="none"/>
          <w:lang w:val="en-US" w:eastAsia="zh-CN"/>
        </w:rPr>
        <w:t>万元</w:t>
      </w:r>
      <w:r>
        <w:rPr>
          <w:rFonts w:hint="eastAsia" w:ascii="宋体" w:hAnsi="宋体" w:eastAsia="宋体" w:cs="宋体"/>
          <w:color w:val="auto"/>
          <w:highlight w:val="none"/>
          <w:lang w:val="en-US" w:eastAsia="zh-CN"/>
        </w:rPr>
        <w:t>/10</w:t>
      </w:r>
      <w:r>
        <w:rPr>
          <w:rFonts w:hint="eastAsia" w:cs="宋体"/>
          <w:color w:val="auto"/>
          <w:highlight w:val="none"/>
          <w:lang w:val="en-US" w:eastAsia="zh-CN"/>
        </w:rPr>
        <w:t>万元</w:t>
      </w:r>
      <w:r>
        <w:rPr>
          <w:rFonts w:hint="eastAsia" w:ascii="宋体" w:hAnsi="宋体" w:eastAsia="宋体" w:cs="宋体"/>
          <w:color w:val="auto"/>
          <w:highlight w:val="none"/>
          <w:lang w:val="en-US" w:eastAsia="zh-CN"/>
        </w:rPr>
        <w:t>）×100%=100%。</w:t>
      </w:r>
    </w:p>
    <w:p w14:paraId="7379FA52">
      <w:pPr>
        <w:bidi w:val="0"/>
        <w:rPr>
          <w:rFonts w:hint="eastAsia"/>
          <w:color w:val="auto"/>
          <w:highlight w:val="none"/>
          <w:lang w:eastAsia="zh-CN"/>
        </w:rPr>
      </w:pPr>
      <w:r>
        <w:rPr>
          <w:rFonts w:hint="eastAsia"/>
          <w:b/>
          <w:bCs/>
          <w:color w:val="auto"/>
          <w:highlight w:val="none"/>
          <w:lang w:val="en-US" w:eastAsia="zh-CN"/>
        </w:rPr>
        <w:t>综上，该项指标满分10分，得分10分。</w:t>
      </w:r>
    </w:p>
    <w:p w14:paraId="0FD1A609">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676CD122">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zh-TW"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573BAB6">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185900F5">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19298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0CF8BB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AEDD7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DAE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EB2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69350B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FB6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01606E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449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4945D3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D912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65F6E4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21420AA3">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405728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24592D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F61C2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611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1C34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F51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4B6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6320543E">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3E7A22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374610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51AFF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B11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66D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40B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17C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46C5EDB1">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12735F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3D37E4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93EB1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改善辖区生态环境</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22C0C">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持续改善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260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7CD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5F3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r w14:paraId="00FAA377">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0F06C0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45F7CA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23121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A12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04C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276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2C7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728F3D8E">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EDB35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2C9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3E6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辖区群众满意度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373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CED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D02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r>
              <w:rPr>
                <w:rFonts w:hint="eastAsia" w:ascii="宋体" w:hAnsi="宋体" w:eastAsia="宋体"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36D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7872BA3B">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36E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9DF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AE9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32D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499B9124">
      <w:pPr>
        <w:bidi w:val="0"/>
        <w:outlineLvl w:val="2"/>
        <w:rPr>
          <w:rFonts w:hint="eastAsia"/>
          <w:color w:val="auto"/>
          <w:highlight w:val="none"/>
          <w:lang w:val="en-US" w:eastAsia="zh-CN"/>
        </w:rPr>
      </w:pPr>
      <w:bookmarkStart w:id="75" w:name="_Toc8010"/>
      <w:r>
        <w:rPr>
          <w:rFonts w:hint="eastAsia"/>
          <w:b/>
          <w:bCs/>
          <w:color w:val="auto"/>
          <w:highlight w:val="none"/>
          <w:lang w:val="en-US" w:eastAsia="zh-CN"/>
        </w:rPr>
        <w:t>1.</w:t>
      </w:r>
      <w:bookmarkEnd w:id="75"/>
      <w:bookmarkStart w:id="76" w:name="_Toc23106"/>
      <w:r>
        <w:rPr>
          <w:rFonts w:hint="eastAsia"/>
          <w:b/>
          <w:bCs/>
          <w:color w:val="auto"/>
          <w:highlight w:val="none"/>
          <w:lang w:val="en-US" w:eastAsia="zh-CN"/>
        </w:rPr>
        <w:t>生态效益指标</w:t>
      </w:r>
      <w:bookmarkEnd w:id="76"/>
    </w:p>
    <w:p w14:paraId="50E6D111">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“改善辖区生态环境”指标，预期目标值为持续改善，实际完成为持续改善。</w:t>
      </w:r>
    </w:p>
    <w:p w14:paraId="3E41FACA">
      <w:pPr>
        <w:bidi w:val="0"/>
        <w:rPr>
          <w:rFonts w:hint="eastAsia"/>
          <w:b w:val="0"/>
          <w:bCs w:val="0"/>
          <w:color w:val="auto"/>
          <w:highlight w:val="none"/>
          <w:lang w:val="en-US" w:eastAsia="zh-CN"/>
        </w:rPr>
      </w:pPr>
      <w:r>
        <w:rPr>
          <w:rFonts w:hint="eastAsia" w:ascii="宋体" w:hAnsi="宋体" w:eastAsia="宋体" w:cs="宋体"/>
          <w:color w:val="auto"/>
          <w:highlight w:val="none"/>
          <w:lang w:val="en-US" w:eastAsia="zh-CN"/>
        </w:rPr>
        <w:t>通过项目的实施，</w:t>
      </w:r>
      <w:r>
        <w:rPr>
          <w:rFonts w:hint="eastAsia"/>
          <w:b w:val="0"/>
          <w:bCs w:val="0"/>
          <w:color w:val="auto"/>
          <w:highlight w:val="none"/>
          <w:lang w:val="en-US" w:eastAsia="zh-CN"/>
        </w:rPr>
        <w:t>化解本级债务矛盾，促进社会和谐稳定</w:t>
      </w:r>
    </w:p>
    <w:p w14:paraId="68060A49">
      <w:pPr>
        <w:bidi w:val="0"/>
        <w:rPr>
          <w:rFonts w:hint="eastAsia"/>
          <w:color w:val="auto"/>
          <w:highlight w:val="none"/>
          <w:lang w:val="en-US" w:eastAsia="zh-CN"/>
        </w:rPr>
      </w:pPr>
      <w:r>
        <w:rPr>
          <w:rFonts w:hint="eastAsia"/>
          <w:b/>
          <w:bCs/>
          <w:color w:val="auto"/>
          <w:highlight w:val="none"/>
          <w:lang w:val="en-US" w:eastAsia="zh-CN"/>
        </w:rPr>
        <w:t>综上，该项指标满分20分，得分20分。</w:t>
      </w:r>
    </w:p>
    <w:p w14:paraId="4C27D450">
      <w:pPr>
        <w:bidi w:val="0"/>
        <w:outlineLvl w:val="2"/>
        <w:rPr>
          <w:rFonts w:hint="eastAsia"/>
          <w:b/>
          <w:bCs/>
          <w:color w:val="auto"/>
          <w:highlight w:val="none"/>
          <w:lang w:val="en-US" w:eastAsia="zh-CN"/>
        </w:rPr>
      </w:pPr>
      <w:bookmarkStart w:id="77" w:name="_Toc3271"/>
      <w:r>
        <w:rPr>
          <w:rFonts w:hint="eastAsia"/>
          <w:b/>
          <w:bCs/>
          <w:color w:val="auto"/>
          <w:highlight w:val="none"/>
          <w:lang w:val="en-US" w:eastAsia="zh-CN"/>
        </w:rPr>
        <w:t>4.满意度指标</w:t>
      </w:r>
      <w:bookmarkEnd w:id="77"/>
    </w:p>
    <w:p w14:paraId="703ED1A2">
      <w:pPr>
        <w:bidi w:val="0"/>
        <w:rPr>
          <w:rFonts w:hint="eastAsia"/>
          <w:b/>
          <w:bCs/>
          <w:color w:val="auto"/>
          <w:highlight w:val="none"/>
          <w:lang w:val="en-US" w:eastAsia="zh-CN"/>
        </w:rPr>
      </w:pPr>
      <w:r>
        <w:rPr>
          <w:rFonts w:hint="eastAsia" w:ascii="宋体" w:hAnsi="宋体" w:eastAsia="宋体" w:cs="宋体"/>
          <w:color w:val="auto"/>
          <w:highlight w:val="none"/>
          <w:lang w:val="en-US" w:eastAsia="zh-CN"/>
        </w:rPr>
        <w:t>“辖区群众满意度”</w:t>
      </w:r>
      <w:r>
        <w:rPr>
          <w:rFonts w:hint="eastAsia"/>
          <w:color w:val="auto"/>
          <w:highlight w:val="none"/>
          <w:lang w:val="en-US" w:eastAsia="zh-CN"/>
        </w:rPr>
        <w:t>指标，预期目标值为95%，实际完成为95%。</w:t>
      </w:r>
    </w:p>
    <w:p w14:paraId="18A26026">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6AD74BFF">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8" w:name="_Toc19962"/>
      <w:r>
        <w:rPr>
          <w:rFonts w:hint="eastAsia" w:ascii="宋体" w:hAnsi="宋体" w:eastAsia="宋体" w:cs="宋体"/>
          <w:b/>
          <w:bCs/>
          <w:color w:val="auto"/>
          <w:highlight w:val="none"/>
          <w:shd w:val="clear" w:color="auto" w:fill="auto"/>
          <w:lang w:val="en-US" w:eastAsia="zh-CN"/>
        </w:rPr>
        <w:t>五、预算执行进度与指标偏差</w:t>
      </w:r>
      <w:bookmarkEnd w:id="78"/>
    </w:p>
    <w:p w14:paraId="53FA75A5">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w:t>
      </w:r>
      <w:r>
        <w:rPr>
          <w:rFonts w:hint="eastAsia" w:cs="仿宋_GB2312"/>
          <w:b w:val="0"/>
          <w:bCs w:val="0"/>
          <w:color w:val="auto"/>
          <w:sz w:val="28"/>
          <w:szCs w:val="28"/>
          <w:highlight w:val="none"/>
          <w:lang w:eastAsia="zh-CN"/>
        </w:rPr>
        <w:t>目预算资金总额为</w:t>
      </w:r>
      <w:r>
        <w:rPr>
          <w:rFonts w:hint="eastAsia"/>
          <w:b w:val="0"/>
          <w:bCs w:val="0"/>
          <w:color w:val="auto"/>
          <w:highlight w:val="none"/>
          <w:lang w:val="en-US" w:eastAsia="zh-CN"/>
        </w:rPr>
        <w:t>10</w:t>
      </w:r>
      <w:r>
        <w:rPr>
          <w:rFonts w:hint="eastAsia" w:cs="仿宋_GB2312"/>
          <w:b w:val="0"/>
          <w:bCs w:val="0"/>
          <w:color w:val="auto"/>
          <w:sz w:val="28"/>
          <w:szCs w:val="28"/>
          <w:highlight w:val="none"/>
          <w:lang w:val="en-US" w:eastAsia="zh-CN"/>
        </w:rPr>
        <w:t>万元，全年</w:t>
      </w:r>
      <w:bookmarkStart w:id="88" w:name="_GoBack"/>
      <w:r>
        <w:rPr>
          <w:rFonts w:hint="eastAsia" w:cs="仿宋_GB2312"/>
          <w:b w:val="0"/>
          <w:bCs w:val="0"/>
          <w:color w:val="auto"/>
          <w:sz w:val="28"/>
          <w:szCs w:val="28"/>
          <w:highlight w:val="none"/>
          <w:lang w:val="en-US" w:eastAsia="zh-CN"/>
        </w:rPr>
        <w:t>执行数</w:t>
      </w:r>
      <w:bookmarkEnd w:id="88"/>
      <w:r>
        <w:rPr>
          <w:rFonts w:hint="eastAsia" w:cs="仿宋_GB2312"/>
          <w:b w:val="0"/>
          <w:bCs w:val="0"/>
          <w:color w:val="auto"/>
          <w:sz w:val="28"/>
          <w:szCs w:val="28"/>
          <w:highlight w:val="none"/>
          <w:lang w:val="en-US" w:eastAsia="zh-CN"/>
        </w:rPr>
        <w:t>为</w:t>
      </w:r>
      <w:r>
        <w:rPr>
          <w:rFonts w:hint="eastAsia"/>
          <w:b w:val="0"/>
          <w:bCs w:val="0"/>
          <w:color w:val="auto"/>
          <w:highlight w:val="none"/>
          <w:lang w:val="en-US" w:eastAsia="zh-CN"/>
        </w:rPr>
        <w:t>10</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预算执行率与总体完成率之间的偏差为0%，无</w:t>
      </w:r>
      <w:r>
        <w:rPr>
          <w:rFonts w:hint="eastAsia"/>
          <w:color w:val="auto"/>
          <w:highlight w:val="none"/>
        </w:rPr>
        <w:t>偏差</w:t>
      </w:r>
      <w:r>
        <w:rPr>
          <w:rFonts w:hint="eastAsia" w:ascii="仿宋_GB2312" w:hAnsi="仿宋_GB2312" w:cs="仿宋_GB2312"/>
          <w:color w:val="auto"/>
          <w:sz w:val="28"/>
          <w:szCs w:val="28"/>
          <w:highlight w:val="none"/>
        </w:rPr>
        <w:t>。</w:t>
      </w:r>
    </w:p>
    <w:p w14:paraId="1234E28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9"/>
    </w:p>
    <w:p w14:paraId="1A985ED7">
      <w:pPr>
        <w:numPr>
          <w:ilvl w:val="0"/>
          <w:numId w:val="0"/>
        </w:numPr>
        <w:bidi w:val="0"/>
        <w:ind w:left="560" w:leftChars="0"/>
        <w:outlineLvl w:val="1"/>
        <w:rPr>
          <w:rFonts w:hint="eastAsia"/>
          <w:b/>
          <w:bCs/>
          <w:color w:val="auto"/>
          <w:highlight w:val="none"/>
          <w:lang w:eastAsia="zh-CN"/>
        </w:rPr>
      </w:pPr>
      <w:bookmarkStart w:id="80" w:name="_Toc13160"/>
      <w:bookmarkStart w:id="81" w:name="_Toc28290"/>
      <w:bookmarkStart w:id="82"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0"/>
    </w:p>
    <w:p w14:paraId="2F5A8938">
      <w:pPr>
        <w:bidi w:val="0"/>
        <w:rPr>
          <w:rFonts w:hint="eastAsia"/>
          <w:color w:val="auto"/>
          <w:highlight w:val="none"/>
          <w:lang w:eastAsia="zh-CN"/>
        </w:rPr>
      </w:pPr>
      <w:r>
        <w:rPr>
          <w:rFonts w:hint="eastAsia"/>
          <w:color w:val="auto"/>
          <w:highlight w:val="none"/>
          <w:lang w:val="en-US" w:eastAsia="zh-CN"/>
        </w:rPr>
        <w:t>水磨沟乡2017年美丽乡村建设项目-山泉村乡村旅游开发项目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10</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10</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3B6D73CB">
      <w:pPr>
        <w:bidi w:val="0"/>
        <w:rPr>
          <w:rFonts w:hint="eastAsia"/>
          <w:color w:val="auto"/>
          <w:highlight w:val="none"/>
          <w:lang w:eastAsia="zh-CN"/>
        </w:rPr>
      </w:pPr>
      <w:r>
        <w:rPr>
          <w:rFonts w:hint="eastAsia"/>
          <w:color w:val="auto"/>
          <w:highlight w:val="none"/>
          <w:lang w:val="en-US" w:eastAsia="zh-CN"/>
        </w:rPr>
        <w:t>水磨沟乡人民政府</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水磨沟乡人民政府</w:t>
      </w:r>
      <w:r>
        <w:rPr>
          <w:rFonts w:hint="eastAsia"/>
          <w:color w:val="auto"/>
          <w:highlight w:val="none"/>
          <w:lang w:eastAsia="zh-CN"/>
        </w:rPr>
        <w:t>事业发展中关系民生与稳定的项目，切实优化资源配置，提高了资金使用的效率和效果。</w:t>
      </w:r>
    </w:p>
    <w:bookmarkEnd w:id="81"/>
    <w:bookmarkEnd w:id="82"/>
    <w:p w14:paraId="455DA679">
      <w:pPr>
        <w:bidi w:val="0"/>
        <w:outlineLvl w:val="1"/>
        <w:rPr>
          <w:rFonts w:hint="eastAsia"/>
          <w:b/>
          <w:bCs/>
          <w:color w:val="auto"/>
          <w:highlight w:val="none"/>
          <w:lang w:eastAsia="zh-CN"/>
        </w:rPr>
      </w:pPr>
      <w:bookmarkStart w:id="83"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3"/>
    </w:p>
    <w:p w14:paraId="02129A4D">
      <w:pPr>
        <w:bidi w:val="0"/>
        <w:rPr>
          <w:rFonts w:hint="eastAsia"/>
          <w:color w:val="auto"/>
          <w:highlight w:val="none"/>
          <w:lang w:val="zh-CN" w:eastAsia="zh-CN"/>
        </w:rPr>
      </w:pPr>
      <w:r>
        <w:rPr>
          <w:rFonts w:hint="eastAsia"/>
          <w:color w:val="auto"/>
          <w:highlight w:val="none"/>
          <w:lang w:val="en-US" w:eastAsia="zh-CN"/>
        </w:rPr>
        <w:t>事前未经过绩效评估，未考虑绩效评估合理性，主要原因是相关工作人员经验不足，绩效管理意识不高，对于指标的编制还不够完善。</w:t>
      </w:r>
      <w:r>
        <w:rPr>
          <w:rFonts w:hint="eastAsia"/>
          <w:color w:val="auto"/>
          <w:highlight w:val="none"/>
          <w:lang w:val="zh-CN" w:eastAsia="zh-CN"/>
        </w:rPr>
        <w:t>缺乏科学、统一、完整的财政绩效评价指标体系，并且绩效管理缺乏约束和制度保障。</w:t>
      </w:r>
    </w:p>
    <w:p w14:paraId="4287496E">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4" w:name="_Toc5230"/>
      <w:r>
        <w:rPr>
          <w:rFonts w:hint="eastAsia" w:ascii="宋体" w:hAnsi="宋体" w:eastAsia="宋体" w:cs="宋体"/>
          <w:b/>
          <w:bCs/>
          <w:color w:val="auto"/>
          <w:highlight w:val="none"/>
          <w:shd w:val="clear" w:color="auto" w:fill="auto"/>
          <w:lang w:val="en-US" w:eastAsia="zh-CN"/>
        </w:rPr>
        <w:t>七、有关建议</w:t>
      </w:r>
      <w:bookmarkEnd w:id="84"/>
    </w:p>
    <w:p w14:paraId="0FB4D31F">
      <w:pPr>
        <w:pStyle w:val="2"/>
        <w:rPr>
          <w:rFonts w:hint="eastAsia"/>
          <w:color w:val="auto"/>
          <w:highlight w:val="none"/>
          <w:lang w:val="en-US" w:eastAsia="zh-CN"/>
        </w:rPr>
      </w:pPr>
      <w:bookmarkStart w:id="85" w:name="_Toc15618"/>
      <w:r>
        <w:rPr>
          <w:rFonts w:hint="eastAsia" w:ascii="宋体" w:hAnsi="宋体" w:eastAsia="宋体" w:cs="宋体"/>
          <w:b w:val="0"/>
          <w:bCs w:val="0"/>
          <w:color w:val="auto"/>
          <w:kern w:val="2"/>
          <w:sz w:val="28"/>
          <w:szCs w:val="28"/>
          <w:highlight w:val="none"/>
          <w:lang w:val="en-US" w:eastAsia="zh-CN" w:bidi="ar-SA"/>
        </w:rPr>
        <w:t>加大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14:paraId="3F4C021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5"/>
    </w:p>
    <w:p w14:paraId="76C121E5">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20D48E2B">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sectPr>
          <w:footerReference r:id="rId5" w:type="default"/>
          <w:pgSz w:w="11906" w:h="16838"/>
          <w:pgMar w:top="1440" w:right="1800" w:bottom="1440" w:left="1800" w:header="737" w:footer="851" w:gutter="0"/>
          <w:pgNumType w:fmt="decimal" w:start="1"/>
          <w:cols w:space="720" w:num="1"/>
          <w:docGrid w:type="lines" w:linePitch="408" w:charSpace="0"/>
        </w:sectPr>
      </w:pPr>
      <w:bookmarkStart w:id="86" w:name="_Toc11349"/>
    </w:p>
    <w:p w14:paraId="089054D3">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附件一、项目支出绩效自评表</w:t>
      </w:r>
      <w:bookmarkEnd w:id="86"/>
    </w:p>
    <w:p w14:paraId="338BC799">
      <w:pPr>
        <w:rPr>
          <w:rFonts w:hint="eastAsia" w:ascii="宋体" w:hAnsi="宋体" w:eastAsia="宋体" w:cs="宋体"/>
          <w:b/>
          <w:bCs/>
          <w:color w:val="auto"/>
          <w:highlight w:val="none"/>
          <w:shd w:val="clear" w:color="auto" w:fill="auto"/>
          <w:lang w:val="en-US" w:eastAsia="zh-CN"/>
        </w:rPr>
      </w:pP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05"/>
        <w:gridCol w:w="905"/>
        <w:gridCol w:w="905"/>
        <w:gridCol w:w="1288"/>
        <w:gridCol w:w="1178"/>
        <w:gridCol w:w="916"/>
        <w:gridCol w:w="905"/>
        <w:gridCol w:w="996"/>
        <w:gridCol w:w="994"/>
        <w:gridCol w:w="1105"/>
        <w:gridCol w:w="1087"/>
        <w:gridCol w:w="1087"/>
        <w:gridCol w:w="997"/>
        <w:gridCol w:w="906"/>
      </w:tblGrid>
      <w:tr w14:paraId="47D82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4174" w:type="dxa"/>
            <w:gridSpan w:val="14"/>
            <w:tcBorders>
              <w:top w:val="nil"/>
              <w:left w:val="nil"/>
              <w:bottom w:val="nil"/>
              <w:right w:val="nil"/>
            </w:tcBorders>
            <w:shd w:val="clear" w:color="auto" w:fill="auto"/>
            <w:vAlign w:val="center"/>
          </w:tcPr>
          <w:p w14:paraId="1284FC85">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43BE2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3478E8FB">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6DD58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03" w:type="dxa"/>
            <w:gridSpan w:val="2"/>
            <w:tcBorders>
              <w:top w:val="single" w:color="auto" w:sz="4" w:space="0"/>
            </w:tcBorders>
            <w:shd w:val="clear" w:color="auto" w:fill="auto"/>
            <w:vAlign w:val="center"/>
          </w:tcPr>
          <w:p w14:paraId="06A00B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71" w:type="dxa"/>
            <w:gridSpan w:val="12"/>
            <w:tcBorders>
              <w:top w:val="single" w:color="auto" w:sz="4" w:space="0"/>
            </w:tcBorders>
            <w:shd w:val="clear" w:color="auto" w:fill="auto"/>
            <w:vAlign w:val="center"/>
          </w:tcPr>
          <w:p w14:paraId="3A3B08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水磨沟乡2017年美丽乡村建设项目-山泉村乡村旅游开发项目</w:t>
            </w:r>
          </w:p>
        </w:tc>
      </w:tr>
      <w:tr w14:paraId="1CF86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503" w:type="dxa"/>
            <w:gridSpan w:val="2"/>
            <w:shd w:val="clear" w:color="auto" w:fill="auto"/>
            <w:vAlign w:val="center"/>
          </w:tcPr>
          <w:p w14:paraId="43B360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340" w:type="dxa"/>
            <w:gridSpan w:val="5"/>
            <w:shd w:val="clear" w:color="auto" w:fill="auto"/>
            <w:vAlign w:val="center"/>
          </w:tcPr>
          <w:p w14:paraId="7397EE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阜康市水磨沟乡人民政府</w:t>
            </w:r>
          </w:p>
        </w:tc>
        <w:tc>
          <w:tcPr>
            <w:tcW w:w="1977" w:type="dxa"/>
            <w:gridSpan w:val="2"/>
            <w:shd w:val="clear" w:color="auto" w:fill="auto"/>
            <w:vAlign w:val="center"/>
          </w:tcPr>
          <w:p w14:paraId="45298A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354" w:type="dxa"/>
            <w:gridSpan w:val="5"/>
            <w:shd w:val="clear" w:color="auto" w:fill="auto"/>
            <w:vAlign w:val="center"/>
          </w:tcPr>
          <w:p w14:paraId="61D2D8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阜康市水磨沟乡人民政府</w:t>
            </w:r>
          </w:p>
        </w:tc>
      </w:tr>
      <w:tr w14:paraId="08479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03" w:type="dxa"/>
            <w:gridSpan w:val="2"/>
            <w:vMerge w:val="restart"/>
            <w:shd w:val="clear" w:color="auto" w:fill="auto"/>
            <w:vAlign w:val="center"/>
          </w:tcPr>
          <w:p w14:paraId="4E398E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375" w:type="dxa"/>
            <w:gridSpan w:val="2"/>
            <w:shd w:val="clear" w:color="auto" w:fill="auto"/>
            <w:vAlign w:val="center"/>
          </w:tcPr>
          <w:p w14:paraId="0F5004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261" w:type="dxa"/>
            <w:shd w:val="clear" w:color="auto" w:fill="auto"/>
            <w:vAlign w:val="center"/>
          </w:tcPr>
          <w:p w14:paraId="61371E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04" w:type="dxa"/>
            <w:gridSpan w:val="2"/>
            <w:shd w:val="clear" w:color="auto" w:fill="auto"/>
            <w:vAlign w:val="center"/>
          </w:tcPr>
          <w:p w14:paraId="329679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77" w:type="dxa"/>
            <w:gridSpan w:val="2"/>
            <w:shd w:val="clear" w:color="auto" w:fill="auto"/>
            <w:vAlign w:val="center"/>
          </w:tcPr>
          <w:p w14:paraId="322ADF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342" w:type="dxa"/>
            <w:gridSpan w:val="2"/>
            <w:shd w:val="clear" w:color="auto" w:fill="auto"/>
            <w:vAlign w:val="center"/>
          </w:tcPr>
          <w:p w14:paraId="69FC00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913" w:type="dxa"/>
            <w:gridSpan w:val="2"/>
            <w:shd w:val="clear" w:color="auto" w:fill="auto"/>
            <w:vAlign w:val="center"/>
          </w:tcPr>
          <w:p w14:paraId="6AE71A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099" w:type="dxa"/>
            <w:shd w:val="clear" w:color="auto" w:fill="auto"/>
            <w:vAlign w:val="center"/>
          </w:tcPr>
          <w:p w14:paraId="33E8C9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715EA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0" w:hRule="atLeast"/>
        </w:trPr>
        <w:tc>
          <w:tcPr>
            <w:tcW w:w="1503" w:type="dxa"/>
            <w:gridSpan w:val="2"/>
            <w:vMerge w:val="continue"/>
            <w:shd w:val="clear" w:color="auto" w:fill="auto"/>
            <w:vAlign w:val="center"/>
          </w:tcPr>
          <w:p w14:paraId="61AC5FF2">
            <w:pPr>
              <w:jc w:val="center"/>
              <w:rPr>
                <w:rFonts w:hint="eastAsia" w:ascii="宋体" w:hAnsi="宋体" w:eastAsia="宋体" w:cs="宋体"/>
                <w:i w:val="0"/>
                <w:iCs w:val="0"/>
                <w:color w:val="000000"/>
                <w:sz w:val="20"/>
                <w:szCs w:val="20"/>
                <w:u w:val="none"/>
              </w:rPr>
            </w:pPr>
          </w:p>
        </w:tc>
        <w:tc>
          <w:tcPr>
            <w:tcW w:w="2375" w:type="dxa"/>
            <w:gridSpan w:val="2"/>
            <w:shd w:val="clear" w:color="auto" w:fill="auto"/>
            <w:vAlign w:val="center"/>
          </w:tcPr>
          <w:p w14:paraId="4A868A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261" w:type="dxa"/>
            <w:shd w:val="clear" w:color="auto" w:fill="auto"/>
            <w:vAlign w:val="center"/>
          </w:tcPr>
          <w:p w14:paraId="1C4353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704" w:type="dxa"/>
            <w:gridSpan w:val="2"/>
            <w:shd w:val="clear" w:color="auto" w:fill="auto"/>
            <w:vAlign w:val="center"/>
          </w:tcPr>
          <w:p w14:paraId="6FD6E6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977" w:type="dxa"/>
            <w:gridSpan w:val="2"/>
            <w:shd w:val="clear" w:color="auto" w:fill="auto"/>
            <w:vAlign w:val="center"/>
          </w:tcPr>
          <w:p w14:paraId="2859EF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2342" w:type="dxa"/>
            <w:gridSpan w:val="2"/>
            <w:shd w:val="clear" w:color="auto" w:fill="auto"/>
            <w:vAlign w:val="center"/>
          </w:tcPr>
          <w:p w14:paraId="5357C9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13" w:type="dxa"/>
            <w:gridSpan w:val="2"/>
            <w:shd w:val="clear" w:color="auto" w:fill="auto"/>
            <w:vAlign w:val="center"/>
          </w:tcPr>
          <w:p w14:paraId="12BFBE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099" w:type="dxa"/>
            <w:shd w:val="clear" w:color="auto" w:fill="auto"/>
            <w:vAlign w:val="center"/>
          </w:tcPr>
          <w:p w14:paraId="72ED61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01F71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503" w:type="dxa"/>
            <w:gridSpan w:val="2"/>
            <w:vMerge w:val="continue"/>
            <w:shd w:val="clear" w:color="auto" w:fill="auto"/>
            <w:vAlign w:val="center"/>
          </w:tcPr>
          <w:p w14:paraId="6B00F042">
            <w:pPr>
              <w:jc w:val="center"/>
              <w:rPr>
                <w:rFonts w:hint="eastAsia" w:ascii="宋体" w:hAnsi="宋体" w:eastAsia="宋体" w:cs="宋体"/>
                <w:i w:val="0"/>
                <w:iCs w:val="0"/>
                <w:color w:val="000000"/>
                <w:sz w:val="20"/>
                <w:szCs w:val="20"/>
                <w:u w:val="none"/>
              </w:rPr>
            </w:pPr>
          </w:p>
        </w:tc>
        <w:tc>
          <w:tcPr>
            <w:tcW w:w="2375" w:type="dxa"/>
            <w:gridSpan w:val="2"/>
            <w:shd w:val="clear" w:color="auto" w:fill="auto"/>
            <w:vAlign w:val="center"/>
          </w:tcPr>
          <w:p w14:paraId="614313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261" w:type="dxa"/>
            <w:shd w:val="clear" w:color="auto" w:fill="auto"/>
            <w:vAlign w:val="center"/>
          </w:tcPr>
          <w:p w14:paraId="602C62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704" w:type="dxa"/>
            <w:gridSpan w:val="2"/>
            <w:shd w:val="clear" w:color="auto" w:fill="auto"/>
            <w:vAlign w:val="center"/>
          </w:tcPr>
          <w:p w14:paraId="54CB95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977" w:type="dxa"/>
            <w:gridSpan w:val="2"/>
            <w:shd w:val="clear" w:color="auto" w:fill="auto"/>
            <w:vAlign w:val="center"/>
          </w:tcPr>
          <w:p w14:paraId="58421F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2342" w:type="dxa"/>
            <w:gridSpan w:val="2"/>
            <w:shd w:val="clear" w:color="auto" w:fill="auto"/>
            <w:vAlign w:val="center"/>
          </w:tcPr>
          <w:p w14:paraId="6C77DC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13" w:type="dxa"/>
            <w:gridSpan w:val="2"/>
            <w:shd w:val="clear" w:color="auto" w:fill="auto"/>
            <w:vAlign w:val="center"/>
          </w:tcPr>
          <w:p w14:paraId="666F9B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9" w:type="dxa"/>
            <w:shd w:val="clear" w:color="auto" w:fill="auto"/>
            <w:vAlign w:val="center"/>
          </w:tcPr>
          <w:p w14:paraId="682629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8E10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0" w:hRule="atLeast"/>
        </w:trPr>
        <w:tc>
          <w:tcPr>
            <w:tcW w:w="1503" w:type="dxa"/>
            <w:gridSpan w:val="2"/>
            <w:vMerge w:val="continue"/>
            <w:shd w:val="clear" w:color="auto" w:fill="auto"/>
            <w:vAlign w:val="center"/>
          </w:tcPr>
          <w:p w14:paraId="750604FE">
            <w:pPr>
              <w:jc w:val="center"/>
              <w:rPr>
                <w:rFonts w:hint="eastAsia" w:ascii="宋体" w:hAnsi="宋体" w:eastAsia="宋体" w:cs="宋体"/>
                <w:i w:val="0"/>
                <w:iCs w:val="0"/>
                <w:color w:val="000000"/>
                <w:sz w:val="20"/>
                <w:szCs w:val="20"/>
                <w:u w:val="none"/>
              </w:rPr>
            </w:pPr>
          </w:p>
        </w:tc>
        <w:tc>
          <w:tcPr>
            <w:tcW w:w="2375" w:type="dxa"/>
            <w:gridSpan w:val="2"/>
            <w:shd w:val="clear" w:color="auto" w:fill="auto"/>
            <w:vAlign w:val="center"/>
          </w:tcPr>
          <w:p w14:paraId="368B8D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261" w:type="dxa"/>
            <w:shd w:val="clear" w:color="auto" w:fill="auto"/>
            <w:vAlign w:val="center"/>
          </w:tcPr>
          <w:p w14:paraId="33E1D1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04" w:type="dxa"/>
            <w:gridSpan w:val="2"/>
            <w:shd w:val="clear" w:color="auto" w:fill="auto"/>
            <w:vAlign w:val="center"/>
          </w:tcPr>
          <w:p w14:paraId="2FCE97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77" w:type="dxa"/>
            <w:gridSpan w:val="2"/>
            <w:shd w:val="clear" w:color="auto" w:fill="auto"/>
            <w:vAlign w:val="center"/>
          </w:tcPr>
          <w:p w14:paraId="05FEDB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342" w:type="dxa"/>
            <w:gridSpan w:val="2"/>
            <w:shd w:val="clear" w:color="auto" w:fill="auto"/>
            <w:vAlign w:val="center"/>
          </w:tcPr>
          <w:p w14:paraId="0F5726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13" w:type="dxa"/>
            <w:gridSpan w:val="2"/>
            <w:shd w:val="clear" w:color="auto" w:fill="auto"/>
            <w:vAlign w:val="center"/>
          </w:tcPr>
          <w:p w14:paraId="18CF3A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9" w:type="dxa"/>
            <w:shd w:val="clear" w:color="auto" w:fill="auto"/>
            <w:vAlign w:val="center"/>
          </w:tcPr>
          <w:p w14:paraId="295B12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0DD86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751" w:type="dxa"/>
            <w:vMerge w:val="restart"/>
            <w:shd w:val="clear" w:color="auto" w:fill="auto"/>
            <w:vAlign w:val="center"/>
          </w:tcPr>
          <w:p w14:paraId="41AC59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069" w:type="dxa"/>
            <w:gridSpan w:val="8"/>
            <w:shd w:val="clear" w:color="auto" w:fill="auto"/>
            <w:vAlign w:val="center"/>
          </w:tcPr>
          <w:p w14:paraId="1129E3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354" w:type="dxa"/>
            <w:gridSpan w:val="5"/>
            <w:shd w:val="clear" w:color="auto" w:fill="auto"/>
            <w:vAlign w:val="center"/>
          </w:tcPr>
          <w:p w14:paraId="44CDCD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15381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751" w:type="dxa"/>
            <w:vMerge w:val="continue"/>
            <w:shd w:val="clear" w:color="auto" w:fill="auto"/>
            <w:vAlign w:val="center"/>
          </w:tcPr>
          <w:p w14:paraId="38BCF927">
            <w:pPr>
              <w:jc w:val="center"/>
              <w:rPr>
                <w:rFonts w:hint="eastAsia" w:ascii="宋体" w:hAnsi="宋体" w:eastAsia="宋体" w:cs="宋体"/>
                <w:i w:val="0"/>
                <w:iCs w:val="0"/>
                <w:color w:val="000000"/>
                <w:sz w:val="20"/>
                <w:szCs w:val="20"/>
                <w:u w:val="none"/>
              </w:rPr>
            </w:pPr>
          </w:p>
        </w:tc>
        <w:tc>
          <w:tcPr>
            <w:tcW w:w="8069" w:type="dxa"/>
            <w:gridSpan w:val="8"/>
            <w:shd w:val="clear" w:color="auto" w:fill="auto"/>
            <w:vAlign w:val="center"/>
          </w:tcPr>
          <w:p w14:paraId="25933E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通过支付水磨沟乡2017年美丽乡村建设项目-山泉村乡村旅游开发项目工程款，按照甲乙双方还款约定，计划年内支付10万元，用于及时回流施工单位资金，同时化解本级债务矛盾，促进社会和谐稳定。</w:t>
            </w:r>
          </w:p>
        </w:tc>
        <w:tc>
          <w:tcPr>
            <w:tcW w:w="5354" w:type="dxa"/>
            <w:gridSpan w:val="5"/>
            <w:shd w:val="clear" w:color="auto" w:fill="auto"/>
            <w:vAlign w:val="center"/>
          </w:tcPr>
          <w:p w14:paraId="3440CB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截至2023年12月31日，项目已完成，已完成支付一家工程款，资金支付准确率和资金支付及时率达到100%，达到持续改善辖区生态环境的效益，辖区群众满意度达到100%。</w:t>
            </w:r>
          </w:p>
        </w:tc>
      </w:tr>
      <w:tr w14:paraId="2E679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751" w:type="dxa"/>
            <w:shd w:val="clear" w:color="auto" w:fill="auto"/>
            <w:vAlign w:val="center"/>
          </w:tcPr>
          <w:p w14:paraId="492DFC03">
            <w:pPr>
              <w:jc w:val="center"/>
              <w:rPr>
                <w:rFonts w:hint="eastAsia" w:ascii="宋体" w:hAnsi="宋体" w:eastAsia="宋体" w:cs="宋体"/>
                <w:i w:val="0"/>
                <w:iCs w:val="0"/>
                <w:color w:val="000000"/>
                <w:sz w:val="20"/>
                <w:szCs w:val="20"/>
                <w:u w:val="none"/>
              </w:rPr>
            </w:pPr>
          </w:p>
        </w:tc>
        <w:tc>
          <w:tcPr>
            <w:tcW w:w="752" w:type="dxa"/>
            <w:shd w:val="clear" w:color="auto" w:fill="auto"/>
            <w:vAlign w:val="center"/>
          </w:tcPr>
          <w:p w14:paraId="25B9BD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77" w:type="dxa"/>
            <w:shd w:val="clear" w:color="auto" w:fill="auto"/>
            <w:vAlign w:val="center"/>
          </w:tcPr>
          <w:p w14:paraId="5A8271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398" w:type="dxa"/>
            <w:shd w:val="clear" w:color="auto" w:fill="auto"/>
            <w:vAlign w:val="center"/>
          </w:tcPr>
          <w:p w14:paraId="2CCE20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261" w:type="dxa"/>
            <w:shd w:val="clear" w:color="auto" w:fill="auto"/>
            <w:vAlign w:val="center"/>
          </w:tcPr>
          <w:p w14:paraId="56F31C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88" w:type="dxa"/>
            <w:shd w:val="clear" w:color="auto" w:fill="auto"/>
            <w:vAlign w:val="center"/>
          </w:tcPr>
          <w:p w14:paraId="659882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716" w:type="dxa"/>
            <w:shd w:val="clear" w:color="auto" w:fill="auto"/>
            <w:vAlign w:val="center"/>
          </w:tcPr>
          <w:p w14:paraId="6C02DA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03" w:type="dxa"/>
            <w:shd w:val="clear" w:color="auto" w:fill="auto"/>
            <w:vAlign w:val="center"/>
          </w:tcPr>
          <w:p w14:paraId="015E2D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074" w:type="dxa"/>
            <w:shd w:val="clear" w:color="auto" w:fill="auto"/>
            <w:vAlign w:val="center"/>
          </w:tcPr>
          <w:p w14:paraId="300F29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196" w:type="dxa"/>
            <w:shd w:val="clear" w:color="auto" w:fill="auto"/>
            <w:vAlign w:val="center"/>
          </w:tcPr>
          <w:p w14:paraId="298EE9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146" w:type="dxa"/>
            <w:shd w:val="clear" w:color="auto" w:fill="auto"/>
            <w:vAlign w:val="center"/>
          </w:tcPr>
          <w:p w14:paraId="54ECE8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009" w:type="dxa"/>
            <w:shd w:val="clear" w:color="auto" w:fill="auto"/>
            <w:vAlign w:val="center"/>
          </w:tcPr>
          <w:p w14:paraId="5D3ECF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904" w:type="dxa"/>
            <w:shd w:val="clear" w:color="auto" w:fill="auto"/>
            <w:vAlign w:val="center"/>
          </w:tcPr>
          <w:p w14:paraId="1FE76A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099" w:type="dxa"/>
            <w:shd w:val="clear" w:color="auto" w:fill="auto"/>
            <w:vAlign w:val="center"/>
          </w:tcPr>
          <w:p w14:paraId="5D2D63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4D533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20" w:hRule="atLeast"/>
        </w:trPr>
        <w:tc>
          <w:tcPr>
            <w:tcW w:w="751" w:type="dxa"/>
            <w:vMerge w:val="restart"/>
            <w:shd w:val="clear" w:color="auto" w:fill="auto"/>
            <w:vAlign w:val="center"/>
          </w:tcPr>
          <w:p w14:paraId="4EA5FC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52" w:type="dxa"/>
            <w:vMerge w:val="restart"/>
            <w:shd w:val="clear" w:color="auto" w:fill="auto"/>
            <w:vAlign w:val="center"/>
          </w:tcPr>
          <w:p w14:paraId="25DBC5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77" w:type="dxa"/>
            <w:shd w:val="clear" w:color="auto" w:fill="auto"/>
            <w:vAlign w:val="center"/>
          </w:tcPr>
          <w:p w14:paraId="445BD1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398" w:type="dxa"/>
            <w:shd w:val="clear" w:color="auto" w:fill="auto"/>
            <w:vAlign w:val="center"/>
          </w:tcPr>
          <w:p w14:paraId="16E765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支付工程尾款施工单位数量</w:t>
            </w:r>
          </w:p>
        </w:tc>
        <w:tc>
          <w:tcPr>
            <w:tcW w:w="1261" w:type="dxa"/>
            <w:shd w:val="clear" w:color="auto" w:fill="auto"/>
            <w:vAlign w:val="center"/>
          </w:tcPr>
          <w:p w14:paraId="2D3B4D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1家</w:t>
            </w:r>
          </w:p>
        </w:tc>
        <w:tc>
          <w:tcPr>
            <w:tcW w:w="988" w:type="dxa"/>
            <w:shd w:val="clear" w:color="auto" w:fill="auto"/>
            <w:vAlign w:val="center"/>
          </w:tcPr>
          <w:p w14:paraId="7AA4A4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16" w:type="dxa"/>
            <w:shd w:val="clear" w:color="auto" w:fill="auto"/>
            <w:noWrap/>
            <w:vAlign w:val="center"/>
          </w:tcPr>
          <w:p w14:paraId="7E356C0C">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03" w:type="dxa"/>
            <w:shd w:val="clear" w:color="auto" w:fill="auto"/>
            <w:vAlign w:val="center"/>
          </w:tcPr>
          <w:p w14:paraId="3CAACB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74" w:type="dxa"/>
            <w:shd w:val="clear" w:color="auto" w:fill="auto"/>
            <w:vAlign w:val="center"/>
          </w:tcPr>
          <w:p w14:paraId="580409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196" w:type="dxa"/>
            <w:shd w:val="clear" w:color="auto" w:fill="auto"/>
            <w:vAlign w:val="center"/>
          </w:tcPr>
          <w:p w14:paraId="2B72A2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146" w:type="dxa"/>
            <w:shd w:val="clear" w:color="auto" w:fill="auto"/>
            <w:vAlign w:val="center"/>
          </w:tcPr>
          <w:p w14:paraId="79A7A2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1家</w:t>
            </w:r>
          </w:p>
        </w:tc>
        <w:tc>
          <w:tcPr>
            <w:tcW w:w="1009" w:type="dxa"/>
            <w:shd w:val="clear" w:color="auto" w:fill="auto"/>
            <w:vAlign w:val="center"/>
          </w:tcPr>
          <w:p w14:paraId="3A6342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4" w:type="dxa"/>
            <w:shd w:val="clear" w:color="auto" w:fill="auto"/>
            <w:vAlign w:val="center"/>
          </w:tcPr>
          <w:p w14:paraId="1E93D2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99" w:type="dxa"/>
            <w:shd w:val="clear" w:color="auto" w:fill="auto"/>
            <w:vAlign w:val="center"/>
          </w:tcPr>
          <w:p w14:paraId="47466866">
            <w:pPr>
              <w:jc w:val="center"/>
              <w:rPr>
                <w:rFonts w:hint="eastAsia" w:ascii="宋体" w:hAnsi="宋体" w:eastAsia="宋体" w:cs="宋体"/>
                <w:i w:val="0"/>
                <w:iCs w:val="0"/>
                <w:color w:val="000000"/>
                <w:sz w:val="20"/>
                <w:szCs w:val="20"/>
                <w:u w:val="none"/>
              </w:rPr>
            </w:pPr>
          </w:p>
        </w:tc>
      </w:tr>
      <w:tr w14:paraId="0D1E1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751" w:type="dxa"/>
            <w:vMerge w:val="continue"/>
            <w:shd w:val="clear" w:color="auto" w:fill="auto"/>
            <w:vAlign w:val="center"/>
          </w:tcPr>
          <w:p w14:paraId="63D7B9A6">
            <w:pPr>
              <w:jc w:val="center"/>
              <w:rPr>
                <w:rFonts w:hint="eastAsia" w:ascii="宋体" w:hAnsi="宋体" w:eastAsia="宋体" w:cs="宋体"/>
                <w:i w:val="0"/>
                <w:iCs w:val="0"/>
                <w:color w:val="000000"/>
                <w:sz w:val="20"/>
                <w:szCs w:val="20"/>
                <w:u w:val="none"/>
              </w:rPr>
            </w:pPr>
          </w:p>
        </w:tc>
        <w:tc>
          <w:tcPr>
            <w:tcW w:w="752" w:type="dxa"/>
            <w:vMerge w:val="continue"/>
            <w:shd w:val="clear" w:color="auto" w:fill="auto"/>
            <w:vAlign w:val="center"/>
          </w:tcPr>
          <w:p w14:paraId="1EA13442">
            <w:pPr>
              <w:jc w:val="center"/>
              <w:rPr>
                <w:rFonts w:hint="eastAsia" w:ascii="宋体" w:hAnsi="宋体" w:eastAsia="宋体" w:cs="宋体"/>
                <w:i w:val="0"/>
                <w:iCs w:val="0"/>
                <w:color w:val="000000"/>
                <w:sz w:val="20"/>
                <w:szCs w:val="20"/>
                <w:u w:val="none"/>
              </w:rPr>
            </w:pPr>
          </w:p>
        </w:tc>
        <w:tc>
          <w:tcPr>
            <w:tcW w:w="977" w:type="dxa"/>
            <w:shd w:val="clear" w:color="auto" w:fill="auto"/>
            <w:vAlign w:val="center"/>
          </w:tcPr>
          <w:p w14:paraId="572C19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398" w:type="dxa"/>
            <w:shd w:val="clear" w:color="auto" w:fill="auto"/>
            <w:vAlign w:val="center"/>
          </w:tcPr>
          <w:p w14:paraId="5075DB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资金支付准确率</w:t>
            </w:r>
          </w:p>
        </w:tc>
        <w:tc>
          <w:tcPr>
            <w:tcW w:w="1261" w:type="dxa"/>
            <w:shd w:val="clear" w:color="auto" w:fill="auto"/>
            <w:vAlign w:val="center"/>
          </w:tcPr>
          <w:p w14:paraId="2A4B45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8" w:type="dxa"/>
            <w:shd w:val="clear" w:color="auto" w:fill="auto"/>
            <w:vAlign w:val="center"/>
          </w:tcPr>
          <w:p w14:paraId="48339B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16" w:type="dxa"/>
            <w:shd w:val="clear" w:color="auto" w:fill="auto"/>
            <w:noWrap/>
            <w:vAlign w:val="center"/>
          </w:tcPr>
          <w:p w14:paraId="548018B8">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03" w:type="dxa"/>
            <w:shd w:val="clear" w:color="auto" w:fill="auto"/>
            <w:vAlign w:val="center"/>
          </w:tcPr>
          <w:p w14:paraId="33EE79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74" w:type="dxa"/>
            <w:shd w:val="clear" w:color="auto" w:fill="auto"/>
            <w:vAlign w:val="center"/>
          </w:tcPr>
          <w:p w14:paraId="45E7CE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196" w:type="dxa"/>
            <w:shd w:val="clear" w:color="auto" w:fill="auto"/>
            <w:vAlign w:val="center"/>
          </w:tcPr>
          <w:p w14:paraId="272D3D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146" w:type="dxa"/>
            <w:shd w:val="clear" w:color="auto" w:fill="auto"/>
            <w:vAlign w:val="center"/>
          </w:tcPr>
          <w:p w14:paraId="19ADCE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09" w:type="dxa"/>
            <w:shd w:val="clear" w:color="auto" w:fill="auto"/>
            <w:vAlign w:val="center"/>
          </w:tcPr>
          <w:p w14:paraId="79EB25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4" w:type="dxa"/>
            <w:shd w:val="clear" w:color="auto" w:fill="auto"/>
            <w:vAlign w:val="center"/>
          </w:tcPr>
          <w:p w14:paraId="569DE4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99" w:type="dxa"/>
            <w:shd w:val="clear" w:color="auto" w:fill="auto"/>
            <w:vAlign w:val="center"/>
          </w:tcPr>
          <w:p w14:paraId="3F61B89E">
            <w:pPr>
              <w:jc w:val="center"/>
              <w:rPr>
                <w:rFonts w:hint="eastAsia" w:ascii="宋体" w:hAnsi="宋体" w:eastAsia="宋体" w:cs="宋体"/>
                <w:i w:val="0"/>
                <w:iCs w:val="0"/>
                <w:color w:val="000000"/>
                <w:sz w:val="20"/>
                <w:szCs w:val="20"/>
                <w:u w:val="none"/>
              </w:rPr>
            </w:pPr>
          </w:p>
        </w:tc>
      </w:tr>
      <w:tr w14:paraId="0FB21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751" w:type="dxa"/>
            <w:vMerge w:val="continue"/>
            <w:shd w:val="clear" w:color="auto" w:fill="auto"/>
            <w:vAlign w:val="center"/>
          </w:tcPr>
          <w:p w14:paraId="25CEE9BF">
            <w:pPr>
              <w:jc w:val="center"/>
              <w:rPr>
                <w:rFonts w:hint="eastAsia" w:ascii="宋体" w:hAnsi="宋体" w:eastAsia="宋体" w:cs="宋体"/>
                <w:i w:val="0"/>
                <w:iCs w:val="0"/>
                <w:color w:val="000000"/>
                <w:sz w:val="20"/>
                <w:szCs w:val="20"/>
                <w:u w:val="none"/>
              </w:rPr>
            </w:pPr>
          </w:p>
        </w:tc>
        <w:tc>
          <w:tcPr>
            <w:tcW w:w="752" w:type="dxa"/>
            <w:vMerge w:val="continue"/>
            <w:shd w:val="clear" w:color="auto" w:fill="auto"/>
            <w:vAlign w:val="center"/>
          </w:tcPr>
          <w:p w14:paraId="0BAED724">
            <w:pPr>
              <w:jc w:val="center"/>
              <w:rPr>
                <w:rFonts w:hint="eastAsia" w:ascii="宋体" w:hAnsi="宋体" w:eastAsia="宋体" w:cs="宋体"/>
                <w:i w:val="0"/>
                <w:iCs w:val="0"/>
                <w:color w:val="000000"/>
                <w:sz w:val="20"/>
                <w:szCs w:val="20"/>
                <w:u w:val="none"/>
              </w:rPr>
            </w:pPr>
          </w:p>
        </w:tc>
        <w:tc>
          <w:tcPr>
            <w:tcW w:w="977" w:type="dxa"/>
            <w:vMerge w:val="restart"/>
            <w:shd w:val="clear" w:color="auto" w:fill="auto"/>
            <w:vAlign w:val="center"/>
          </w:tcPr>
          <w:p w14:paraId="6EA070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398" w:type="dxa"/>
            <w:shd w:val="clear" w:color="auto" w:fill="auto"/>
            <w:vAlign w:val="center"/>
          </w:tcPr>
          <w:p w14:paraId="3BA2B2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资金支付及时率</w:t>
            </w:r>
          </w:p>
        </w:tc>
        <w:tc>
          <w:tcPr>
            <w:tcW w:w="1261" w:type="dxa"/>
            <w:shd w:val="clear" w:color="auto" w:fill="auto"/>
            <w:vAlign w:val="center"/>
          </w:tcPr>
          <w:p w14:paraId="54F494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8" w:type="dxa"/>
            <w:shd w:val="clear" w:color="auto" w:fill="auto"/>
            <w:vAlign w:val="center"/>
          </w:tcPr>
          <w:p w14:paraId="464B2D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16" w:type="dxa"/>
            <w:shd w:val="clear" w:color="auto" w:fill="auto"/>
            <w:noWrap/>
            <w:vAlign w:val="center"/>
          </w:tcPr>
          <w:p w14:paraId="0EF3853D">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03" w:type="dxa"/>
            <w:shd w:val="clear" w:color="auto" w:fill="auto"/>
            <w:vAlign w:val="center"/>
          </w:tcPr>
          <w:p w14:paraId="79377DD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74" w:type="dxa"/>
            <w:shd w:val="clear" w:color="auto" w:fill="auto"/>
            <w:vAlign w:val="center"/>
          </w:tcPr>
          <w:p w14:paraId="568211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196" w:type="dxa"/>
            <w:shd w:val="clear" w:color="auto" w:fill="auto"/>
            <w:vAlign w:val="center"/>
          </w:tcPr>
          <w:p w14:paraId="68363F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46" w:type="dxa"/>
            <w:shd w:val="clear" w:color="auto" w:fill="auto"/>
            <w:vAlign w:val="center"/>
          </w:tcPr>
          <w:p w14:paraId="55A6F9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09" w:type="dxa"/>
            <w:shd w:val="clear" w:color="auto" w:fill="auto"/>
            <w:vAlign w:val="center"/>
          </w:tcPr>
          <w:p w14:paraId="4E2730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4" w:type="dxa"/>
            <w:shd w:val="clear" w:color="auto" w:fill="auto"/>
            <w:vAlign w:val="center"/>
          </w:tcPr>
          <w:p w14:paraId="346A97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99" w:type="dxa"/>
            <w:shd w:val="clear" w:color="auto" w:fill="auto"/>
            <w:vAlign w:val="center"/>
          </w:tcPr>
          <w:p w14:paraId="675FCC7D">
            <w:pPr>
              <w:jc w:val="center"/>
              <w:rPr>
                <w:rFonts w:hint="eastAsia" w:ascii="宋体" w:hAnsi="宋体" w:eastAsia="宋体" w:cs="宋体"/>
                <w:i w:val="0"/>
                <w:iCs w:val="0"/>
                <w:color w:val="000000"/>
                <w:sz w:val="20"/>
                <w:szCs w:val="20"/>
                <w:u w:val="none"/>
              </w:rPr>
            </w:pPr>
          </w:p>
        </w:tc>
      </w:tr>
      <w:tr w14:paraId="7459A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751" w:type="dxa"/>
            <w:vMerge w:val="continue"/>
            <w:shd w:val="clear" w:color="auto" w:fill="auto"/>
            <w:vAlign w:val="center"/>
          </w:tcPr>
          <w:p w14:paraId="1AF86D1D">
            <w:pPr>
              <w:jc w:val="center"/>
              <w:rPr>
                <w:rFonts w:hint="eastAsia" w:ascii="宋体" w:hAnsi="宋体" w:eastAsia="宋体" w:cs="宋体"/>
                <w:i w:val="0"/>
                <w:iCs w:val="0"/>
                <w:color w:val="000000"/>
                <w:sz w:val="20"/>
                <w:szCs w:val="20"/>
                <w:u w:val="none"/>
              </w:rPr>
            </w:pPr>
          </w:p>
        </w:tc>
        <w:tc>
          <w:tcPr>
            <w:tcW w:w="752" w:type="dxa"/>
            <w:vMerge w:val="continue"/>
            <w:shd w:val="clear" w:color="auto" w:fill="auto"/>
            <w:vAlign w:val="center"/>
          </w:tcPr>
          <w:p w14:paraId="6F4734FF">
            <w:pPr>
              <w:jc w:val="center"/>
              <w:rPr>
                <w:rFonts w:hint="eastAsia" w:ascii="宋体" w:hAnsi="宋体" w:eastAsia="宋体" w:cs="宋体"/>
                <w:i w:val="0"/>
                <w:iCs w:val="0"/>
                <w:color w:val="000000"/>
                <w:sz w:val="20"/>
                <w:szCs w:val="20"/>
                <w:u w:val="none"/>
              </w:rPr>
            </w:pPr>
          </w:p>
        </w:tc>
        <w:tc>
          <w:tcPr>
            <w:tcW w:w="977" w:type="dxa"/>
            <w:vMerge w:val="continue"/>
            <w:shd w:val="clear" w:color="auto" w:fill="auto"/>
            <w:vAlign w:val="center"/>
          </w:tcPr>
          <w:p w14:paraId="5B40C319">
            <w:pPr>
              <w:jc w:val="center"/>
              <w:rPr>
                <w:rFonts w:hint="eastAsia" w:ascii="宋体" w:hAnsi="宋体" w:eastAsia="宋体" w:cs="宋体"/>
                <w:i w:val="0"/>
                <w:iCs w:val="0"/>
                <w:color w:val="000000"/>
                <w:sz w:val="20"/>
                <w:szCs w:val="20"/>
                <w:u w:val="none"/>
              </w:rPr>
            </w:pPr>
          </w:p>
        </w:tc>
        <w:tc>
          <w:tcPr>
            <w:tcW w:w="1398" w:type="dxa"/>
            <w:shd w:val="clear" w:color="auto" w:fill="auto"/>
            <w:vAlign w:val="center"/>
          </w:tcPr>
          <w:p w14:paraId="273607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资金发放完成时间</w:t>
            </w:r>
          </w:p>
        </w:tc>
        <w:tc>
          <w:tcPr>
            <w:tcW w:w="1261" w:type="dxa"/>
            <w:shd w:val="clear" w:color="auto" w:fill="auto"/>
            <w:vAlign w:val="center"/>
          </w:tcPr>
          <w:p w14:paraId="6C09A5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2023年5月</w:t>
            </w:r>
          </w:p>
        </w:tc>
        <w:tc>
          <w:tcPr>
            <w:tcW w:w="988" w:type="dxa"/>
            <w:shd w:val="clear" w:color="auto" w:fill="auto"/>
            <w:vAlign w:val="center"/>
          </w:tcPr>
          <w:p w14:paraId="6DF4E2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16" w:type="dxa"/>
            <w:shd w:val="clear" w:color="auto" w:fill="auto"/>
            <w:noWrap/>
            <w:vAlign w:val="center"/>
          </w:tcPr>
          <w:p w14:paraId="6720E536">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03" w:type="dxa"/>
            <w:shd w:val="clear" w:color="auto" w:fill="auto"/>
            <w:vAlign w:val="center"/>
          </w:tcPr>
          <w:p w14:paraId="61C92E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74" w:type="dxa"/>
            <w:shd w:val="clear" w:color="auto" w:fill="auto"/>
            <w:vAlign w:val="center"/>
          </w:tcPr>
          <w:p w14:paraId="4DCE20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196" w:type="dxa"/>
            <w:shd w:val="clear" w:color="auto" w:fill="auto"/>
            <w:vAlign w:val="center"/>
          </w:tcPr>
          <w:p w14:paraId="263A58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1146" w:type="dxa"/>
            <w:shd w:val="clear" w:color="auto" w:fill="auto"/>
            <w:vAlign w:val="center"/>
          </w:tcPr>
          <w:p w14:paraId="4D6228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2023年5月</w:t>
            </w:r>
          </w:p>
        </w:tc>
        <w:tc>
          <w:tcPr>
            <w:tcW w:w="1009" w:type="dxa"/>
            <w:shd w:val="clear" w:color="auto" w:fill="auto"/>
            <w:vAlign w:val="center"/>
          </w:tcPr>
          <w:p w14:paraId="7C20AC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4" w:type="dxa"/>
            <w:shd w:val="clear" w:color="auto" w:fill="auto"/>
            <w:vAlign w:val="center"/>
          </w:tcPr>
          <w:p w14:paraId="580B54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99" w:type="dxa"/>
            <w:shd w:val="clear" w:color="auto" w:fill="auto"/>
            <w:vAlign w:val="center"/>
          </w:tcPr>
          <w:p w14:paraId="44A288F5">
            <w:pPr>
              <w:jc w:val="center"/>
              <w:rPr>
                <w:rFonts w:hint="eastAsia" w:ascii="宋体" w:hAnsi="宋体" w:eastAsia="宋体" w:cs="宋体"/>
                <w:b/>
                <w:bCs/>
                <w:i w:val="0"/>
                <w:iCs w:val="0"/>
                <w:color w:val="000000"/>
                <w:sz w:val="20"/>
                <w:szCs w:val="20"/>
                <w:u w:val="none"/>
              </w:rPr>
            </w:pPr>
          </w:p>
        </w:tc>
      </w:tr>
      <w:tr w14:paraId="143F1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751" w:type="dxa"/>
            <w:vMerge w:val="continue"/>
            <w:shd w:val="clear" w:color="auto" w:fill="auto"/>
            <w:vAlign w:val="center"/>
          </w:tcPr>
          <w:p w14:paraId="624C5DC2">
            <w:pPr>
              <w:jc w:val="center"/>
              <w:rPr>
                <w:rFonts w:hint="eastAsia" w:ascii="宋体" w:hAnsi="宋体" w:eastAsia="宋体" w:cs="宋体"/>
                <w:i w:val="0"/>
                <w:iCs w:val="0"/>
                <w:color w:val="000000"/>
                <w:sz w:val="20"/>
                <w:szCs w:val="20"/>
                <w:u w:val="none"/>
              </w:rPr>
            </w:pPr>
          </w:p>
        </w:tc>
        <w:tc>
          <w:tcPr>
            <w:tcW w:w="752" w:type="dxa"/>
            <w:vMerge w:val="restart"/>
            <w:shd w:val="clear" w:color="auto" w:fill="auto"/>
            <w:vAlign w:val="center"/>
          </w:tcPr>
          <w:p w14:paraId="79BB21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77" w:type="dxa"/>
            <w:shd w:val="clear" w:color="auto" w:fill="auto"/>
            <w:vAlign w:val="center"/>
          </w:tcPr>
          <w:p w14:paraId="7E83A4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398" w:type="dxa"/>
            <w:shd w:val="clear" w:color="auto" w:fill="auto"/>
            <w:vAlign w:val="center"/>
          </w:tcPr>
          <w:p w14:paraId="4BB357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支付工程尾款施工单位成本</w:t>
            </w:r>
          </w:p>
        </w:tc>
        <w:tc>
          <w:tcPr>
            <w:tcW w:w="1261" w:type="dxa"/>
            <w:shd w:val="clear" w:color="auto" w:fill="auto"/>
            <w:vAlign w:val="center"/>
          </w:tcPr>
          <w:p w14:paraId="2F9BB2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≤10万元</w:t>
            </w:r>
          </w:p>
        </w:tc>
        <w:tc>
          <w:tcPr>
            <w:tcW w:w="988" w:type="dxa"/>
            <w:shd w:val="clear" w:color="auto" w:fill="auto"/>
            <w:vAlign w:val="center"/>
          </w:tcPr>
          <w:p w14:paraId="364677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16" w:type="dxa"/>
            <w:shd w:val="clear" w:color="auto" w:fill="auto"/>
            <w:noWrap/>
            <w:vAlign w:val="center"/>
          </w:tcPr>
          <w:p w14:paraId="49357A1B">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03" w:type="dxa"/>
            <w:shd w:val="clear" w:color="auto" w:fill="auto"/>
            <w:vAlign w:val="center"/>
          </w:tcPr>
          <w:p w14:paraId="53260F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74" w:type="dxa"/>
            <w:shd w:val="clear" w:color="auto" w:fill="auto"/>
            <w:vAlign w:val="center"/>
          </w:tcPr>
          <w:p w14:paraId="5478D5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196" w:type="dxa"/>
            <w:shd w:val="clear" w:color="auto" w:fill="auto"/>
            <w:vAlign w:val="center"/>
          </w:tcPr>
          <w:p w14:paraId="5B9770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146" w:type="dxa"/>
            <w:shd w:val="clear" w:color="auto" w:fill="auto"/>
            <w:vAlign w:val="center"/>
          </w:tcPr>
          <w:p w14:paraId="50AC40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10万元</w:t>
            </w:r>
          </w:p>
        </w:tc>
        <w:tc>
          <w:tcPr>
            <w:tcW w:w="1009" w:type="dxa"/>
            <w:shd w:val="clear" w:color="auto" w:fill="auto"/>
            <w:vAlign w:val="center"/>
          </w:tcPr>
          <w:p w14:paraId="77A4BD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4" w:type="dxa"/>
            <w:shd w:val="clear" w:color="auto" w:fill="auto"/>
            <w:vAlign w:val="center"/>
          </w:tcPr>
          <w:p w14:paraId="05BD64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99" w:type="dxa"/>
            <w:shd w:val="clear" w:color="auto" w:fill="auto"/>
            <w:vAlign w:val="center"/>
          </w:tcPr>
          <w:p w14:paraId="069751A7">
            <w:pPr>
              <w:jc w:val="center"/>
              <w:rPr>
                <w:rFonts w:hint="eastAsia" w:ascii="宋体" w:hAnsi="宋体" w:eastAsia="宋体" w:cs="宋体"/>
                <w:i w:val="0"/>
                <w:iCs w:val="0"/>
                <w:color w:val="000000"/>
                <w:sz w:val="20"/>
                <w:szCs w:val="20"/>
                <w:u w:val="none"/>
              </w:rPr>
            </w:pPr>
          </w:p>
        </w:tc>
      </w:tr>
      <w:tr w14:paraId="4212F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20" w:hRule="atLeast"/>
        </w:trPr>
        <w:tc>
          <w:tcPr>
            <w:tcW w:w="751" w:type="dxa"/>
            <w:vMerge w:val="continue"/>
            <w:shd w:val="clear" w:color="auto" w:fill="auto"/>
            <w:vAlign w:val="center"/>
          </w:tcPr>
          <w:p w14:paraId="7AD07D52">
            <w:pPr>
              <w:jc w:val="center"/>
              <w:rPr>
                <w:rFonts w:hint="eastAsia" w:ascii="宋体" w:hAnsi="宋体" w:eastAsia="宋体" w:cs="宋体"/>
                <w:i w:val="0"/>
                <w:iCs w:val="0"/>
                <w:color w:val="000000"/>
                <w:sz w:val="20"/>
                <w:szCs w:val="20"/>
                <w:u w:val="none"/>
              </w:rPr>
            </w:pPr>
          </w:p>
        </w:tc>
        <w:tc>
          <w:tcPr>
            <w:tcW w:w="752" w:type="dxa"/>
            <w:vMerge w:val="continue"/>
            <w:shd w:val="clear" w:color="auto" w:fill="auto"/>
            <w:vAlign w:val="center"/>
          </w:tcPr>
          <w:p w14:paraId="5D9A42F7">
            <w:pPr>
              <w:jc w:val="center"/>
              <w:rPr>
                <w:rFonts w:hint="eastAsia" w:ascii="宋体" w:hAnsi="宋体" w:eastAsia="宋体" w:cs="宋体"/>
                <w:i w:val="0"/>
                <w:iCs w:val="0"/>
                <w:color w:val="000000"/>
                <w:sz w:val="20"/>
                <w:szCs w:val="20"/>
                <w:u w:val="none"/>
              </w:rPr>
            </w:pPr>
          </w:p>
        </w:tc>
        <w:tc>
          <w:tcPr>
            <w:tcW w:w="977" w:type="dxa"/>
            <w:shd w:val="clear" w:color="auto" w:fill="auto"/>
            <w:vAlign w:val="center"/>
          </w:tcPr>
          <w:p w14:paraId="6C908A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398" w:type="dxa"/>
            <w:shd w:val="clear" w:color="auto" w:fill="auto"/>
            <w:noWrap/>
            <w:vAlign w:val="center"/>
          </w:tcPr>
          <w:p w14:paraId="7E7E42B8">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261" w:type="dxa"/>
            <w:shd w:val="clear" w:color="auto" w:fill="auto"/>
            <w:noWrap/>
            <w:vAlign w:val="center"/>
          </w:tcPr>
          <w:p w14:paraId="035AB520">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88" w:type="dxa"/>
            <w:shd w:val="clear" w:color="auto" w:fill="auto"/>
            <w:noWrap/>
            <w:vAlign w:val="center"/>
          </w:tcPr>
          <w:p w14:paraId="6846C5CF">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716" w:type="dxa"/>
            <w:shd w:val="clear" w:color="auto" w:fill="auto"/>
            <w:noWrap/>
            <w:vAlign w:val="center"/>
          </w:tcPr>
          <w:p w14:paraId="28DAF36C">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03" w:type="dxa"/>
            <w:shd w:val="clear" w:color="auto" w:fill="auto"/>
            <w:noWrap/>
            <w:vAlign w:val="center"/>
          </w:tcPr>
          <w:p w14:paraId="1650B03E">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074" w:type="dxa"/>
            <w:shd w:val="clear" w:color="auto" w:fill="auto"/>
            <w:noWrap/>
            <w:vAlign w:val="center"/>
          </w:tcPr>
          <w:p w14:paraId="73C19B7B">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96" w:type="dxa"/>
            <w:shd w:val="clear" w:color="auto" w:fill="auto"/>
            <w:noWrap/>
            <w:vAlign w:val="center"/>
          </w:tcPr>
          <w:p w14:paraId="7A9E4D75">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6" w:type="dxa"/>
            <w:shd w:val="clear" w:color="auto" w:fill="auto"/>
            <w:noWrap/>
            <w:vAlign w:val="center"/>
          </w:tcPr>
          <w:p w14:paraId="3581F82B">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009" w:type="dxa"/>
            <w:shd w:val="clear" w:color="auto" w:fill="auto"/>
            <w:noWrap/>
            <w:vAlign w:val="center"/>
          </w:tcPr>
          <w:p w14:paraId="63064F8C">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04" w:type="dxa"/>
            <w:shd w:val="clear" w:color="auto" w:fill="auto"/>
            <w:noWrap/>
            <w:vAlign w:val="center"/>
          </w:tcPr>
          <w:p w14:paraId="4FDA4897">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099" w:type="dxa"/>
            <w:shd w:val="clear" w:color="auto" w:fill="auto"/>
            <w:vAlign w:val="center"/>
          </w:tcPr>
          <w:p w14:paraId="6D8FA20C">
            <w:pPr>
              <w:jc w:val="center"/>
              <w:rPr>
                <w:rFonts w:hint="eastAsia" w:ascii="宋体" w:hAnsi="宋体" w:eastAsia="宋体" w:cs="宋体"/>
                <w:i w:val="0"/>
                <w:iCs w:val="0"/>
                <w:color w:val="000000"/>
                <w:sz w:val="20"/>
                <w:szCs w:val="20"/>
                <w:u w:val="none"/>
              </w:rPr>
            </w:pPr>
          </w:p>
        </w:tc>
      </w:tr>
      <w:tr w14:paraId="184ED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751" w:type="dxa"/>
            <w:vMerge w:val="continue"/>
            <w:shd w:val="clear" w:color="auto" w:fill="auto"/>
            <w:vAlign w:val="center"/>
          </w:tcPr>
          <w:p w14:paraId="3D929E33">
            <w:pPr>
              <w:jc w:val="center"/>
              <w:rPr>
                <w:rFonts w:hint="eastAsia" w:ascii="宋体" w:hAnsi="宋体" w:eastAsia="宋体" w:cs="宋体"/>
                <w:i w:val="0"/>
                <w:iCs w:val="0"/>
                <w:color w:val="000000"/>
                <w:sz w:val="20"/>
                <w:szCs w:val="20"/>
                <w:u w:val="none"/>
              </w:rPr>
            </w:pPr>
          </w:p>
        </w:tc>
        <w:tc>
          <w:tcPr>
            <w:tcW w:w="752" w:type="dxa"/>
            <w:vMerge w:val="continue"/>
            <w:shd w:val="clear" w:color="auto" w:fill="auto"/>
            <w:vAlign w:val="center"/>
          </w:tcPr>
          <w:p w14:paraId="282315DF">
            <w:pPr>
              <w:jc w:val="center"/>
              <w:rPr>
                <w:rFonts w:hint="eastAsia" w:ascii="宋体" w:hAnsi="宋体" w:eastAsia="宋体" w:cs="宋体"/>
                <w:i w:val="0"/>
                <w:iCs w:val="0"/>
                <w:color w:val="000000"/>
                <w:sz w:val="20"/>
                <w:szCs w:val="20"/>
                <w:u w:val="none"/>
              </w:rPr>
            </w:pPr>
          </w:p>
        </w:tc>
        <w:tc>
          <w:tcPr>
            <w:tcW w:w="977" w:type="dxa"/>
            <w:shd w:val="clear" w:color="auto" w:fill="auto"/>
            <w:vAlign w:val="center"/>
          </w:tcPr>
          <w:p w14:paraId="350C3A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398" w:type="dxa"/>
            <w:shd w:val="clear" w:color="auto" w:fill="auto"/>
            <w:noWrap/>
            <w:vAlign w:val="center"/>
          </w:tcPr>
          <w:p w14:paraId="58B7B7AC">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261" w:type="dxa"/>
            <w:shd w:val="clear" w:color="auto" w:fill="auto"/>
            <w:noWrap/>
            <w:vAlign w:val="center"/>
          </w:tcPr>
          <w:p w14:paraId="157612EF">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88" w:type="dxa"/>
            <w:shd w:val="clear" w:color="auto" w:fill="auto"/>
            <w:noWrap/>
            <w:vAlign w:val="center"/>
          </w:tcPr>
          <w:p w14:paraId="1958D9A5">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716" w:type="dxa"/>
            <w:shd w:val="clear" w:color="auto" w:fill="auto"/>
            <w:noWrap/>
            <w:vAlign w:val="center"/>
          </w:tcPr>
          <w:p w14:paraId="348543C2">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03" w:type="dxa"/>
            <w:shd w:val="clear" w:color="auto" w:fill="auto"/>
            <w:noWrap/>
            <w:vAlign w:val="center"/>
          </w:tcPr>
          <w:p w14:paraId="5079254F">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074" w:type="dxa"/>
            <w:shd w:val="clear" w:color="auto" w:fill="auto"/>
            <w:noWrap/>
            <w:vAlign w:val="center"/>
          </w:tcPr>
          <w:p w14:paraId="6CEB3859">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96" w:type="dxa"/>
            <w:shd w:val="clear" w:color="auto" w:fill="auto"/>
            <w:noWrap/>
            <w:vAlign w:val="center"/>
          </w:tcPr>
          <w:p w14:paraId="68B0E6C9">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6" w:type="dxa"/>
            <w:shd w:val="clear" w:color="auto" w:fill="auto"/>
            <w:noWrap/>
            <w:vAlign w:val="center"/>
          </w:tcPr>
          <w:p w14:paraId="6075AFC8">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009" w:type="dxa"/>
            <w:shd w:val="clear" w:color="auto" w:fill="auto"/>
            <w:noWrap/>
            <w:vAlign w:val="center"/>
          </w:tcPr>
          <w:p w14:paraId="3C061F4C">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04" w:type="dxa"/>
            <w:shd w:val="clear" w:color="auto" w:fill="auto"/>
            <w:noWrap/>
            <w:vAlign w:val="center"/>
          </w:tcPr>
          <w:p w14:paraId="6D2AD050">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099" w:type="dxa"/>
            <w:shd w:val="clear" w:color="auto" w:fill="auto"/>
            <w:vAlign w:val="center"/>
          </w:tcPr>
          <w:p w14:paraId="6477849C">
            <w:pPr>
              <w:jc w:val="center"/>
              <w:rPr>
                <w:rFonts w:hint="eastAsia" w:ascii="宋体" w:hAnsi="宋体" w:eastAsia="宋体" w:cs="宋体"/>
                <w:i w:val="0"/>
                <w:iCs w:val="0"/>
                <w:color w:val="000000"/>
                <w:sz w:val="20"/>
                <w:szCs w:val="20"/>
                <w:u w:val="none"/>
              </w:rPr>
            </w:pPr>
          </w:p>
        </w:tc>
      </w:tr>
      <w:tr w14:paraId="1DBA6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20" w:hRule="atLeast"/>
        </w:trPr>
        <w:tc>
          <w:tcPr>
            <w:tcW w:w="751" w:type="dxa"/>
            <w:vMerge w:val="continue"/>
            <w:shd w:val="clear" w:color="auto" w:fill="auto"/>
            <w:vAlign w:val="center"/>
          </w:tcPr>
          <w:p w14:paraId="63A153AF">
            <w:pPr>
              <w:jc w:val="center"/>
              <w:rPr>
                <w:rFonts w:hint="eastAsia" w:ascii="宋体" w:hAnsi="宋体" w:eastAsia="宋体" w:cs="宋体"/>
                <w:i w:val="0"/>
                <w:iCs w:val="0"/>
                <w:color w:val="000000"/>
                <w:sz w:val="20"/>
                <w:szCs w:val="20"/>
                <w:u w:val="none"/>
              </w:rPr>
            </w:pPr>
          </w:p>
        </w:tc>
        <w:tc>
          <w:tcPr>
            <w:tcW w:w="752" w:type="dxa"/>
            <w:vMerge w:val="restart"/>
            <w:shd w:val="clear" w:color="auto" w:fill="auto"/>
            <w:vAlign w:val="center"/>
          </w:tcPr>
          <w:p w14:paraId="51EA7B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77" w:type="dxa"/>
            <w:shd w:val="clear" w:color="auto" w:fill="auto"/>
            <w:vAlign w:val="center"/>
          </w:tcPr>
          <w:p w14:paraId="19FC6B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398" w:type="dxa"/>
            <w:shd w:val="clear" w:color="auto" w:fill="auto"/>
            <w:noWrap/>
            <w:vAlign w:val="center"/>
          </w:tcPr>
          <w:p w14:paraId="56006FEF">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261" w:type="dxa"/>
            <w:shd w:val="clear" w:color="auto" w:fill="auto"/>
            <w:noWrap/>
            <w:vAlign w:val="center"/>
          </w:tcPr>
          <w:p w14:paraId="25D7BBF3">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88" w:type="dxa"/>
            <w:shd w:val="clear" w:color="auto" w:fill="auto"/>
            <w:noWrap/>
            <w:vAlign w:val="center"/>
          </w:tcPr>
          <w:p w14:paraId="12EC5A12">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716" w:type="dxa"/>
            <w:shd w:val="clear" w:color="auto" w:fill="auto"/>
            <w:noWrap/>
            <w:vAlign w:val="center"/>
          </w:tcPr>
          <w:p w14:paraId="1DA3F8ED">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03" w:type="dxa"/>
            <w:shd w:val="clear" w:color="auto" w:fill="auto"/>
            <w:noWrap/>
            <w:vAlign w:val="center"/>
          </w:tcPr>
          <w:p w14:paraId="4156DDAC">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074" w:type="dxa"/>
            <w:shd w:val="clear" w:color="auto" w:fill="auto"/>
            <w:noWrap/>
            <w:vAlign w:val="center"/>
          </w:tcPr>
          <w:p w14:paraId="2EAC4325">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96" w:type="dxa"/>
            <w:shd w:val="clear" w:color="auto" w:fill="auto"/>
            <w:noWrap/>
            <w:vAlign w:val="center"/>
          </w:tcPr>
          <w:p w14:paraId="0553F2C5">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6" w:type="dxa"/>
            <w:shd w:val="clear" w:color="auto" w:fill="auto"/>
            <w:noWrap/>
            <w:vAlign w:val="center"/>
          </w:tcPr>
          <w:p w14:paraId="1DC358D7">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009" w:type="dxa"/>
            <w:shd w:val="clear" w:color="auto" w:fill="auto"/>
            <w:noWrap/>
            <w:vAlign w:val="center"/>
          </w:tcPr>
          <w:p w14:paraId="52C4C27C">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04" w:type="dxa"/>
            <w:shd w:val="clear" w:color="auto" w:fill="auto"/>
            <w:noWrap/>
            <w:vAlign w:val="center"/>
          </w:tcPr>
          <w:p w14:paraId="04EC3993">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099" w:type="dxa"/>
            <w:shd w:val="clear" w:color="auto" w:fill="auto"/>
            <w:vAlign w:val="center"/>
          </w:tcPr>
          <w:p w14:paraId="206B72E8">
            <w:pPr>
              <w:jc w:val="center"/>
              <w:rPr>
                <w:rFonts w:hint="eastAsia" w:ascii="宋体" w:hAnsi="宋体" w:eastAsia="宋体" w:cs="宋体"/>
                <w:i w:val="0"/>
                <w:iCs w:val="0"/>
                <w:color w:val="000000"/>
                <w:sz w:val="20"/>
                <w:szCs w:val="20"/>
                <w:u w:val="none"/>
              </w:rPr>
            </w:pPr>
          </w:p>
        </w:tc>
      </w:tr>
      <w:tr w14:paraId="5AA19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20" w:hRule="atLeast"/>
        </w:trPr>
        <w:tc>
          <w:tcPr>
            <w:tcW w:w="751" w:type="dxa"/>
            <w:vMerge w:val="continue"/>
            <w:shd w:val="clear" w:color="auto" w:fill="auto"/>
            <w:vAlign w:val="center"/>
          </w:tcPr>
          <w:p w14:paraId="0FF4CF72">
            <w:pPr>
              <w:jc w:val="center"/>
              <w:rPr>
                <w:rFonts w:hint="eastAsia" w:ascii="宋体" w:hAnsi="宋体" w:eastAsia="宋体" w:cs="宋体"/>
                <w:i w:val="0"/>
                <w:iCs w:val="0"/>
                <w:color w:val="000000"/>
                <w:sz w:val="20"/>
                <w:szCs w:val="20"/>
                <w:u w:val="none"/>
              </w:rPr>
            </w:pPr>
          </w:p>
        </w:tc>
        <w:tc>
          <w:tcPr>
            <w:tcW w:w="752" w:type="dxa"/>
            <w:vMerge w:val="continue"/>
            <w:shd w:val="clear" w:color="auto" w:fill="auto"/>
            <w:vAlign w:val="center"/>
          </w:tcPr>
          <w:p w14:paraId="54D9A4AE">
            <w:pPr>
              <w:jc w:val="center"/>
              <w:rPr>
                <w:rFonts w:hint="eastAsia" w:ascii="宋体" w:hAnsi="宋体" w:eastAsia="宋体" w:cs="宋体"/>
                <w:i w:val="0"/>
                <w:iCs w:val="0"/>
                <w:color w:val="000000"/>
                <w:sz w:val="20"/>
                <w:szCs w:val="20"/>
                <w:u w:val="none"/>
              </w:rPr>
            </w:pPr>
          </w:p>
        </w:tc>
        <w:tc>
          <w:tcPr>
            <w:tcW w:w="977" w:type="dxa"/>
            <w:shd w:val="clear" w:color="auto" w:fill="auto"/>
            <w:vAlign w:val="center"/>
          </w:tcPr>
          <w:p w14:paraId="78618E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398" w:type="dxa"/>
            <w:shd w:val="clear" w:color="auto" w:fill="auto"/>
            <w:vAlign w:val="center"/>
          </w:tcPr>
          <w:p w14:paraId="40693B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改善辖区生态环境</w:t>
            </w:r>
          </w:p>
        </w:tc>
        <w:tc>
          <w:tcPr>
            <w:tcW w:w="1261" w:type="dxa"/>
            <w:shd w:val="clear" w:color="auto" w:fill="auto"/>
            <w:vAlign w:val="center"/>
          </w:tcPr>
          <w:p w14:paraId="721887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持续改善</w:t>
            </w:r>
          </w:p>
        </w:tc>
        <w:tc>
          <w:tcPr>
            <w:tcW w:w="988" w:type="dxa"/>
            <w:shd w:val="clear" w:color="auto" w:fill="auto"/>
            <w:vAlign w:val="center"/>
          </w:tcPr>
          <w:p w14:paraId="7AD818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16" w:type="dxa"/>
            <w:shd w:val="clear" w:color="auto" w:fill="auto"/>
            <w:noWrap/>
            <w:vAlign w:val="center"/>
          </w:tcPr>
          <w:p w14:paraId="25F3FD57">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03" w:type="dxa"/>
            <w:shd w:val="clear" w:color="auto" w:fill="auto"/>
            <w:vAlign w:val="center"/>
          </w:tcPr>
          <w:p w14:paraId="5485A9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74" w:type="dxa"/>
            <w:shd w:val="clear" w:color="auto" w:fill="auto"/>
            <w:vAlign w:val="center"/>
          </w:tcPr>
          <w:p w14:paraId="6D170C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196" w:type="dxa"/>
            <w:shd w:val="clear" w:color="auto" w:fill="auto"/>
            <w:vAlign w:val="center"/>
          </w:tcPr>
          <w:p w14:paraId="00963D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146" w:type="dxa"/>
            <w:shd w:val="clear" w:color="auto" w:fill="auto"/>
            <w:vAlign w:val="center"/>
          </w:tcPr>
          <w:p w14:paraId="38F25E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09" w:type="dxa"/>
            <w:shd w:val="clear" w:color="auto" w:fill="auto"/>
            <w:vAlign w:val="center"/>
          </w:tcPr>
          <w:p w14:paraId="0DF4BA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4" w:type="dxa"/>
            <w:shd w:val="clear" w:color="auto" w:fill="auto"/>
            <w:vAlign w:val="center"/>
          </w:tcPr>
          <w:p w14:paraId="64C32A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99" w:type="dxa"/>
            <w:shd w:val="clear" w:color="auto" w:fill="auto"/>
            <w:vAlign w:val="center"/>
          </w:tcPr>
          <w:p w14:paraId="1BFD3EC5">
            <w:pPr>
              <w:jc w:val="center"/>
              <w:rPr>
                <w:rFonts w:hint="eastAsia" w:ascii="宋体" w:hAnsi="宋体" w:eastAsia="宋体" w:cs="宋体"/>
                <w:i w:val="0"/>
                <w:iCs w:val="0"/>
                <w:color w:val="000000"/>
                <w:sz w:val="20"/>
                <w:szCs w:val="20"/>
                <w:u w:val="none"/>
              </w:rPr>
            </w:pPr>
          </w:p>
        </w:tc>
      </w:tr>
      <w:tr w14:paraId="08661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751" w:type="dxa"/>
            <w:vMerge w:val="continue"/>
            <w:shd w:val="clear" w:color="auto" w:fill="auto"/>
            <w:vAlign w:val="center"/>
          </w:tcPr>
          <w:p w14:paraId="1A5ABE2F">
            <w:pPr>
              <w:jc w:val="center"/>
              <w:rPr>
                <w:rFonts w:hint="eastAsia" w:ascii="宋体" w:hAnsi="宋体" w:eastAsia="宋体" w:cs="宋体"/>
                <w:i w:val="0"/>
                <w:iCs w:val="0"/>
                <w:color w:val="000000"/>
                <w:sz w:val="20"/>
                <w:szCs w:val="20"/>
                <w:u w:val="none"/>
              </w:rPr>
            </w:pPr>
          </w:p>
        </w:tc>
        <w:tc>
          <w:tcPr>
            <w:tcW w:w="752" w:type="dxa"/>
            <w:vMerge w:val="continue"/>
            <w:shd w:val="clear" w:color="auto" w:fill="auto"/>
            <w:vAlign w:val="center"/>
          </w:tcPr>
          <w:p w14:paraId="3D15AE61">
            <w:pPr>
              <w:jc w:val="center"/>
              <w:rPr>
                <w:rFonts w:hint="eastAsia" w:ascii="宋体" w:hAnsi="宋体" w:eastAsia="宋体" w:cs="宋体"/>
                <w:i w:val="0"/>
                <w:iCs w:val="0"/>
                <w:color w:val="000000"/>
                <w:sz w:val="20"/>
                <w:szCs w:val="20"/>
                <w:u w:val="none"/>
              </w:rPr>
            </w:pPr>
          </w:p>
        </w:tc>
        <w:tc>
          <w:tcPr>
            <w:tcW w:w="977" w:type="dxa"/>
            <w:shd w:val="clear" w:color="auto" w:fill="auto"/>
            <w:vAlign w:val="center"/>
          </w:tcPr>
          <w:p w14:paraId="39ADAD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398" w:type="dxa"/>
            <w:shd w:val="clear" w:color="auto" w:fill="auto"/>
            <w:vAlign w:val="center"/>
          </w:tcPr>
          <w:p w14:paraId="381ABD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61" w:type="dxa"/>
            <w:shd w:val="clear" w:color="auto" w:fill="auto"/>
            <w:vAlign w:val="center"/>
          </w:tcPr>
          <w:p w14:paraId="7BBE4E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8" w:type="dxa"/>
            <w:shd w:val="clear" w:color="auto" w:fill="auto"/>
            <w:vAlign w:val="center"/>
          </w:tcPr>
          <w:p w14:paraId="25D9AC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16" w:type="dxa"/>
            <w:shd w:val="clear" w:color="auto" w:fill="auto"/>
            <w:noWrap/>
            <w:vAlign w:val="center"/>
          </w:tcPr>
          <w:p w14:paraId="40D949C6">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03" w:type="dxa"/>
            <w:shd w:val="clear" w:color="auto" w:fill="auto"/>
            <w:vAlign w:val="center"/>
          </w:tcPr>
          <w:p w14:paraId="2070C1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4" w:type="dxa"/>
            <w:shd w:val="clear" w:color="auto" w:fill="auto"/>
            <w:vAlign w:val="center"/>
          </w:tcPr>
          <w:p w14:paraId="6B4E08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96" w:type="dxa"/>
            <w:shd w:val="clear" w:color="auto" w:fill="auto"/>
            <w:vAlign w:val="center"/>
          </w:tcPr>
          <w:p w14:paraId="14A539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6" w:type="dxa"/>
            <w:shd w:val="clear" w:color="auto" w:fill="auto"/>
            <w:vAlign w:val="center"/>
          </w:tcPr>
          <w:p w14:paraId="4E5C81AA">
            <w:pPr>
              <w:keepNext w:val="0"/>
              <w:keepLines w:val="0"/>
              <w:widowControl/>
              <w:suppressLineNumbers w:val="0"/>
              <w:ind w:firstLine="400" w:firstLineChars="20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lang w:val="en-US" w:eastAsia="zh-CN" w:bidi="ar"/>
              </w:rPr>
              <w:t>/</w:t>
            </w:r>
          </w:p>
        </w:tc>
        <w:tc>
          <w:tcPr>
            <w:tcW w:w="1009" w:type="dxa"/>
            <w:shd w:val="clear" w:color="auto" w:fill="auto"/>
            <w:vAlign w:val="center"/>
          </w:tcPr>
          <w:p w14:paraId="5D464989">
            <w:pPr>
              <w:keepNext w:val="0"/>
              <w:keepLines w:val="0"/>
              <w:widowControl/>
              <w:suppressLineNumbers w:val="0"/>
              <w:ind w:firstLine="400" w:firstLineChars="20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lang w:val="en-US" w:eastAsia="zh-CN" w:bidi="ar"/>
              </w:rPr>
              <w:t>/</w:t>
            </w:r>
          </w:p>
        </w:tc>
        <w:tc>
          <w:tcPr>
            <w:tcW w:w="904" w:type="dxa"/>
            <w:shd w:val="clear" w:color="auto" w:fill="auto"/>
            <w:vAlign w:val="center"/>
          </w:tcPr>
          <w:p w14:paraId="64872D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9" w:type="dxa"/>
            <w:shd w:val="clear" w:color="auto" w:fill="auto"/>
            <w:vAlign w:val="center"/>
          </w:tcPr>
          <w:p w14:paraId="48FE4060">
            <w:pPr>
              <w:jc w:val="center"/>
              <w:rPr>
                <w:rFonts w:hint="eastAsia" w:ascii="宋体" w:hAnsi="宋体" w:eastAsia="宋体" w:cs="宋体"/>
                <w:i w:val="0"/>
                <w:iCs w:val="0"/>
                <w:color w:val="000000"/>
                <w:sz w:val="20"/>
                <w:szCs w:val="20"/>
                <w:u w:val="none"/>
              </w:rPr>
            </w:pPr>
          </w:p>
        </w:tc>
      </w:tr>
      <w:tr w14:paraId="7E7B5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751" w:type="dxa"/>
            <w:vMerge w:val="continue"/>
            <w:shd w:val="clear" w:color="auto" w:fill="auto"/>
            <w:vAlign w:val="center"/>
          </w:tcPr>
          <w:p w14:paraId="4A5F56C7">
            <w:pPr>
              <w:jc w:val="center"/>
              <w:rPr>
                <w:rFonts w:hint="eastAsia" w:ascii="宋体" w:hAnsi="宋体" w:eastAsia="宋体" w:cs="宋体"/>
                <w:i w:val="0"/>
                <w:iCs w:val="0"/>
                <w:color w:val="000000"/>
                <w:sz w:val="20"/>
                <w:szCs w:val="20"/>
                <w:u w:val="none"/>
              </w:rPr>
            </w:pPr>
          </w:p>
        </w:tc>
        <w:tc>
          <w:tcPr>
            <w:tcW w:w="752" w:type="dxa"/>
            <w:shd w:val="clear" w:color="auto" w:fill="auto"/>
            <w:vAlign w:val="center"/>
          </w:tcPr>
          <w:p w14:paraId="74324F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77" w:type="dxa"/>
            <w:shd w:val="clear" w:color="auto" w:fill="auto"/>
            <w:vAlign w:val="center"/>
          </w:tcPr>
          <w:p w14:paraId="11FE7B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98" w:type="dxa"/>
            <w:shd w:val="clear" w:color="auto" w:fill="auto"/>
            <w:vAlign w:val="center"/>
          </w:tcPr>
          <w:p w14:paraId="7DD964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辖区群众满意度</w:t>
            </w:r>
          </w:p>
        </w:tc>
        <w:tc>
          <w:tcPr>
            <w:tcW w:w="1261" w:type="dxa"/>
            <w:shd w:val="clear" w:color="auto" w:fill="auto"/>
            <w:vAlign w:val="center"/>
          </w:tcPr>
          <w:p w14:paraId="3E0CCD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88" w:type="dxa"/>
            <w:shd w:val="clear" w:color="auto" w:fill="auto"/>
            <w:vAlign w:val="center"/>
          </w:tcPr>
          <w:p w14:paraId="6EB005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16" w:type="dxa"/>
            <w:shd w:val="clear" w:color="auto" w:fill="auto"/>
            <w:noWrap/>
            <w:vAlign w:val="center"/>
          </w:tcPr>
          <w:p w14:paraId="0DE9A315">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03" w:type="dxa"/>
            <w:shd w:val="clear" w:color="auto" w:fill="auto"/>
            <w:vAlign w:val="center"/>
          </w:tcPr>
          <w:p w14:paraId="7EDE94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74" w:type="dxa"/>
            <w:shd w:val="clear" w:color="auto" w:fill="auto"/>
            <w:vAlign w:val="center"/>
          </w:tcPr>
          <w:p w14:paraId="06CE2E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196" w:type="dxa"/>
            <w:shd w:val="clear" w:color="auto" w:fill="auto"/>
            <w:vAlign w:val="center"/>
          </w:tcPr>
          <w:p w14:paraId="37C508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46" w:type="dxa"/>
            <w:shd w:val="clear" w:color="auto" w:fill="auto"/>
            <w:vAlign w:val="center"/>
          </w:tcPr>
          <w:p w14:paraId="3C3C51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09" w:type="dxa"/>
            <w:shd w:val="clear" w:color="auto" w:fill="auto"/>
            <w:vAlign w:val="center"/>
          </w:tcPr>
          <w:p w14:paraId="686D89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4" w:type="dxa"/>
            <w:shd w:val="clear" w:color="auto" w:fill="auto"/>
            <w:vAlign w:val="center"/>
          </w:tcPr>
          <w:p w14:paraId="298146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99" w:type="dxa"/>
            <w:shd w:val="clear" w:color="auto" w:fill="auto"/>
            <w:vAlign w:val="center"/>
          </w:tcPr>
          <w:p w14:paraId="418D6C69">
            <w:pPr>
              <w:jc w:val="center"/>
              <w:rPr>
                <w:rFonts w:hint="eastAsia" w:ascii="宋体" w:hAnsi="宋体" w:eastAsia="宋体" w:cs="宋体"/>
                <w:i w:val="0"/>
                <w:iCs w:val="0"/>
                <w:color w:val="000000"/>
                <w:sz w:val="20"/>
                <w:szCs w:val="20"/>
                <w:u w:val="none"/>
              </w:rPr>
            </w:pPr>
          </w:p>
        </w:tc>
      </w:tr>
      <w:tr w14:paraId="218D1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3878" w:type="dxa"/>
            <w:gridSpan w:val="4"/>
            <w:shd w:val="clear" w:color="auto" w:fill="auto"/>
            <w:vAlign w:val="center"/>
          </w:tcPr>
          <w:p w14:paraId="01D6BF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261" w:type="dxa"/>
            <w:shd w:val="clear" w:color="auto" w:fill="auto"/>
            <w:vAlign w:val="center"/>
          </w:tcPr>
          <w:p w14:paraId="68EE4F14">
            <w:pPr>
              <w:jc w:val="center"/>
              <w:rPr>
                <w:rFonts w:hint="eastAsia" w:ascii="宋体" w:hAnsi="宋体" w:eastAsia="宋体" w:cs="宋体"/>
                <w:i w:val="0"/>
                <w:iCs w:val="0"/>
                <w:color w:val="000000"/>
                <w:sz w:val="20"/>
                <w:szCs w:val="20"/>
                <w:u w:val="none"/>
              </w:rPr>
            </w:pPr>
          </w:p>
        </w:tc>
        <w:tc>
          <w:tcPr>
            <w:tcW w:w="988" w:type="dxa"/>
            <w:shd w:val="clear" w:color="auto" w:fill="auto"/>
            <w:vAlign w:val="center"/>
          </w:tcPr>
          <w:p w14:paraId="0DC9D5C1">
            <w:pPr>
              <w:rPr>
                <w:rFonts w:hint="eastAsia" w:ascii="宋体" w:hAnsi="宋体" w:eastAsia="宋体" w:cs="宋体"/>
                <w:b/>
                <w:bCs/>
                <w:i w:val="0"/>
                <w:iCs w:val="0"/>
                <w:color w:val="000000"/>
                <w:sz w:val="20"/>
                <w:szCs w:val="20"/>
                <w:u w:val="none"/>
              </w:rPr>
            </w:pPr>
          </w:p>
        </w:tc>
        <w:tc>
          <w:tcPr>
            <w:tcW w:w="716" w:type="dxa"/>
            <w:shd w:val="clear" w:color="auto" w:fill="auto"/>
            <w:vAlign w:val="center"/>
          </w:tcPr>
          <w:p w14:paraId="5B23042C">
            <w:pPr>
              <w:jc w:val="center"/>
              <w:rPr>
                <w:rFonts w:hint="eastAsia" w:ascii="宋体" w:hAnsi="宋体" w:eastAsia="宋体" w:cs="宋体"/>
                <w:i w:val="0"/>
                <w:iCs w:val="0"/>
                <w:color w:val="000000"/>
                <w:sz w:val="20"/>
                <w:szCs w:val="20"/>
                <w:u w:val="none"/>
              </w:rPr>
            </w:pPr>
          </w:p>
        </w:tc>
        <w:tc>
          <w:tcPr>
            <w:tcW w:w="903" w:type="dxa"/>
            <w:shd w:val="clear" w:color="auto" w:fill="auto"/>
            <w:vAlign w:val="center"/>
          </w:tcPr>
          <w:p w14:paraId="205CBB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074" w:type="dxa"/>
            <w:shd w:val="clear" w:color="auto" w:fill="auto"/>
            <w:vAlign w:val="center"/>
          </w:tcPr>
          <w:p w14:paraId="3C32A15D">
            <w:pPr>
              <w:jc w:val="center"/>
              <w:rPr>
                <w:rFonts w:hint="eastAsia" w:ascii="宋体" w:hAnsi="宋体" w:eastAsia="宋体" w:cs="宋体"/>
                <w:i w:val="0"/>
                <w:iCs w:val="0"/>
                <w:color w:val="000000"/>
                <w:sz w:val="20"/>
                <w:szCs w:val="20"/>
                <w:u w:val="none"/>
              </w:rPr>
            </w:pPr>
          </w:p>
        </w:tc>
        <w:tc>
          <w:tcPr>
            <w:tcW w:w="1196" w:type="dxa"/>
            <w:shd w:val="clear" w:color="auto" w:fill="auto"/>
            <w:vAlign w:val="center"/>
          </w:tcPr>
          <w:p w14:paraId="549F0433">
            <w:pPr>
              <w:rPr>
                <w:rFonts w:hint="eastAsia" w:ascii="宋体" w:hAnsi="宋体" w:eastAsia="宋体" w:cs="宋体"/>
                <w:i w:val="0"/>
                <w:iCs w:val="0"/>
                <w:color w:val="000000"/>
                <w:sz w:val="20"/>
                <w:szCs w:val="20"/>
                <w:u w:val="none"/>
              </w:rPr>
            </w:pPr>
          </w:p>
        </w:tc>
        <w:tc>
          <w:tcPr>
            <w:tcW w:w="1146" w:type="dxa"/>
            <w:shd w:val="clear" w:color="auto" w:fill="auto"/>
            <w:vAlign w:val="center"/>
          </w:tcPr>
          <w:p w14:paraId="71705D7E">
            <w:pPr>
              <w:rPr>
                <w:rFonts w:hint="eastAsia" w:ascii="宋体" w:hAnsi="宋体" w:eastAsia="宋体" w:cs="宋体"/>
                <w:i w:val="0"/>
                <w:iCs w:val="0"/>
                <w:color w:val="000000"/>
                <w:sz w:val="20"/>
                <w:szCs w:val="20"/>
                <w:u w:val="none"/>
              </w:rPr>
            </w:pPr>
          </w:p>
        </w:tc>
        <w:tc>
          <w:tcPr>
            <w:tcW w:w="1009" w:type="dxa"/>
            <w:shd w:val="clear" w:color="auto" w:fill="auto"/>
            <w:vAlign w:val="center"/>
          </w:tcPr>
          <w:p w14:paraId="13321F69">
            <w:pPr>
              <w:rPr>
                <w:rFonts w:hint="eastAsia" w:ascii="宋体" w:hAnsi="宋体" w:eastAsia="宋体" w:cs="宋体"/>
                <w:i w:val="0"/>
                <w:iCs w:val="0"/>
                <w:color w:val="000000"/>
                <w:sz w:val="20"/>
                <w:szCs w:val="20"/>
                <w:u w:val="none"/>
              </w:rPr>
            </w:pPr>
          </w:p>
        </w:tc>
        <w:tc>
          <w:tcPr>
            <w:tcW w:w="904" w:type="dxa"/>
            <w:shd w:val="clear" w:color="auto" w:fill="auto"/>
            <w:vAlign w:val="center"/>
          </w:tcPr>
          <w:p w14:paraId="126A47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9" w:type="dxa"/>
            <w:shd w:val="clear" w:color="auto" w:fill="auto"/>
            <w:vAlign w:val="center"/>
          </w:tcPr>
          <w:p w14:paraId="7107DC7E">
            <w:pPr>
              <w:rPr>
                <w:rFonts w:hint="eastAsia" w:ascii="宋体" w:hAnsi="宋体" w:eastAsia="宋体" w:cs="宋体"/>
                <w:i w:val="0"/>
                <w:iCs w:val="0"/>
                <w:color w:val="000000"/>
                <w:sz w:val="20"/>
                <w:szCs w:val="20"/>
                <w:u w:val="none"/>
              </w:rPr>
            </w:pPr>
          </w:p>
        </w:tc>
      </w:tr>
    </w:tbl>
    <w:p w14:paraId="21DD08F9">
      <w:pPr>
        <w:pStyle w:val="2"/>
        <w:rPr>
          <w:rFonts w:hint="default"/>
          <w:color w:val="auto"/>
          <w:highlight w:val="none"/>
          <w:lang w:val="en-US" w:eastAsia="zh-CN"/>
        </w:rPr>
        <w:sectPr>
          <w:pgSz w:w="16838" w:h="11906" w:orient="landscape"/>
          <w:pgMar w:top="1800" w:right="1440" w:bottom="1800" w:left="1440" w:header="737" w:footer="851" w:gutter="0"/>
          <w:pgNumType w:fmt="decimal" w:start="1"/>
          <w:cols w:space="720" w:num="1"/>
          <w:docGrid w:type="lines" w:linePitch="408" w:charSpace="0"/>
        </w:sectPr>
      </w:pPr>
    </w:p>
    <w:p w14:paraId="482F9F4A">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2433C1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3AC45915">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10F4889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425821E5">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064E37F8">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1B84040C">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4EA5C726">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4981F039">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1AB244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04AEA3D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013D516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50AAD361">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758FB7E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1D473B8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3AA6675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41A61AA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70FE1FB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7D0218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2C5F5C8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0A66579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4D18C36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7648E4BF">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12E2FC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6FEF5A83">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2F1B03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1B4658C5">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0F20AB7">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1BFDA3C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0D5EE9B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4A3F719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4335139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4DCBD8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60D528A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0674D9C8">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423EF0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622DA2F1">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1363E7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6A4A3D75">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33AC7B6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6E0714A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0918815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3A1DBD2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2991D93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1D6CFD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045BF0E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6AEC08B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22E4A838">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40746D41">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1ADDC0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150A8834">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B3D63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7FAD5D5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21E3376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694F2F4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06D85CF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19F8362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6CAD42E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BC01C1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63AFCC1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36BB91E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3FEE1E1E">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02917B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6DA016C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79F373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7E99B564">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1318594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2CCFA48C">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164C66A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254E995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7559251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0720AD4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B4E13A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5790899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6B8146D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1F4D0DA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46A445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01FC0FE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38A4A7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2CBEC2CA">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F9152B3">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0C90CBD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7FF51A0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1986F2A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2C4EC88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13C4B5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6DBBD73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4BB84B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49B30A87">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5AE993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737212AF">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685B145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104AE1B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798333A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0822BC9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46F0B52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2469495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502370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E54297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8C924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1E615B98">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200A5A9">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7A25D91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25336BF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3A11F84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1CDE4DE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458003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24728C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6548D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0F9A87D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33179488">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0D892E9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5469A6E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4B414BF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564FDF7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1606933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392FF9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2050BB4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3AB799B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541EF6B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588606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0D8BBC3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9F2E0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5577D788">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6DD2838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7C5AAC2A">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1222549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1AEEFAF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7BA0F37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3EA265D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E7052D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7CCC308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7F837F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B0A546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33EEF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13DC64D9">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B43A546">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11A023A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5C2B7F6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275E04C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3D64089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C57C57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391721F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7323EB2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57EA017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4A59CE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B26AAE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02CF1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353CA56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5157F45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数量指标</w:t>
            </w:r>
          </w:p>
        </w:tc>
        <w:tc>
          <w:tcPr>
            <w:tcW w:w="820" w:type="dxa"/>
            <w:shd w:val="clear" w:color="auto" w:fill="auto"/>
            <w:noWrap w:val="0"/>
            <w:vAlign w:val="center"/>
          </w:tcPr>
          <w:p w14:paraId="05224AE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支付工程尾款施工单位数量</w:t>
            </w:r>
          </w:p>
        </w:tc>
        <w:tc>
          <w:tcPr>
            <w:tcW w:w="2141" w:type="dxa"/>
            <w:shd w:val="clear" w:color="auto" w:fill="auto"/>
            <w:noWrap w:val="0"/>
            <w:vAlign w:val="center"/>
          </w:tcPr>
          <w:p w14:paraId="273AE8A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506B9B8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5426DE5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7E49B45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048CF761">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02422D91">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51ACB7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36FB3E3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6FB4269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质量指标</w:t>
            </w:r>
          </w:p>
        </w:tc>
        <w:tc>
          <w:tcPr>
            <w:tcW w:w="820" w:type="dxa"/>
            <w:shd w:val="clear" w:color="auto" w:fill="auto"/>
            <w:noWrap w:val="0"/>
            <w:vAlign w:val="center"/>
          </w:tcPr>
          <w:p w14:paraId="53BA9DF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资金支付准确率</w:t>
            </w:r>
          </w:p>
        </w:tc>
        <w:tc>
          <w:tcPr>
            <w:tcW w:w="2141" w:type="dxa"/>
            <w:shd w:val="clear" w:color="auto" w:fill="auto"/>
            <w:noWrap w:val="0"/>
            <w:vAlign w:val="center"/>
          </w:tcPr>
          <w:p w14:paraId="5602994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71A2966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0773EC2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5AFD9A81">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7EFC6B6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673213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395E63A7">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1E7CEB91">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时效指标</w:t>
            </w:r>
          </w:p>
        </w:tc>
        <w:tc>
          <w:tcPr>
            <w:tcW w:w="820" w:type="dxa"/>
            <w:shd w:val="clear" w:color="auto" w:fill="auto"/>
            <w:noWrap w:val="0"/>
            <w:vAlign w:val="center"/>
          </w:tcPr>
          <w:p w14:paraId="79060CA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资金发放完成时间</w:t>
            </w:r>
          </w:p>
        </w:tc>
        <w:tc>
          <w:tcPr>
            <w:tcW w:w="2141" w:type="dxa"/>
            <w:shd w:val="clear" w:color="auto" w:fill="auto"/>
            <w:noWrap w:val="0"/>
            <w:vAlign w:val="center"/>
          </w:tcPr>
          <w:p w14:paraId="5CE01B7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48BCF2F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2E87C00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3454BDB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1BDFFC56">
            <w:pPr>
              <w:widowControl/>
              <w:spacing w:line="0" w:lineRule="atLeast"/>
              <w:ind w:firstLine="0" w:firstLineChars="0"/>
              <w:rPr>
                <w:rFonts w:hint="default" w:ascii="宋体" w:hAnsi="宋体" w:eastAsia="宋体" w:cs="宋体"/>
                <w:b/>
                <w:bCs/>
                <w:color w:val="auto"/>
                <w:kern w:val="0"/>
                <w:sz w:val="22"/>
                <w:szCs w:val="22"/>
                <w:highlight w:val="none"/>
                <w:lang w:val="en-US" w:eastAsia="zh-CN"/>
              </w:rPr>
            </w:pPr>
            <w:r>
              <w:rPr>
                <w:rFonts w:hint="eastAsia" w:cs="宋体"/>
                <w:b/>
                <w:bCs/>
                <w:color w:val="auto"/>
                <w:kern w:val="0"/>
                <w:sz w:val="22"/>
                <w:szCs w:val="22"/>
                <w:highlight w:val="none"/>
                <w:lang w:val="en-US" w:eastAsia="zh-CN"/>
              </w:rPr>
              <w:t>5</w:t>
            </w:r>
          </w:p>
        </w:tc>
      </w:tr>
      <w:tr w14:paraId="7AFDE1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5C493754">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361AB903">
            <w:pPr>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0"/>
                <w:szCs w:val="20"/>
                <w:highlight w:val="none"/>
                <w:shd w:val="clear" w:color="auto" w:fill="auto"/>
                <w:lang w:val="en-US" w:eastAsia="zh-CN"/>
              </w:rPr>
              <w:t>时效指标</w:t>
            </w:r>
          </w:p>
        </w:tc>
        <w:tc>
          <w:tcPr>
            <w:tcW w:w="820" w:type="dxa"/>
            <w:shd w:val="clear" w:color="auto" w:fill="auto"/>
            <w:noWrap w:val="0"/>
            <w:vAlign w:val="center"/>
          </w:tcPr>
          <w:p w14:paraId="047B8183">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0"/>
                <w:szCs w:val="20"/>
                <w:highlight w:val="none"/>
                <w:shd w:val="clear" w:color="auto" w:fill="auto"/>
                <w:lang w:val="en-US" w:eastAsia="zh-CN"/>
              </w:rPr>
              <w:t>资金支付及时率</w:t>
            </w:r>
          </w:p>
        </w:tc>
        <w:tc>
          <w:tcPr>
            <w:tcW w:w="2141" w:type="dxa"/>
            <w:shd w:val="clear" w:color="auto" w:fill="auto"/>
            <w:noWrap w:val="0"/>
            <w:vAlign w:val="center"/>
          </w:tcPr>
          <w:p w14:paraId="29849DBD">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6758319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70862198">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6CCBFA33">
            <w:pPr>
              <w:widowControl/>
              <w:spacing w:line="0" w:lineRule="atLeast"/>
              <w:ind w:firstLine="0" w:firstLineChars="0"/>
              <w:rPr>
                <w:rFonts w:hint="default"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bidi="ar-SA"/>
              </w:rPr>
              <w:t>5</w:t>
            </w:r>
          </w:p>
        </w:tc>
        <w:tc>
          <w:tcPr>
            <w:tcW w:w="769" w:type="dxa"/>
            <w:shd w:val="clear" w:color="auto" w:fill="auto"/>
            <w:noWrap w:val="0"/>
            <w:vAlign w:val="center"/>
          </w:tcPr>
          <w:p w14:paraId="1D02F34C">
            <w:pPr>
              <w:widowControl/>
              <w:spacing w:line="0" w:lineRule="atLeast"/>
              <w:ind w:firstLine="0" w:firstLineChars="0"/>
              <w:rPr>
                <w:rFonts w:hint="default"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bidi="ar-SA"/>
              </w:rPr>
              <w:t>5</w:t>
            </w:r>
          </w:p>
        </w:tc>
      </w:tr>
      <w:tr w14:paraId="0CD5F6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44951C6F">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10BFD88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成本指标</w:t>
            </w:r>
          </w:p>
        </w:tc>
        <w:tc>
          <w:tcPr>
            <w:tcW w:w="820" w:type="dxa"/>
            <w:shd w:val="clear" w:color="auto" w:fill="auto"/>
            <w:noWrap w:val="0"/>
            <w:vAlign w:val="center"/>
          </w:tcPr>
          <w:p w14:paraId="3DE0C2D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支付工程尾款施工单位成本</w:t>
            </w:r>
          </w:p>
        </w:tc>
        <w:tc>
          <w:tcPr>
            <w:tcW w:w="2141" w:type="dxa"/>
            <w:shd w:val="clear" w:color="auto" w:fill="auto"/>
            <w:noWrap w:val="0"/>
            <w:vAlign w:val="center"/>
          </w:tcPr>
          <w:p w14:paraId="4C8129B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02CB67A2">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7F70A81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7BA61AE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4A5AACF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1EEBBF4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31D826B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573A6D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597947C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721A3CC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生态效益指标</w:t>
            </w: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2350D5C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改善辖区生态环境</w:t>
            </w:r>
          </w:p>
        </w:tc>
        <w:tc>
          <w:tcPr>
            <w:tcW w:w="2141" w:type="dxa"/>
            <w:shd w:val="clear" w:color="auto" w:fill="auto"/>
            <w:noWrap w:val="0"/>
            <w:vAlign w:val="center"/>
          </w:tcPr>
          <w:p w14:paraId="4D8CB324">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256D05B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24BA1B5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c>
          <w:tcPr>
            <w:tcW w:w="769" w:type="dxa"/>
            <w:shd w:val="clear" w:color="auto" w:fill="auto"/>
            <w:noWrap w:val="0"/>
            <w:vAlign w:val="center"/>
          </w:tcPr>
          <w:p w14:paraId="320B2D1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r>
      <w:tr w14:paraId="7EA75B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6EA47D42">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D66A617">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1B6B13A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辖区群众满意度</w:t>
            </w:r>
          </w:p>
        </w:tc>
        <w:tc>
          <w:tcPr>
            <w:tcW w:w="2141" w:type="dxa"/>
            <w:shd w:val="clear" w:color="auto" w:fill="auto"/>
            <w:noWrap w:val="0"/>
            <w:vAlign w:val="center"/>
          </w:tcPr>
          <w:p w14:paraId="537AA16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2ED4CDD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5731286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0A76DE1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41902A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134E19E3">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657309E8">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34D0A4C0">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6AE47B1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14:paraId="7DBEAC6C">
      <w:pPr>
        <w:spacing w:line="240" w:lineRule="auto"/>
        <w:ind w:firstLine="0" w:firstLineChars="0"/>
        <w:rPr>
          <w:rFonts w:ascii="Times New Roman" w:hAnsi="Times New Roman" w:eastAsia="仿宋_GB2312" w:cs="Times New Roman"/>
          <w:color w:val="auto"/>
          <w:sz w:val="30"/>
          <w:szCs w:val="24"/>
          <w:highlight w:val="none"/>
        </w:rPr>
      </w:pPr>
    </w:p>
    <w:p w14:paraId="380321A1">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06323">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5977F4">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E5977F4">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7D6A04"/>
    <w:rsid w:val="00E23C81"/>
    <w:rsid w:val="010C1748"/>
    <w:rsid w:val="01253350"/>
    <w:rsid w:val="01282E62"/>
    <w:rsid w:val="014029CF"/>
    <w:rsid w:val="01470C4C"/>
    <w:rsid w:val="02200440"/>
    <w:rsid w:val="02284B43"/>
    <w:rsid w:val="02B015E2"/>
    <w:rsid w:val="02DC08FA"/>
    <w:rsid w:val="033B569D"/>
    <w:rsid w:val="039C3BA0"/>
    <w:rsid w:val="03A845BB"/>
    <w:rsid w:val="03B45AD1"/>
    <w:rsid w:val="044A5767"/>
    <w:rsid w:val="04D12EE4"/>
    <w:rsid w:val="04D63993"/>
    <w:rsid w:val="07890F4F"/>
    <w:rsid w:val="08892439"/>
    <w:rsid w:val="08EB30F3"/>
    <w:rsid w:val="09237408"/>
    <w:rsid w:val="09781BD6"/>
    <w:rsid w:val="09F359DF"/>
    <w:rsid w:val="0A575E65"/>
    <w:rsid w:val="0ACA0AB6"/>
    <w:rsid w:val="0C032502"/>
    <w:rsid w:val="0C27698C"/>
    <w:rsid w:val="0D4452F3"/>
    <w:rsid w:val="0F5E5042"/>
    <w:rsid w:val="0FAD2CA5"/>
    <w:rsid w:val="0FE95707"/>
    <w:rsid w:val="10510571"/>
    <w:rsid w:val="10787A20"/>
    <w:rsid w:val="108672DE"/>
    <w:rsid w:val="109F09EB"/>
    <w:rsid w:val="10B57DDD"/>
    <w:rsid w:val="10EC685A"/>
    <w:rsid w:val="11FA6155"/>
    <w:rsid w:val="12CF0947"/>
    <w:rsid w:val="12F1313F"/>
    <w:rsid w:val="136C678E"/>
    <w:rsid w:val="13EB2FF5"/>
    <w:rsid w:val="141F4B90"/>
    <w:rsid w:val="15A46B04"/>
    <w:rsid w:val="165825BC"/>
    <w:rsid w:val="16BC5D73"/>
    <w:rsid w:val="173261D5"/>
    <w:rsid w:val="176F36D7"/>
    <w:rsid w:val="1795226D"/>
    <w:rsid w:val="18456B1E"/>
    <w:rsid w:val="186C2FFC"/>
    <w:rsid w:val="19233194"/>
    <w:rsid w:val="19657277"/>
    <w:rsid w:val="1C1171C5"/>
    <w:rsid w:val="1C994DB5"/>
    <w:rsid w:val="1D265138"/>
    <w:rsid w:val="1D7B6BCA"/>
    <w:rsid w:val="1DA41A79"/>
    <w:rsid w:val="1DF53469"/>
    <w:rsid w:val="1E2F24F2"/>
    <w:rsid w:val="1E58492F"/>
    <w:rsid w:val="1E5B6757"/>
    <w:rsid w:val="1ED10AC6"/>
    <w:rsid w:val="1F89225F"/>
    <w:rsid w:val="1F900A1F"/>
    <w:rsid w:val="1FC0575D"/>
    <w:rsid w:val="206132C7"/>
    <w:rsid w:val="21B00C1D"/>
    <w:rsid w:val="21F638E4"/>
    <w:rsid w:val="23031BEB"/>
    <w:rsid w:val="23917691"/>
    <w:rsid w:val="24117F20"/>
    <w:rsid w:val="244D65B8"/>
    <w:rsid w:val="245E1E24"/>
    <w:rsid w:val="25AD5E5D"/>
    <w:rsid w:val="2732478D"/>
    <w:rsid w:val="27492E7D"/>
    <w:rsid w:val="27661469"/>
    <w:rsid w:val="27900EAD"/>
    <w:rsid w:val="279B538A"/>
    <w:rsid w:val="283E1850"/>
    <w:rsid w:val="286F545C"/>
    <w:rsid w:val="29314FBC"/>
    <w:rsid w:val="2B8D342D"/>
    <w:rsid w:val="2C024B86"/>
    <w:rsid w:val="2C680433"/>
    <w:rsid w:val="2C927671"/>
    <w:rsid w:val="2D7C5CD6"/>
    <w:rsid w:val="2E483E7E"/>
    <w:rsid w:val="2E690493"/>
    <w:rsid w:val="2E9854BD"/>
    <w:rsid w:val="2F0D407F"/>
    <w:rsid w:val="2F454B19"/>
    <w:rsid w:val="310224D9"/>
    <w:rsid w:val="31B4621C"/>
    <w:rsid w:val="31E3230A"/>
    <w:rsid w:val="324F7F41"/>
    <w:rsid w:val="32545A5E"/>
    <w:rsid w:val="330957E0"/>
    <w:rsid w:val="33356F64"/>
    <w:rsid w:val="33944516"/>
    <w:rsid w:val="34B62907"/>
    <w:rsid w:val="36BD137C"/>
    <w:rsid w:val="38203503"/>
    <w:rsid w:val="385D37E7"/>
    <w:rsid w:val="38782EDD"/>
    <w:rsid w:val="3A3C2C1F"/>
    <w:rsid w:val="3ADB202A"/>
    <w:rsid w:val="3B42664A"/>
    <w:rsid w:val="3C2254AD"/>
    <w:rsid w:val="3D836A4E"/>
    <w:rsid w:val="3DFF59E1"/>
    <w:rsid w:val="3E7578EB"/>
    <w:rsid w:val="3E8B04CA"/>
    <w:rsid w:val="3EA37E97"/>
    <w:rsid w:val="3FAC6431"/>
    <w:rsid w:val="3FBE0BC5"/>
    <w:rsid w:val="4048103A"/>
    <w:rsid w:val="40736643"/>
    <w:rsid w:val="40D24A7A"/>
    <w:rsid w:val="42621029"/>
    <w:rsid w:val="435241E2"/>
    <w:rsid w:val="43975C51"/>
    <w:rsid w:val="439E3FA7"/>
    <w:rsid w:val="44B32266"/>
    <w:rsid w:val="44FC64F4"/>
    <w:rsid w:val="467F4585"/>
    <w:rsid w:val="470628CB"/>
    <w:rsid w:val="47555BD4"/>
    <w:rsid w:val="47E96399"/>
    <w:rsid w:val="47F76F61"/>
    <w:rsid w:val="48B63B70"/>
    <w:rsid w:val="48E12B50"/>
    <w:rsid w:val="499441BE"/>
    <w:rsid w:val="499A6C1C"/>
    <w:rsid w:val="4A2138F0"/>
    <w:rsid w:val="4A583887"/>
    <w:rsid w:val="4AF80C91"/>
    <w:rsid w:val="4B9F6E02"/>
    <w:rsid w:val="4C89637B"/>
    <w:rsid w:val="4E6E48A8"/>
    <w:rsid w:val="4E7E0CFD"/>
    <w:rsid w:val="4EEC036B"/>
    <w:rsid w:val="4F0E1296"/>
    <w:rsid w:val="501D2673"/>
    <w:rsid w:val="50C80BF1"/>
    <w:rsid w:val="51852833"/>
    <w:rsid w:val="52F11AC8"/>
    <w:rsid w:val="534F49D9"/>
    <w:rsid w:val="53555F0F"/>
    <w:rsid w:val="535D23D5"/>
    <w:rsid w:val="53FC19D3"/>
    <w:rsid w:val="557044BE"/>
    <w:rsid w:val="56F4341A"/>
    <w:rsid w:val="575A7321"/>
    <w:rsid w:val="580C3AB9"/>
    <w:rsid w:val="583C7AE0"/>
    <w:rsid w:val="586C1E9A"/>
    <w:rsid w:val="586E0800"/>
    <w:rsid w:val="59216F96"/>
    <w:rsid w:val="598C4145"/>
    <w:rsid w:val="59957D1B"/>
    <w:rsid w:val="59D4294E"/>
    <w:rsid w:val="5B634312"/>
    <w:rsid w:val="5B9D2CCD"/>
    <w:rsid w:val="5B9E71EA"/>
    <w:rsid w:val="5C4D0047"/>
    <w:rsid w:val="5E226FBC"/>
    <w:rsid w:val="5FE72BD2"/>
    <w:rsid w:val="60120613"/>
    <w:rsid w:val="618D5292"/>
    <w:rsid w:val="622E78FA"/>
    <w:rsid w:val="62980AEE"/>
    <w:rsid w:val="63343F70"/>
    <w:rsid w:val="64296E1C"/>
    <w:rsid w:val="649E64A2"/>
    <w:rsid w:val="65E5270A"/>
    <w:rsid w:val="663D3C54"/>
    <w:rsid w:val="66862C89"/>
    <w:rsid w:val="66BB486D"/>
    <w:rsid w:val="66C01F3C"/>
    <w:rsid w:val="67394C7D"/>
    <w:rsid w:val="68126B38"/>
    <w:rsid w:val="68291A1A"/>
    <w:rsid w:val="68352BB8"/>
    <w:rsid w:val="691B1594"/>
    <w:rsid w:val="693A016B"/>
    <w:rsid w:val="6A17429C"/>
    <w:rsid w:val="6A567EA3"/>
    <w:rsid w:val="6A735DF8"/>
    <w:rsid w:val="6B4B4368"/>
    <w:rsid w:val="6B79100E"/>
    <w:rsid w:val="6C844C00"/>
    <w:rsid w:val="6DC17082"/>
    <w:rsid w:val="6E10212C"/>
    <w:rsid w:val="6E43561A"/>
    <w:rsid w:val="6E557973"/>
    <w:rsid w:val="6E9568DB"/>
    <w:rsid w:val="6EC12127"/>
    <w:rsid w:val="6F0D6C22"/>
    <w:rsid w:val="6F47657F"/>
    <w:rsid w:val="6FAF23D9"/>
    <w:rsid w:val="70635CF6"/>
    <w:rsid w:val="70670707"/>
    <w:rsid w:val="711D765F"/>
    <w:rsid w:val="720E3691"/>
    <w:rsid w:val="724E244C"/>
    <w:rsid w:val="72DA6946"/>
    <w:rsid w:val="732764B3"/>
    <w:rsid w:val="74026044"/>
    <w:rsid w:val="74746410"/>
    <w:rsid w:val="74FE2301"/>
    <w:rsid w:val="75E5007C"/>
    <w:rsid w:val="77813724"/>
    <w:rsid w:val="77861774"/>
    <w:rsid w:val="78F31435"/>
    <w:rsid w:val="79300B45"/>
    <w:rsid w:val="794D3E18"/>
    <w:rsid w:val="79DD6157"/>
    <w:rsid w:val="79F3729A"/>
    <w:rsid w:val="79FE1C50"/>
    <w:rsid w:val="7A597D9A"/>
    <w:rsid w:val="7A880722"/>
    <w:rsid w:val="7ACB0498"/>
    <w:rsid w:val="7ACD7ED3"/>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4"/>
    <w:autoRedefine/>
    <w:qFormat/>
    <w:uiPriority w:val="0"/>
    <w:rPr>
      <w:rFonts w:ascii="Arial" w:hAnsi="Arial" w:eastAsia="楷体"/>
      <w:b/>
      <w:sz w:val="32"/>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8106</Words>
  <Characters>8493</Characters>
  <Lines>0</Lines>
  <Paragraphs>0</Paragraphs>
  <TotalTime>1</TotalTime>
  <ScaleCrop>false</ScaleCrop>
  <LinksUpToDate>false</LinksUpToDate>
  <CharactersWithSpaces>8512</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2024-10-10T06:36:30Z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FC43D7DB5E47442E9AE9C7D5E66EA5D4_13</vt:lpwstr>
  </property>
</Properties>
</file>