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5669FE">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7" w:name="_GoBack"/>
      <w:bookmarkEnd w:id="87"/>
    </w:p>
    <w:p w14:paraId="5B09257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CD7E71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754B399">
      <w:pPr>
        <w:keepNext w:val="0"/>
        <w:keepLines w:val="0"/>
        <w:pageBreakBefore w:val="0"/>
        <w:widowControl w:val="0"/>
        <w:kinsoku/>
        <w:wordWrap/>
        <w:overflowPunct/>
        <w:topLinePunct w:val="0"/>
        <w:autoSpaceDE/>
        <w:autoSpaceDN/>
        <w:bidi w:val="0"/>
        <w:adjustRightInd/>
        <w:snapToGrid/>
        <w:spacing w:line="360" w:lineRule="auto"/>
        <w:ind w:firstLine="803" w:firstLineChars="200"/>
        <w:jc w:val="center"/>
        <w:textAlignment w:val="auto"/>
        <w:rPr>
          <w:rFonts w:hint="eastAsia" w:ascii="宋体" w:hAnsi="宋体" w:eastAsia="宋体" w:cs="宋体"/>
          <w:b/>
          <w:bCs/>
          <w:color w:val="auto"/>
          <w:sz w:val="36"/>
          <w:szCs w:val="36"/>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人大</w:t>
      </w:r>
      <w:r>
        <w:rPr>
          <w:rFonts w:hint="eastAsia" w:ascii="宋体" w:hAnsi="宋体" w:eastAsia="宋体" w:cs="宋体"/>
          <w:b/>
          <w:bCs/>
          <w:color w:val="auto"/>
          <w:sz w:val="40"/>
          <w:szCs w:val="40"/>
          <w:highlight w:val="none"/>
          <w:shd w:val="clear" w:color="auto" w:fill="auto"/>
          <w:lang w:val="en-US" w:eastAsia="zh-CN"/>
        </w:rPr>
        <w:t>代表之家项目</w:t>
      </w:r>
      <w:r>
        <w:rPr>
          <w:rFonts w:hint="eastAsia" w:ascii="宋体" w:hAnsi="宋体" w:eastAsia="宋体" w:cs="宋体"/>
          <w:b/>
          <w:bCs/>
          <w:color w:val="auto"/>
          <w:sz w:val="40"/>
          <w:szCs w:val="40"/>
          <w:highlight w:val="none"/>
          <w:shd w:val="clear" w:color="auto" w:fill="auto"/>
        </w:rPr>
        <w:t>支出绩效评价报告</w:t>
      </w:r>
      <w:bookmarkEnd w:id="0"/>
    </w:p>
    <w:p w14:paraId="17A483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FE08BB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353483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7613B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A83F7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925F187">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BCE36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代表之家经费</w:t>
      </w:r>
    </w:p>
    <w:p w14:paraId="4104D15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阜康市水磨沟乡人民政府</w:t>
      </w:r>
    </w:p>
    <w:p w14:paraId="0CD9993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阜康市水磨沟乡人民政府</w:t>
      </w:r>
    </w:p>
    <w:p w14:paraId="68D9BFE4">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157FBBEA">
      <w:pPr>
        <w:rPr>
          <w:rFonts w:hint="eastAsia"/>
          <w:color w:val="auto"/>
          <w:highlight w:val="none"/>
          <w:lang w:val="en-US" w:eastAsia="zh-CN"/>
        </w:rPr>
      </w:pPr>
      <w:r>
        <w:rPr>
          <w:rFonts w:hint="eastAsia"/>
          <w:color w:val="auto"/>
          <w:highlight w:val="none"/>
          <w:lang w:val="en-US" w:eastAsia="zh-CN"/>
        </w:rPr>
        <w:br w:type="page"/>
      </w:r>
    </w:p>
    <w:p w14:paraId="12FE08F4">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6D674D5">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68D26E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6E96BA7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79014E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067D50F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5882582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F2444D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5E60219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F1B7C1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4C91587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F0C454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7DFD21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671794B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7778E9E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558E14C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118C78B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BAA619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576DD2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720FF5B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19F1A9B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8E42F9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BA41D8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59D2AA89">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1E6BE30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代表之家经费项目</w:t>
      </w:r>
      <w:r>
        <w:rPr>
          <w:rFonts w:hint="eastAsia" w:ascii="宋体" w:hAnsi="宋体" w:eastAsia="宋体" w:cs="宋体"/>
          <w:b/>
          <w:bCs/>
          <w:color w:val="auto"/>
          <w:sz w:val="36"/>
          <w:szCs w:val="36"/>
          <w:highlight w:val="none"/>
          <w:shd w:val="clear" w:color="auto" w:fill="auto"/>
        </w:rPr>
        <w:t>支出绩效评价报告</w:t>
      </w:r>
      <w:bookmarkEnd w:id="1"/>
    </w:p>
    <w:p w14:paraId="7734D5E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50FC884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1FA7477">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6070B44A">
      <w:pPr>
        <w:bidi w:val="0"/>
        <w:rPr>
          <w:rFonts w:hint="eastAsia"/>
          <w:color w:val="auto"/>
          <w:highlight w:val="none"/>
          <w:lang w:val="en-US" w:eastAsia="zh-CN"/>
        </w:rPr>
      </w:pPr>
      <w:r>
        <w:rPr>
          <w:rFonts w:hint="eastAsia"/>
          <w:color w:val="auto"/>
          <w:highlight w:val="none"/>
        </w:rPr>
        <w:t>为保障人代会闭会期间代表之家的活动，不断探索和推进人大代表工作，保障人大代表学习有固定场所、有具体内容、有活动经费、促进代表活动的经常化、制度化、规范化，充分发挥人大代表主体作用。</w:t>
      </w:r>
    </w:p>
    <w:p w14:paraId="2AC7654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6A947A6F">
      <w:pPr>
        <w:pStyle w:val="2"/>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人大代表之家”分别位于水磨沟乡政府、柳城子西村、水磨沟村、山泉中心村、水磨河社区，代表之家内设接待区、会议区、积分兑换超市等功能室，人大代表相关内容版面，坚持特色引领、数字赋能，为发挥人大作用、激发代表履职活力、汇聚民声提供阵地保障。</w:t>
      </w:r>
    </w:p>
    <w:p w14:paraId="41D81B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日经文件批复，经会议，确定了项目领导小组，明确了责任分工：组长为</w:t>
      </w:r>
      <w:r>
        <w:rPr>
          <w:rFonts w:hint="eastAsia" w:cs="宋体"/>
          <w:color w:val="auto"/>
          <w:highlight w:val="none"/>
          <w:shd w:val="clear" w:color="auto" w:fill="auto"/>
          <w:lang w:val="en-US" w:eastAsia="zh-CN"/>
        </w:rPr>
        <w:t>周志方</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谢热娜依</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项目负责人为谢热娜依,</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谢热娜依</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加衣然古丽</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周志方</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谢热娜依</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马雪</w:t>
      </w:r>
      <w:r>
        <w:rPr>
          <w:rFonts w:hint="eastAsia" w:ascii="宋体" w:hAnsi="宋体" w:eastAsia="宋体" w:cs="宋体"/>
          <w:color w:val="auto"/>
          <w:highlight w:val="none"/>
          <w:shd w:val="clear" w:color="auto" w:fill="auto"/>
          <w:lang w:val="en-US" w:eastAsia="zh-CN"/>
        </w:rPr>
        <w:t>负责资金拨付工作。</w:t>
      </w:r>
    </w:p>
    <w:p w14:paraId="0AF40170">
      <w:pPr>
        <w:pStyle w:val="5"/>
        <w:rPr>
          <w:rFonts w:hint="default" w:eastAsia="宋体"/>
          <w:color w:val="auto"/>
          <w:highlight w:val="none"/>
          <w:lang w:val="en-US" w:eastAsia="zh-CN"/>
        </w:rPr>
      </w:pPr>
      <w:r>
        <w:rPr>
          <w:rFonts w:hint="eastAsia"/>
          <w:color w:val="auto"/>
          <w:highlight w:val="none"/>
          <w:lang w:val="en-US" w:eastAsia="zh-CN"/>
        </w:rPr>
        <w:t>本项目完成建造人大代表之家个数5个，学习观摩租车次数2次，代表之家版面制作个数5个，代表之家版面达标率100%，代表之家资金拨付及时率100%，代表之家拨付标准1个代表之家2万元，充分体现党和政府对人大代表的关心和关怀。</w:t>
      </w:r>
    </w:p>
    <w:p w14:paraId="7904E04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0B57A9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672D26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代表之家项目预算安排总额为</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80</w:t>
      </w:r>
      <w:r>
        <w:rPr>
          <w:rFonts w:hint="eastAsia" w:ascii="宋体" w:hAnsi="宋体" w:eastAsia="宋体" w:cs="宋体"/>
          <w:color w:val="auto"/>
          <w:highlight w:val="none"/>
          <w:shd w:val="clear" w:color="auto" w:fill="auto"/>
          <w:lang w:val="en-US" w:eastAsia="zh-CN"/>
        </w:rPr>
        <w:t>%。</w:t>
      </w:r>
    </w:p>
    <w:p w14:paraId="4E9C7A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E5F58E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截至2023年12月31日，代表之家</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80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建造人大代表之家，学习观摩租车，代表之家版面制作</w:t>
      </w:r>
      <w:r>
        <w:rPr>
          <w:rFonts w:hint="eastAsia" w:cs="宋体"/>
          <w:color w:val="auto"/>
          <w:highlight w:val="none"/>
          <w:shd w:val="clear" w:color="auto" w:fill="auto"/>
          <w:lang w:val="en-US" w:eastAsia="zh-CN"/>
        </w:rPr>
        <w:t>等方面。</w:t>
      </w:r>
    </w:p>
    <w:p w14:paraId="72737824">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68CB989D">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4CE4846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代表之家</w:t>
      </w:r>
      <w:r>
        <w:rPr>
          <w:rFonts w:hint="eastAsia" w:cs="宋体"/>
          <w:color w:val="auto"/>
          <w:highlight w:val="none"/>
          <w:shd w:val="clear" w:color="auto" w:fill="auto"/>
          <w:lang w:val="en-US" w:eastAsia="zh-CN"/>
        </w:rPr>
        <w:t>项目绩效总体目标为：为保障人代会闭会期间代表之家的活动，不断探索和推进人大代表工作，保障人大代表学习、参政有固定场所、有具体内容、有活动经费、促进代表活动的经常化、制度化、规范化，充分发挥人大代表主体作用。</w:t>
      </w:r>
    </w:p>
    <w:p w14:paraId="58091C14">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76F86CB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auto"/>
          <w:kern w:val="0"/>
          <w:sz w:val="28"/>
          <w:szCs w:val="32"/>
          <w:highlight w:val="none"/>
          <w:shd w:val="clear" w:color="auto" w:fill="auto"/>
          <w:lang w:val="en-US" w:eastAsia="zh-CN" w:bidi="ar-SA"/>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8C139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26DB56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5396F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建造人大代表之家个数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为=5个；</w:t>
      </w:r>
    </w:p>
    <w:p w14:paraId="0F89C6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学习观摩租车次数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为≥2次；</w:t>
      </w:r>
    </w:p>
    <w:p w14:paraId="0AB4DE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代表之家版面制作个数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为≥5个；</w:t>
      </w:r>
    </w:p>
    <w:p w14:paraId="793646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268B04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代表之家版面达标率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3DC695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③时效指标</w:t>
      </w:r>
    </w:p>
    <w:p w14:paraId="485F12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代表之家资金拨付及时率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2183C3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代表之家资金拨付时间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为2023/3/1；</w:t>
      </w:r>
    </w:p>
    <w:p w14:paraId="7B6A4C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1BCBA2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代表之家拨付标准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为≤2万元/个；</w:t>
      </w:r>
    </w:p>
    <w:p w14:paraId="0883FA43">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005872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0CBE1035">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p>
    <w:p w14:paraId="47EB2CF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296E448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代表之家补助，充分体现党和政府对人大代表的关心和关怀。</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为长期；</w:t>
      </w:r>
    </w:p>
    <w:p w14:paraId="002DE79C">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1CC0BEB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w:t>
      </w:r>
      <w:r>
        <w:rPr>
          <w:rFonts w:hint="eastAsia" w:ascii="宋体" w:hAnsi="宋体" w:eastAsia="宋体" w:cs="宋体"/>
          <w:color w:val="auto"/>
          <w:highlight w:val="none"/>
          <w:shd w:val="clear" w:color="auto" w:fill="auto"/>
          <w:lang w:val="en-US" w:eastAsia="zh-CN"/>
        </w:rPr>
        <w:t>效益指标</w:t>
      </w:r>
    </w:p>
    <w:p w14:paraId="6661041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54E17E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p>
    <w:p w14:paraId="3C9C7C6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bookmarkStart w:id="11" w:name="_Toc2549"/>
    </w:p>
    <w:p w14:paraId="67CE7CF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
          <w:sz w:val="28"/>
          <w:szCs w:val="28"/>
          <w:highlight w:val="none"/>
          <w:shd w:val="clear" w:color="auto" w:fill="auto"/>
          <w:lang w:val="en-US" w:eastAsia="zh-CN" w:bidi="ar-SA"/>
        </w:rPr>
      </w:pPr>
      <w:r>
        <w:rPr>
          <w:rFonts w:hint="eastAsia" w:ascii="宋体" w:hAnsi="宋体" w:eastAsia="宋体" w:cs="宋体"/>
          <w:color w:val="auto"/>
          <w:kern w:val="2"/>
          <w:sz w:val="28"/>
          <w:szCs w:val="28"/>
          <w:highlight w:val="none"/>
          <w:shd w:val="clear" w:color="auto" w:fill="auto"/>
          <w:lang w:val="en-US" w:eastAsia="zh-CN" w:bidi="ar-SA"/>
        </w:rPr>
        <w:t>本项目不涉及满意度指标</w:t>
      </w:r>
    </w:p>
    <w:p w14:paraId="3E34654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3AF52DC5">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22169_WPSOffice_Level2"/>
      <w:bookmarkStart w:id="14" w:name="_Toc12868"/>
      <w:bookmarkStart w:id="15" w:name="_Toc5462343"/>
      <w:bookmarkStart w:id="16" w:name="_Toc22922"/>
      <w:bookmarkStart w:id="17" w:name="_Toc26632"/>
      <w:bookmarkStart w:id="18" w:name="_Toc480473081"/>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3C7A7C0A">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387113A9">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75942F8A">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74895B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代表之家</w:t>
      </w:r>
      <w:r>
        <w:rPr>
          <w:rFonts w:hint="eastAsia" w:ascii="宋体" w:hAnsi="宋体" w:eastAsia="宋体" w:cs="宋体"/>
          <w:color w:val="auto"/>
          <w:highlight w:val="none"/>
          <w:shd w:val="clear" w:color="auto" w:fill="auto"/>
          <w:lang w:val="en-US" w:eastAsia="zh-CN"/>
        </w:rPr>
        <w:t>项目开展部门绩效评价。</w:t>
      </w:r>
    </w:p>
    <w:p w14:paraId="682BF2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6071290">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739320F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2700BA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代表之家</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3BE5C7B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01EBD3C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1777C1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2970F66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11B3DC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3801E6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1913"/>
      <w:bookmarkStart w:id="27" w:name="_Toc428278230"/>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AB5DEA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A823073">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5384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5D21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4C4487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02B0C9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05168E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5B24C3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1D503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1B266A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729CF7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53475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4B356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1E7296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62F974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14BCC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08DE3CC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81898C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5FD616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3222816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67451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60AFF5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1259A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2008F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713D8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4B7478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F8A672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89E9EE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34B1E1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557A70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36F8A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707D55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F5E6A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79E9DD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6EB584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EA68D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BB0AE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E72DF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8BAC2A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2A53A5C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006DE3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C94B81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FEE7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A7852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B1F2F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D4A17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77F69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74224F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0D5477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5881A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D8AD2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0BA975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8C0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C84D00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CB452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3C5255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186645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6E0BAA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CE0B6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1E666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1459EB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F340A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6E45D4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23BBD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34F049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734C8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D3089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A58C9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0529B8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A7B27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11182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1DEA57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0D10B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55197D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1D7F1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297B04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67EDE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3D3AC3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5763F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9E7ED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6391C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62111F1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776294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450C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6EE57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9B76A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6E3DE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56DED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9F9F5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F6BAF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DB0F2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207D6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5BA15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0CC6B7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C57D9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625D03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58B77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352AD5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775BA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5F28FE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B2BBF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620536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6F750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3E51F1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9188C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C23F8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3D6C7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30844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3EA86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40884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3A97E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4641ED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64231F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4B8A98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B24C5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00828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6A920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A19EF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259C2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3FB8B0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DE935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2B3BF1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634E76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04DCBC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746500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A9ADB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0D4A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6C554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B44B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2E9C88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40B77A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1F0067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766940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93B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2E5DE0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7F08DE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1444CA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3EF2A2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BFA7B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3BC0BB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75084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6EA18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7D473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D1B20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0CD76A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3AF82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9044C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7C871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2AB6E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8964A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24E8C2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BA45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5F9457E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57A582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6BBA8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339AE9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D151A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FDB8F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4970D9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797379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2EB2E62">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7A89B9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代表之家</w:t>
      </w:r>
      <w:r>
        <w:rPr>
          <w:rFonts w:hint="eastAsia" w:ascii="宋体" w:hAnsi="宋体" w:eastAsia="宋体" w:cs="宋体"/>
          <w:color w:val="auto"/>
          <w:highlight w:val="none"/>
          <w:shd w:val="clear" w:color="auto" w:fill="auto"/>
          <w:lang w:val="en-US" w:eastAsia="zh-CN"/>
        </w:rPr>
        <w:t>项目进行评价。</w:t>
      </w:r>
    </w:p>
    <w:p w14:paraId="25A8F088">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04C34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30811D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147B21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4F6928D2">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04CD7AA1">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4D39C1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57D7DA8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1A9D458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28A6987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418E9A2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代表之家项目实施内容、目标信息、预算信息以及其他的一些项目基本信息，有了初步了解，为制定绩效评价工作方案做好准备。</w:t>
      </w:r>
      <w:bookmarkEnd w:id="35"/>
    </w:p>
    <w:p w14:paraId="7FF9BAF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08A7DAB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613BA6A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7E344F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2553D45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1F9F1B7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05B60EB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BD4587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2D10F35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587A894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1DCBF7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7AED2A2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6BCB675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4599C84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410CA32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63C86B0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5C7578B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2C2F0C0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416A8D9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3B14F0E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FB8BD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代表之家</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96</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77BDAD1">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E333B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表3-1：代表之家项目得分表</w:t>
            </w:r>
          </w:p>
          <w:p w14:paraId="3D6ADD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2ED3092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766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2B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56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624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3A2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0F9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4EA7983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280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CD7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157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C7F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23A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ED1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48EC041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674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4037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707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D2B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29.6</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D4C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13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p>
        </w:tc>
      </w:tr>
      <w:tr w14:paraId="3EA08B32">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FE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08A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0FE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92</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337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98.67</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C0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815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r>
    </w:tbl>
    <w:p w14:paraId="287B781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9622EB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10C3B9FD">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120B823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1FE61EFE">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E68F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593C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DE6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501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D138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E8BB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B076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60861FB">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9DF15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5BC42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7E9B0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9E976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680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FB6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F7FF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60F85FF">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A770D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37C22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ABC2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1A04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8FD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19D8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5F82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2DDEC774">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75A38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7AF9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D4C1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0A06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E04C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CCF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3BB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1058886">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91364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9CEED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94C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8C3D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4DA9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E39F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2D7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B198F1D">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C28B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9E8D4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07A63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A927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6E73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A39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878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818F207">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E35B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E50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1C64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EFBE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F199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CCFC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DF89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49B0D70">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DF22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FB5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FA97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41E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725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2755DE12">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2924AE77">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预算法</w:t>
      </w:r>
      <w:r>
        <w:rPr>
          <w:rFonts w:hint="eastAsia"/>
          <w:color w:val="auto"/>
          <w:highlight w:val="none"/>
          <w:lang w:eastAsia="zh-CN"/>
        </w:rPr>
        <w:t>》《</w:t>
      </w:r>
      <w:r>
        <w:rPr>
          <w:rFonts w:hint="eastAsia"/>
          <w:color w:val="auto"/>
          <w:highlight w:val="none"/>
          <w:lang w:val="en-US" w:eastAsia="zh-CN"/>
        </w:rPr>
        <w:t>水磨沟乡人民代表大会制度</w:t>
      </w:r>
      <w:r>
        <w:rPr>
          <w:rFonts w:hint="eastAsia"/>
          <w:color w:val="auto"/>
          <w:highlight w:val="none"/>
          <w:lang w:eastAsia="zh-CN"/>
        </w:rPr>
        <w:t>》；</w:t>
      </w:r>
    </w:p>
    <w:p w14:paraId="1807D804">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水磨沟乡人民代表大会制度</w:t>
      </w:r>
      <w:r>
        <w:rPr>
          <w:rFonts w:hint="eastAsia"/>
          <w:color w:val="auto"/>
          <w:highlight w:val="none"/>
          <w:lang w:eastAsia="zh-CN"/>
        </w:rPr>
        <w:t>》发展规划和政策要求；</w:t>
      </w:r>
    </w:p>
    <w:p w14:paraId="22FA7A1C">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人大代表</w:t>
      </w:r>
      <w:r>
        <w:rPr>
          <w:rFonts w:hint="eastAsia"/>
          <w:color w:val="auto"/>
          <w:highlight w:val="none"/>
          <w:lang w:eastAsia="zh-CN"/>
        </w:rPr>
        <w:t>部门</w:t>
      </w:r>
      <w:r>
        <w:rPr>
          <w:rFonts w:hint="eastAsia"/>
          <w:color w:val="auto"/>
          <w:highlight w:val="none"/>
          <w:lang w:val="en-US" w:eastAsia="zh-CN"/>
        </w:rPr>
        <w:t>进行指导、组织、协调，</w:t>
      </w:r>
      <w:r>
        <w:rPr>
          <w:rFonts w:hint="eastAsia"/>
          <w:color w:val="auto"/>
          <w:highlight w:val="none"/>
          <w:lang w:eastAsia="zh-CN"/>
        </w:rPr>
        <w:t>职责范围相符，属于部门履职所需；</w:t>
      </w:r>
    </w:p>
    <w:p w14:paraId="5187EFC5">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0F8857A9">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0B4E3EDA">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35B0CB08">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296A49FC">
      <w:pPr>
        <w:bidi w:val="0"/>
        <w:rPr>
          <w:rFonts w:hint="eastAsia"/>
          <w:color w:val="auto"/>
          <w:highlight w:val="none"/>
          <w:lang w:eastAsia="zh-CN"/>
        </w:rPr>
      </w:pPr>
      <w:r>
        <w:rPr>
          <w:rFonts w:hint="eastAsia"/>
          <w:color w:val="auto"/>
          <w:highlight w:val="none"/>
          <w:lang w:eastAsia="zh-CN"/>
        </w:rPr>
        <w:t>①项目按照规定的程序申请设立；</w:t>
      </w:r>
    </w:p>
    <w:p w14:paraId="5E7BFB17">
      <w:pPr>
        <w:bidi w:val="0"/>
        <w:rPr>
          <w:rFonts w:hint="eastAsia"/>
          <w:color w:val="auto"/>
          <w:highlight w:val="none"/>
          <w:lang w:eastAsia="zh-CN"/>
        </w:rPr>
      </w:pPr>
      <w:r>
        <w:rPr>
          <w:rFonts w:hint="eastAsia"/>
          <w:color w:val="auto"/>
          <w:highlight w:val="none"/>
          <w:lang w:eastAsia="zh-CN"/>
        </w:rPr>
        <w:t>②审批文件、材料符合相关要求；</w:t>
      </w:r>
    </w:p>
    <w:p w14:paraId="636204D0">
      <w:pPr>
        <w:bidi w:val="0"/>
        <w:rPr>
          <w:rFonts w:hint="eastAsia"/>
          <w:color w:val="auto"/>
          <w:highlight w:val="none"/>
          <w:lang w:eastAsia="zh-CN"/>
        </w:rPr>
      </w:pPr>
      <w:r>
        <w:rPr>
          <w:rFonts w:hint="eastAsia"/>
          <w:color w:val="auto"/>
          <w:highlight w:val="none"/>
          <w:lang w:eastAsia="zh-CN"/>
        </w:rPr>
        <w:t>③事前经过必要的可行性研究、专家论证、风险评估、绩效评估、集体决策。</w:t>
      </w:r>
      <w:r>
        <w:rPr>
          <w:rFonts w:hint="eastAsia"/>
          <w:color w:val="auto"/>
          <w:highlight w:val="none"/>
          <w:lang w:val="en-US" w:eastAsia="zh-CN"/>
        </w:rPr>
        <w:t>根据市人大部门的《关于组织动员各级人大代表深入学习宣传贯彻习近平总书记重要讲话精神实施方案》《人大代表履职活动手册》《人大代表履职管理量化考评评分表》。未经过</w:t>
      </w:r>
      <w:r>
        <w:rPr>
          <w:rFonts w:hint="eastAsia"/>
          <w:color w:val="auto"/>
          <w:highlight w:val="none"/>
          <w:lang w:eastAsia="zh-CN"/>
        </w:rPr>
        <w:t>风险评估、绩效评估，</w:t>
      </w:r>
      <w:r>
        <w:rPr>
          <w:rFonts w:hint="eastAsia"/>
          <w:color w:val="auto"/>
          <w:highlight w:val="none"/>
          <w:lang w:val="en-US" w:eastAsia="zh-CN"/>
        </w:rPr>
        <w:t>扣2分。</w:t>
      </w:r>
    </w:p>
    <w:p w14:paraId="0025EDF7">
      <w:pPr>
        <w:bidi w:val="0"/>
        <w:rPr>
          <w:rFonts w:hint="eastAsia"/>
          <w:color w:val="auto"/>
          <w:highlight w:val="none"/>
          <w:lang w:eastAsia="zh-CN"/>
        </w:rPr>
      </w:pPr>
      <w:r>
        <w:rPr>
          <w:rFonts w:hint="eastAsia"/>
          <w:b/>
          <w:bCs/>
          <w:color w:val="auto"/>
          <w:highlight w:val="none"/>
          <w:lang w:val="en-US" w:eastAsia="zh-CN"/>
        </w:rPr>
        <w:t>综上，该项指标满分3分，得分1分。</w:t>
      </w:r>
    </w:p>
    <w:p w14:paraId="13D48F3C">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F29EC24">
      <w:pPr>
        <w:bidi w:val="0"/>
        <w:rPr>
          <w:rFonts w:hint="eastAsia"/>
          <w:color w:val="auto"/>
          <w:highlight w:val="none"/>
          <w:lang w:eastAsia="zh-CN"/>
        </w:rPr>
      </w:pPr>
      <w:r>
        <w:rPr>
          <w:rFonts w:hint="eastAsia"/>
          <w:color w:val="auto"/>
          <w:highlight w:val="none"/>
          <w:lang w:eastAsia="zh-CN"/>
        </w:rPr>
        <w:t>①项目有绩效目标；</w:t>
      </w:r>
    </w:p>
    <w:p w14:paraId="4F9C9EE8">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4B84BFF3">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690BB30C">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7EB2BAA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C847E0A">
      <w:pPr>
        <w:shd w:val="clea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4144A3F1">
      <w:pPr>
        <w:shd w:val="clea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宋体" w:hAnsi="宋体" w:eastAsia="宋体" w:cs="宋体"/>
          <w:b w:val="0"/>
          <w:bCs w:val="0"/>
          <w:color w:val="auto"/>
          <w:kern w:val="2"/>
          <w:sz w:val="28"/>
          <w:szCs w:val="28"/>
          <w:highlight w:val="none"/>
          <w:lang w:val="en-US" w:eastAsia="zh-CN" w:bidi="ar-SA"/>
        </w:rPr>
        <w:t>项目绩效有3个一级指标，5个二级指标，8个三级指标。</w:t>
      </w:r>
    </w:p>
    <w:p w14:paraId="275911BD">
      <w:pPr>
        <w:shd w:val="clea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ascii="宋体" w:hAnsi="宋体" w:eastAsia="宋体" w:cs="宋体"/>
          <w:b w:val="0"/>
          <w:bCs w:val="0"/>
          <w:color w:val="auto"/>
          <w:kern w:val="2"/>
          <w:sz w:val="28"/>
          <w:szCs w:val="28"/>
          <w:highlight w:val="none"/>
          <w:lang w:val="en-US" w:eastAsia="zh-CN" w:bidi="ar-SA"/>
        </w:rPr>
        <w:t>项目绩效有8个三级指标，量化值</w:t>
      </w:r>
      <w:r>
        <w:rPr>
          <w:rFonts w:hint="eastAsia" w:cs="宋体"/>
          <w:b w:val="0"/>
          <w:bCs w:val="0"/>
          <w:color w:val="auto"/>
          <w:kern w:val="2"/>
          <w:sz w:val="28"/>
          <w:szCs w:val="28"/>
          <w:highlight w:val="none"/>
          <w:lang w:val="en-US" w:eastAsia="zh-CN" w:bidi="ar-SA"/>
        </w:rPr>
        <w:t>率</w:t>
      </w:r>
      <w:r>
        <w:rPr>
          <w:rFonts w:hint="eastAsia" w:ascii="宋体" w:hAnsi="宋体" w:eastAsia="宋体" w:cs="宋体"/>
          <w:b w:val="0"/>
          <w:bCs w:val="0"/>
          <w:color w:val="auto"/>
          <w:kern w:val="2"/>
          <w:sz w:val="28"/>
          <w:szCs w:val="28"/>
          <w:highlight w:val="none"/>
          <w:lang w:val="en-US" w:eastAsia="zh-CN" w:bidi="ar-SA"/>
        </w:rPr>
        <w:t>75%</w:t>
      </w:r>
    </w:p>
    <w:p w14:paraId="18D2109A">
      <w:pPr>
        <w:shd w:val="clear"/>
        <w:bidi w:val="0"/>
        <w:rPr>
          <w:rFonts w:hint="eastAsia"/>
          <w:color w:val="auto"/>
          <w:highlight w:val="none"/>
          <w:lang w:eastAsia="zh-CN"/>
        </w:rPr>
      </w:pPr>
      <w:r>
        <w:rPr>
          <w:rFonts w:hint="eastAsia"/>
          <w:color w:val="auto"/>
          <w:highlight w:val="none"/>
          <w:lang w:eastAsia="zh-CN"/>
        </w:rPr>
        <w:t>③与项目目标任务数或计划数相对应。</w:t>
      </w:r>
    </w:p>
    <w:p w14:paraId="12CA5E39">
      <w:pPr>
        <w:shd w:val="clear"/>
        <w:bidi w:val="0"/>
        <w:rPr>
          <w:rFonts w:hint="eastAsia"/>
          <w:color w:val="auto"/>
          <w:highlight w:val="none"/>
          <w:lang w:eastAsia="zh-CN"/>
        </w:rPr>
      </w:pPr>
      <w:r>
        <w:rPr>
          <w:rFonts w:hint="eastAsia"/>
          <w:b/>
          <w:bCs/>
          <w:color w:val="auto"/>
          <w:highlight w:val="none"/>
          <w:lang w:val="en-US" w:eastAsia="zh-CN"/>
        </w:rPr>
        <w:t>综上，该项指标满分5分，得分5分。</w:t>
      </w:r>
    </w:p>
    <w:p w14:paraId="0AC93190">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7510FF12">
      <w:pPr>
        <w:bidi w:val="0"/>
        <w:rPr>
          <w:rFonts w:hint="eastAsia"/>
          <w:color w:val="auto"/>
          <w:highlight w:val="none"/>
          <w:lang w:eastAsia="zh-CN"/>
        </w:rPr>
      </w:pPr>
      <w:r>
        <w:rPr>
          <w:rFonts w:hint="eastAsia"/>
          <w:color w:val="auto"/>
          <w:highlight w:val="none"/>
          <w:lang w:eastAsia="zh-CN"/>
        </w:rPr>
        <w:t>①预算编制经过科学论证；</w:t>
      </w:r>
    </w:p>
    <w:p w14:paraId="6FA17DE4">
      <w:pPr>
        <w:bidi w:val="0"/>
        <w:rPr>
          <w:rFonts w:hint="eastAsia"/>
          <w:color w:val="auto"/>
          <w:highlight w:val="none"/>
          <w:lang w:eastAsia="zh-CN"/>
        </w:rPr>
      </w:pPr>
      <w:r>
        <w:rPr>
          <w:rFonts w:hint="eastAsia"/>
          <w:color w:val="auto"/>
          <w:highlight w:val="none"/>
          <w:lang w:eastAsia="zh-CN"/>
        </w:rPr>
        <w:t>②预算内容与项目内容匹配；</w:t>
      </w:r>
    </w:p>
    <w:p w14:paraId="13C3A0F0">
      <w:pPr>
        <w:bidi w:val="0"/>
        <w:rPr>
          <w:rFonts w:hint="eastAsia"/>
          <w:color w:val="auto"/>
          <w:highlight w:val="none"/>
          <w:lang w:eastAsia="zh-CN"/>
        </w:rPr>
      </w:pPr>
      <w:r>
        <w:rPr>
          <w:rFonts w:hint="eastAsia"/>
          <w:color w:val="auto"/>
          <w:highlight w:val="none"/>
          <w:lang w:eastAsia="zh-CN"/>
        </w:rPr>
        <w:t>③预算额度测算依据充分，按照标准编制；</w:t>
      </w:r>
    </w:p>
    <w:p w14:paraId="28AF4BF4">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42199798">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1B6505C9">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7078F33D">
      <w:pPr>
        <w:bidi w:val="0"/>
        <w:rPr>
          <w:rFonts w:hint="eastAsia"/>
          <w:color w:val="auto"/>
          <w:highlight w:val="none"/>
          <w:lang w:eastAsia="zh-CN"/>
        </w:rPr>
      </w:pPr>
      <w:r>
        <w:rPr>
          <w:rFonts w:hint="eastAsia"/>
          <w:color w:val="auto"/>
          <w:highlight w:val="none"/>
          <w:lang w:eastAsia="zh-CN"/>
        </w:rPr>
        <w:t>①预算资金分配依据充分；</w:t>
      </w:r>
    </w:p>
    <w:p w14:paraId="4707182E">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3D028039">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2D642C47">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7C23B427">
      <w:pPr>
        <w:pageBreakBefore w:val="0"/>
        <w:widowControl w:val="0"/>
        <w:kinsoku/>
        <w:wordWrap/>
        <w:overflowPunct/>
        <w:topLinePunct w:val="0"/>
        <w:autoSpaceDE/>
        <w:autoSpaceDN/>
        <w:bidi w:val="0"/>
        <w:adjustRightInd/>
        <w:spacing w:line="360" w:lineRule="auto"/>
        <w:ind w:firstLine="560"/>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18.4</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DE7376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54878955">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9D51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8F1C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4F61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476A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96C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BD20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733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730769A">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6F87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1F74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A83F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A4C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7AE8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B5A5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561A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3.2</w:t>
            </w:r>
          </w:p>
        </w:tc>
      </w:tr>
      <w:tr w14:paraId="41FD1746">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FD56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421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099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A731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880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B543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7C24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3.2</w:t>
            </w:r>
          </w:p>
        </w:tc>
      </w:tr>
      <w:tr w14:paraId="260E7AE5">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A8C5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E964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07E1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1A50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DE2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C9C6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0B4B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95CA6E1">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3F97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F6A3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1EAF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ED52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C9B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09A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CD4F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BBBF423">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0BA2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9BBF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45BC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B470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A0A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4DD7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C654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1FD61A4">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9AA9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340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63C6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DF62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089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18.4</w:t>
            </w:r>
          </w:p>
        </w:tc>
      </w:tr>
    </w:tbl>
    <w:p w14:paraId="1F6BD107">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62F2EE3A">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4万元</w:t>
      </w:r>
      <w:r>
        <w:rPr>
          <w:rFonts w:hint="eastAsia"/>
          <w:color w:val="auto"/>
          <w:highlight w:val="none"/>
          <w:lang w:eastAsia="zh-CN"/>
        </w:rPr>
        <w:t>/</w:t>
      </w:r>
      <w:r>
        <w:rPr>
          <w:rFonts w:hint="eastAsia"/>
          <w:color w:val="auto"/>
          <w:highlight w:val="none"/>
          <w:lang w:val="en-US" w:eastAsia="zh-CN"/>
        </w:rPr>
        <w:t>5万元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80%</w:t>
      </w:r>
      <w:r>
        <w:rPr>
          <w:rFonts w:hint="eastAsia"/>
          <w:color w:val="auto"/>
          <w:highlight w:val="none"/>
          <w:lang w:eastAsia="zh-CN"/>
        </w:rPr>
        <w:t>。</w:t>
      </w:r>
    </w:p>
    <w:p w14:paraId="10E25A45">
      <w:pPr>
        <w:bidi w:val="0"/>
        <w:rPr>
          <w:rFonts w:hint="eastAsia"/>
          <w:color w:val="auto"/>
          <w:highlight w:val="none"/>
          <w:lang w:eastAsia="zh-CN"/>
        </w:rPr>
      </w:pPr>
      <w:r>
        <w:rPr>
          <w:rFonts w:hint="eastAsia"/>
          <w:b/>
          <w:bCs/>
          <w:color w:val="auto"/>
          <w:highlight w:val="none"/>
          <w:lang w:val="en-US" w:eastAsia="zh-CN"/>
        </w:rPr>
        <w:t>综上，该项指标满分4分，得分3.2分。</w:t>
      </w:r>
    </w:p>
    <w:p w14:paraId="0EFF6723">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67FFC5FC">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4万元</w:t>
      </w:r>
      <w:r>
        <w:rPr>
          <w:rFonts w:hint="eastAsia"/>
          <w:color w:val="auto"/>
          <w:highlight w:val="none"/>
          <w:lang w:eastAsia="zh-CN"/>
        </w:rPr>
        <w:t>/</w:t>
      </w:r>
      <w:r>
        <w:rPr>
          <w:rFonts w:hint="eastAsia"/>
          <w:color w:val="auto"/>
          <w:highlight w:val="none"/>
          <w:lang w:val="en-US" w:eastAsia="zh-CN"/>
        </w:rPr>
        <w:t>5万元</w:t>
      </w:r>
      <w:r>
        <w:rPr>
          <w:rFonts w:hint="eastAsia"/>
          <w:color w:val="auto"/>
          <w:highlight w:val="none"/>
          <w:lang w:eastAsia="zh-CN"/>
        </w:rPr>
        <w:t>）×10</w:t>
      </w:r>
      <w:r>
        <w:rPr>
          <w:rFonts w:hint="eastAsia"/>
          <w:b w:val="0"/>
          <w:bCs w:val="0"/>
          <w:color w:val="auto"/>
          <w:highlight w:val="none"/>
          <w:lang w:eastAsia="zh-CN"/>
        </w:rPr>
        <w:t>0%。</w:t>
      </w:r>
      <w:r>
        <w:rPr>
          <w:rFonts w:hint="eastAsia"/>
          <w:b w:val="0"/>
          <w:bCs w:val="0"/>
          <w:color w:val="auto"/>
          <w:highlight w:val="none"/>
          <w:lang w:val="en-US" w:eastAsia="zh-CN"/>
        </w:rPr>
        <w:t>=80%</w:t>
      </w:r>
    </w:p>
    <w:p w14:paraId="2B2C4870">
      <w:pPr>
        <w:bidi w:val="0"/>
        <w:rPr>
          <w:rFonts w:hint="eastAsia"/>
          <w:color w:val="auto"/>
          <w:highlight w:val="none"/>
          <w:lang w:eastAsia="zh-CN"/>
        </w:rPr>
      </w:pPr>
      <w:r>
        <w:rPr>
          <w:rFonts w:hint="eastAsia"/>
          <w:b/>
          <w:bCs/>
          <w:color w:val="auto"/>
          <w:highlight w:val="none"/>
          <w:lang w:val="en-US" w:eastAsia="zh-CN"/>
        </w:rPr>
        <w:t>综上，该项指标满分4分，得分3.2分。</w:t>
      </w:r>
    </w:p>
    <w:p w14:paraId="523FF405">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46F8FFBD">
      <w:pPr>
        <w:bidi w:val="0"/>
        <w:rPr>
          <w:rFonts w:hint="eastAsia"/>
          <w:color w:val="auto"/>
          <w:highlight w:val="none"/>
          <w:lang w:eastAsia="zh-CN"/>
        </w:rPr>
      </w:pPr>
      <w:r>
        <w:rPr>
          <w:rFonts w:hint="eastAsia"/>
          <w:color w:val="auto"/>
          <w:highlight w:val="none"/>
          <w:lang w:eastAsia="zh-CN"/>
        </w:rPr>
        <w:t>①符合</w:t>
      </w:r>
      <w:r>
        <w:rPr>
          <w:rFonts w:hint="eastAsia"/>
          <w:color w:val="auto"/>
          <w:highlight w:val="none"/>
          <w:lang w:val="en-US" w:eastAsia="zh-CN"/>
        </w:rPr>
        <w:t>《水磨沟乡党委财经工作领导小组议事规则》</w:t>
      </w:r>
      <w:r>
        <w:rPr>
          <w:rFonts w:hint="eastAsia"/>
          <w:color w:val="auto"/>
          <w:highlight w:val="none"/>
          <w:lang w:eastAsia="zh-CN"/>
        </w:rPr>
        <w:t>《</w:t>
      </w:r>
      <w:r>
        <w:rPr>
          <w:rFonts w:hint="eastAsia"/>
          <w:color w:val="auto"/>
          <w:highlight w:val="none"/>
          <w:lang w:val="en-US" w:eastAsia="zh-CN"/>
        </w:rPr>
        <w:t>水磨沟乡人民代表大会制度</w:t>
      </w:r>
      <w:r>
        <w:rPr>
          <w:rFonts w:hint="eastAsia"/>
          <w:color w:val="auto"/>
          <w:highlight w:val="none"/>
          <w:lang w:eastAsia="zh-CN"/>
        </w:rPr>
        <w:t>》以及有关</w:t>
      </w:r>
      <w:r>
        <w:rPr>
          <w:rFonts w:hint="eastAsia"/>
          <w:color w:val="auto"/>
          <w:highlight w:val="none"/>
          <w:lang w:val="en-US" w:eastAsia="zh-CN"/>
        </w:rPr>
        <w:t>人大代表之家</w:t>
      </w:r>
      <w:r>
        <w:rPr>
          <w:rFonts w:hint="eastAsia"/>
          <w:color w:val="auto"/>
          <w:highlight w:val="none"/>
          <w:lang w:eastAsia="zh-CN"/>
        </w:rPr>
        <w:t>专项资金管理办法的规定；</w:t>
      </w:r>
    </w:p>
    <w:p w14:paraId="6B2E9AC7">
      <w:pPr>
        <w:bidi w:val="0"/>
        <w:rPr>
          <w:rFonts w:hint="eastAsia"/>
          <w:color w:val="auto"/>
          <w:highlight w:val="none"/>
          <w:lang w:eastAsia="zh-CN"/>
        </w:rPr>
      </w:pPr>
      <w:r>
        <w:rPr>
          <w:rFonts w:hint="eastAsia"/>
          <w:color w:val="auto"/>
          <w:highlight w:val="none"/>
          <w:lang w:eastAsia="zh-CN"/>
        </w:rPr>
        <w:t>②资金的拨付有完整的审批程序和手续；</w:t>
      </w:r>
    </w:p>
    <w:p w14:paraId="4E81A7B1">
      <w:pPr>
        <w:bidi w:val="0"/>
        <w:rPr>
          <w:rFonts w:hint="eastAsia"/>
          <w:color w:val="auto"/>
          <w:highlight w:val="none"/>
          <w:lang w:eastAsia="zh-CN"/>
        </w:rPr>
      </w:pPr>
      <w:r>
        <w:rPr>
          <w:rFonts w:hint="eastAsia"/>
          <w:color w:val="auto"/>
          <w:highlight w:val="none"/>
          <w:lang w:eastAsia="zh-CN"/>
        </w:rPr>
        <w:t>③符合项目预算批复或合同规定的用途；</w:t>
      </w:r>
    </w:p>
    <w:p w14:paraId="4B9E81D3">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613D35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C0CB8F5">
      <w:pPr>
        <w:numPr>
          <w:ilvl w:val="0"/>
          <w:numId w:val="0"/>
        </w:numPr>
        <w:bidi w:val="0"/>
        <w:ind w:firstLine="562" w:firstLineChars="200"/>
        <w:rPr>
          <w:rFonts w:hint="eastAsia"/>
          <w:color w:val="auto"/>
          <w:highlight w:val="none"/>
          <w:lang w:eastAsia="zh-CN"/>
        </w:rPr>
      </w:pPr>
      <w:r>
        <w:rPr>
          <w:rFonts w:hint="eastAsia"/>
          <w:b/>
          <w:bCs/>
          <w:color w:val="auto"/>
          <w:highlight w:val="none"/>
          <w:lang w:val="en-US" w:eastAsia="zh-CN"/>
        </w:rPr>
        <w:t>4.管理制度健全性</w:t>
      </w:r>
    </w:p>
    <w:p w14:paraId="150D47BE">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①已制定或具有相应的</w:t>
      </w:r>
      <w:r>
        <w:rPr>
          <w:rFonts w:hint="eastAsia"/>
          <w:color w:val="auto"/>
          <w:highlight w:val="none"/>
          <w:lang w:val="en-US" w:eastAsia="zh-CN"/>
        </w:rPr>
        <w:t>《水磨沟乡党委财经工作领导小组议事规则》《水磨沟乡人民代表大会制度》</w:t>
      </w:r>
      <w:r>
        <w:rPr>
          <w:rFonts w:hint="eastAsia"/>
          <w:color w:val="auto"/>
          <w:highlight w:val="none"/>
          <w:lang w:eastAsia="zh-CN"/>
        </w:rPr>
        <w:t>管理制度；</w:t>
      </w:r>
    </w:p>
    <w:p w14:paraId="7A572F83">
      <w:pPr>
        <w:bidi w:val="0"/>
        <w:rPr>
          <w:rFonts w:hint="eastAsia"/>
          <w:color w:val="auto"/>
          <w:highlight w:val="none"/>
          <w:lang w:eastAsia="zh-CN"/>
        </w:rPr>
      </w:pP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14:paraId="4FDC427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45B0263">
      <w:pPr>
        <w:bidi w:val="0"/>
        <w:ind w:left="1403" w:leftChars="200" w:hanging="843" w:hangingChars="300"/>
        <w:outlineLvl w:val="2"/>
        <w:rPr>
          <w:rFonts w:hint="default"/>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5CFBE91F">
      <w:pPr>
        <w:bidi w:val="0"/>
        <w:rPr>
          <w:rFonts w:hint="eastAsia"/>
          <w:color w:val="auto"/>
          <w:highlight w:val="none"/>
          <w:lang w:eastAsia="zh-CN"/>
        </w:rPr>
      </w:pPr>
      <w:r>
        <w:rPr>
          <w:rFonts w:hint="eastAsia"/>
          <w:color w:val="auto"/>
          <w:highlight w:val="none"/>
          <w:lang w:eastAsia="zh-CN"/>
        </w:rPr>
        <w:t>①遵守相关法律法规和相关管理规定；</w:t>
      </w:r>
    </w:p>
    <w:p w14:paraId="0FDF681F">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未经</w:t>
      </w:r>
      <w:r>
        <w:rPr>
          <w:rFonts w:hint="eastAsia"/>
          <w:color w:val="auto"/>
          <w:highlight w:val="none"/>
          <w:lang w:eastAsia="zh-CN"/>
        </w:rPr>
        <w:t>调整及支出调整手续完备；</w:t>
      </w:r>
    </w:p>
    <w:p w14:paraId="4BC8446A">
      <w:pPr>
        <w:bidi w:val="0"/>
        <w:rPr>
          <w:rFonts w:hint="eastAsia"/>
          <w:color w:val="auto"/>
          <w:highlight w:val="none"/>
          <w:lang w:eastAsia="zh-CN"/>
        </w:rPr>
      </w:pPr>
      <w:r>
        <w:rPr>
          <w:rFonts w:hint="eastAsia"/>
          <w:color w:val="auto"/>
          <w:highlight w:val="none"/>
          <w:lang w:eastAsia="zh-CN"/>
        </w:rPr>
        <w:t>③项目</w:t>
      </w:r>
      <w:r>
        <w:rPr>
          <w:rFonts w:hint="eastAsia"/>
          <w:color w:val="auto"/>
          <w:highlight w:val="none"/>
          <w:lang w:val="en-US" w:eastAsia="zh-CN"/>
        </w:rPr>
        <w:t>政采云</w:t>
      </w:r>
      <w:r>
        <w:rPr>
          <w:rFonts w:hint="eastAsia"/>
          <w:color w:val="auto"/>
          <w:highlight w:val="none"/>
          <w:lang w:eastAsia="zh-CN"/>
        </w:rPr>
        <w:t>合同、验收</w:t>
      </w:r>
      <w:r>
        <w:rPr>
          <w:rFonts w:hint="eastAsia"/>
          <w:color w:val="auto"/>
          <w:highlight w:val="none"/>
          <w:lang w:val="en-US" w:eastAsia="zh-CN"/>
        </w:rPr>
        <w:t>单</w:t>
      </w:r>
      <w:r>
        <w:rPr>
          <w:rFonts w:hint="eastAsia"/>
          <w:color w:val="auto"/>
          <w:highlight w:val="none"/>
          <w:lang w:eastAsia="zh-CN"/>
        </w:rPr>
        <w:t>、</w:t>
      </w:r>
      <w:r>
        <w:rPr>
          <w:rFonts w:hint="eastAsia"/>
          <w:color w:val="auto"/>
          <w:highlight w:val="none"/>
          <w:lang w:val="en-US" w:eastAsia="zh-CN"/>
        </w:rPr>
        <w:t>版面制作、租车支付凭据</w:t>
      </w:r>
      <w:r>
        <w:rPr>
          <w:rFonts w:hint="eastAsia"/>
          <w:color w:val="auto"/>
          <w:highlight w:val="none"/>
          <w:lang w:eastAsia="zh-CN"/>
        </w:rPr>
        <w:t>等资料齐全并及时归档；</w:t>
      </w:r>
    </w:p>
    <w:p w14:paraId="03976C2F">
      <w:pPr>
        <w:bidi w:val="0"/>
        <w:rPr>
          <w:rFonts w:hint="eastAsia"/>
          <w:color w:val="auto"/>
          <w:highlight w:val="none"/>
          <w:lang w:eastAsia="zh-CN"/>
        </w:rPr>
      </w:pPr>
      <w:r>
        <w:rPr>
          <w:rFonts w:hint="eastAsia"/>
          <w:color w:val="auto"/>
          <w:highlight w:val="none"/>
          <w:lang w:eastAsia="zh-CN"/>
        </w:rPr>
        <w:t>④项目实施中所需的人大代表之家专项工作小组以及个人分工、活动场地、积分兑换超市、建档立卡信息化系统等落实到位。</w:t>
      </w:r>
    </w:p>
    <w:p w14:paraId="0FFAA11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D5D5995">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163717B">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29.6</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F4CA8A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7009C0D">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EF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80F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C0C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A05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BF8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F9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536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6952E3C7">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62D77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7D6EC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9C4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建造人大代表之家个数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153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DD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FF8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0ABE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B1C829E">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D6A84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FFEA9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2A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学习观摩租车次数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D06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D79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4AB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FA6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197A998">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BC900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235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4BA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代表之家版面制作个数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D0B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496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E5A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r>
              <w:rPr>
                <w:rFonts w:hint="eastAsia" w:ascii="宋体" w:hAnsi="宋体" w:eastAsia="宋体" w:cs="宋体"/>
                <w:color w:val="auto"/>
                <w:kern w:val="0"/>
                <w:sz w:val="20"/>
                <w:szCs w:val="20"/>
                <w:highlight w:val="none"/>
                <w:shd w:val="clear" w:color="auto" w:fill="auto"/>
                <w:lang w:val="en-US" w:eastAsia="zh-CN"/>
              </w:rPr>
              <w:t>5个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990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1DB055A">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649A5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1F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D07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代表之家版面达标率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121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57A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E2E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3729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797C888">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DBC63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BE5D3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61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代表之家资金拨付及时率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1A2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A4F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FDB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80</w:t>
            </w:r>
            <w:r>
              <w:rPr>
                <w:rFonts w:hint="eastAsia" w:ascii="宋体" w:hAnsi="宋体" w:eastAsia="宋体" w:cs="宋体"/>
                <w:color w:val="auto"/>
                <w:kern w:val="0"/>
                <w:sz w:val="20"/>
                <w:szCs w:val="20"/>
                <w:highlight w:val="none"/>
                <w:shd w:val="clear" w:color="auto" w:fill="auto"/>
                <w:lang w:val="en-US" w:eastAsia="zh-CN"/>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428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5ECFF88E">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4BFC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56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E58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上半年代表之家资金拨付时间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5B9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年3月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3C1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411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35A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48DB561">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92667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FC2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152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代表之家拨付标准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EC9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≤2万元/个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EBE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F08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r>
              <w:rPr>
                <w:rFonts w:hint="eastAsia" w:ascii="宋体" w:hAnsi="宋体" w:eastAsia="宋体" w:cs="宋体"/>
                <w:color w:val="auto"/>
                <w:kern w:val="0"/>
                <w:sz w:val="20"/>
                <w:szCs w:val="20"/>
                <w:highlight w:val="none"/>
                <w:shd w:val="clear" w:color="auto" w:fill="auto"/>
                <w:lang w:val="en-US" w:eastAsia="zh-CN"/>
              </w:rPr>
              <w:t>2万元/个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788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0536A12">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5E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64A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070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CBC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29.6</w:t>
            </w:r>
          </w:p>
        </w:tc>
      </w:tr>
    </w:tbl>
    <w:p w14:paraId="2AA48CCA">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395EFDD5">
      <w:pPr>
        <w:bidi w:val="0"/>
        <w:rPr>
          <w:rFonts w:hint="eastAsia"/>
          <w:color w:val="auto"/>
          <w:highlight w:val="none"/>
          <w:lang w:val="en-US" w:eastAsia="zh-CN"/>
        </w:rPr>
      </w:pPr>
      <w:r>
        <w:rPr>
          <w:rFonts w:hint="eastAsia"/>
          <w:color w:val="auto"/>
          <w:highlight w:val="none"/>
          <w:lang w:val="en-US" w:eastAsia="zh-CN"/>
        </w:rPr>
        <w:t>“建造人大代表之家个数”指标，预期目标值为=5个，实际完成为=5个。实际完成率=（5个/5个）×100%=100%。</w:t>
      </w:r>
    </w:p>
    <w:p w14:paraId="56A6F515">
      <w:pPr>
        <w:bidi w:val="0"/>
        <w:rPr>
          <w:rFonts w:hint="eastAsia"/>
          <w:color w:val="auto"/>
          <w:highlight w:val="none"/>
          <w:lang w:val="en-US" w:eastAsia="zh-CN"/>
        </w:rPr>
      </w:pPr>
      <w:r>
        <w:rPr>
          <w:rFonts w:hint="eastAsia"/>
          <w:color w:val="auto"/>
          <w:highlight w:val="none"/>
          <w:lang w:val="en-US" w:eastAsia="zh-CN"/>
        </w:rPr>
        <w:t>“学习观摩租车次数”指标，预期目标值为≥2次，实际完成为=2次。实际完成率=（2次/2次）×100%=100%。</w:t>
      </w:r>
    </w:p>
    <w:p w14:paraId="54336322">
      <w:pPr>
        <w:bidi w:val="0"/>
        <w:rPr>
          <w:rFonts w:hint="eastAsia"/>
          <w:color w:val="auto"/>
          <w:highlight w:val="none"/>
          <w:lang w:val="en-US" w:eastAsia="zh-CN"/>
        </w:rPr>
      </w:pPr>
      <w:r>
        <w:rPr>
          <w:rFonts w:hint="eastAsia"/>
          <w:color w:val="auto"/>
          <w:highlight w:val="none"/>
          <w:lang w:val="en-US" w:eastAsia="zh-CN"/>
        </w:rPr>
        <w:t>“代表之家版面制作个数”指标，预期目标值为≥5个，实际完成为=5个。实际完成率=（5个/5个）×100%=100%。</w:t>
      </w:r>
    </w:p>
    <w:p w14:paraId="33062538">
      <w:pPr>
        <w:bidi w:val="0"/>
        <w:rPr>
          <w:rFonts w:hint="eastAsia"/>
          <w:color w:val="auto"/>
          <w:highlight w:val="none"/>
          <w:lang w:eastAsia="zh-CN"/>
        </w:rPr>
      </w:pPr>
      <w:r>
        <w:rPr>
          <w:rFonts w:hint="eastAsia"/>
          <w:b/>
          <w:bCs/>
          <w:color w:val="auto"/>
          <w:highlight w:val="none"/>
          <w:lang w:val="en-US" w:eastAsia="zh-CN"/>
        </w:rPr>
        <w:t>综上，该项指标满分15分，得分15分。</w:t>
      </w:r>
    </w:p>
    <w:p w14:paraId="20453F83">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50C8F055">
      <w:pPr>
        <w:bidi w:val="0"/>
        <w:rPr>
          <w:rFonts w:hint="eastAsia"/>
          <w:color w:val="auto"/>
          <w:highlight w:val="none"/>
          <w:lang w:val="en-US" w:eastAsia="zh-CN"/>
        </w:rPr>
      </w:pPr>
      <w:r>
        <w:rPr>
          <w:rFonts w:hint="eastAsia"/>
          <w:color w:val="auto"/>
          <w:highlight w:val="none"/>
          <w:lang w:val="en-US" w:eastAsia="zh-CN"/>
        </w:rPr>
        <w:t>“代表之家版面达标率”指标，预期目标值为=100%，实际完成为=100%。</w:t>
      </w:r>
    </w:p>
    <w:p w14:paraId="1DC8D58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1D69D10">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37133723">
      <w:pPr>
        <w:bidi w:val="0"/>
        <w:rPr>
          <w:rFonts w:hint="eastAsia"/>
          <w:color w:val="auto"/>
          <w:highlight w:val="none"/>
          <w:lang w:val="en-US" w:eastAsia="zh-CN"/>
        </w:rPr>
      </w:pPr>
      <w:r>
        <w:rPr>
          <w:rFonts w:hint="eastAsia"/>
          <w:color w:val="auto"/>
          <w:highlight w:val="none"/>
          <w:lang w:val="en-US" w:eastAsia="zh-CN"/>
        </w:rPr>
        <w:t>“代表之家资金拨付及时率”指标，预期目标值为=100%，实际完成为80%。原因为：2023年资金到位4万元，剩余1万元由于财政资金紧张，未拨付。</w:t>
      </w:r>
    </w:p>
    <w:p w14:paraId="615966E3">
      <w:pPr>
        <w:bidi w:val="0"/>
        <w:rPr>
          <w:rFonts w:hint="eastAsia"/>
          <w:color w:val="auto"/>
          <w:highlight w:val="none"/>
          <w:lang w:val="en-US" w:eastAsia="zh-CN"/>
        </w:rPr>
      </w:pPr>
      <w:r>
        <w:rPr>
          <w:rFonts w:hint="eastAsia"/>
          <w:color w:val="auto"/>
          <w:highlight w:val="none"/>
          <w:lang w:val="en-US" w:eastAsia="zh-CN"/>
        </w:rPr>
        <w:t>“上半年代表之家资金拨付时间”指标，预期目标值为2023年3月，实际完成为2023年12月。</w:t>
      </w:r>
    </w:p>
    <w:p w14:paraId="34CAE819">
      <w:pPr>
        <w:bidi w:val="0"/>
        <w:rPr>
          <w:rFonts w:hint="eastAsia"/>
          <w:color w:val="auto"/>
          <w:highlight w:val="none"/>
          <w:lang w:eastAsia="zh-CN"/>
        </w:rPr>
      </w:pPr>
      <w:r>
        <w:rPr>
          <w:rFonts w:hint="eastAsia"/>
          <w:b/>
          <w:bCs/>
          <w:color w:val="auto"/>
          <w:highlight w:val="none"/>
          <w:lang w:val="en-US" w:eastAsia="zh-CN"/>
        </w:rPr>
        <w:t>综上，该项指标满分5分，得分4.6分。</w:t>
      </w:r>
    </w:p>
    <w:p w14:paraId="1F36FEC0">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41114617">
      <w:pPr>
        <w:bidi w:val="0"/>
        <w:rPr>
          <w:rFonts w:hint="eastAsia"/>
          <w:color w:val="auto"/>
          <w:highlight w:val="none"/>
          <w:lang w:val="en-US" w:eastAsia="zh-CN"/>
        </w:rPr>
      </w:pPr>
      <w:r>
        <w:rPr>
          <w:rFonts w:hint="eastAsia"/>
          <w:color w:val="auto"/>
          <w:highlight w:val="none"/>
          <w:lang w:val="en-US" w:eastAsia="zh-CN"/>
        </w:rPr>
        <w:t>“代表之家拨付标准”指标，预期目标值为≤2万元/个，实际完成为=2万元/个。实际完成率=（2万元/个/2万元/个）×100%=100%。</w:t>
      </w:r>
    </w:p>
    <w:p w14:paraId="4BC234C9">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38A9E92">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596E68F8">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1</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BFC1AA3">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3883E7D5">
        <w:tblPrEx>
          <w:shd w:val="clear" w:color="auto" w:fill="auto"/>
          <w:tblCellMar>
            <w:top w:w="0" w:type="dxa"/>
            <w:left w:w="0" w:type="dxa"/>
            <w:bottom w:w="0" w:type="dxa"/>
            <w:right w:w="0" w:type="dxa"/>
          </w:tblCellMar>
        </w:tblPrEx>
        <w:trPr>
          <w:trHeight w:val="535"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51C09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66F9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9DB46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7A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D0C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E4CAA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235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BE764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F37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30CA26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6B5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EC868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8DAD245">
        <w:tblPrEx>
          <w:tblCellMar>
            <w:top w:w="0" w:type="dxa"/>
            <w:left w:w="0" w:type="dxa"/>
            <w:bottom w:w="0" w:type="dxa"/>
            <w:right w:w="0" w:type="dxa"/>
          </w:tblCellMar>
        </w:tblPrEx>
        <w:trPr>
          <w:trHeight w:val="90"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74378C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F5F29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4A47D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代表之家补助，充分体现党和政府对人大代表的关心和关怀</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0C9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7F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7E2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07EA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683ED608">
        <w:tblPrEx>
          <w:tblCellMar>
            <w:top w:w="0" w:type="dxa"/>
            <w:left w:w="0" w:type="dxa"/>
            <w:bottom w:w="0" w:type="dxa"/>
            <w:right w:w="0" w:type="dxa"/>
          </w:tblCellMar>
        </w:tblPrEx>
        <w:trPr>
          <w:trHeight w:val="90"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A05B7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A4F94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A3CA6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人大代表满意度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C663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B6C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51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770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0A80810D">
        <w:tblPrEx>
          <w:tblCellMar>
            <w:top w:w="0" w:type="dxa"/>
            <w:left w:w="0" w:type="dxa"/>
            <w:bottom w:w="0" w:type="dxa"/>
            <w:right w:w="0" w:type="dxa"/>
          </w:tblCellMar>
        </w:tblPrEx>
        <w:trPr>
          <w:trHeight w:val="366"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5F4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DAD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15A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FC2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B14199A">
      <w:pPr>
        <w:bidi w:val="0"/>
        <w:rPr>
          <w:rFonts w:hint="eastAsia"/>
          <w:b/>
          <w:bCs/>
          <w:color w:val="auto"/>
          <w:highlight w:val="none"/>
          <w:lang w:val="en-US" w:eastAsia="zh-CN"/>
        </w:rPr>
      </w:pPr>
      <w:bookmarkStart w:id="75" w:name="_Toc8010"/>
      <w:r>
        <w:rPr>
          <w:rFonts w:hint="eastAsia"/>
          <w:b/>
          <w:bCs/>
          <w:color w:val="auto"/>
          <w:highlight w:val="none"/>
          <w:lang w:val="en-US" w:eastAsia="zh-CN"/>
        </w:rPr>
        <w:t>1.</w:t>
      </w:r>
      <w:bookmarkEnd w:id="75"/>
      <w:bookmarkStart w:id="76" w:name="_Toc27006"/>
      <w:r>
        <w:rPr>
          <w:rFonts w:hint="eastAsia"/>
          <w:b/>
          <w:bCs/>
          <w:color w:val="auto"/>
          <w:highlight w:val="none"/>
          <w:lang w:val="en-US" w:eastAsia="zh-CN"/>
        </w:rPr>
        <w:t>社会效益指标</w:t>
      </w:r>
      <w:bookmarkEnd w:id="76"/>
    </w:p>
    <w:p w14:paraId="50FE77DC">
      <w:pPr>
        <w:bidi w:val="0"/>
        <w:rPr>
          <w:rFonts w:hint="eastAsia"/>
          <w:color w:val="auto"/>
          <w:highlight w:val="none"/>
          <w:lang w:val="en-US" w:eastAsia="zh-CN"/>
        </w:rPr>
      </w:pPr>
      <w:bookmarkStart w:id="77" w:name="_Toc19962"/>
      <w:r>
        <w:rPr>
          <w:rFonts w:hint="eastAsia"/>
          <w:color w:val="auto"/>
          <w:highlight w:val="none"/>
          <w:lang w:eastAsia="zh-CN"/>
        </w:rPr>
        <w:t>“</w:t>
      </w:r>
      <w:r>
        <w:rPr>
          <w:rFonts w:hint="eastAsia"/>
          <w:color w:val="auto"/>
          <w:highlight w:val="none"/>
          <w:lang w:val="en-US" w:eastAsia="zh-CN"/>
        </w:rPr>
        <w:t>代表之家补助，充分体现党和政府对人大代表的关心和关怀</w:t>
      </w:r>
      <w:r>
        <w:rPr>
          <w:rFonts w:hint="eastAsia"/>
          <w:color w:val="auto"/>
          <w:highlight w:val="none"/>
          <w:lang w:eastAsia="zh-CN"/>
        </w:rPr>
        <w:t>”</w:t>
      </w:r>
      <w:r>
        <w:rPr>
          <w:rFonts w:hint="eastAsia"/>
          <w:color w:val="auto"/>
          <w:highlight w:val="none"/>
          <w:lang w:val="en-US" w:eastAsia="zh-CN"/>
        </w:rPr>
        <w:t>指标，预期目标值为长期，实际完成为100%。</w:t>
      </w:r>
    </w:p>
    <w:p w14:paraId="1E752EB9">
      <w:pPr>
        <w:bidi w:val="0"/>
        <w:rPr>
          <w:rFonts w:hint="eastAsia"/>
          <w:color w:val="auto"/>
          <w:highlight w:val="none"/>
          <w:lang w:val="en-US" w:eastAsia="zh-CN"/>
        </w:rPr>
      </w:pPr>
      <w:r>
        <w:rPr>
          <w:rFonts w:hint="eastAsia"/>
          <w:color w:val="auto"/>
          <w:highlight w:val="none"/>
          <w:lang w:val="en-US" w:eastAsia="zh-CN"/>
        </w:rPr>
        <w:t>通过项目实施保障了代表之家的正常运转，同时充分体现党和政府对人大代表的关心和关怀。</w:t>
      </w:r>
    </w:p>
    <w:p w14:paraId="5CD30664">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人大代表满意度</w:t>
      </w:r>
      <w:r>
        <w:rPr>
          <w:rFonts w:hint="eastAsia"/>
          <w:color w:val="auto"/>
          <w:highlight w:val="none"/>
          <w:lang w:eastAsia="zh-CN"/>
        </w:rPr>
        <w:t>”</w:t>
      </w:r>
      <w:r>
        <w:rPr>
          <w:rFonts w:hint="eastAsia"/>
          <w:color w:val="auto"/>
          <w:highlight w:val="none"/>
          <w:lang w:val="en-US" w:eastAsia="zh-CN"/>
        </w:rPr>
        <w:t>指标，预期目标值为持续，实际完成为100%。</w:t>
      </w:r>
    </w:p>
    <w:p w14:paraId="7BA9B29F">
      <w:pPr>
        <w:bidi w:val="0"/>
        <w:rPr>
          <w:rFonts w:hint="eastAsia"/>
          <w:color w:val="auto"/>
          <w:highlight w:val="none"/>
          <w:lang w:val="en-US" w:eastAsia="zh-CN"/>
        </w:rPr>
      </w:pPr>
      <w:r>
        <w:rPr>
          <w:rFonts w:hint="eastAsia"/>
          <w:b/>
          <w:bCs/>
          <w:color w:val="auto"/>
          <w:highlight w:val="none"/>
          <w:lang w:val="en-US" w:eastAsia="zh-CN"/>
        </w:rPr>
        <w:t>综上，该项指标满分30分，得分30分。</w:t>
      </w:r>
    </w:p>
    <w:p w14:paraId="1DECB3B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7"/>
    </w:p>
    <w:p w14:paraId="09AE76DB">
      <w:pPr>
        <w:pStyle w:val="5"/>
        <w:numPr>
          <w:ilvl w:val="0"/>
          <w:numId w:val="0"/>
        </w:numPr>
        <w:ind w:firstLine="560" w:firstLineChars="200"/>
        <w:rPr>
          <w:rFonts w:hint="eastAsia"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该项目预算资金总额为5万元，全年执行数为4万元，预算执行率为80%，总体完成率为95</w:t>
      </w:r>
      <w:r>
        <w:rPr>
          <w:rFonts w:hint="eastAsia" w:ascii="宋体" w:hAnsi="宋体" w:eastAsia="宋体" w:cs="仿宋_GB2312"/>
          <w:color w:val="auto"/>
          <w:kern w:val="2"/>
          <w:sz w:val="28"/>
          <w:szCs w:val="28"/>
          <w:highlight w:val="none"/>
          <w:lang w:val="zh-TW" w:eastAsia="zh-TW" w:bidi="ar-SA"/>
        </w:rPr>
        <w:t>%</w:t>
      </w:r>
      <w:r>
        <w:rPr>
          <w:rFonts w:hint="eastAsia" w:ascii="宋体" w:hAnsi="宋体" w:eastAsia="宋体" w:cs="仿宋_GB2312"/>
          <w:color w:val="auto"/>
          <w:kern w:val="2"/>
          <w:sz w:val="28"/>
          <w:szCs w:val="28"/>
          <w:highlight w:val="none"/>
          <w:lang w:val="en-US" w:eastAsia="zh-CN" w:bidi="ar-SA"/>
        </w:rPr>
        <w:t>。预算执行率与总体完成率之间的偏差为</w:t>
      </w:r>
      <w:r>
        <w:rPr>
          <w:rFonts w:hint="eastAsia" w:cs="仿宋_GB2312"/>
          <w:color w:val="auto"/>
          <w:kern w:val="2"/>
          <w:sz w:val="28"/>
          <w:szCs w:val="28"/>
          <w:highlight w:val="none"/>
          <w:lang w:val="en-US" w:eastAsia="zh-CN" w:bidi="ar-SA"/>
        </w:rPr>
        <w:t>1</w:t>
      </w:r>
      <w:r>
        <w:rPr>
          <w:rFonts w:hint="eastAsia" w:ascii="宋体" w:hAnsi="宋体" w:eastAsia="宋体" w:cs="仿宋_GB2312"/>
          <w:color w:val="auto"/>
          <w:kern w:val="2"/>
          <w:sz w:val="28"/>
          <w:szCs w:val="28"/>
          <w:highlight w:val="none"/>
          <w:lang w:val="en-US" w:eastAsia="zh-CN" w:bidi="ar-SA"/>
        </w:rPr>
        <w:t>5%，总体完成率低</w:t>
      </w:r>
      <w:r>
        <w:rPr>
          <w:rFonts w:hint="eastAsia" w:cs="仿宋_GB2312"/>
          <w:color w:val="auto"/>
          <w:kern w:val="2"/>
          <w:sz w:val="28"/>
          <w:szCs w:val="28"/>
          <w:highlight w:val="none"/>
          <w:lang w:val="en-US" w:eastAsia="zh-CN" w:bidi="ar-SA"/>
        </w:rPr>
        <w:t>。</w:t>
      </w:r>
    </w:p>
    <w:p w14:paraId="6981B290">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p>
    <w:p w14:paraId="16474F31">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2023年资金到位4万元，剩余1万元由于财政资金紧张，未拨付。</w:t>
      </w:r>
    </w:p>
    <w:p w14:paraId="7B5CB98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14:paraId="3028CAB6">
      <w:pPr>
        <w:numPr>
          <w:ilvl w:val="0"/>
          <w:numId w:val="0"/>
        </w:numPr>
        <w:bidi w:val="0"/>
        <w:ind w:left="560" w:leftChars="0"/>
        <w:outlineLvl w:val="1"/>
        <w:rPr>
          <w:rFonts w:hint="eastAsia"/>
          <w:b/>
          <w:bCs/>
          <w:color w:val="auto"/>
          <w:highlight w:val="none"/>
          <w:lang w:eastAsia="zh-CN"/>
        </w:rPr>
      </w:pPr>
      <w:bookmarkStart w:id="79" w:name="_Toc13160"/>
      <w:bookmarkStart w:id="80" w:name="_Toc28290"/>
      <w:bookmarkStart w:id="81"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9"/>
    </w:p>
    <w:p w14:paraId="776EACE2">
      <w:pPr>
        <w:bidi w:val="0"/>
        <w:rPr>
          <w:rFonts w:hint="eastAsia"/>
          <w:color w:val="auto"/>
          <w:highlight w:val="none"/>
          <w:lang w:eastAsia="zh-CN"/>
        </w:rPr>
      </w:pPr>
      <w:r>
        <w:rPr>
          <w:rFonts w:hint="eastAsia"/>
          <w:color w:val="auto"/>
          <w:highlight w:val="none"/>
          <w:lang w:val="en-US" w:eastAsia="zh-CN"/>
        </w:rPr>
        <w:t>代表之家项目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5</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4</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80</w:t>
      </w:r>
      <w:r>
        <w:rPr>
          <w:rFonts w:hint="eastAsia"/>
          <w:color w:val="auto"/>
          <w:highlight w:val="none"/>
          <w:lang w:eastAsia="zh-CN"/>
        </w:rPr>
        <w:t>%。</w:t>
      </w:r>
    </w:p>
    <w:p w14:paraId="19621736">
      <w:pPr>
        <w:bidi w:val="0"/>
        <w:rPr>
          <w:rFonts w:hint="eastAsia"/>
          <w:color w:val="auto"/>
          <w:highlight w:val="none"/>
          <w:lang w:eastAsia="zh-CN"/>
        </w:rPr>
      </w:pPr>
      <w:r>
        <w:rPr>
          <w:rFonts w:hint="eastAsia"/>
          <w:color w:val="auto"/>
          <w:highlight w:val="none"/>
          <w:lang w:val="en-US" w:eastAsia="zh-CN"/>
        </w:rPr>
        <w:t>阜康市水磨沟乡人民政府</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阜康市水磨沟乡人民政府</w:t>
      </w:r>
      <w:r>
        <w:rPr>
          <w:rFonts w:hint="eastAsia"/>
          <w:color w:val="auto"/>
          <w:highlight w:val="none"/>
          <w:lang w:eastAsia="zh-CN"/>
        </w:rPr>
        <w:t>事业发展中关系民生与稳定的项目，切实优化资源配置，提高了资金使用的效率和效果。</w:t>
      </w:r>
    </w:p>
    <w:bookmarkEnd w:id="80"/>
    <w:bookmarkEnd w:id="81"/>
    <w:p w14:paraId="3DCE0E0E">
      <w:pPr>
        <w:bidi w:val="0"/>
        <w:outlineLvl w:val="1"/>
        <w:rPr>
          <w:rFonts w:hint="eastAsia"/>
          <w:b/>
          <w:bCs/>
          <w:color w:val="auto"/>
          <w:highlight w:val="none"/>
          <w:lang w:eastAsia="zh-CN"/>
        </w:rPr>
      </w:pPr>
      <w:bookmarkStart w:id="82"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2"/>
    </w:p>
    <w:p w14:paraId="091DDDE8">
      <w:pPr>
        <w:bidi w:val="0"/>
        <w:rPr>
          <w:rFonts w:hint="eastAsia"/>
          <w:b w:val="0"/>
          <w:bCs w:val="0"/>
          <w:color w:val="auto"/>
          <w:highlight w:val="none"/>
          <w:shd w:val="clear" w:color="auto" w:fill="auto"/>
          <w:lang w:val="en-US" w:eastAsia="zh-CN"/>
        </w:rPr>
      </w:pPr>
      <w:bookmarkStart w:id="83" w:name="_Toc5230"/>
      <w:r>
        <w:rPr>
          <w:rFonts w:hint="eastAsia"/>
          <w:b w:val="0"/>
          <w:bCs w:val="0"/>
          <w:color w:val="auto"/>
          <w:highlight w:val="none"/>
          <w:shd w:val="clear" w:color="auto" w:fill="auto"/>
          <w:lang w:val="en-US" w:eastAsia="zh-CN"/>
        </w:rPr>
        <w:t>1、“人大代表之家”需要长期开展活动，人大经费不足制约了活动开展，资金支付力度有待进一步加强。</w:t>
      </w:r>
    </w:p>
    <w:p w14:paraId="1073F4A7">
      <w:pPr>
        <w:bidi w:val="0"/>
        <w:rPr>
          <w:rFonts w:hint="eastAsia"/>
          <w:color w:val="auto"/>
          <w:highlight w:val="none"/>
          <w:lang w:eastAsia="zh-CN"/>
        </w:rPr>
      </w:pPr>
      <w:r>
        <w:rPr>
          <w:rFonts w:hint="eastAsia"/>
          <w:b w:val="0"/>
          <w:bCs w:val="0"/>
          <w:color w:val="auto"/>
          <w:highlight w:val="none"/>
          <w:shd w:val="clear" w:color="auto" w:fill="auto"/>
          <w:lang w:val="en-US" w:eastAsia="zh-CN"/>
        </w:rPr>
        <w:t>2、相关人员对于代表之家项目认识不够，</w:t>
      </w:r>
      <w:r>
        <w:rPr>
          <w:rFonts w:hint="eastAsia"/>
          <w:color w:val="auto"/>
          <w:highlight w:val="none"/>
          <w:lang w:eastAsia="zh-CN"/>
        </w:rPr>
        <w:t>事前缺少风险评估和绩效评估。</w:t>
      </w:r>
    </w:p>
    <w:p w14:paraId="086D8C88">
      <w:pPr>
        <w:bidi w:val="0"/>
        <w:rPr>
          <w:rFonts w:hint="eastAsia" w:ascii="宋体" w:hAnsi="宋体" w:eastAsia="宋体" w:cs="宋体"/>
          <w:color w:val="auto"/>
          <w:kern w:val="2"/>
          <w:sz w:val="28"/>
          <w:szCs w:val="28"/>
          <w:highlight w:val="none"/>
          <w:lang w:val="en-US" w:eastAsia="zh-CN" w:bidi="ar-SA"/>
        </w:rPr>
      </w:pPr>
      <w:r>
        <w:rPr>
          <w:rFonts w:hint="eastAsia"/>
          <w:b w:val="0"/>
          <w:bCs w:val="0"/>
          <w:color w:val="auto"/>
          <w:highlight w:val="none"/>
          <w:shd w:val="clear" w:color="auto" w:fill="auto"/>
          <w:lang w:val="en-US" w:eastAsia="zh-CN"/>
        </w:rPr>
        <w:t>主要原因：财政资金紧张，对人大代表之家打造的资金扶持力度不够，影响“人大代表之家”的活动实效；代表之家主要用于打造版面和租车类支出，所以缺少对项目风险评估。</w:t>
      </w:r>
    </w:p>
    <w:p w14:paraId="2515757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3"/>
    </w:p>
    <w:p w14:paraId="3641588E">
      <w:pPr>
        <w:bidi w:val="0"/>
        <w:rPr>
          <w:rFonts w:hint="eastAsia"/>
          <w:b w:val="0"/>
          <w:bCs w:val="0"/>
          <w:color w:val="auto"/>
          <w:highlight w:val="none"/>
          <w:shd w:val="clear" w:color="auto" w:fill="auto"/>
          <w:lang w:val="en-US" w:eastAsia="zh-CN"/>
        </w:rPr>
      </w:pPr>
      <w:bookmarkStart w:id="84" w:name="_Toc15618"/>
      <w:r>
        <w:rPr>
          <w:rFonts w:hint="eastAsia"/>
          <w:b w:val="0"/>
          <w:bCs w:val="0"/>
          <w:color w:val="auto"/>
          <w:highlight w:val="none"/>
          <w:shd w:val="clear" w:color="auto" w:fill="auto"/>
          <w:lang w:val="en-US" w:eastAsia="zh-CN"/>
        </w:rPr>
        <w:t>（一）乡镇人大代表活动经费专款专用，积极向上争取资金，合理规定标准，按照实际活动次数给予支出，切实保障“人大代表之家”正常运转。</w:t>
      </w:r>
    </w:p>
    <w:p w14:paraId="585ED422">
      <w:pPr>
        <w:bidi w:val="0"/>
        <w:rPr>
          <w:rFonts w:hint="eastAsia" w:ascii="宋体" w:hAnsi="宋体" w:eastAsia="宋体" w:cs="宋体"/>
          <w:color w:val="auto"/>
          <w:highlight w:val="none"/>
          <w:lang w:eastAsia="zh-CN"/>
        </w:rPr>
      </w:pPr>
      <w:r>
        <w:rPr>
          <w:rFonts w:hint="eastAsia"/>
          <w:b w:val="0"/>
          <w:bCs w:val="0"/>
          <w:color w:val="auto"/>
          <w:highlight w:val="none"/>
          <w:shd w:val="clear" w:color="auto" w:fill="auto"/>
          <w:lang w:val="en-US" w:eastAsia="zh-CN"/>
        </w:rPr>
        <w:t>（二）提前对代表之家进行</w:t>
      </w:r>
      <w:r>
        <w:rPr>
          <w:rFonts w:hint="eastAsia"/>
          <w:color w:val="auto"/>
          <w:highlight w:val="none"/>
          <w:lang w:eastAsia="zh-CN"/>
        </w:rPr>
        <w:t>风险评估和绩效评估，研究讨论相关支出，有效的保障项目正常运转，充分发挥人大主体作用。</w:t>
      </w:r>
    </w:p>
    <w:p w14:paraId="4F2999D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4"/>
    </w:p>
    <w:p w14:paraId="6910316D">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6754303A">
      <w:pPr>
        <w:keepNext w:val="0"/>
        <w:keepLines w:val="0"/>
        <w:pageBreakBefore w:val="0"/>
        <w:widowControl w:val="0"/>
        <w:kinsoku/>
        <w:wordWrap/>
        <w:overflowPunct/>
        <w:topLinePunct w:val="0"/>
        <w:autoSpaceDE/>
        <w:autoSpaceDN/>
        <w:bidi w:val="0"/>
        <w:adjustRightInd w:val="0"/>
        <w:snapToGrid/>
        <w:spacing w:line="240" w:lineRule="exact"/>
        <w:ind w:left="0" w:leftChars="0" w:firstLine="0" w:firstLineChars="0"/>
        <w:textAlignment w:val="auto"/>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85" w:name="_Toc11349"/>
    </w:p>
    <w:p w14:paraId="306A2703">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r>
        <w:rPr>
          <w:rFonts w:hint="eastAsia" w:ascii="宋体" w:hAnsi="宋体" w:eastAsia="宋体" w:cs="宋体"/>
          <w:b/>
          <w:bCs/>
          <w:color w:val="auto"/>
          <w:highlight w:val="none"/>
          <w:shd w:val="clear" w:color="auto" w:fill="auto"/>
          <w:lang w:val="en-US" w:eastAsia="zh-CN"/>
        </w:rPr>
        <w:t>附件一、项目支出绩效自评表</w:t>
      </w:r>
      <w:bookmarkEnd w:id="85"/>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13"/>
        <w:gridCol w:w="913"/>
        <w:gridCol w:w="914"/>
        <w:gridCol w:w="914"/>
        <w:gridCol w:w="1190"/>
        <w:gridCol w:w="914"/>
        <w:gridCol w:w="1098"/>
        <w:gridCol w:w="1006"/>
        <w:gridCol w:w="914"/>
        <w:gridCol w:w="914"/>
        <w:gridCol w:w="1190"/>
        <w:gridCol w:w="1098"/>
        <w:gridCol w:w="1098"/>
        <w:gridCol w:w="1098"/>
      </w:tblGrid>
      <w:tr w14:paraId="5AE6D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CF71ACC">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E4AB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23B8BC48">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260C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38" w:type="dxa"/>
            <w:gridSpan w:val="2"/>
            <w:tcBorders>
              <w:top w:val="single" w:color="auto" w:sz="4" w:space="0"/>
            </w:tcBorders>
            <w:shd w:val="clear" w:color="auto" w:fill="auto"/>
            <w:vAlign w:val="center"/>
          </w:tcPr>
          <w:p w14:paraId="2D061A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36" w:type="dxa"/>
            <w:gridSpan w:val="12"/>
            <w:tcBorders>
              <w:top w:val="single" w:color="auto" w:sz="4" w:space="0"/>
            </w:tcBorders>
            <w:shd w:val="clear" w:color="auto" w:fill="auto"/>
            <w:vAlign w:val="center"/>
          </w:tcPr>
          <w:p w14:paraId="2D63DE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代表之家经费</w:t>
            </w:r>
          </w:p>
        </w:tc>
      </w:tr>
      <w:tr w14:paraId="5A2EA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38" w:type="dxa"/>
            <w:gridSpan w:val="2"/>
            <w:shd w:val="clear" w:color="auto" w:fill="auto"/>
            <w:vAlign w:val="center"/>
          </w:tcPr>
          <w:p w14:paraId="5F2E2F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33" w:type="dxa"/>
            <w:gridSpan w:val="5"/>
            <w:shd w:val="clear" w:color="auto" w:fill="auto"/>
            <w:vAlign w:val="center"/>
          </w:tcPr>
          <w:p w14:paraId="177E23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阜康市水磨沟乡人民政府</w:t>
            </w:r>
          </w:p>
        </w:tc>
        <w:tc>
          <w:tcPr>
            <w:tcW w:w="1663" w:type="dxa"/>
            <w:gridSpan w:val="2"/>
            <w:shd w:val="clear" w:color="auto" w:fill="auto"/>
            <w:vAlign w:val="center"/>
          </w:tcPr>
          <w:p w14:paraId="0D57F3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40" w:type="dxa"/>
            <w:gridSpan w:val="5"/>
            <w:shd w:val="clear" w:color="auto" w:fill="auto"/>
            <w:vAlign w:val="center"/>
          </w:tcPr>
          <w:p w14:paraId="1B5DFE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阜康市水磨沟乡人民政府</w:t>
            </w:r>
          </w:p>
        </w:tc>
      </w:tr>
      <w:tr w14:paraId="573C3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38" w:type="dxa"/>
            <w:gridSpan w:val="2"/>
            <w:vMerge w:val="restart"/>
            <w:shd w:val="clear" w:color="auto" w:fill="auto"/>
            <w:vAlign w:val="center"/>
          </w:tcPr>
          <w:p w14:paraId="488989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21" w:type="dxa"/>
            <w:gridSpan w:val="2"/>
            <w:shd w:val="clear" w:color="auto" w:fill="auto"/>
            <w:vAlign w:val="center"/>
          </w:tcPr>
          <w:p w14:paraId="512E9C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17" w:type="dxa"/>
            <w:shd w:val="clear" w:color="auto" w:fill="auto"/>
            <w:vAlign w:val="center"/>
          </w:tcPr>
          <w:p w14:paraId="59DE92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95" w:type="dxa"/>
            <w:gridSpan w:val="2"/>
            <w:shd w:val="clear" w:color="auto" w:fill="auto"/>
            <w:vAlign w:val="center"/>
          </w:tcPr>
          <w:p w14:paraId="709259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63" w:type="dxa"/>
            <w:gridSpan w:val="2"/>
            <w:shd w:val="clear" w:color="auto" w:fill="auto"/>
            <w:vAlign w:val="center"/>
          </w:tcPr>
          <w:p w14:paraId="06456D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10" w:type="dxa"/>
            <w:gridSpan w:val="2"/>
            <w:shd w:val="clear" w:color="auto" w:fill="auto"/>
            <w:vAlign w:val="center"/>
          </w:tcPr>
          <w:p w14:paraId="3E32B4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27" w:type="dxa"/>
            <w:gridSpan w:val="2"/>
            <w:shd w:val="clear" w:color="auto" w:fill="auto"/>
            <w:vAlign w:val="center"/>
          </w:tcPr>
          <w:p w14:paraId="783DAC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03" w:type="dxa"/>
            <w:shd w:val="clear" w:color="auto" w:fill="auto"/>
            <w:vAlign w:val="center"/>
          </w:tcPr>
          <w:p w14:paraId="29A609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E524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538" w:type="dxa"/>
            <w:gridSpan w:val="2"/>
            <w:vMerge w:val="continue"/>
            <w:shd w:val="clear" w:color="auto" w:fill="auto"/>
            <w:vAlign w:val="center"/>
          </w:tcPr>
          <w:p w14:paraId="33A24742">
            <w:pPr>
              <w:jc w:val="center"/>
              <w:rPr>
                <w:rFonts w:hint="eastAsia" w:ascii="宋体" w:hAnsi="宋体" w:eastAsia="宋体" w:cs="宋体"/>
                <w:i w:val="0"/>
                <w:iCs w:val="0"/>
                <w:color w:val="000000"/>
                <w:sz w:val="20"/>
                <w:szCs w:val="20"/>
                <w:u w:val="none"/>
              </w:rPr>
            </w:pPr>
          </w:p>
        </w:tc>
        <w:tc>
          <w:tcPr>
            <w:tcW w:w="2121" w:type="dxa"/>
            <w:gridSpan w:val="2"/>
            <w:shd w:val="clear" w:color="auto" w:fill="auto"/>
            <w:vAlign w:val="center"/>
          </w:tcPr>
          <w:p w14:paraId="47E859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17" w:type="dxa"/>
            <w:shd w:val="clear" w:color="auto" w:fill="auto"/>
            <w:vAlign w:val="center"/>
          </w:tcPr>
          <w:p w14:paraId="3A9BA3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95" w:type="dxa"/>
            <w:gridSpan w:val="2"/>
            <w:shd w:val="clear" w:color="auto" w:fill="auto"/>
            <w:vAlign w:val="center"/>
          </w:tcPr>
          <w:p w14:paraId="0900D3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663" w:type="dxa"/>
            <w:gridSpan w:val="2"/>
            <w:shd w:val="clear" w:color="auto" w:fill="auto"/>
            <w:vAlign w:val="center"/>
          </w:tcPr>
          <w:p w14:paraId="0224F2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210" w:type="dxa"/>
            <w:gridSpan w:val="2"/>
            <w:shd w:val="clear" w:color="auto" w:fill="auto"/>
            <w:vAlign w:val="center"/>
          </w:tcPr>
          <w:p w14:paraId="2DFE60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27" w:type="dxa"/>
            <w:gridSpan w:val="2"/>
            <w:shd w:val="clear" w:color="auto" w:fill="auto"/>
            <w:vAlign w:val="center"/>
          </w:tcPr>
          <w:p w14:paraId="515480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w:t>
            </w:r>
          </w:p>
        </w:tc>
        <w:tc>
          <w:tcPr>
            <w:tcW w:w="1703" w:type="dxa"/>
            <w:shd w:val="clear" w:color="auto" w:fill="auto"/>
            <w:vAlign w:val="center"/>
          </w:tcPr>
          <w:p w14:paraId="0C860C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08B4D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538" w:type="dxa"/>
            <w:gridSpan w:val="2"/>
            <w:vMerge w:val="continue"/>
            <w:shd w:val="clear" w:color="auto" w:fill="auto"/>
            <w:vAlign w:val="center"/>
          </w:tcPr>
          <w:p w14:paraId="1001EE77">
            <w:pPr>
              <w:jc w:val="center"/>
              <w:rPr>
                <w:rFonts w:hint="eastAsia" w:ascii="宋体" w:hAnsi="宋体" w:eastAsia="宋体" w:cs="宋体"/>
                <w:i w:val="0"/>
                <w:iCs w:val="0"/>
                <w:color w:val="000000"/>
                <w:sz w:val="20"/>
                <w:szCs w:val="20"/>
                <w:u w:val="none"/>
              </w:rPr>
            </w:pPr>
          </w:p>
        </w:tc>
        <w:tc>
          <w:tcPr>
            <w:tcW w:w="2121" w:type="dxa"/>
            <w:gridSpan w:val="2"/>
            <w:shd w:val="clear" w:color="auto" w:fill="auto"/>
            <w:vAlign w:val="center"/>
          </w:tcPr>
          <w:p w14:paraId="0D09DD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17" w:type="dxa"/>
            <w:shd w:val="clear" w:color="auto" w:fill="auto"/>
            <w:vAlign w:val="center"/>
          </w:tcPr>
          <w:p w14:paraId="034A22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995" w:type="dxa"/>
            <w:gridSpan w:val="2"/>
            <w:shd w:val="clear" w:color="auto" w:fill="auto"/>
            <w:vAlign w:val="center"/>
          </w:tcPr>
          <w:p w14:paraId="505B32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663" w:type="dxa"/>
            <w:gridSpan w:val="2"/>
            <w:shd w:val="clear" w:color="auto" w:fill="auto"/>
            <w:vAlign w:val="center"/>
          </w:tcPr>
          <w:p w14:paraId="6272D9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210" w:type="dxa"/>
            <w:gridSpan w:val="2"/>
            <w:shd w:val="clear" w:color="auto" w:fill="auto"/>
            <w:vAlign w:val="center"/>
          </w:tcPr>
          <w:p w14:paraId="4BC219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27" w:type="dxa"/>
            <w:gridSpan w:val="2"/>
            <w:shd w:val="clear" w:color="auto" w:fill="auto"/>
            <w:vAlign w:val="center"/>
          </w:tcPr>
          <w:p w14:paraId="1907E5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03" w:type="dxa"/>
            <w:shd w:val="clear" w:color="auto" w:fill="auto"/>
            <w:vAlign w:val="center"/>
          </w:tcPr>
          <w:p w14:paraId="3101F3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AC42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538" w:type="dxa"/>
            <w:gridSpan w:val="2"/>
            <w:vMerge w:val="continue"/>
            <w:shd w:val="clear" w:color="auto" w:fill="auto"/>
            <w:vAlign w:val="center"/>
          </w:tcPr>
          <w:p w14:paraId="7D51F607">
            <w:pPr>
              <w:jc w:val="center"/>
              <w:rPr>
                <w:rFonts w:hint="eastAsia" w:ascii="宋体" w:hAnsi="宋体" w:eastAsia="宋体" w:cs="宋体"/>
                <w:i w:val="0"/>
                <w:iCs w:val="0"/>
                <w:color w:val="000000"/>
                <w:sz w:val="20"/>
                <w:szCs w:val="20"/>
                <w:u w:val="none"/>
              </w:rPr>
            </w:pPr>
          </w:p>
        </w:tc>
        <w:tc>
          <w:tcPr>
            <w:tcW w:w="2121" w:type="dxa"/>
            <w:gridSpan w:val="2"/>
            <w:shd w:val="clear" w:color="auto" w:fill="auto"/>
            <w:vAlign w:val="center"/>
          </w:tcPr>
          <w:p w14:paraId="7B2403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17" w:type="dxa"/>
            <w:shd w:val="clear" w:color="auto" w:fill="auto"/>
            <w:vAlign w:val="center"/>
          </w:tcPr>
          <w:p w14:paraId="7CF600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5" w:type="dxa"/>
            <w:gridSpan w:val="2"/>
            <w:shd w:val="clear" w:color="auto" w:fill="auto"/>
            <w:vAlign w:val="center"/>
          </w:tcPr>
          <w:p w14:paraId="7D5F96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63" w:type="dxa"/>
            <w:gridSpan w:val="2"/>
            <w:shd w:val="clear" w:color="auto" w:fill="auto"/>
            <w:vAlign w:val="center"/>
          </w:tcPr>
          <w:p w14:paraId="18D6A8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10" w:type="dxa"/>
            <w:gridSpan w:val="2"/>
            <w:shd w:val="clear" w:color="auto" w:fill="auto"/>
            <w:vAlign w:val="center"/>
          </w:tcPr>
          <w:p w14:paraId="718DF6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27" w:type="dxa"/>
            <w:gridSpan w:val="2"/>
            <w:shd w:val="clear" w:color="auto" w:fill="auto"/>
            <w:vAlign w:val="center"/>
          </w:tcPr>
          <w:p w14:paraId="33A419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03" w:type="dxa"/>
            <w:shd w:val="clear" w:color="auto" w:fill="auto"/>
            <w:vAlign w:val="center"/>
          </w:tcPr>
          <w:p w14:paraId="5F76B9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8BE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769" w:type="dxa"/>
            <w:vMerge w:val="restart"/>
            <w:shd w:val="clear" w:color="auto" w:fill="auto"/>
            <w:vAlign w:val="center"/>
          </w:tcPr>
          <w:p w14:paraId="3DBFC9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65" w:type="dxa"/>
            <w:gridSpan w:val="8"/>
            <w:shd w:val="clear" w:color="auto" w:fill="auto"/>
            <w:vAlign w:val="center"/>
          </w:tcPr>
          <w:p w14:paraId="4F57EA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40" w:type="dxa"/>
            <w:gridSpan w:val="5"/>
            <w:shd w:val="clear" w:color="auto" w:fill="auto"/>
            <w:vAlign w:val="center"/>
          </w:tcPr>
          <w:p w14:paraId="19FCFC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764F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769" w:type="dxa"/>
            <w:vMerge w:val="continue"/>
            <w:shd w:val="clear" w:color="auto" w:fill="auto"/>
            <w:vAlign w:val="center"/>
          </w:tcPr>
          <w:p w14:paraId="79369C0A">
            <w:pPr>
              <w:jc w:val="center"/>
              <w:rPr>
                <w:rFonts w:hint="eastAsia" w:ascii="宋体" w:hAnsi="宋体" w:eastAsia="宋体" w:cs="宋体"/>
                <w:i w:val="0"/>
                <w:iCs w:val="0"/>
                <w:color w:val="000000"/>
                <w:sz w:val="20"/>
                <w:szCs w:val="20"/>
                <w:u w:val="none"/>
              </w:rPr>
            </w:pPr>
          </w:p>
        </w:tc>
        <w:tc>
          <w:tcPr>
            <w:tcW w:w="7565" w:type="dxa"/>
            <w:gridSpan w:val="8"/>
            <w:shd w:val="clear" w:color="auto" w:fill="auto"/>
            <w:vAlign w:val="center"/>
          </w:tcPr>
          <w:p w14:paraId="7FBB2F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为保障人代会闭会期间代表之家的活动，不断探索和推进人大代表工作，保障人大代表学习、参政有固定场所、有具体内容、有活动经费、促进代表活动的经常化、制度化、规范化，充分发挥人大代表主体作用。</w:t>
            </w:r>
          </w:p>
        </w:tc>
        <w:tc>
          <w:tcPr>
            <w:tcW w:w="5840" w:type="dxa"/>
            <w:gridSpan w:val="5"/>
            <w:shd w:val="clear" w:color="auto" w:fill="auto"/>
            <w:vAlign w:val="center"/>
          </w:tcPr>
          <w:p w14:paraId="14EB7C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建造人大代表之家个数5个，学习观摩租车次数1次，代表之家版面制作个数4个，代表之家版面达标率100%，代表之家资金拨付及时率100%，代表之家拨付标准1个代表之家2万元，充分体现党和政府对人大代表的关心和关怀。</w:t>
            </w:r>
          </w:p>
        </w:tc>
      </w:tr>
      <w:tr w14:paraId="024CF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69" w:type="dxa"/>
            <w:shd w:val="clear" w:color="auto" w:fill="auto"/>
            <w:vAlign w:val="center"/>
          </w:tcPr>
          <w:p w14:paraId="2F60F6B0">
            <w:pPr>
              <w:jc w:val="center"/>
              <w:rPr>
                <w:rFonts w:hint="eastAsia" w:ascii="宋体" w:hAnsi="宋体" w:eastAsia="宋体" w:cs="宋体"/>
                <w:i w:val="0"/>
                <w:iCs w:val="0"/>
                <w:color w:val="000000"/>
                <w:sz w:val="20"/>
                <w:szCs w:val="20"/>
                <w:u w:val="none"/>
              </w:rPr>
            </w:pPr>
          </w:p>
        </w:tc>
        <w:tc>
          <w:tcPr>
            <w:tcW w:w="769" w:type="dxa"/>
            <w:shd w:val="clear" w:color="auto" w:fill="auto"/>
            <w:vAlign w:val="center"/>
          </w:tcPr>
          <w:p w14:paraId="475946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99" w:type="dxa"/>
            <w:shd w:val="clear" w:color="auto" w:fill="auto"/>
            <w:vAlign w:val="center"/>
          </w:tcPr>
          <w:p w14:paraId="674581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22" w:type="dxa"/>
            <w:shd w:val="clear" w:color="auto" w:fill="auto"/>
            <w:vAlign w:val="center"/>
          </w:tcPr>
          <w:p w14:paraId="3B73B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17" w:type="dxa"/>
            <w:shd w:val="clear" w:color="auto" w:fill="auto"/>
            <w:vAlign w:val="center"/>
          </w:tcPr>
          <w:p w14:paraId="213A8F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10" w:type="dxa"/>
            <w:shd w:val="clear" w:color="auto" w:fill="auto"/>
            <w:vAlign w:val="center"/>
          </w:tcPr>
          <w:p w14:paraId="2AAC7C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85" w:type="dxa"/>
            <w:shd w:val="clear" w:color="auto" w:fill="auto"/>
            <w:vAlign w:val="center"/>
          </w:tcPr>
          <w:p w14:paraId="7D3CA8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82" w:type="dxa"/>
            <w:shd w:val="clear" w:color="auto" w:fill="auto"/>
            <w:vAlign w:val="center"/>
          </w:tcPr>
          <w:p w14:paraId="2F0654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81" w:type="dxa"/>
            <w:shd w:val="clear" w:color="auto" w:fill="auto"/>
            <w:vAlign w:val="center"/>
          </w:tcPr>
          <w:p w14:paraId="13F79A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223" w:type="dxa"/>
            <w:shd w:val="clear" w:color="auto" w:fill="auto"/>
            <w:vAlign w:val="center"/>
          </w:tcPr>
          <w:p w14:paraId="316D94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87" w:type="dxa"/>
            <w:shd w:val="clear" w:color="auto" w:fill="auto"/>
            <w:vAlign w:val="center"/>
          </w:tcPr>
          <w:p w14:paraId="086574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39" w:type="dxa"/>
            <w:shd w:val="clear" w:color="auto" w:fill="auto"/>
            <w:vAlign w:val="center"/>
          </w:tcPr>
          <w:p w14:paraId="52A6AF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88" w:type="dxa"/>
            <w:shd w:val="clear" w:color="auto" w:fill="auto"/>
            <w:vAlign w:val="center"/>
          </w:tcPr>
          <w:p w14:paraId="7ED581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03" w:type="dxa"/>
            <w:shd w:val="clear" w:color="auto" w:fill="auto"/>
            <w:vAlign w:val="center"/>
          </w:tcPr>
          <w:p w14:paraId="6912F2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8DC7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69" w:type="dxa"/>
            <w:vMerge w:val="restart"/>
            <w:shd w:val="clear" w:color="auto" w:fill="auto"/>
            <w:vAlign w:val="center"/>
          </w:tcPr>
          <w:p w14:paraId="43AEAD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69" w:type="dxa"/>
            <w:vMerge w:val="restart"/>
            <w:shd w:val="clear" w:color="auto" w:fill="auto"/>
            <w:vAlign w:val="center"/>
          </w:tcPr>
          <w:p w14:paraId="7D4B22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99" w:type="dxa"/>
            <w:vMerge w:val="restart"/>
            <w:shd w:val="clear" w:color="auto" w:fill="auto"/>
            <w:vAlign w:val="center"/>
          </w:tcPr>
          <w:p w14:paraId="3A2896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22" w:type="dxa"/>
            <w:shd w:val="clear" w:color="auto" w:fill="auto"/>
            <w:vAlign w:val="center"/>
          </w:tcPr>
          <w:p w14:paraId="28A8A6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建造人大代表之家个数</w:t>
            </w:r>
          </w:p>
        </w:tc>
        <w:tc>
          <w:tcPr>
            <w:tcW w:w="1017" w:type="dxa"/>
            <w:shd w:val="clear" w:color="auto" w:fill="auto"/>
            <w:vAlign w:val="center"/>
          </w:tcPr>
          <w:p w14:paraId="05C2C7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1010" w:type="dxa"/>
            <w:shd w:val="clear" w:color="auto" w:fill="auto"/>
            <w:vAlign w:val="center"/>
          </w:tcPr>
          <w:p w14:paraId="2F2E6E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985" w:type="dxa"/>
            <w:shd w:val="clear" w:color="auto" w:fill="auto"/>
            <w:vAlign w:val="center"/>
          </w:tcPr>
          <w:p w14:paraId="3C1267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782" w:type="dxa"/>
            <w:shd w:val="clear" w:color="auto" w:fill="auto"/>
            <w:vAlign w:val="center"/>
          </w:tcPr>
          <w:p w14:paraId="30983C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1" w:type="dxa"/>
            <w:shd w:val="clear" w:color="auto" w:fill="auto"/>
            <w:vAlign w:val="center"/>
          </w:tcPr>
          <w:p w14:paraId="21E064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3" w:type="dxa"/>
            <w:shd w:val="clear" w:color="auto" w:fill="auto"/>
            <w:vAlign w:val="center"/>
          </w:tcPr>
          <w:p w14:paraId="0351D2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7" w:type="dxa"/>
            <w:shd w:val="clear" w:color="auto" w:fill="auto"/>
            <w:vAlign w:val="center"/>
          </w:tcPr>
          <w:p w14:paraId="5A03B6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1039" w:type="dxa"/>
            <w:shd w:val="clear" w:color="auto" w:fill="auto"/>
            <w:vAlign w:val="center"/>
          </w:tcPr>
          <w:p w14:paraId="3F05CE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shd w:val="clear" w:color="auto" w:fill="auto"/>
            <w:vAlign w:val="center"/>
          </w:tcPr>
          <w:p w14:paraId="30C0DF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03" w:type="dxa"/>
            <w:shd w:val="clear" w:color="auto" w:fill="auto"/>
            <w:vAlign w:val="center"/>
          </w:tcPr>
          <w:p w14:paraId="33666EFD">
            <w:pPr>
              <w:jc w:val="center"/>
              <w:rPr>
                <w:rFonts w:hint="eastAsia" w:ascii="宋体" w:hAnsi="宋体" w:eastAsia="宋体" w:cs="宋体"/>
                <w:i w:val="0"/>
                <w:iCs w:val="0"/>
                <w:color w:val="000000"/>
                <w:sz w:val="20"/>
                <w:szCs w:val="20"/>
                <w:u w:val="none"/>
              </w:rPr>
            </w:pPr>
          </w:p>
        </w:tc>
      </w:tr>
      <w:tr w14:paraId="06AB0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769" w:type="dxa"/>
            <w:vMerge w:val="continue"/>
            <w:shd w:val="clear" w:color="auto" w:fill="auto"/>
            <w:vAlign w:val="center"/>
          </w:tcPr>
          <w:p w14:paraId="1ABF5D66">
            <w:pPr>
              <w:jc w:val="center"/>
              <w:rPr>
                <w:rFonts w:hint="eastAsia" w:ascii="宋体" w:hAnsi="宋体" w:eastAsia="宋体" w:cs="宋体"/>
                <w:i w:val="0"/>
                <w:iCs w:val="0"/>
                <w:color w:val="000000"/>
                <w:sz w:val="20"/>
                <w:szCs w:val="20"/>
                <w:u w:val="none"/>
              </w:rPr>
            </w:pPr>
          </w:p>
        </w:tc>
        <w:tc>
          <w:tcPr>
            <w:tcW w:w="769" w:type="dxa"/>
            <w:vMerge w:val="continue"/>
            <w:shd w:val="clear" w:color="auto" w:fill="auto"/>
            <w:vAlign w:val="center"/>
          </w:tcPr>
          <w:p w14:paraId="5D34505F">
            <w:pPr>
              <w:jc w:val="center"/>
              <w:rPr>
                <w:rFonts w:hint="eastAsia" w:ascii="宋体" w:hAnsi="宋体" w:eastAsia="宋体" w:cs="宋体"/>
                <w:i w:val="0"/>
                <w:iCs w:val="0"/>
                <w:color w:val="000000"/>
                <w:sz w:val="20"/>
                <w:szCs w:val="20"/>
                <w:u w:val="none"/>
              </w:rPr>
            </w:pPr>
          </w:p>
        </w:tc>
        <w:tc>
          <w:tcPr>
            <w:tcW w:w="999" w:type="dxa"/>
            <w:vMerge w:val="continue"/>
            <w:shd w:val="clear" w:color="auto" w:fill="auto"/>
            <w:vAlign w:val="center"/>
          </w:tcPr>
          <w:p w14:paraId="22E7D8B3">
            <w:pPr>
              <w:jc w:val="center"/>
              <w:rPr>
                <w:rFonts w:hint="eastAsia" w:ascii="宋体" w:hAnsi="宋体" w:eastAsia="宋体" w:cs="宋体"/>
                <w:i w:val="0"/>
                <w:iCs w:val="0"/>
                <w:color w:val="000000"/>
                <w:sz w:val="20"/>
                <w:szCs w:val="20"/>
                <w:u w:val="none"/>
              </w:rPr>
            </w:pPr>
          </w:p>
        </w:tc>
        <w:tc>
          <w:tcPr>
            <w:tcW w:w="1122" w:type="dxa"/>
            <w:shd w:val="clear" w:color="auto" w:fill="auto"/>
            <w:vAlign w:val="center"/>
          </w:tcPr>
          <w:p w14:paraId="7DC388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学习观摩租车次数</w:t>
            </w:r>
          </w:p>
        </w:tc>
        <w:tc>
          <w:tcPr>
            <w:tcW w:w="1017" w:type="dxa"/>
            <w:shd w:val="clear" w:color="auto" w:fill="auto"/>
            <w:vAlign w:val="center"/>
          </w:tcPr>
          <w:p w14:paraId="6F0FC3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1010" w:type="dxa"/>
            <w:shd w:val="clear" w:color="auto" w:fill="auto"/>
            <w:vAlign w:val="center"/>
          </w:tcPr>
          <w:p w14:paraId="4F814C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85" w:type="dxa"/>
            <w:shd w:val="clear" w:color="auto" w:fill="auto"/>
            <w:vAlign w:val="center"/>
          </w:tcPr>
          <w:p w14:paraId="51E0FD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782" w:type="dxa"/>
            <w:shd w:val="clear" w:color="auto" w:fill="auto"/>
            <w:vAlign w:val="center"/>
          </w:tcPr>
          <w:p w14:paraId="297E79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81" w:type="dxa"/>
            <w:shd w:val="clear" w:color="auto" w:fill="auto"/>
            <w:vAlign w:val="center"/>
          </w:tcPr>
          <w:p w14:paraId="1571CB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3" w:type="dxa"/>
            <w:shd w:val="clear" w:color="auto" w:fill="auto"/>
            <w:vAlign w:val="center"/>
          </w:tcPr>
          <w:p w14:paraId="75E0E5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7" w:type="dxa"/>
            <w:shd w:val="clear" w:color="auto" w:fill="auto"/>
            <w:vAlign w:val="center"/>
          </w:tcPr>
          <w:p w14:paraId="288A6B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1039" w:type="dxa"/>
            <w:shd w:val="clear" w:color="auto" w:fill="auto"/>
            <w:vAlign w:val="center"/>
          </w:tcPr>
          <w:p w14:paraId="7E9D10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shd w:val="clear" w:color="auto" w:fill="auto"/>
            <w:vAlign w:val="center"/>
          </w:tcPr>
          <w:p w14:paraId="4316DA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03" w:type="dxa"/>
            <w:shd w:val="clear" w:color="auto" w:fill="auto"/>
            <w:vAlign w:val="center"/>
          </w:tcPr>
          <w:p w14:paraId="75C3BB88">
            <w:pPr>
              <w:jc w:val="center"/>
              <w:rPr>
                <w:rFonts w:hint="eastAsia" w:ascii="宋体" w:hAnsi="宋体" w:eastAsia="宋体" w:cs="宋体"/>
                <w:i w:val="0"/>
                <w:iCs w:val="0"/>
                <w:color w:val="000000"/>
                <w:sz w:val="20"/>
                <w:szCs w:val="20"/>
                <w:u w:val="none"/>
              </w:rPr>
            </w:pPr>
          </w:p>
        </w:tc>
      </w:tr>
      <w:tr w14:paraId="29EE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769" w:type="dxa"/>
            <w:vMerge w:val="continue"/>
            <w:shd w:val="clear" w:color="auto" w:fill="auto"/>
            <w:vAlign w:val="center"/>
          </w:tcPr>
          <w:p w14:paraId="0203246D">
            <w:pPr>
              <w:jc w:val="center"/>
              <w:rPr>
                <w:rFonts w:hint="eastAsia" w:ascii="宋体" w:hAnsi="宋体" w:eastAsia="宋体" w:cs="宋体"/>
                <w:i w:val="0"/>
                <w:iCs w:val="0"/>
                <w:color w:val="000000"/>
                <w:sz w:val="20"/>
                <w:szCs w:val="20"/>
                <w:u w:val="none"/>
              </w:rPr>
            </w:pPr>
          </w:p>
        </w:tc>
        <w:tc>
          <w:tcPr>
            <w:tcW w:w="769" w:type="dxa"/>
            <w:vMerge w:val="continue"/>
            <w:shd w:val="clear" w:color="auto" w:fill="auto"/>
            <w:vAlign w:val="center"/>
          </w:tcPr>
          <w:p w14:paraId="07B5F179">
            <w:pPr>
              <w:jc w:val="center"/>
              <w:rPr>
                <w:rFonts w:hint="eastAsia" w:ascii="宋体" w:hAnsi="宋体" w:eastAsia="宋体" w:cs="宋体"/>
                <w:i w:val="0"/>
                <w:iCs w:val="0"/>
                <w:color w:val="000000"/>
                <w:sz w:val="20"/>
                <w:szCs w:val="20"/>
                <w:u w:val="none"/>
              </w:rPr>
            </w:pPr>
          </w:p>
        </w:tc>
        <w:tc>
          <w:tcPr>
            <w:tcW w:w="999" w:type="dxa"/>
            <w:vMerge w:val="continue"/>
            <w:shd w:val="clear" w:color="auto" w:fill="auto"/>
            <w:vAlign w:val="center"/>
          </w:tcPr>
          <w:p w14:paraId="45AB1816">
            <w:pPr>
              <w:jc w:val="center"/>
              <w:rPr>
                <w:rFonts w:hint="eastAsia" w:ascii="宋体" w:hAnsi="宋体" w:eastAsia="宋体" w:cs="宋体"/>
                <w:i w:val="0"/>
                <w:iCs w:val="0"/>
                <w:color w:val="000000"/>
                <w:sz w:val="20"/>
                <w:szCs w:val="20"/>
                <w:u w:val="none"/>
              </w:rPr>
            </w:pPr>
          </w:p>
        </w:tc>
        <w:tc>
          <w:tcPr>
            <w:tcW w:w="1122" w:type="dxa"/>
            <w:shd w:val="clear" w:color="auto" w:fill="auto"/>
            <w:vAlign w:val="center"/>
          </w:tcPr>
          <w:p w14:paraId="42BA22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代表之家版面制作个数</w:t>
            </w:r>
          </w:p>
        </w:tc>
        <w:tc>
          <w:tcPr>
            <w:tcW w:w="1017" w:type="dxa"/>
            <w:shd w:val="clear" w:color="auto" w:fill="auto"/>
            <w:vAlign w:val="center"/>
          </w:tcPr>
          <w:p w14:paraId="490758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1010" w:type="dxa"/>
            <w:shd w:val="clear" w:color="auto" w:fill="auto"/>
            <w:vAlign w:val="center"/>
          </w:tcPr>
          <w:p w14:paraId="7F245A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85" w:type="dxa"/>
            <w:shd w:val="clear" w:color="auto" w:fill="auto"/>
            <w:vAlign w:val="center"/>
          </w:tcPr>
          <w:p w14:paraId="7837BC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782" w:type="dxa"/>
            <w:shd w:val="clear" w:color="auto" w:fill="auto"/>
            <w:vAlign w:val="center"/>
          </w:tcPr>
          <w:p w14:paraId="74B958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81" w:type="dxa"/>
            <w:shd w:val="clear" w:color="auto" w:fill="auto"/>
            <w:vAlign w:val="center"/>
          </w:tcPr>
          <w:p w14:paraId="2FAAC7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3" w:type="dxa"/>
            <w:shd w:val="clear" w:color="auto" w:fill="auto"/>
            <w:vAlign w:val="center"/>
          </w:tcPr>
          <w:p w14:paraId="79DE3F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7" w:type="dxa"/>
            <w:shd w:val="clear" w:color="auto" w:fill="auto"/>
            <w:vAlign w:val="center"/>
          </w:tcPr>
          <w:p w14:paraId="214100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1039" w:type="dxa"/>
            <w:shd w:val="clear" w:color="auto" w:fill="auto"/>
            <w:vAlign w:val="center"/>
          </w:tcPr>
          <w:p w14:paraId="7A8DC8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shd w:val="clear" w:color="auto" w:fill="auto"/>
            <w:vAlign w:val="center"/>
          </w:tcPr>
          <w:p w14:paraId="38FAFC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03" w:type="dxa"/>
            <w:shd w:val="clear" w:color="auto" w:fill="auto"/>
            <w:vAlign w:val="center"/>
          </w:tcPr>
          <w:p w14:paraId="1EFBBDD6">
            <w:pPr>
              <w:jc w:val="center"/>
              <w:rPr>
                <w:rFonts w:hint="eastAsia" w:ascii="宋体" w:hAnsi="宋体" w:eastAsia="宋体" w:cs="宋体"/>
                <w:i w:val="0"/>
                <w:iCs w:val="0"/>
                <w:color w:val="000000"/>
                <w:sz w:val="20"/>
                <w:szCs w:val="20"/>
                <w:u w:val="none"/>
              </w:rPr>
            </w:pPr>
          </w:p>
        </w:tc>
      </w:tr>
      <w:tr w14:paraId="02C35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69" w:type="dxa"/>
            <w:vMerge w:val="continue"/>
            <w:shd w:val="clear" w:color="auto" w:fill="auto"/>
            <w:vAlign w:val="center"/>
          </w:tcPr>
          <w:p w14:paraId="0B3E8711">
            <w:pPr>
              <w:jc w:val="center"/>
              <w:rPr>
                <w:rFonts w:hint="eastAsia" w:ascii="宋体" w:hAnsi="宋体" w:eastAsia="宋体" w:cs="宋体"/>
                <w:i w:val="0"/>
                <w:iCs w:val="0"/>
                <w:color w:val="000000"/>
                <w:sz w:val="20"/>
                <w:szCs w:val="20"/>
                <w:u w:val="none"/>
              </w:rPr>
            </w:pPr>
          </w:p>
        </w:tc>
        <w:tc>
          <w:tcPr>
            <w:tcW w:w="769" w:type="dxa"/>
            <w:vMerge w:val="continue"/>
            <w:shd w:val="clear" w:color="auto" w:fill="auto"/>
            <w:vAlign w:val="center"/>
          </w:tcPr>
          <w:p w14:paraId="70CCE887">
            <w:pPr>
              <w:jc w:val="center"/>
              <w:rPr>
                <w:rFonts w:hint="eastAsia" w:ascii="宋体" w:hAnsi="宋体" w:eastAsia="宋体" w:cs="宋体"/>
                <w:i w:val="0"/>
                <w:iCs w:val="0"/>
                <w:color w:val="000000"/>
                <w:sz w:val="20"/>
                <w:szCs w:val="20"/>
                <w:u w:val="none"/>
              </w:rPr>
            </w:pPr>
          </w:p>
        </w:tc>
        <w:tc>
          <w:tcPr>
            <w:tcW w:w="999" w:type="dxa"/>
            <w:shd w:val="clear" w:color="auto" w:fill="auto"/>
            <w:vAlign w:val="center"/>
          </w:tcPr>
          <w:p w14:paraId="3D4F34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22" w:type="dxa"/>
            <w:shd w:val="clear" w:color="auto" w:fill="auto"/>
            <w:vAlign w:val="center"/>
          </w:tcPr>
          <w:p w14:paraId="64E4B8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代表之家版面达标率</w:t>
            </w:r>
          </w:p>
        </w:tc>
        <w:tc>
          <w:tcPr>
            <w:tcW w:w="1017" w:type="dxa"/>
            <w:shd w:val="clear" w:color="auto" w:fill="auto"/>
            <w:vAlign w:val="center"/>
          </w:tcPr>
          <w:p w14:paraId="519F0B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shd w:val="clear" w:color="auto" w:fill="auto"/>
            <w:vAlign w:val="center"/>
          </w:tcPr>
          <w:p w14:paraId="13A882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85" w:type="dxa"/>
            <w:shd w:val="clear" w:color="auto" w:fill="auto"/>
            <w:vAlign w:val="center"/>
          </w:tcPr>
          <w:p w14:paraId="691509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shd w:val="clear" w:color="auto" w:fill="auto"/>
            <w:vAlign w:val="center"/>
          </w:tcPr>
          <w:p w14:paraId="1CF9FF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81" w:type="dxa"/>
            <w:shd w:val="clear" w:color="auto" w:fill="auto"/>
            <w:vAlign w:val="center"/>
          </w:tcPr>
          <w:p w14:paraId="3B6572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3" w:type="dxa"/>
            <w:shd w:val="clear" w:color="auto" w:fill="auto"/>
            <w:vAlign w:val="center"/>
          </w:tcPr>
          <w:p w14:paraId="50A9FE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7" w:type="dxa"/>
            <w:shd w:val="clear" w:color="auto" w:fill="auto"/>
            <w:vAlign w:val="center"/>
          </w:tcPr>
          <w:p w14:paraId="1ECCE9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9" w:type="dxa"/>
            <w:shd w:val="clear" w:color="auto" w:fill="auto"/>
            <w:vAlign w:val="center"/>
          </w:tcPr>
          <w:p w14:paraId="3300A9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shd w:val="clear" w:color="auto" w:fill="auto"/>
            <w:vAlign w:val="center"/>
          </w:tcPr>
          <w:p w14:paraId="285E7A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03" w:type="dxa"/>
            <w:shd w:val="clear" w:color="auto" w:fill="auto"/>
            <w:vAlign w:val="center"/>
          </w:tcPr>
          <w:p w14:paraId="405AAD76">
            <w:pPr>
              <w:jc w:val="center"/>
              <w:rPr>
                <w:rFonts w:hint="eastAsia" w:ascii="宋体" w:hAnsi="宋体" w:eastAsia="宋体" w:cs="宋体"/>
                <w:i w:val="0"/>
                <w:iCs w:val="0"/>
                <w:color w:val="000000"/>
                <w:sz w:val="20"/>
                <w:szCs w:val="20"/>
                <w:u w:val="none"/>
              </w:rPr>
            </w:pPr>
          </w:p>
        </w:tc>
      </w:tr>
      <w:tr w14:paraId="73E4C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769" w:type="dxa"/>
            <w:vMerge w:val="continue"/>
            <w:shd w:val="clear" w:color="auto" w:fill="auto"/>
            <w:vAlign w:val="center"/>
          </w:tcPr>
          <w:p w14:paraId="5AA7D067">
            <w:pPr>
              <w:jc w:val="center"/>
              <w:rPr>
                <w:rFonts w:hint="eastAsia" w:ascii="宋体" w:hAnsi="宋体" w:eastAsia="宋体" w:cs="宋体"/>
                <w:i w:val="0"/>
                <w:iCs w:val="0"/>
                <w:color w:val="000000"/>
                <w:sz w:val="20"/>
                <w:szCs w:val="20"/>
                <w:u w:val="none"/>
              </w:rPr>
            </w:pPr>
          </w:p>
        </w:tc>
        <w:tc>
          <w:tcPr>
            <w:tcW w:w="769" w:type="dxa"/>
            <w:vMerge w:val="continue"/>
            <w:shd w:val="clear" w:color="auto" w:fill="auto"/>
            <w:vAlign w:val="center"/>
          </w:tcPr>
          <w:p w14:paraId="2CCF1F4D">
            <w:pPr>
              <w:jc w:val="center"/>
              <w:rPr>
                <w:rFonts w:hint="eastAsia" w:ascii="宋体" w:hAnsi="宋体" w:eastAsia="宋体" w:cs="宋体"/>
                <w:i w:val="0"/>
                <w:iCs w:val="0"/>
                <w:color w:val="000000"/>
                <w:sz w:val="20"/>
                <w:szCs w:val="20"/>
                <w:u w:val="none"/>
              </w:rPr>
            </w:pPr>
          </w:p>
        </w:tc>
        <w:tc>
          <w:tcPr>
            <w:tcW w:w="999" w:type="dxa"/>
            <w:vMerge w:val="restart"/>
            <w:shd w:val="clear" w:color="auto" w:fill="auto"/>
            <w:vAlign w:val="center"/>
          </w:tcPr>
          <w:p w14:paraId="1D7D87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22" w:type="dxa"/>
            <w:shd w:val="clear" w:color="auto" w:fill="auto"/>
            <w:vAlign w:val="center"/>
          </w:tcPr>
          <w:p w14:paraId="21C65A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代表之家资金拨付及时率</w:t>
            </w:r>
          </w:p>
        </w:tc>
        <w:tc>
          <w:tcPr>
            <w:tcW w:w="1017" w:type="dxa"/>
            <w:shd w:val="clear" w:color="auto" w:fill="auto"/>
            <w:vAlign w:val="center"/>
          </w:tcPr>
          <w:p w14:paraId="2E0B81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shd w:val="clear" w:color="auto" w:fill="auto"/>
            <w:vAlign w:val="center"/>
          </w:tcPr>
          <w:p w14:paraId="6B4F4B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85" w:type="dxa"/>
            <w:shd w:val="clear" w:color="auto" w:fill="auto"/>
            <w:vAlign w:val="center"/>
          </w:tcPr>
          <w:p w14:paraId="2A3F03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2" w:type="dxa"/>
            <w:shd w:val="clear" w:color="auto" w:fill="auto"/>
            <w:vAlign w:val="center"/>
          </w:tcPr>
          <w:p w14:paraId="373979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81" w:type="dxa"/>
            <w:shd w:val="clear" w:color="auto" w:fill="auto"/>
            <w:vAlign w:val="center"/>
          </w:tcPr>
          <w:p w14:paraId="5D10BC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3" w:type="dxa"/>
            <w:shd w:val="clear" w:color="auto" w:fill="auto"/>
            <w:vAlign w:val="center"/>
          </w:tcPr>
          <w:p w14:paraId="31FF02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7" w:type="dxa"/>
            <w:shd w:val="clear" w:color="auto" w:fill="auto"/>
            <w:vAlign w:val="center"/>
          </w:tcPr>
          <w:p w14:paraId="1F0F04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039" w:type="dxa"/>
            <w:shd w:val="clear" w:color="auto" w:fill="auto"/>
            <w:vAlign w:val="center"/>
          </w:tcPr>
          <w:p w14:paraId="14984E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888" w:type="dxa"/>
            <w:shd w:val="clear" w:color="auto" w:fill="auto"/>
            <w:vAlign w:val="center"/>
          </w:tcPr>
          <w:p w14:paraId="09235E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703" w:type="dxa"/>
            <w:shd w:val="clear" w:color="auto" w:fill="auto"/>
            <w:vAlign w:val="center"/>
          </w:tcPr>
          <w:p w14:paraId="75EAD1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2023年资金到位4万元，剩余1万元由于财政资金紧张，未拨付。</w:t>
            </w:r>
          </w:p>
        </w:tc>
      </w:tr>
      <w:tr w14:paraId="7B5C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769" w:type="dxa"/>
            <w:vMerge w:val="continue"/>
            <w:shd w:val="clear" w:color="auto" w:fill="auto"/>
            <w:vAlign w:val="center"/>
          </w:tcPr>
          <w:p w14:paraId="08FDA9F2">
            <w:pPr>
              <w:jc w:val="center"/>
              <w:rPr>
                <w:rFonts w:hint="eastAsia" w:ascii="宋体" w:hAnsi="宋体" w:eastAsia="宋体" w:cs="宋体"/>
                <w:i w:val="0"/>
                <w:iCs w:val="0"/>
                <w:color w:val="000000"/>
                <w:sz w:val="20"/>
                <w:szCs w:val="20"/>
                <w:u w:val="none"/>
              </w:rPr>
            </w:pPr>
          </w:p>
        </w:tc>
        <w:tc>
          <w:tcPr>
            <w:tcW w:w="769" w:type="dxa"/>
            <w:shd w:val="clear" w:color="auto" w:fill="auto"/>
            <w:vAlign w:val="center"/>
          </w:tcPr>
          <w:p w14:paraId="0BB75C7E">
            <w:pPr>
              <w:jc w:val="center"/>
              <w:rPr>
                <w:rFonts w:hint="eastAsia" w:ascii="宋体" w:hAnsi="宋体" w:eastAsia="宋体" w:cs="宋体"/>
                <w:i w:val="0"/>
                <w:iCs w:val="0"/>
                <w:color w:val="000000"/>
                <w:sz w:val="20"/>
                <w:szCs w:val="20"/>
                <w:u w:val="none"/>
              </w:rPr>
            </w:pPr>
          </w:p>
        </w:tc>
        <w:tc>
          <w:tcPr>
            <w:tcW w:w="999" w:type="dxa"/>
            <w:vMerge w:val="continue"/>
            <w:shd w:val="clear" w:color="auto" w:fill="auto"/>
            <w:vAlign w:val="center"/>
          </w:tcPr>
          <w:p w14:paraId="00DDF9B6">
            <w:pPr>
              <w:jc w:val="center"/>
              <w:rPr>
                <w:rFonts w:hint="eastAsia" w:ascii="宋体" w:hAnsi="宋体" w:eastAsia="宋体" w:cs="宋体"/>
                <w:i w:val="0"/>
                <w:iCs w:val="0"/>
                <w:color w:val="000000"/>
                <w:sz w:val="20"/>
                <w:szCs w:val="20"/>
                <w:u w:val="none"/>
              </w:rPr>
            </w:pPr>
          </w:p>
        </w:tc>
        <w:tc>
          <w:tcPr>
            <w:tcW w:w="1122" w:type="dxa"/>
            <w:shd w:val="clear" w:color="auto" w:fill="auto"/>
            <w:vAlign w:val="center"/>
          </w:tcPr>
          <w:p w14:paraId="30F7B4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上半年代表之家资金拨付时间</w:t>
            </w:r>
          </w:p>
        </w:tc>
        <w:tc>
          <w:tcPr>
            <w:tcW w:w="1017" w:type="dxa"/>
            <w:shd w:val="clear" w:color="auto" w:fill="auto"/>
            <w:vAlign w:val="center"/>
          </w:tcPr>
          <w:p w14:paraId="3BD2BF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w:t>
            </w:r>
          </w:p>
        </w:tc>
        <w:tc>
          <w:tcPr>
            <w:tcW w:w="1010" w:type="dxa"/>
            <w:shd w:val="clear" w:color="auto" w:fill="auto"/>
            <w:vAlign w:val="center"/>
          </w:tcPr>
          <w:p w14:paraId="7DDBB3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85" w:type="dxa"/>
            <w:shd w:val="clear" w:color="auto" w:fill="auto"/>
            <w:vAlign w:val="center"/>
          </w:tcPr>
          <w:p w14:paraId="222D09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2022年3月</w:t>
            </w:r>
          </w:p>
        </w:tc>
        <w:tc>
          <w:tcPr>
            <w:tcW w:w="782" w:type="dxa"/>
            <w:shd w:val="clear" w:color="auto" w:fill="auto"/>
            <w:vAlign w:val="center"/>
          </w:tcPr>
          <w:p w14:paraId="407623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81" w:type="dxa"/>
            <w:shd w:val="clear" w:color="auto" w:fill="auto"/>
            <w:vAlign w:val="center"/>
          </w:tcPr>
          <w:p w14:paraId="2EAD7B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223" w:type="dxa"/>
            <w:shd w:val="clear" w:color="auto" w:fill="auto"/>
            <w:vAlign w:val="center"/>
          </w:tcPr>
          <w:p w14:paraId="052A9A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7" w:type="dxa"/>
            <w:shd w:val="clear" w:color="auto" w:fill="auto"/>
            <w:vAlign w:val="center"/>
          </w:tcPr>
          <w:p w14:paraId="40287E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1039" w:type="dxa"/>
            <w:shd w:val="clear" w:color="auto" w:fill="auto"/>
            <w:vAlign w:val="center"/>
          </w:tcPr>
          <w:p w14:paraId="74AFEB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shd w:val="clear" w:color="auto" w:fill="auto"/>
            <w:vAlign w:val="center"/>
          </w:tcPr>
          <w:p w14:paraId="571138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03" w:type="dxa"/>
            <w:shd w:val="clear" w:color="auto" w:fill="auto"/>
            <w:vAlign w:val="center"/>
          </w:tcPr>
          <w:p w14:paraId="22E205FB">
            <w:pPr>
              <w:jc w:val="center"/>
              <w:rPr>
                <w:rFonts w:hint="eastAsia" w:ascii="宋体" w:hAnsi="宋体" w:eastAsia="宋体" w:cs="宋体"/>
                <w:i w:val="0"/>
                <w:iCs w:val="0"/>
                <w:color w:val="000000"/>
                <w:sz w:val="20"/>
                <w:szCs w:val="20"/>
                <w:u w:val="none"/>
              </w:rPr>
            </w:pPr>
          </w:p>
        </w:tc>
      </w:tr>
      <w:tr w14:paraId="77758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0" w:hRule="atLeast"/>
        </w:trPr>
        <w:tc>
          <w:tcPr>
            <w:tcW w:w="769" w:type="dxa"/>
            <w:vMerge w:val="continue"/>
            <w:shd w:val="clear" w:color="auto" w:fill="auto"/>
            <w:vAlign w:val="center"/>
          </w:tcPr>
          <w:p w14:paraId="53A8D1CE">
            <w:pPr>
              <w:jc w:val="center"/>
              <w:rPr>
                <w:rFonts w:hint="eastAsia" w:ascii="宋体" w:hAnsi="宋体" w:eastAsia="宋体" w:cs="宋体"/>
                <w:i w:val="0"/>
                <w:iCs w:val="0"/>
                <w:color w:val="000000"/>
                <w:sz w:val="20"/>
                <w:szCs w:val="20"/>
                <w:u w:val="none"/>
              </w:rPr>
            </w:pPr>
          </w:p>
        </w:tc>
        <w:tc>
          <w:tcPr>
            <w:tcW w:w="769" w:type="dxa"/>
            <w:vMerge w:val="restart"/>
            <w:shd w:val="clear" w:color="auto" w:fill="auto"/>
            <w:vAlign w:val="center"/>
          </w:tcPr>
          <w:p w14:paraId="46ABED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99" w:type="dxa"/>
            <w:shd w:val="clear" w:color="auto" w:fill="auto"/>
            <w:vAlign w:val="center"/>
          </w:tcPr>
          <w:p w14:paraId="3EB063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22" w:type="dxa"/>
            <w:shd w:val="clear" w:color="auto" w:fill="auto"/>
            <w:vAlign w:val="center"/>
          </w:tcPr>
          <w:p w14:paraId="23B0C4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代表之家拨付标准</w:t>
            </w:r>
          </w:p>
        </w:tc>
        <w:tc>
          <w:tcPr>
            <w:tcW w:w="1017" w:type="dxa"/>
            <w:shd w:val="clear" w:color="auto" w:fill="auto"/>
            <w:vAlign w:val="center"/>
          </w:tcPr>
          <w:p w14:paraId="61D6AD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≤2万元/个</w:t>
            </w:r>
          </w:p>
        </w:tc>
        <w:tc>
          <w:tcPr>
            <w:tcW w:w="1010" w:type="dxa"/>
            <w:shd w:val="clear" w:color="auto" w:fill="auto"/>
            <w:vAlign w:val="center"/>
          </w:tcPr>
          <w:p w14:paraId="76F87E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85" w:type="dxa"/>
            <w:shd w:val="clear" w:color="auto" w:fill="auto"/>
            <w:vAlign w:val="center"/>
          </w:tcPr>
          <w:p w14:paraId="21012B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=2万元/个</w:t>
            </w:r>
          </w:p>
        </w:tc>
        <w:tc>
          <w:tcPr>
            <w:tcW w:w="782" w:type="dxa"/>
            <w:shd w:val="clear" w:color="auto" w:fill="auto"/>
            <w:vAlign w:val="center"/>
          </w:tcPr>
          <w:p w14:paraId="43874B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81" w:type="dxa"/>
            <w:shd w:val="clear" w:color="auto" w:fill="auto"/>
            <w:vAlign w:val="center"/>
          </w:tcPr>
          <w:p w14:paraId="7F87D1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223" w:type="dxa"/>
            <w:shd w:val="clear" w:color="auto" w:fill="auto"/>
            <w:vAlign w:val="center"/>
          </w:tcPr>
          <w:p w14:paraId="109186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87" w:type="dxa"/>
            <w:shd w:val="clear" w:color="auto" w:fill="auto"/>
            <w:vAlign w:val="center"/>
          </w:tcPr>
          <w:p w14:paraId="30A421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=2万元/个</w:t>
            </w:r>
          </w:p>
        </w:tc>
        <w:tc>
          <w:tcPr>
            <w:tcW w:w="1039" w:type="dxa"/>
            <w:shd w:val="clear" w:color="auto" w:fill="auto"/>
            <w:vAlign w:val="center"/>
          </w:tcPr>
          <w:p w14:paraId="1AD685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shd w:val="clear" w:color="auto" w:fill="auto"/>
            <w:vAlign w:val="center"/>
          </w:tcPr>
          <w:p w14:paraId="68363D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703" w:type="dxa"/>
            <w:shd w:val="clear" w:color="auto" w:fill="auto"/>
            <w:vAlign w:val="center"/>
          </w:tcPr>
          <w:p w14:paraId="5897193D">
            <w:pPr>
              <w:jc w:val="center"/>
              <w:rPr>
                <w:rFonts w:hint="eastAsia" w:ascii="宋体" w:hAnsi="宋体" w:eastAsia="宋体" w:cs="宋体"/>
                <w:i w:val="0"/>
                <w:iCs w:val="0"/>
                <w:color w:val="000000"/>
                <w:sz w:val="20"/>
                <w:szCs w:val="20"/>
                <w:u w:val="none"/>
              </w:rPr>
            </w:pPr>
          </w:p>
        </w:tc>
      </w:tr>
      <w:tr w14:paraId="4549E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69" w:type="dxa"/>
            <w:vMerge w:val="continue"/>
            <w:shd w:val="clear" w:color="auto" w:fill="auto"/>
            <w:vAlign w:val="center"/>
          </w:tcPr>
          <w:p w14:paraId="420B6083">
            <w:pPr>
              <w:jc w:val="center"/>
              <w:rPr>
                <w:rFonts w:hint="eastAsia" w:ascii="宋体" w:hAnsi="宋体" w:eastAsia="宋体" w:cs="宋体"/>
                <w:i w:val="0"/>
                <w:iCs w:val="0"/>
                <w:color w:val="000000"/>
                <w:sz w:val="20"/>
                <w:szCs w:val="20"/>
                <w:u w:val="none"/>
              </w:rPr>
            </w:pPr>
          </w:p>
        </w:tc>
        <w:tc>
          <w:tcPr>
            <w:tcW w:w="769" w:type="dxa"/>
            <w:vMerge w:val="continue"/>
            <w:shd w:val="clear" w:color="auto" w:fill="auto"/>
            <w:vAlign w:val="center"/>
          </w:tcPr>
          <w:p w14:paraId="5FA0BC27">
            <w:pPr>
              <w:jc w:val="center"/>
              <w:rPr>
                <w:rFonts w:hint="eastAsia" w:ascii="宋体" w:hAnsi="宋体" w:eastAsia="宋体" w:cs="宋体"/>
                <w:i w:val="0"/>
                <w:iCs w:val="0"/>
                <w:color w:val="000000"/>
                <w:sz w:val="20"/>
                <w:szCs w:val="20"/>
                <w:u w:val="none"/>
              </w:rPr>
            </w:pPr>
          </w:p>
        </w:tc>
        <w:tc>
          <w:tcPr>
            <w:tcW w:w="999" w:type="dxa"/>
            <w:shd w:val="clear" w:color="auto" w:fill="auto"/>
            <w:vAlign w:val="center"/>
          </w:tcPr>
          <w:p w14:paraId="7D7F7D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22" w:type="dxa"/>
            <w:shd w:val="clear" w:color="auto" w:fill="auto"/>
            <w:vAlign w:val="center"/>
          </w:tcPr>
          <w:p w14:paraId="59BCB2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7" w:type="dxa"/>
            <w:shd w:val="clear" w:color="auto" w:fill="auto"/>
            <w:vAlign w:val="center"/>
          </w:tcPr>
          <w:p w14:paraId="30FCE3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shd w:val="clear" w:color="auto" w:fill="auto"/>
            <w:vAlign w:val="center"/>
          </w:tcPr>
          <w:p w14:paraId="634642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shd w:val="clear" w:color="auto" w:fill="auto"/>
            <w:vAlign w:val="center"/>
          </w:tcPr>
          <w:p w14:paraId="3564E6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2" w:type="dxa"/>
            <w:shd w:val="clear" w:color="auto" w:fill="auto"/>
            <w:vAlign w:val="center"/>
          </w:tcPr>
          <w:p w14:paraId="61C936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0F6A0B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23" w:type="dxa"/>
            <w:shd w:val="clear" w:color="auto" w:fill="auto"/>
            <w:vAlign w:val="center"/>
          </w:tcPr>
          <w:p w14:paraId="79C37B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7" w:type="dxa"/>
            <w:shd w:val="clear" w:color="auto" w:fill="auto"/>
            <w:vAlign w:val="center"/>
          </w:tcPr>
          <w:p w14:paraId="01679E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9" w:type="dxa"/>
            <w:shd w:val="clear" w:color="auto" w:fill="auto"/>
            <w:vAlign w:val="center"/>
          </w:tcPr>
          <w:p w14:paraId="2ABDE2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58BC6D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03" w:type="dxa"/>
            <w:shd w:val="clear" w:color="auto" w:fill="auto"/>
            <w:vAlign w:val="center"/>
          </w:tcPr>
          <w:p w14:paraId="5D44D219">
            <w:pPr>
              <w:jc w:val="center"/>
              <w:rPr>
                <w:rFonts w:hint="eastAsia" w:ascii="宋体" w:hAnsi="宋体" w:eastAsia="宋体" w:cs="宋体"/>
                <w:i w:val="0"/>
                <w:iCs w:val="0"/>
                <w:color w:val="000000"/>
                <w:sz w:val="20"/>
                <w:szCs w:val="20"/>
                <w:u w:val="none"/>
              </w:rPr>
            </w:pPr>
          </w:p>
        </w:tc>
      </w:tr>
      <w:tr w14:paraId="04327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69" w:type="dxa"/>
            <w:vMerge w:val="continue"/>
            <w:shd w:val="clear" w:color="auto" w:fill="auto"/>
            <w:vAlign w:val="center"/>
          </w:tcPr>
          <w:p w14:paraId="60BF358E">
            <w:pPr>
              <w:jc w:val="center"/>
              <w:rPr>
                <w:rFonts w:hint="eastAsia" w:ascii="宋体" w:hAnsi="宋体" w:eastAsia="宋体" w:cs="宋体"/>
                <w:i w:val="0"/>
                <w:iCs w:val="0"/>
                <w:color w:val="000000"/>
                <w:sz w:val="20"/>
                <w:szCs w:val="20"/>
                <w:u w:val="none"/>
              </w:rPr>
            </w:pPr>
          </w:p>
        </w:tc>
        <w:tc>
          <w:tcPr>
            <w:tcW w:w="769" w:type="dxa"/>
            <w:vMerge w:val="continue"/>
            <w:shd w:val="clear" w:color="auto" w:fill="auto"/>
            <w:vAlign w:val="center"/>
          </w:tcPr>
          <w:p w14:paraId="343B62AD">
            <w:pPr>
              <w:jc w:val="center"/>
              <w:rPr>
                <w:rFonts w:hint="eastAsia" w:ascii="宋体" w:hAnsi="宋体" w:eastAsia="宋体" w:cs="宋体"/>
                <w:i w:val="0"/>
                <w:iCs w:val="0"/>
                <w:color w:val="000000"/>
                <w:sz w:val="20"/>
                <w:szCs w:val="20"/>
                <w:u w:val="none"/>
              </w:rPr>
            </w:pPr>
          </w:p>
        </w:tc>
        <w:tc>
          <w:tcPr>
            <w:tcW w:w="999" w:type="dxa"/>
            <w:shd w:val="clear" w:color="auto" w:fill="auto"/>
            <w:vAlign w:val="center"/>
          </w:tcPr>
          <w:p w14:paraId="0E0AF5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22" w:type="dxa"/>
            <w:shd w:val="clear" w:color="auto" w:fill="auto"/>
            <w:vAlign w:val="center"/>
          </w:tcPr>
          <w:p w14:paraId="696186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7" w:type="dxa"/>
            <w:shd w:val="clear" w:color="auto" w:fill="auto"/>
            <w:vAlign w:val="center"/>
          </w:tcPr>
          <w:p w14:paraId="71805D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shd w:val="clear" w:color="auto" w:fill="auto"/>
            <w:vAlign w:val="center"/>
          </w:tcPr>
          <w:p w14:paraId="4E29AA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shd w:val="clear" w:color="auto" w:fill="auto"/>
            <w:vAlign w:val="center"/>
          </w:tcPr>
          <w:p w14:paraId="4C07C0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2" w:type="dxa"/>
            <w:shd w:val="clear" w:color="auto" w:fill="auto"/>
            <w:vAlign w:val="center"/>
          </w:tcPr>
          <w:p w14:paraId="140B0A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77136D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23" w:type="dxa"/>
            <w:shd w:val="clear" w:color="auto" w:fill="auto"/>
            <w:vAlign w:val="center"/>
          </w:tcPr>
          <w:p w14:paraId="1AF358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7" w:type="dxa"/>
            <w:shd w:val="clear" w:color="auto" w:fill="auto"/>
            <w:vAlign w:val="center"/>
          </w:tcPr>
          <w:p w14:paraId="5C638D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9" w:type="dxa"/>
            <w:shd w:val="clear" w:color="auto" w:fill="auto"/>
            <w:vAlign w:val="center"/>
          </w:tcPr>
          <w:p w14:paraId="523816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50A929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03" w:type="dxa"/>
            <w:shd w:val="clear" w:color="auto" w:fill="auto"/>
            <w:vAlign w:val="center"/>
          </w:tcPr>
          <w:p w14:paraId="265F1F1E">
            <w:pPr>
              <w:jc w:val="center"/>
              <w:rPr>
                <w:rFonts w:hint="eastAsia" w:ascii="宋体" w:hAnsi="宋体" w:eastAsia="宋体" w:cs="宋体"/>
                <w:i w:val="0"/>
                <w:iCs w:val="0"/>
                <w:color w:val="000000"/>
                <w:sz w:val="20"/>
                <w:szCs w:val="20"/>
                <w:u w:val="none"/>
              </w:rPr>
            </w:pPr>
          </w:p>
        </w:tc>
      </w:tr>
      <w:tr w14:paraId="48710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69" w:type="dxa"/>
            <w:vMerge w:val="continue"/>
            <w:shd w:val="clear" w:color="auto" w:fill="auto"/>
            <w:vAlign w:val="center"/>
          </w:tcPr>
          <w:p w14:paraId="69A832C3">
            <w:pPr>
              <w:jc w:val="center"/>
              <w:rPr>
                <w:rFonts w:hint="eastAsia" w:ascii="宋体" w:hAnsi="宋体" w:eastAsia="宋体" w:cs="宋体"/>
                <w:i w:val="0"/>
                <w:iCs w:val="0"/>
                <w:color w:val="000000"/>
                <w:sz w:val="20"/>
                <w:szCs w:val="20"/>
                <w:u w:val="none"/>
              </w:rPr>
            </w:pPr>
          </w:p>
        </w:tc>
        <w:tc>
          <w:tcPr>
            <w:tcW w:w="769" w:type="dxa"/>
            <w:vMerge w:val="restart"/>
            <w:shd w:val="clear" w:color="auto" w:fill="auto"/>
            <w:vAlign w:val="center"/>
          </w:tcPr>
          <w:p w14:paraId="0160EF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99" w:type="dxa"/>
            <w:shd w:val="clear" w:color="auto" w:fill="auto"/>
            <w:vAlign w:val="center"/>
          </w:tcPr>
          <w:p w14:paraId="64928F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22" w:type="dxa"/>
            <w:shd w:val="clear" w:color="auto" w:fill="auto"/>
            <w:vAlign w:val="center"/>
          </w:tcPr>
          <w:p w14:paraId="42389C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7" w:type="dxa"/>
            <w:shd w:val="clear" w:color="auto" w:fill="auto"/>
            <w:vAlign w:val="center"/>
          </w:tcPr>
          <w:p w14:paraId="0ACF98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shd w:val="clear" w:color="auto" w:fill="auto"/>
            <w:vAlign w:val="center"/>
          </w:tcPr>
          <w:p w14:paraId="459477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shd w:val="clear" w:color="auto" w:fill="auto"/>
            <w:vAlign w:val="center"/>
          </w:tcPr>
          <w:p w14:paraId="5AEC40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2" w:type="dxa"/>
            <w:shd w:val="clear" w:color="auto" w:fill="auto"/>
            <w:vAlign w:val="center"/>
          </w:tcPr>
          <w:p w14:paraId="70D43D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0763CC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23" w:type="dxa"/>
            <w:shd w:val="clear" w:color="auto" w:fill="auto"/>
            <w:vAlign w:val="center"/>
          </w:tcPr>
          <w:p w14:paraId="510011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7" w:type="dxa"/>
            <w:shd w:val="clear" w:color="auto" w:fill="auto"/>
            <w:vAlign w:val="center"/>
          </w:tcPr>
          <w:p w14:paraId="371E15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9" w:type="dxa"/>
            <w:shd w:val="clear" w:color="auto" w:fill="auto"/>
            <w:vAlign w:val="center"/>
          </w:tcPr>
          <w:p w14:paraId="11DFA5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48A9D968">
            <w:pPr>
              <w:keepNext w:val="0"/>
              <w:keepLines w:val="0"/>
              <w:widowControl/>
              <w:suppressLineNumbers w:val="0"/>
              <w:ind w:firstLine="400" w:firstLineChars="200"/>
              <w:jc w:val="center"/>
              <w:textAlignment w:val="center"/>
              <w:rPr>
                <w:rFonts w:hint="eastAsia" w:ascii="微软雅黑 Light" w:hAnsi="微软雅黑 Light" w:eastAsia="微软雅黑 Light" w:cs="微软雅黑 Light"/>
                <w:i w:val="0"/>
                <w:iCs w:val="0"/>
                <w:color w:val="FF0000"/>
                <w:sz w:val="24"/>
                <w:szCs w:val="24"/>
                <w:u w:val="none"/>
              </w:rPr>
            </w:pPr>
            <w:r>
              <w:rPr>
                <w:rFonts w:hint="eastAsia" w:ascii="宋体" w:hAnsi="宋体" w:eastAsia="宋体" w:cs="宋体"/>
                <w:i w:val="0"/>
                <w:iCs w:val="0"/>
                <w:color w:val="000000"/>
                <w:kern w:val="0"/>
                <w:sz w:val="20"/>
                <w:szCs w:val="20"/>
                <w:u w:val="none"/>
                <w:lang w:val="en-US" w:eastAsia="zh-CN" w:bidi="ar"/>
              </w:rPr>
              <w:t>/</w:t>
            </w:r>
          </w:p>
        </w:tc>
        <w:tc>
          <w:tcPr>
            <w:tcW w:w="1703" w:type="dxa"/>
            <w:shd w:val="clear" w:color="auto" w:fill="auto"/>
            <w:vAlign w:val="center"/>
          </w:tcPr>
          <w:p w14:paraId="57A384AE">
            <w:pPr>
              <w:jc w:val="center"/>
              <w:rPr>
                <w:rFonts w:hint="eastAsia" w:ascii="宋体" w:hAnsi="宋体" w:eastAsia="宋体" w:cs="宋体"/>
                <w:i w:val="0"/>
                <w:iCs w:val="0"/>
                <w:color w:val="000000"/>
                <w:sz w:val="20"/>
                <w:szCs w:val="20"/>
                <w:u w:val="none"/>
              </w:rPr>
            </w:pPr>
          </w:p>
        </w:tc>
      </w:tr>
      <w:tr w14:paraId="3FEE7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trPr>
        <w:tc>
          <w:tcPr>
            <w:tcW w:w="769" w:type="dxa"/>
            <w:vMerge w:val="continue"/>
            <w:shd w:val="clear" w:color="auto" w:fill="auto"/>
            <w:vAlign w:val="center"/>
          </w:tcPr>
          <w:p w14:paraId="1057BBBF">
            <w:pPr>
              <w:jc w:val="center"/>
              <w:rPr>
                <w:rFonts w:hint="eastAsia" w:ascii="宋体" w:hAnsi="宋体" w:eastAsia="宋体" w:cs="宋体"/>
                <w:i w:val="0"/>
                <w:iCs w:val="0"/>
                <w:color w:val="000000"/>
                <w:sz w:val="20"/>
                <w:szCs w:val="20"/>
                <w:u w:val="none"/>
              </w:rPr>
            </w:pPr>
          </w:p>
        </w:tc>
        <w:tc>
          <w:tcPr>
            <w:tcW w:w="769" w:type="dxa"/>
            <w:vMerge w:val="continue"/>
            <w:shd w:val="clear" w:color="auto" w:fill="auto"/>
            <w:vAlign w:val="center"/>
          </w:tcPr>
          <w:p w14:paraId="34781FA0">
            <w:pPr>
              <w:jc w:val="center"/>
              <w:rPr>
                <w:rFonts w:hint="eastAsia" w:ascii="宋体" w:hAnsi="宋体" w:eastAsia="宋体" w:cs="宋体"/>
                <w:i w:val="0"/>
                <w:iCs w:val="0"/>
                <w:color w:val="000000"/>
                <w:sz w:val="20"/>
                <w:szCs w:val="20"/>
                <w:u w:val="none"/>
              </w:rPr>
            </w:pPr>
          </w:p>
        </w:tc>
        <w:tc>
          <w:tcPr>
            <w:tcW w:w="999" w:type="dxa"/>
            <w:shd w:val="clear" w:color="auto" w:fill="auto"/>
            <w:vAlign w:val="center"/>
          </w:tcPr>
          <w:p w14:paraId="4B97E2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22" w:type="dxa"/>
            <w:shd w:val="clear" w:color="auto" w:fill="auto"/>
            <w:vAlign w:val="center"/>
          </w:tcPr>
          <w:p w14:paraId="0859B4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代表之家补助，充分体现党和政府对人大代表的关心和关怀。</w:t>
            </w:r>
          </w:p>
        </w:tc>
        <w:tc>
          <w:tcPr>
            <w:tcW w:w="1017" w:type="dxa"/>
            <w:shd w:val="clear" w:color="auto" w:fill="auto"/>
            <w:vAlign w:val="center"/>
          </w:tcPr>
          <w:p w14:paraId="1F8117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1010" w:type="dxa"/>
            <w:shd w:val="clear" w:color="auto" w:fill="auto"/>
            <w:vAlign w:val="center"/>
          </w:tcPr>
          <w:p w14:paraId="2DDD9C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85" w:type="dxa"/>
            <w:shd w:val="clear" w:color="auto" w:fill="auto"/>
            <w:vAlign w:val="center"/>
          </w:tcPr>
          <w:p w14:paraId="46740B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782" w:type="dxa"/>
            <w:shd w:val="clear" w:color="auto" w:fill="auto"/>
            <w:vAlign w:val="center"/>
          </w:tcPr>
          <w:p w14:paraId="295F88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81" w:type="dxa"/>
            <w:shd w:val="clear" w:color="auto" w:fill="auto"/>
            <w:vAlign w:val="center"/>
          </w:tcPr>
          <w:p w14:paraId="346700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223" w:type="dxa"/>
            <w:shd w:val="clear" w:color="auto" w:fill="auto"/>
            <w:vAlign w:val="center"/>
          </w:tcPr>
          <w:p w14:paraId="6AF9B1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87" w:type="dxa"/>
            <w:shd w:val="clear" w:color="auto" w:fill="auto"/>
            <w:vAlign w:val="center"/>
          </w:tcPr>
          <w:p w14:paraId="264AFE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039" w:type="dxa"/>
            <w:shd w:val="clear" w:color="auto" w:fill="auto"/>
            <w:vAlign w:val="center"/>
          </w:tcPr>
          <w:p w14:paraId="489ECA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888" w:type="dxa"/>
            <w:shd w:val="clear" w:color="auto" w:fill="auto"/>
            <w:vAlign w:val="center"/>
          </w:tcPr>
          <w:p w14:paraId="646238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703" w:type="dxa"/>
            <w:shd w:val="clear" w:color="auto" w:fill="auto"/>
            <w:vAlign w:val="center"/>
          </w:tcPr>
          <w:p w14:paraId="26BE82A7">
            <w:pPr>
              <w:jc w:val="center"/>
              <w:rPr>
                <w:rFonts w:hint="eastAsia" w:ascii="宋体" w:hAnsi="宋体" w:eastAsia="宋体" w:cs="宋体"/>
                <w:i w:val="0"/>
                <w:iCs w:val="0"/>
                <w:color w:val="000000"/>
                <w:sz w:val="20"/>
                <w:szCs w:val="20"/>
                <w:u w:val="none"/>
              </w:rPr>
            </w:pPr>
          </w:p>
        </w:tc>
      </w:tr>
      <w:tr w14:paraId="243FE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69" w:type="dxa"/>
            <w:vMerge w:val="continue"/>
            <w:shd w:val="clear" w:color="auto" w:fill="auto"/>
            <w:vAlign w:val="center"/>
          </w:tcPr>
          <w:p w14:paraId="75454F9C">
            <w:pPr>
              <w:jc w:val="center"/>
              <w:rPr>
                <w:rFonts w:hint="eastAsia" w:ascii="宋体" w:hAnsi="宋体" w:eastAsia="宋体" w:cs="宋体"/>
                <w:i w:val="0"/>
                <w:iCs w:val="0"/>
                <w:color w:val="000000"/>
                <w:sz w:val="20"/>
                <w:szCs w:val="20"/>
                <w:u w:val="none"/>
              </w:rPr>
            </w:pPr>
          </w:p>
        </w:tc>
        <w:tc>
          <w:tcPr>
            <w:tcW w:w="769" w:type="dxa"/>
            <w:vMerge w:val="continue"/>
            <w:shd w:val="clear" w:color="auto" w:fill="auto"/>
            <w:vAlign w:val="center"/>
          </w:tcPr>
          <w:p w14:paraId="2D956906">
            <w:pPr>
              <w:jc w:val="center"/>
              <w:rPr>
                <w:rFonts w:hint="eastAsia" w:ascii="宋体" w:hAnsi="宋体" w:eastAsia="宋体" w:cs="宋体"/>
                <w:i w:val="0"/>
                <w:iCs w:val="0"/>
                <w:color w:val="000000"/>
                <w:sz w:val="20"/>
                <w:szCs w:val="20"/>
                <w:u w:val="none"/>
              </w:rPr>
            </w:pPr>
          </w:p>
        </w:tc>
        <w:tc>
          <w:tcPr>
            <w:tcW w:w="999" w:type="dxa"/>
            <w:shd w:val="clear" w:color="auto" w:fill="auto"/>
            <w:vAlign w:val="center"/>
          </w:tcPr>
          <w:p w14:paraId="00A2B2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22" w:type="dxa"/>
            <w:shd w:val="clear" w:color="auto" w:fill="auto"/>
            <w:vAlign w:val="center"/>
          </w:tcPr>
          <w:p w14:paraId="070335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7" w:type="dxa"/>
            <w:shd w:val="clear" w:color="auto" w:fill="auto"/>
            <w:vAlign w:val="center"/>
          </w:tcPr>
          <w:p w14:paraId="129675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shd w:val="clear" w:color="auto" w:fill="auto"/>
            <w:vAlign w:val="center"/>
          </w:tcPr>
          <w:p w14:paraId="7F41A2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shd w:val="clear" w:color="auto" w:fill="auto"/>
            <w:vAlign w:val="center"/>
          </w:tcPr>
          <w:p w14:paraId="7354CF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2" w:type="dxa"/>
            <w:shd w:val="clear" w:color="auto" w:fill="auto"/>
            <w:vAlign w:val="center"/>
          </w:tcPr>
          <w:p w14:paraId="0A25F1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7A3403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23" w:type="dxa"/>
            <w:shd w:val="clear" w:color="auto" w:fill="auto"/>
            <w:vAlign w:val="center"/>
          </w:tcPr>
          <w:p w14:paraId="6FE4E8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7" w:type="dxa"/>
            <w:shd w:val="clear" w:color="auto" w:fill="auto"/>
            <w:vAlign w:val="center"/>
          </w:tcPr>
          <w:p w14:paraId="658C95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9" w:type="dxa"/>
            <w:shd w:val="clear" w:color="auto" w:fill="auto"/>
            <w:vAlign w:val="center"/>
          </w:tcPr>
          <w:p w14:paraId="2109F2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3EF4AE6D">
            <w:pPr>
              <w:keepNext w:val="0"/>
              <w:keepLines w:val="0"/>
              <w:widowControl/>
              <w:suppressLineNumbers w:val="0"/>
              <w:ind w:firstLine="400" w:firstLineChars="200"/>
              <w:jc w:val="center"/>
              <w:textAlignment w:val="center"/>
              <w:rPr>
                <w:rFonts w:hint="eastAsia" w:ascii="微软雅黑 Light" w:hAnsi="微软雅黑 Light" w:eastAsia="微软雅黑 Light" w:cs="微软雅黑 Light"/>
                <w:i w:val="0"/>
                <w:iCs w:val="0"/>
                <w:color w:val="FF0000"/>
                <w:sz w:val="24"/>
                <w:szCs w:val="24"/>
                <w:u w:val="none"/>
              </w:rPr>
            </w:pPr>
            <w:r>
              <w:rPr>
                <w:rFonts w:hint="eastAsia" w:ascii="宋体" w:hAnsi="宋体" w:eastAsia="宋体" w:cs="宋体"/>
                <w:i w:val="0"/>
                <w:iCs w:val="0"/>
                <w:color w:val="000000"/>
                <w:kern w:val="0"/>
                <w:sz w:val="20"/>
                <w:szCs w:val="20"/>
                <w:u w:val="none"/>
                <w:lang w:val="en-US" w:eastAsia="zh-CN" w:bidi="ar"/>
              </w:rPr>
              <w:t>/</w:t>
            </w:r>
          </w:p>
        </w:tc>
        <w:tc>
          <w:tcPr>
            <w:tcW w:w="1703" w:type="dxa"/>
            <w:shd w:val="clear" w:color="auto" w:fill="auto"/>
            <w:vAlign w:val="center"/>
          </w:tcPr>
          <w:p w14:paraId="2B507695">
            <w:pPr>
              <w:jc w:val="center"/>
              <w:rPr>
                <w:rFonts w:hint="eastAsia" w:ascii="宋体" w:hAnsi="宋体" w:eastAsia="宋体" w:cs="宋体"/>
                <w:i w:val="0"/>
                <w:iCs w:val="0"/>
                <w:color w:val="000000"/>
                <w:sz w:val="20"/>
                <w:szCs w:val="20"/>
                <w:u w:val="none"/>
              </w:rPr>
            </w:pPr>
          </w:p>
        </w:tc>
      </w:tr>
      <w:tr w14:paraId="76F4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69" w:type="dxa"/>
            <w:vMerge w:val="continue"/>
            <w:shd w:val="clear" w:color="auto" w:fill="auto"/>
            <w:vAlign w:val="center"/>
          </w:tcPr>
          <w:p w14:paraId="72A0D5B1">
            <w:pPr>
              <w:jc w:val="center"/>
              <w:rPr>
                <w:rFonts w:hint="eastAsia" w:ascii="宋体" w:hAnsi="宋体" w:eastAsia="宋体" w:cs="宋体"/>
                <w:i w:val="0"/>
                <w:iCs w:val="0"/>
                <w:color w:val="000000"/>
                <w:sz w:val="20"/>
                <w:szCs w:val="20"/>
                <w:u w:val="none"/>
              </w:rPr>
            </w:pPr>
          </w:p>
        </w:tc>
        <w:tc>
          <w:tcPr>
            <w:tcW w:w="769" w:type="dxa"/>
            <w:shd w:val="clear" w:color="auto" w:fill="auto"/>
            <w:vAlign w:val="center"/>
          </w:tcPr>
          <w:p w14:paraId="008431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99" w:type="dxa"/>
            <w:shd w:val="clear" w:color="auto" w:fill="auto"/>
            <w:vAlign w:val="center"/>
          </w:tcPr>
          <w:p w14:paraId="7D0F5C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22" w:type="dxa"/>
            <w:shd w:val="clear" w:color="auto" w:fill="auto"/>
            <w:vAlign w:val="center"/>
          </w:tcPr>
          <w:p w14:paraId="153366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7" w:type="dxa"/>
            <w:shd w:val="clear" w:color="auto" w:fill="auto"/>
            <w:vAlign w:val="center"/>
          </w:tcPr>
          <w:p w14:paraId="08836C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shd w:val="clear" w:color="auto" w:fill="auto"/>
            <w:vAlign w:val="center"/>
          </w:tcPr>
          <w:p w14:paraId="481B2C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shd w:val="clear" w:color="auto" w:fill="auto"/>
            <w:vAlign w:val="center"/>
          </w:tcPr>
          <w:p w14:paraId="7B2840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2" w:type="dxa"/>
            <w:shd w:val="clear" w:color="auto" w:fill="auto"/>
            <w:vAlign w:val="center"/>
          </w:tcPr>
          <w:p w14:paraId="1BD921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0D8B01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23" w:type="dxa"/>
            <w:shd w:val="clear" w:color="auto" w:fill="auto"/>
            <w:vAlign w:val="center"/>
          </w:tcPr>
          <w:p w14:paraId="74A81E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7" w:type="dxa"/>
            <w:shd w:val="clear" w:color="auto" w:fill="auto"/>
            <w:vAlign w:val="center"/>
          </w:tcPr>
          <w:p w14:paraId="54513F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9" w:type="dxa"/>
            <w:shd w:val="clear" w:color="auto" w:fill="auto"/>
            <w:vAlign w:val="center"/>
          </w:tcPr>
          <w:p w14:paraId="6FD072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shd w:val="clear" w:color="auto" w:fill="auto"/>
            <w:vAlign w:val="center"/>
          </w:tcPr>
          <w:p w14:paraId="36CD6C4C">
            <w:pPr>
              <w:keepNext w:val="0"/>
              <w:keepLines w:val="0"/>
              <w:widowControl/>
              <w:suppressLineNumbers w:val="0"/>
              <w:ind w:firstLine="400" w:firstLineChars="200"/>
              <w:jc w:val="center"/>
              <w:textAlignment w:val="center"/>
              <w:rPr>
                <w:rFonts w:hint="eastAsia" w:ascii="微软雅黑 Light" w:hAnsi="微软雅黑 Light" w:eastAsia="微软雅黑 Light" w:cs="微软雅黑 Light"/>
                <w:i w:val="0"/>
                <w:iCs w:val="0"/>
                <w:color w:val="FF0000"/>
                <w:sz w:val="24"/>
                <w:szCs w:val="24"/>
                <w:u w:val="none"/>
              </w:rPr>
            </w:pPr>
            <w:r>
              <w:rPr>
                <w:rFonts w:hint="eastAsia" w:ascii="宋体" w:hAnsi="宋体" w:eastAsia="宋体" w:cs="宋体"/>
                <w:i w:val="0"/>
                <w:iCs w:val="0"/>
                <w:color w:val="000000"/>
                <w:kern w:val="0"/>
                <w:sz w:val="20"/>
                <w:szCs w:val="20"/>
                <w:u w:val="none"/>
                <w:lang w:val="en-US" w:eastAsia="zh-CN" w:bidi="ar"/>
              </w:rPr>
              <w:t>/</w:t>
            </w:r>
          </w:p>
        </w:tc>
        <w:tc>
          <w:tcPr>
            <w:tcW w:w="1703" w:type="dxa"/>
            <w:shd w:val="clear" w:color="auto" w:fill="auto"/>
            <w:vAlign w:val="center"/>
          </w:tcPr>
          <w:p w14:paraId="7B749209">
            <w:pPr>
              <w:jc w:val="center"/>
              <w:rPr>
                <w:rFonts w:hint="eastAsia" w:ascii="宋体" w:hAnsi="宋体" w:eastAsia="宋体" w:cs="宋体"/>
                <w:i w:val="0"/>
                <w:iCs w:val="0"/>
                <w:color w:val="000000"/>
                <w:sz w:val="20"/>
                <w:szCs w:val="20"/>
                <w:u w:val="none"/>
              </w:rPr>
            </w:pPr>
          </w:p>
        </w:tc>
      </w:tr>
      <w:tr w14:paraId="46969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659" w:type="dxa"/>
            <w:gridSpan w:val="4"/>
            <w:shd w:val="clear" w:color="auto" w:fill="auto"/>
            <w:vAlign w:val="center"/>
          </w:tcPr>
          <w:p w14:paraId="6E8FCC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17" w:type="dxa"/>
            <w:shd w:val="clear" w:color="auto" w:fill="auto"/>
            <w:vAlign w:val="center"/>
          </w:tcPr>
          <w:p w14:paraId="127E9C29">
            <w:pPr>
              <w:jc w:val="center"/>
              <w:rPr>
                <w:rFonts w:hint="eastAsia" w:ascii="宋体" w:hAnsi="宋体" w:eastAsia="宋体" w:cs="宋体"/>
                <w:i w:val="0"/>
                <w:iCs w:val="0"/>
                <w:color w:val="000000"/>
                <w:sz w:val="20"/>
                <w:szCs w:val="20"/>
                <w:u w:val="none"/>
              </w:rPr>
            </w:pPr>
          </w:p>
        </w:tc>
        <w:tc>
          <w:tcPr>
            <w:tcW w:w="1010" w:type="dxa"/>
            <w:shd w:val="clear" w:color="auto" w:fill="auto"/>
            <w:vAlign w:val="center"/>
          </w:tcPr>
          <w:p w14:paraId="2C60245E">
            <w:pPr>
              <w:rPr>
                <w:rFonts w:hint="eastAsia" w:ascii="宋体" w:hAnsi="宋体" w:eastAsia="宋体" w:cs="宋体"/>
                <w:b/>
                <w:bCs/>
                <w:i w:val="0"/>
                <w:iCs w:val="0"/>
                <w:color w:val="000000"/>
                <w:sz w:val="20"/>
                <w:szCs w:val="20"/>
                <w:u w:val="none"/>
              </w:rPr>
            </w:pPr>
          </w:p>
        </w:tc>
        <w:tc>
          <w:tcPr>
            <w:tcW w:w="985" w:type="dxa"/>
            <w:shd w:val="clear" w:color="auto" w:fill="auto"/>
            <w:vAlign w:val="center"/>
          </w:tcPr>
          <w:p w14:paraId="0B28A198">
            <w:pPr>
              <w:jc w:val="center"/>
              <w:rPr>
                <w:rFonts w:hint="eastAsia" w:ascii="宋体" w:hAnsi="宋体" w:eastAsia="宋体" w:cs="宋体"/>
                <w:i w:val="0"/>
                <w:iCs w:val="0"/>
                <w:color w:val="000000"/>
                <w:sz w:val="20"/>
                <w:szCs w:val="20"/>
                <w:u w:val="none"/>
              </w:rPr>
            </w:pPr>
          </w:p>
        </w:tc>
        <w:tc>
          <w:tcPr>
            <w:tcW w:w="782" w:type="dxa"/>
            <w:shd w:val="clear" w:color="auto" w:fill="auto"/>
            <w:vAlign w:val="center"/>
          </w:tcPr>
          <w:p w14:paraId="75E3DD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81" w:type="dxa"/>
            <w:shd w:val="clear" w:color="auto" w:fill="auto"/>
            <w:vAlign w:val="center"/>
          </w:tcPr>
          <w:p w14:paraId="3D1576A0">
            <w:pPr>
              <w:jc w:val="center"/>
              <w:rPr>
                <w:rFonts w:hint="eastAsia" w:ascii="宋体" w:hAnsi="宋体" w:eastAsia="宋体" w:cs="宋体"/>
                <w:i w:val="0"/>
                <w:iCs w:val="0"/>
                <w:color w:val="000000"/>
                <w:sz w:val="20"/>
                <w:szCs w:val="20"/>
                <w:u w:val="none"/>
              </w:rPr>
            </w:pPr>
          </w:p>
        </w:tc>
        <w:tc>
          <w:tcPr>
            <w:tcW w:w="1223" w:type="dxa"/>
            <w:shd w:val="clear" w:color="auto" w:fill="auto"/>
            <w:vAlign w:val="center"/>
          </w:tcPr>
          <w:p w14:paraId="2DAA24BA">
            <w:pPr>
              <w:rPr>
                <w:rFonts w:hint="eastAsia" w:ascii="宋体" w:hAnsi="宋体" w:eastAsia="宋体" w:cs="宋体"/>
                <w:i w:val="0"/>
                <w:iCs w:val="0"/>
                <w:color w:val="000000"/>
                <w:sz w:val="20"/>
                <w:szCs w:val="20"/>
                <w:u w:val="none"/>
              </w:rPr>
            </w:pPr>
          </w:p>
        </w:tc>
        <w:tc>
          <w:tcPr>
            <w:tcW w:w="987" w:type="dxa"/>
            <w:shd w:val="clear" w:color="auto" w:fill="auto"/>
            <w:vAlign w:val="center"/>
          </w:tcPr>
          <w:p w14:paraId="68E9FAC1">
            <w:pPr>
              <w:rPr>
                <w:rFonts w:hint="eastAsia" w:ascii="宋体" w:hAnsi="宋体" w:eastAsia="宋体" w:cs="宋体"/>
                <w:i w:val="0"/>
                <w:iCs w:val="0"/>
                <w:color w:val="000000"/>
                <w:sz w:val="20"/>
                <w:szCs w:val="20"/>
                <w:u w:val="none"/>
              </w:rPr>
            </w:pPr>
          </w:p>
        </w:tc>
        <w:tc>
          <w:tcPr>
            <w:tcW w:w="1039" w:type="dxa"/>
            <w:shd w:val="clear" w:color="auto" w:fill="auto"/>
            <w:vAlign w:val="center"/>
          </w:tcPr>
          <w:p w14:paraId="7CB469B4">
            <w:pPr>
              <w:rPr>
                <w:rFonts w:hint="eastAsia" w:ascii="宋体" w:hAnsi="宋体" w:eastAsia="宋体" w:cs="宋体"/>
                <w:i w:val="0"/>
                <w:iCs w:val="0"/>
                <w:color w:val="000000"/>
                <w:sz w:val="20"/>
                <w:szCs w:val="20"/>
                <w:u w:val="none"/>
              </w:rPr>
            </w:pPr>
          </w:p>
        </w:tc>
        <w:tc>
          <w:tcPr>
            <w:tcW w:w="888" w:type="dxa"/>
            <w:shd w:val="clear" w:color="auto" w:fill="auto"/>
            <w:vAlign w:val="center"/>
          </w:tcPr>
          <w:p w14:paraId="6C780B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86.5</w:t>
            </w:r>
          </w:p>
        </w:tc>
        <w:tc>
          <w:tcPr>
            <w:tcW w:w="1703" w:type="dxa"/>
            <w:shd w:val="clear" w:color="auto" w:fill="auto"/>
            <w:vAlign w:val="center"/>
          </w:tcPr>
          <w:p w14:paraId="10BBDF51">
            <w:pPr>
              <w:rPr>
                <w:rFonts w:hint="eastAsia" w:ascii="宋体" w:hAnsi="宋体" w:eastAsia="宋体" w:cs="宋体"/>
                <w:i w:val="0"/>
                <w:iCs w:val="0"/>
                <w:color w:val="000000"/>
                <w:sz w:val="20"/>
                <w:szCs w:val="20"/>
                <w:u w:val="none"/>
              </w:rPr>
            </w:pPr>
          </w:p>
        </w:tc>
      </w:tr>
    </w:tbl>
    <w:p w14:paraId="6EE8D13A">
      <w:pPr>
        <w:rPr>
          <w:color w:val="auto"/>
          <w:highlight w:val="none"/>
        </w:rPr>
        <w:sectPr>
          <w:pgSz w:w="16838" w:h="11906" w:orient="landscape"/>
          <w:pgMar w:top="1800" w:right="1440" w:bottom="1800" w:left="1440" w:header="737" w:footer="851" w:gutter="0"/>
          <w:pgNumType w:fmt="decimal"/>
          <w:cols w:space="720" w:num="1"/>
          <w:docGrid w:type="lines" w:linePitch="408" w:charSpace="0"/>
        </w:sectPr>
      </w:pPr>
    </w:p>
    <w:p w14:paraId="10DA9781">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6"/>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0A35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713BBBB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43A7CE1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7E67037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0C18FE7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40DFA8D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3B14B93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6263FC2B">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27D8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60EC941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7F1D0BF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7DFD2A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4FF297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3DB2EB4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0A0FBF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02E5F82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CE319E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836BF2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1096953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8CAAC5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7A4CD92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6BDFEA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4FC8C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99CA39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1DB7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474906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992FA39">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6D1393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8FE38C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5AE075B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7B57270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47AC3C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2A54192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09F87CFF">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7A77D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DCDDFA4">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4CE66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5AD98969">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B8DBE7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1AFAA4F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6671124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EC3D83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38497BF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53C570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36B4A8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70C2AF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7260690A">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0A4979B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6C88E5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0DA1BB1">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BFB70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77784BD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01C61C0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2C1BFE2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46453A5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1FE8FF7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2C8A20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47A16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6A4A68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57F4FE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1BF0190">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7D689E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54D54D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5B85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28A6988D">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F7BBD3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07DA229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CF6848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4A3D7A7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3E4982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1995B4E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595E8E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6735DD0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20DC40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4172DA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3D75D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731E11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79CD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6219A30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D94F3F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CB975C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2343BB2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3126083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0F0118E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32174F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31D719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49297C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A6DF75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B815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56BC3FB6">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3719EDC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431A8A6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651E285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024EE46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5BA8648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8D1129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F845B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860AC3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3.2</w:t>
            </w:r>
          </w:p>
        </w:tc>
      </w:tr>
      <w:tr w14:paraId="343743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14515E89">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7344D5E">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8A2891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205217E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62B7432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9BD9B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7CB054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72DD1C6">
            <w:pPr>
              <w:widowControl/>
              <w:tabs>
                <w:tab w:val="left" w:pos="274"/>
              </w:tabs>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3.2</w:t>
            </w:r>
          </w:p>
        </w:tc>
      </w:tr>
      <w:tr w14:paraId="005EC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2BC9A64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385F3E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452E7D5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BF8369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8BDFFF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57C5D9D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3D3814B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8A6A16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68A76FE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7953396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6494C9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69DD5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888F8A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6DDE9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2A66F47">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8BA052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1553192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6F2612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194CC84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6040E1B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2E2DEE7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923FFD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0276608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078112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4C006E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4126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20A5F8A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E4DCA2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B1412F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C82A38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0A0CB22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27AFC01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E6F8D0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5E8BB4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4FBBDBE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785C862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7A1608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235D5C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85D7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219DD73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3C8826B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数量指标</w:t>
            </w:r>
          </w:p>
        </w:tc>
        <w:tc>
          <w:tcPr>
            <w:tcW w:w="820" w:type="dxa"/>
            <w:shd w:val="clear" w:color="auto" w:fill="auto"/>
            <w:noWrap w:val="0"/>
            <w:vAlign w:val="center"/>
          </w:tcPr>
          <w:p w14:paraId="62AF829E">
            <w:pPr>
              <w:widowControl/>
              <w:spacing w:line="0" w:lineRule="atLeast"/>
              <w:ind w:firstLine="0" w:firstLineChars="0"/>
              <w:jc w:val="center"/>
              <w:rPr>
                <w:rFonts w:hint="default" w:ascii="宋体" w:hAnsi="宋体" w:eastAsia="宋体" w:cs="宋体"/>
                <w:color w:val="auto"/>
                <w:kern w:val="0"/>
                <w:sz w:val="22"/>
                <w:szCs w:val="22"/>
                <w:highlight w:val="none"/>
                <w:lang w:val="en-US"/>
              </w:rPr>
            </w:pPr>
            <w:r>
              <w:rPr>
                <w:rFonts w:hint="eastAsia" w:ascii="宋体" w:hAnsi="宋体" w:eastAsia="宋体" w:cs="宋体"/>
                <w:color w:val="auto"/>
                <w:kern w:val="0"/>
                <w:sz w:val="22"/>
                <w:szCs w:val="22"/>
                <w:highlight w:val="none"/>
                <w:lang w:val="en-US" w:eastAsia="zh-CN"/>
              </w:rPr>
              <w:t>建造人大代表之家个数</w:t>
            </w:r>
          </w:p>
        </w:tc>
        <w:tc>
          <w:tcPr>
            <w:tcW w:w="2141" w:type="dxa"/>
            <w:shd w:val="clear" w:color="auto" w:fill="auto"/>
            <w:noWrap w:val="0"/>
            <w:vAlign w:val="center"/>
          </w:tcPr>
          <w:p w14:paraId="53A228B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0A3FBD1">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72D4102">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6A31E1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95268A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c>
          <w:tcPr>
            <w:tcW w:w="769" w:type="dxa"/>
            <w:shd w:val="clear" w:color="auto" w:fill="auto"/>
            <w:noWrap w:val="0"/>
            <w:vAlign w:val="center"/>
          </w:tcPr>
          <w:p w14:paraId="5D702D34">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120F5F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0CF35FF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0DCFB7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数量指标</w:t>
            </w:r>
          </w:p>
        </w:tc>
        <w:tc>
          <w:tcPr>
            <w:tcW w:w="820" w:type="dxa"/>
            <w:shd w:val="clear" w:color="auto" w:fill="auto"/>
            <w:noWrap w:val="0"/>
            <w:vAlign w:val="center"/>
          </w:tcPr>
          <w:p w14:paraId="71FC44C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学习观摩租车次数</w:t>
            </w:r>
          </w:p>
        </w:tc>
        <w:tc>
          <w:tcPr>
            <w:tcW w:w="2141" w:type="dxa"/>
            <w:shd w:val="clear" w:color="auto" w:fill="auto"/>
            <w:noWrap w:val="0"/>
            <w:vAlign w:val="center"/>
          </w:tcPr>
          <w:p w14:paraId="385539A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69B53FB">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79E7E7F">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9A941B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19D6A6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c>
          <w:tcPr>
            <w:tcW w:w="769" w:type="dxa"/>
            <w:shd w:val="clear" w:color="auto" w:fill="auto"/>
            <w:noWrap w:val="0"/>
            <w:vAlign w:val="center"/>
          </w:tcPr>
          <w:p w14:paraId="41B26C3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1740DB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B146AB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1387BE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数量指标</w:t>
            </w:r>
          </w:p>
        </w:tc>
        <w:tc>
          <w:tcPr>
            <w:tcW w:w="820" w:type="dxa"/>
            <w:shd w:val="clear" w:color="auto" w:fill="auto"/>
            <w:noWrap w:val="0"/>
            <w:vAlign w:val="center"/>
          </w:tcPr>
          <w:p w14:paraId="626D9E1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代表之家版面制作个数</w:t>
            </w:r>
          </w:p>
        </w:tc>
        <w:tc>
          <w:tcPr>
            <w:tcW w:w="2141" w:type="dxa"/>
            <w:shd w:val="clear" w:color="auto" w:fill="auto"/>
            <w:noWrap w:val="0"/>
            <w:vAlign w:val="center"/>
          </w:tcPr>
          <w:p w14:paraId="733E4CA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C38C588">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3B80891">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14252F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DC0058A">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c>
          <w:tcPr>
            <w:tcW w:w="769" w:type="dxa"/>
            <w:shd w:val="clear" w:color="auto" w:fill="auto"/>
            <w:noWrap w:val="0"/>
            <w:vAlign w:val="center"/>
          </w:tcPr>
          <w:p w14:paraId="3C10B92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7A96BB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23B4922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283E66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质量指标</w:t>
            </w:r>
          </w:p>
        </w:tc>
        <w:tc>
          <w:tcPr>
            <w:tcW w:w="820" w:type="dxa"/>
            <w:shd w:val="clear" w:color="auto" w:fill="auto"/>
            <w:noWrap w:val="0"/>
            <w:vAlign w:val="center"/>
          </w:tcPr>
          <w:p w14:paraId="51B21ED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代表之家版面达标率</w:t>
            </w:r>
          </w:p>
        </w:tc>
        <w:tc>
          <w:tcPr>
            <w:tcW w:w="2141" w:type="dxa"/>
            <w:shd w:val="clear" w:color="auto" w:fill="auto"/>
            <w:noWrap w:val="0"/>
            <w:vAlign w:val="center"/>
          </w:tcPr>
          <w:p w14:paraId="06FBC6D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C90270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822487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4E72880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c>
          <w:tcPr>
            <w:tcW w:w="769" w:type="dxa"/>
            <w:shd w:val="clear" w:color="auto" w:fill="auto"/>
            <w:noWrap w:val="0"/>
            <w:vAlign w:val="center"/>
          </w:tcPr>
          <w:p w14:paraId="0E3BAFF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1E7F2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3A25D5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6D902CB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时效指标</w:t>
            </w:r>
          </w:p>
        </w:tc>
        <w:tc>
          <w:tcPr>
            <w:tcW w:w="820" w:type="dxa"/>
            <w:shd w:val="clear" w:color="auto" w:fill="auto"/>
            <w:noWrap w:val="0"/>
            <w:vAlign w:val="center"/>
          </w:tcPr>
          <w:p w14:paraId="55026BD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代表之家资金拨付及时率</w:t>
            </w:r>
          </w:p>
        </w:tc>
        <w:tc>
          <w:tcPr>
            <w:tcW w:w="2141" w:type="dxa"/>
            <w:shd w:val="clear" w:color="auto" w:fill="auto"/>
            <w:noWrap w:val="0"/>
            <w:vAlign w:val="center"/>
          </w:tcPr>
          <w:p w14:paraId="27F674B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A651195">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DE3A04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04BD17A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w:t>
            </w:r>
          </w:p>
        </w:tc>
        <w:tc>
          <w:tcPr>
            <w:tcW w:w="769" w:type="dxa"/>
            <w:shd w:val="clear" w:color="auto" w:fill="auto"/>
            <w:noWrap w:val="0"/>
            <w:vAlign w:val="center"/>
          </w:tcPr>
          <w:p w14:paraId="3368B8E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1.6</w:t>
            </w:r>
          </w:p>
        </w:tc>
      </w:tr>
      <w:tr w14:paraId="19944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D564D4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3454F9A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时效指标</w:t>
            </w:r>
          </w:p>
        </w:tc>
        <w:tc>
          <w:tcPr>
            <w:tcW w:w="820" w:type="dxa"/>
            <w:shd w:val="clear" w:color="auto" w:fill="auto"/>
            <w:noWrap w:val="0"/>
            <w:vAlign w:val="center"/>
          </w:tcPr>
          <w:p w14:paraId="1645456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上半年代表之家资金拨付时间</w:t>
            </w:r>
          </w:p>
        </w:tc>
        <w:tc>
          <w:tcPr>
            <w:tcW w:w="2141" w:type="dxa"/>
            <w:shd w:val="clear" w:color="auto" w:fill="auto"/>
            <w:noWrap w:val="0"/>
            <w:vAlign w:val="center"/>
          </w:tcPr>
          <w:p w14:paraId="188561C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29AADCA">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82EFA7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903F1A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3</w:t>
            </w:r>
          </w:p>
        </w:tc>
        <w:tc>
          <w:tcPr>
            <w:tcW w:w="769" w:type="dxa"/>
            <w:shd w:val="clear" w:color="auto" w:fill="auto"/>
            <w:noWrap w:val="0"/>
            <w:vAlign w:val="center"/>
          </w:tcPr>
          <w:p w14:paraId="186AFE5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3</w:t>
            </w:r>
          </w:p>
        </w:tc>
      </w:tr>
      <w:tr w14:paraId="35B58F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67536A0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087E783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成本指标</w:t>
            </w:r>
          </w:p>
        </w:tc>
        <w:tc>
          <w:tcPr>
            <w:tcW w:w="820" w:type="dxa"/>
            <w:shd w:val="clear" w:color="auto" w:fill="auto"/>
            <w:noWrap w:val="0"/>
            <w:vAlign w:val="center"/>
          </w:tcPr>
          <w:p w14:paraId="12585A4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代表之家拨付标准</w:t>
            </w:r>
          </w:p>
        </w:tc>
        <w:tc>
          <w:tcPr>
            <w:tcW w:w="2141" w:type="dxa"/>
            <w:shd w:val="clear" w:color="auto" w:fill="auto"/>
            <w:noWrap w:val="0"/>
            <w:vAlign w:val="center"/>
          </w:tcPr>
          <w:p w14:paraId="78647E1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2A46992">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p>
          <w:p w14:paraId="70653A4D">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FF17C34">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8B9511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C92A1F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c>
          <w:tcPr>
            <w:tcW w:w="769" w:type="dxa"/>
            <w:shd w:val="clear" w:color="auto" w:fill="auto"/>
            <w:noWrap w:val="0"/>
            <w:vAlign w:val="center"/>
          </w:tcPr>
          <w:p w14:paraId="5972F80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0641D7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44FDE2A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4E5FCD0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DFE9DD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代表之家补助，充分体现党和政府对人大代表的关心和关怀</w:t>
            </w:r>
          </w:p>
        </w:tc>
        <w:tc>
          <w:tcPr>
            <w:tcW w:w="2141" w:type="dxa"/>
            <w:shd w:val="clear" w:color="auto" w:fill="auto"/>
            <w:noWrap w:val="0"/>
            <w:vAlign w:val="center"/>
          </w:tcPr>
          <w:p w14:paraId="3049D43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DFFA69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501DE8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15</w:t>
            </w:r>
          </w:p>
        </w:tc>
        <w:tc>
          <w:tcPr>
            <w:tcW w:w="769" w:type="dxa"/>
            <w:shd w:val="clear" w:color="auto" w:fill="auto"/>
            <w:noWrap w:val="0"/>
            <w:vAlign w:val="center"/>
          </w:tcPr>
          <w:p w14:paraId="57270EE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15</w:t>
            </w:r>
          </w:p>
        </w:tc>
      </w:tr>
      <w:tr w14:paraId="649FF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5E3B5EC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EE9E8F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14:paraId="18F1F5B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人大代表</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5B0DC27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16584B0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123E10B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15</w:t>
            </w:r>
          </w:p>
        </w:tc>
        <w:tc>
          <w:tcPr>
            <w:tcW w:w="769" w:type="dxa"/>
            <w:shd w:val="clear" w:color="auto" w:fill="auto"/>
            <w:noWrap w:val="0"/>
            <w:vAlign w:val="center"/>
          </w:tcPr>
          <w:p w14:paraId="49AB174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15</w:t>
            </w:r>
          </w:p>
        </w:tc>
      </w:tr>
      <w:tr w14:paraId="5AF1D5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1D2E553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3338D45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18A9457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100</w:t>
            </w:r>
          </w:p>
        </w:tc>
        <w:tc>
          <w:tcPr>
            <w:tcW w:w="769" w:type="dxa"/>
            <w:shd w:val="clear" w:color="auto" w:fill="auto"/>
            <w:noWrap w:val="0"/>
            <w:vAlign w:val="center"/>
          </w:tcPr>
          <w:p w14:paraId="542B888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96</w:t>
            </w:r>
          </w:p>
        </w:tc>
      </w:tr>
    </w:tbl>
    <w:p w14:paraId="11B59048">
      <w:pPr>
        <w:spacing w:line="240" w:lineRule="auto"/>
        <w:ind w:firstLine="0" w:firstLineChars="0"/>
        <w:rPr>
          <w:rFonts w:ascii="Times New Roman" w:hAnsi="Times New Roman" w:eastAsia="仿宋_GB2312" w:cs="Times New Roman"/>
          <w:color w:val="auto"/>
          <w:sz w:val="30"/>
          <w:szCs w:val="24"/>
          <w:highlight w:val="none"/>
        </w:rPr>
      </w:pPr>
    </w:p>
    <w:p w14:paraId="14ECFA54">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A7CE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6075F2">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56075F2">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D6E45F3C"/>
    <w:multiLevelType w:val="singleLevel"/>
    <w:tmpl w:val="D6E45F3C"/>
    <w:lvl w:ilvl="0" w:tentative="0">
      <w:start w:val="3"/>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192652E"/>
    <w:rsid w:val="02200440"/>
    <w:rsid w:val="02284B43"/>
    <w:rsid w:val="02B015E2"/>
    <w:rsid w:val="02DC08FA"/>
    <w:rsid w:val="02DD1A2B"/>
    <w:rsid w:val="02F76F90"/>
    <w:rsid w:val="033B569D"/>
    <w:rsid w:val="035A307B"/>
    <w:rsid w:val="039C3BA0"/>
    <w:rsid w:val="039E4F5A"/>
    <w:rsid w:val="03A845BB"/>
    <w:rsid w:val="03B45AD1"/>
    <w:rsid w:val="04D12EE4"/>
    <w:rsid w:val="04D63993"/>
    <w:rsid w:val="06A12DF2"/>
    <w:rsid w:val="07890F4F"/>
    <w:rsid w:val="08113EC9"/>
    <w:rsid w:val="08892439"/>
    <w:rsid w:val="08EB30F3"/>
    <w:rsid w:val="09237408"/>
    <w:rsid w:val="09781BD6"/>
    <w:rsid w:val="09F359DF"/>
    <w:rsid w:val="0A4F7D66"/>
    <w:rsid w:val="0A575E65"/>
    <w:rsid w:val="0ACA0AB6"/>
    <w:rsid w:val="0B784AFB"/>
    <w:rsid w:val="0C032502"/>
    <w:rsid w:val="0C27698C"/>
    <w:rsid w:val="0CFD51A3"/>
    <w:rsid w:val="0D4452F3"/>
    <w:rsid w:val="0EDC53C3"/>
    <w:rsid w:val="0EDF7256"/>
    <w:rsid w:val="0EFB479D"/>
    <w:rsid w:val="0F5E5042"/>
    <w:rsid w:val="0F792568"/>
    <w:rsid w:val="0FA20852"/>
    <w:rsid w:val="0FE95707"/>
    <w:rsid w:val="10505F32"/>
    <w:rsid w:val="10510571"/>
    <w:rsid w:val="10787A20"/>
    <w:rsid w:val="108672DE"/>
    <w:rsid w:val="10EC685A"/>
    <w:rsid w:val="11FA6155"/>
    <w:rsid w:val="12C34799"/>
    <w:rsid w:val="12CF0947"/>
    <w:rsid w:val="12F1313F"/>
    <w:rsid w:val="136C678E"/>
    <w:rsid w:val="13EB2FF5"/>
    <w:rsid w:val="14BF0FE2"/>
    <w:rsid w:val="15A46B04"/>
    <w:rsid w:val="165825BC"/>
    <w:rsid w:val="1672275E"/>
    <w:rsid w:val="16B03286"/>
    <w:rsid w:val="16BC5D73"/>
    <w:rsid w:val="176F36D7"/>
    <w:rsid w:val="1795226D"/>
    <w:rsid w:val="17FB6783"/>
    <w:rsid w:val="18456B1E"/>
    <w:rsid w:val="18F7519C"/>
    <w:rsid w:val="19854F1A"/>
    <w:rsid w:val="1ADC4443"/>
    <w:rsid w:val="1B7C7BDB"/>
    <w:rsid w:val="1C1171C5"/>
    <w:rsid w:val="1D265138"/>
    <w:rsid w:val="1D7B6BCA"/>
    <w:rsid w:val="1DA41A79"/>
    <w:rsid w:val="1DAC200D"/>
    <w:rsid w:val="1DEF28E6"/>
    <w:rsid w:val="1DF53469"/>
    <w:rsid w:val="1E2F24F2"/>
    <w:rsid w:val="1E2F7187"/>
    <w:rsid w:val="1E58492F"/>
    <w:rsid w:val="1E5B6757"/>
    <w:rsid w:val="1ED10AC6"/>
    <w:rsid w:val="1EEA12FF"/>
    <w:rsid w:val="1F89225F"/>
    <w:rsid w:val="1F900A1F"/>
    <w:rsid w:val="1FB02360"/>
    <w:rsid w:val="1FB931AC"/>
    <w:rsid w:val="1FC0575D"/>
    <w:rsid w:val="206132C7"/>
    <w:rsid w:val="21B00C1D"/>
    <w:rsid w:val="21C73351"/>
    <w:rsid w:val="222B47EE"/>
    <w:rsid w:val="22916662"/>
    <w:rsid w:val="22FE0069"/>
    <w:rsid w:val="23031BEB"/>
    <w:rsid w:val="23917691"/>
    <w:rsid w:val="242332EA"/>
    <w:rsid w:val="244D65B8"/>
    <w:rsid w:val="245E1E24"/>
    <w:rsid w:val="24F15196"/>
    <w:rsid w:val="25AD5E5D"/>
    <w:rsid w:val="269008BE"/>
    <w:rsid w:val="269E4829"/>
    <w:rsid w:val="2732478D"/>
    <w:rsid w:val="27637EA1"/>
    <w:rsid w:val="27661469"/>
    <w:rsid w:val="27900EAD"/>
    <w:rsid w:val="279B538A"/>
    <w:rsid w:val="285F68BA"/>
    <w:rsid w:val="286F545C"/>
    <w:rsid w:val="28A610B4"/>
    <w:rsid w:val="28D248B2"/>
    <w:rsid w:val="29314FBC"/>
    <w:rsid w:val="29DB3DB9"/>
    <w:rsid w:val="2C024B86"/>
    <w:rsid w:val="2C850C79"/>
    <w:rsid w:val="2C927671"/>
    <w:rsid w:val="2D7C5CD6"/>
    <w:rsid w:val="2E483E7E"/>
    <w:rsid w:val="2E532A1D"/>
    <w:rsid w:val="2E690493"/>
    <w:rsid w:val="2E9854BD"/>
    <w:rsid w:val="2F0D407F"/>
    <w:rsid w:val="2F454B19"/>
    <w:rsid w:val="2F885677"/>
    <w:rsid w:val="310224D9"/>
    <w:rsid w:val="31B4621C"/>
    <w:rsid w:val="31D43E75"/>
    <w:rsid w:val="31E3230A"/>
    <w:rsid w:val="330957E0"/>
    <w:rsid w:val="33356F64"/>
    <w:rsid w:val="33944516"/>
    <w:rsid w:val="3422520A"/>
    <w:rsid w:val="344828F8"/>
    <w:rsid w:val="34B62907"/>
    <w:rsid w:val="35CA0AB1"/>
    <w:rsid w:val="36BD137C"/>
    <w:rsid w:val="385D37E7"/>
    <w:rsid w:val="38782EDD"/>
    <w:rsid w:val="39ED5F01"/>
    <w:rsid w:val="3B42664A"/>
    <w:rsid w:val="3B491430"/>
    <w:rsid w:val="3D3E2AEA"/>
    <w:rsid w:val="3D836A4E"/>
    <w:rsid w:val="3EA37E97"/>
    <w:rsid w:val="3F8F7490"/>
    <w:rsid w:val="3FBE0BC5"/>
    <w:rsid w:val="4004510F"/>
    <w:rsid w:val="4048103A"/>
    <w:rsid w:val="40736643"/>
    <w:rsid w:val="40D24A7A"/>
    <w:rsid w:val="40DB0316"/>
    <w:rsid w:val="419B0525"/>
    <w:rsid w:val="41D32F6E"/>
    <w:rsid w:val="42621029"/>
    <w:rsid w:val="426A48CD"/>
    <w:rsid w:val="435241E2"/>
    <w:rsid w:val="43975C51"/>
    <w:rsid w:val="439E3FA7"/>
    <w:rsid w:val="43D531D7"/>
    <w:rsid w:val="44B32266"/>
    <w:rsid w:val="44FC64F4"/>
    <w:rsid w:val="467F4585"/>
    <w:rsid w:val="46B1515D"/>
    <w:rsid w:val="46B300A5"/>
    <w:rsid w:val="46F10BCE"/>
    <w:rsid w:val="470628CB"/>
    <w:rsid w:val="47555BD4"/>
    <w:rsid w:val="47E96399"/>
    <w:rsid w:val="48E12B50"/>
    <w:rsid w:val="499441BE"/>
    <w:rsid w:val="499A6C1C"/>
    <w:rsid w:val="49A40179"/>
    <w:rsid w:val="49A975FC"/>
    <w:rsid w:val="4A2138F0"/>
    <w:rsid w:val="4A583887"/>
    <w:rsid w:val="4B9F6E02"/>
    <w:rsid w:val="4C89637B"/>
    <w:rsid w:val="4CE511D4"/>
    <w:rsid w:val="4E6E48A8"/>
    <w:rsid w:val="4E704ACE"/>
    <w:rsid w:val="4EEC036B"/>
    <w:rsid w:val="4F2232E5"/>
    <w:rsid w:val="501D2673"/>
    <w:rsid w:val="50C80BF1"/>
    <w:rsid w:val="51482137"/>
    <w:rsid w:val="51852833"/>
    <w:rsid w:val="51F223CA"/>
    <w:rsid w:val="52F11AC8"/>
    <w:rsid w:val="53195734"/>
    <w:rsid w:val="534F49D9"/>
    <w:rsid w:val="53555F0F"/>
    <w:rsid w:val="535D23D5"/>
    <w:rsid w:val="549845F7"/>
    <w:rsid w:val="55DD0C9B"/>
    <w:rsid w:val="56F4341A"/>
    <w:rsid w:val="575203EC"/>
    <w:rsid w:val="575A7321"/>
    <w:rsid w:val="57E52089"/>
    <w:rsid w:val="580C3AB9"/>
    <w:rsid w:val="583C7AE0"/>
    <w:rsid w:val="586C1E9A"/>
    <w:rsid w:val="586E0800"/>
    <w:rsid w:val="59216F96"/>
    <w:rsid w:val="598C4145"/>
    <w:rsid w:val="59957D1B"/>
    <w:rsid w:val="59CD183D"/>
    <w:rsid w:val="59D4294E"/>
    <w:rsid w:val="5B634312"/>
    <w:rsid w:val="5B9D2CCD"/>
    <w:rsid w:val="5B9E0314"/>
    <w:rsid w:val="5B9E71EA"/>
    <w:rsid w:val="5D7851A4"/>
    <w:rsid w:val="5E1F2B2E"/>
    <w:rsid w:val="5E226FBC"/>
    <w:rsid w:val="5E2A3D8D"/>
    <w:rsid w:val="5E514168"/>
    <w:rsid w:val="5FE72BD2"/>
    <w:rsid w:val="60120613"/>
    <w:rsid w:val="60AA22C8"/>
    <w:rsid w:val="61354081"/>
    <w:rsid w:val="618D5292"/>
    <w:rsid w:val="622E78FA"/>
    <w:rsid w:val="628C02D0"/>
    <w:rsid w:val="63343F70"/>
    <w:rsid w:val="64296E1C"/>
    <w:rsid w:val="649E64A2"/>
    <w:rsid w:val="65E5270A"/>
    <w:rsid w:val="663D3C54"/>
    <w:rsid w:val="66862C89"/>
    <w:rsid w:val="66BB486D"/>
    <w:rsid w:val="67394C7D"/>
    <w:rsid w:val="68126B38"/>
    <w:rsid w:val="68291A1A"/>
    <w:rsid w:val="68352BB8"/>
    <w:rsid w:val="691B1594"/>
    <w:rsid w:val="692A15AB"/>
    <w:rsid w:val="693A016B"/>
    <w:rsid w:val="69C8731A"/>
    <w:rsid w:val="6A17429C"/>
    <w:rsid w:val="6A567EA3"/>
    <w:rsid w:val="6A866FFE"/>
    <w:rsid w:val="6B06400E"/>
    <w:rsid w:val="6B4B4368"/>
    <w:rsid w:val="6B79100E"/>
    <w:rsid w:val="6C844C00"/>
    <w:rsid w:val="6CC462B9"/>
    <w:rsid w:val="6DA22FA2"/>
    <w:rsid w:val="6E10212C"/>
    <w:rsid w:val="6E43561A"/>
    <w:rsid w:val="6E557973"/>
    <w:rsid w:val="6E9568DB"/>
    <w:rsid w:val="6F0D6C22"/>
    <w:rsid w:val="6F47657F"/>
    <w:rsid w:val="6FAF23D9"/>
    <w:rsid w:val="70635CF6"/>
    <w:rsid w:val="70670707"/>
    <w:rsid w:val="70710506"/>
    <w:rsid w:val="70B76860"/>
    <w:rsid w:val="71FC02A3"/>
    <w:rsid w:val="720E3691"/>
    <w:rsid w:val="724E244C"/>
    <w:rsid w:val="72DA6946"/>
    <w:rsid w:val="732764B3"/>
    <w:rsid w:val="74026044"/>
    <w:rsid w:val="74746410"/>
    <w:rsid w:val="75E5007C"/>
    <w:rsid w:val="76393874"/>
    <w:rsid w:val="77813724"/>
    <w:rsid w:val="77861774"/>
    <w:rsid w:val="783E119C"/>
    <w:rsid w:val="78F31435"/>
    <w:rsid w:val="79300B45"/>
    <w:rsid w:val="794D3E18"/>
    <w:rsid w:val="79F3729A"/>
    <w:rsid w:val="7A880722"/>
    <w:rsid w:val="7AB045D4"/>
    <w:rsid w:val="7ACB0498"/>
    <w:rsid w:val="7AED0B4D"/>
    <w:rsid w:val="7C064958"/>
    <w:rsid w:val="7C1E4487"/>
    <w:rsid w:val="7C215E02"/>
    <w:rsid w:val="7C99506C"/>
    <w:rsid w:val="7CF23764"/>
    <w:rsid w:val="7D6733BC"/>
    <w:rsid w:val="7D7A30EF"/>
    <w:rsid w:val="7E797F74"/>
    <w:rsid w:val="7F5C05D3"/>
    <w:rsid w:val="7F924011"/>
    <w:rsid w:val="7FC52DC2"/>
    <w:rsid w:val="7FDB5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9094</Words>
  <Characters>9459</Characters>
  <Lines>0</Lines>
  <Paragraphs>0</Paragraphs>
  <TotalTime>2</TotalTime>
  <ScaleCrop>false</ScaleCrop>
  <LinksUpToDate>false</LinksUpToDate>
  <CharactersWithSpaces>9478</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2024-10-10T06:39:32Z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