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6709E">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bookmarkStart w:id="128" w:name="_GoBack"/>
      <w:bookmarkEnd w:id="128"/>
    </w:p>
    <w:p w14:paraId="21AE1276">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10380D0">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A0679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2022年阳光食品建设</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w:t>
      </w:r>
    </w:p>
    <w:p w14:paraId="530ABB8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p>
    <w:bookmarkEnd w:id="0"/>
    <w:p w14:paraId="4E44EDB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352C3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ADAAB6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4F818D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140436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5E7C81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A132F2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445201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w:t>
      </w:r>
      <w:r>
        <w:rPr>
          <w:rFonts w:hint="eastAsia" w:cs="宋体"/>
          <w:b/>
          <w:color w:val="auto"/>
          <w:kern w:val="2"/>
          <w:sz w:val="28"/>
          <w:szCs w:val="28"/>
          <w:highlight w:val="none"/>
          <w:shd w:val="clear" w:color="auto" w:fill="auto"/>
          <w:lang w:val="en-US" w:eastAsia="zh-CN"/>
        </w:rPr>
        <w:t>2022年阳光食品建设项目</w:t>
      </w:r>
    </w:p>
    <w:p w14:paraId="0213860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auto"/>
          <w:kern w:val="2"/>
          <w:sz w:val="28"/>
          <w:szCs w:val="28"/>
          <w:highlight w:val="none"/>
          <w:shd w:val="clear" w:color="auto" w:fill="auto"/>
          <w:lang w:val="en-US" w:eastAsia="zh-CN"/>
        </w:rPr>
        <w:t>阜康市市场监督管理局</w:t>
      </w:r>
    </w:p>
    <w:p w14:paraId="46B8AD2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auto"/>
          <w:kern w:val="2"/>
          <w:sz w:val="28"/>
          <w:szCs w:val="28"/>
          <w:highlight w:val="none"/>
          <w:shd w:val="clear" w:color="auto" w:fill="auto"/>
          <w:lang w:val="en-US" w:eastAsia="zh-CN"/>
        </w:rPr>
        <w:t>阜康市市场监督管理局</w:t>
      </w:r>
    </w:p>
    <w:p w14:paraId="3022ADB1">
      <w:pPr>
        <w:pStyle w:val="13"/>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05EFD140">
      <w:pPr>
        <w:rPr>
          <w:rFonts w:hint="eastAsia"/>
          <w:lang w:val="en-US" w:eastAsia="zh-CN"/>
        </w:rPr>
      </w:pPr>
      <w:r>
        <w:rPr>
          <w:rFonts w:hint="eastAsia"/>
          <w:lang w:val="en-US" w:eastAsia="zh-CN"/>
        </w:rPr>
        <w:br w:type="page"/>
      </w:r>
    </w:p>
    <w:p w14:paraId="28C74F8E">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14:paraId="7E58296B">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14:paraId="2CFB377E">
          <w:pPr>
            <w:pStyle w:val="11"/>
            <w:tabs>
              <w:tab w:val="right" w:leader="dot" w:pos="8844"/>
            </w:tabs>
            <w:rPr>
              <w:b/>
              <w:bCs/>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6F6124B7">
          <w:pPr>
            <w:pStyle w:val="11"/>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b/>
              <w:bCs/>
            </w:rPr>
          </w:pPr>
          <w:r>
            <w:rPr>
              <w:rFonts w:hint="eastAsia" w:ascii="宋体" w:hAnsi="宋体" w:eastAsia="宋体" w:cs="宋体"/>
              <w:b/>
              <w:bCs/>
              <w:szCs w:val="28"/>
              <w:lang w:val="en-US" w:eastAsia="zh-CN"/>
            </w:rPr>
            <w:fldChar w:fldCharType="begin"/>
          </w:r>
          <w:r>
            <w:rPr>
              <w:rFonts w:hint="eastAsia" w:ascii="宋体" w:hAnsi="宋体" w:eastAsia="宋体" w:cs="宋体"/>
              <w:b/>
              <w:bCs/>
              <w:szCs w:val="28"/>
              <w:lang w:val="en-US" w:eastAsia="zh-CN"/>
            </w:rPr>
            <w:instrText xml:space="preserve"> HYPERLINK \l _Toc30375 </w:instrText>
          </w:r>
          <w:r>
            <w:rPr>
              <w:rFonts w:hint="eastAsia" w:ascii="宋体" w:hAnsi="宋体" w:eastAsia="宋体" w:cs="宋体"/>
              <w:b/>
              <w:bCs/>
              <w:szCs w:val="28"/>
              <w:lang w:val="en-US" w:eastAsia="zh-CN"/>
            </w:rPr>
            <w:fldChar w:fldCharType="separate"/>
          </w:r>
          <w:r>
            <w:rPr>
              <w:rFonts w:hint="eastAsia" w:ascii="宋体" w:hAnsi="宋体" w:eastAsia="宋体" w:cs="宋体"/>
              <w:b/>
              <w:bCs/>
              <w:highlight w:val="none"/>
              <w:shd w:val="clear" w:color="auto" w:fill="auto"/>
            </w:rPr>
            <w:t>一、基本情况</w:t>
          </w:r>
          <w:r>
            <w:rPr>
              <w:rFonts w:hint="eastAsia" w:ascii="宋体" w:hAnsi="宋体" w:eastAsia="宋体" w:cs="宋体"/>
              <w:b/>
              <w:bCs/>
            </w:rPr>
            <w:tab/>
          </w:r>
          <w:r>
            <w:rPr>
              <w:rFonts w:hint="eastAsia" w:ascii="宋体" w:hAnsi="宋体" w:eastAsia="宋体" w:cs="宋体"/>
              <w:b/>
              <w:bCs/>
            </w:rPr>
            <w:fldChar w:fldCharType="begin"/>
          </w:r>
          <w:r>
            <w:rPr>
              <w:rFonts w:hint="eastAsia" w:ascii="宋体" w:hAnsi="宋体" w:eastAsia="宋体" w:cs="宋体"/>
              <w:b/>
              <w:bCs/>
            </w:rPr>
            <w:instrText xml:space="preserve"> PAGEREF _Toc30375 \h </w:instrText>
          </w:r>
          <w:r>
            <w:rPr>
              <w:rFonts w:hint="eastAsia" w:ascii="宋体" w:hAnsi="宋体" w:eastAsia="宋体" w:cs="宋体"/>
              <w:b/>
              <w:bCs/>
            </w:rPr>
            <w:fldChar w:fldCharType="separate"/>
          </w:r>
          <w:r>
            <w:rPr>
              <w:rFonts w:hint="eastAsia" w:ascii="宋体" w:hAnsi="宋体" w:eastAsia="宋体" w:cs="宋体"/>
              <w:b/>
              <w:bCs/>
            </w:rPr>
            <w:t>1</w:t>
          </w:r>
          <w:r>
            <w:rPr>
              <w:rFonts w:hint="eastAsia" w:ascii="宋体" w:hAnsi="宋体" w:eastAsia="宋体" w:cs="宋体"/>
              <w:b/>
              <w:bCs/>
            </w:rPr>
            <w:fldChar w:fldCharType="end"/>
          </w:r>
          <w:r>
            <w:rPr>
              <w:rFonts w:hint="eastAsia" w:ascii="宋体" w:hAnsi="宋体" w:eastAsia="宋体" w:cs="宋体"/>
              <w:b/>
              <w:bCs/>
              <w:szCs w:val="28"/>
              <w:lang w:val="en-US" w:eastAsia="zh-CN"/>
            </w:rPr>
            <w:fldChar w:fldCharType="end"/>
          </w:r>
        </w:p>
        <w:p w14:paraId="7961E37B">
          <w:pPr>
            <w:pStyle w:val="12"/>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szCs w:val="28"/>
              <w:lang w:val="en-US" w:eastAsia="zh-CN"/>
            </w:rPr>
            <w:fldChar w:fldCharType="begin"/>
          </w:r>
          <w:r>
            <w:rPr>
              <w:rFonts w:hint="eastAsia" w:ascii="宋体" w:hAnsi="宋体" w:eastAsia="宋体" w:cs="宋体"/>
              <w:szCs w:val="28"/>
              <w:lang w:val="en-US" w:eastAsia="zh-CN"/>
            </w:rPr>
            <w:instrText xml:space="preserve"> HYPERLINK \l _Toc3773 </w:instrText>
          </w:r>
          <w:r>
            <w:rPr>
              <w:rFonts w:hint="eastAsia" w:ascii="宋体" w:hAnsi="宋体" w:eastAsia="宋体" w:cs="宋体"/>
              <w:szCs w:val="28"/>
              <w:lang w:val="en-US" w:eastAsia="zh-CN"/>
            </w:rPr>
            <w:fldChar w:fldCharType="separate"/>
          </w:r>
          <w:r>
            <w:rPr>
              <w:rFonts w:hint="eastAsia" w:ascii="宋体" w:hAnsi="宋体" w:eastAsia="宋体" w:cs="宋体"/>
              <w:highlight w:val="none"/>
              <w:shd w:val="clear" w:color="auto" w:fill="auto"/>
            </w:rPr>
            <w:t>（一）项目概况</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_Toc3773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szCs w:val="28"/>
              <w:lang w:val="en-US" w:eastAsia="zh-CN"/>
            </w:rPr>
            <w:fldChar w:fldCharType="end"/>
          </w:r>
        </w:p>
        <w:p w14:paraId="4513E57B">
          <w:pPr>
            <w:pStyle w:val="12"/>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szCs w:val="28"/>
              <w:lang w:val="en-US" w:eastAsia="zh-CN"/>
            </w:rPr>
            <w:fldChar w:fldCharType="begin"/>
          </w:r>
          <w:r>
            <w:rPr>
              <w:rFonts w:hint="eastAsia" w:ascii="宋体" w:hAnsi="宋体" w:eastAsia="宋体" w:cs="宋体"/>
              <w:szCs w:val="28"/>
              <w:lang w:val="en-US" w:eastAsia="zh-CN"/>
            </w:rPr>
            <w:instrText xml:space="preserve"> HYPERLINK \l _Toc12472 </w:instrText>
          </w:r>
          <w:r>
            <w:rPr>
              <w:rFonts w:hint="eastAsia" w:ascii="宋体" w:hAnsi="宋体" w:eastAsia="宋体" w:cs="宋体"/>
              <w:szCs w:val="28"/>
              <w:lang w:val="en-US" w:eastAsia="zh-CN"/>
            </w:rPr>
            <w:fldChar w:fldCharType="separate"/>
          </w:r>
          <w:r>
            <w:rPr>
              <w:rFonts w:hint="eastAsia" w:ascii="宋体" w:hAnsi="宋体" w:eastAsia="宋体" w:cs="宋体"/>
              <w:shd w:val="clear" w:fill="auto"/>
            </w:rPr>
            <w:t xml:space="preserve">（二） </w:t>
          </w:r>
          <w:r>
            <w:rPr>
              <w:rFonts w:hint="eastAsia" w:ascii="宋体" w:hAnsi="宋体" w:eastAsia="宋体" w:cs="宋体"/>
              <w:highlight w:val="none"/>
              <w:shd w:val="clear" w:color="auto" w:fill="auto"/>
            </w:rPr>
            <w:t>项目绩效目标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_Toc12472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szCs w:val="28"/>
              <w:lang w:val="en-US" w:eastAsia="zh-CN"/>
            </w:rPr>
            <w:fldChar w:fldCharType="end"/>
          </w:r>
        </w:p>
        <w:p w14:paraId="103704E5">
          <w:pPr>
            <w:pStyle w:val="11"/>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b/>
              <w:bCs/>
              <w:szCs w:val="28"/>
              <w:lang w:val="en-US" w:eastAsia="zh-CN"/>
            </w:rPr>
            <w:fldChar w:fldCharType="begin"/>
          </w:r>
          <w:r>
            <w:rPr>
              <w:rFonts w:hint="eastAsia" w:ascii="宋体" w:hAnsi="宋体" w:eastAsia="宋体" w:cs="宋体"/>
              <w:b/>
              <w:bCs/>
              <w:szCs w:val="28"/>
              <w:lang w:val="en-US" w:eastAsia="zh-CN"/>
            </w:rPr>
            <w:instrText xml:space="preserve"> HYPERLINK \l _Toc24795 </w:instrText>
          </w:r>
          <w:r>
            <w:rPr>
              <w:rFonts w:hint="eastAsia" w:ascii="宋体" w:hAnsi="宋体" w:eastAsia="宋体" w:cs="宋体"/>
              <w:b/>
              <w:bCs/>
              <w:szCs w:val="28"/>
              <w:lang w:val="en-US" w:eastAsia="zh-CN"/>
            </w:rPr>
            <w:fldChar w:fldCharType="separate"/>
          </w:r>
          <w:r>
            <w:rPr>
              <w:rFonts w:hint="eastAsia" w:ascii="宋体" w:hAnsi="宋体" w:eastAsia="宋体" w:cs="宋体"/>
              <w:b/>
              <w:bCs/>
              <w:highlight w:val="none"/>
              <w:shd w:val="clear" w:color="auto" w:fill="auto"/>
            </w:rPr>
            <w:t>二、绩效评价工作开展情况</w:t>
          </w:r>
          <w:r>
            <w:rPr>
              <w:rFonts w:hint="eastAsia" w:ascii="宋体" w:hAnsi="宋体" w:eastAsia="宋体" w:cs="宋体"/>
              <w:b/>
              <w:bCs/>
            </w:rPr>
            <w:tab/>
          </w:r>
          <w:r>
            <w:rPr>
              <w:rFonts w:hint="eastAsia" w:ascii="宋体" w:hAnsi="宋体" w:eastAsia="宋体" w:cs="宋体"/>
              <w:b/>
              <w:bCs/>
            </w:rPr>
            <w:fldChar w:fldCharType="begin"/>
          </w:r>
          <w:r>
            <w:rPr>
              <w:rFonts w:hint="eastAsia" w:ascii="宋体" w:hAnsi="宋体" w:eastAsia="宋体" w:cs="宋体"/>
              <w:b/>
              <w:bCs/>
            </w:rPr>
            <w:instrText xml:space="preserve"> PAGEREF _Toc24795 \h </w:instrText>
          </w:r>
          <w:r>
            <w:rPr>
              <w:rFonts w:hint="eastAsia" w:ascii="宋体" w:hAnsi="宋体" w:eastAsia="宋体" w:cs="宋体"/>
              <w:b/>
              <w:bCs/>
            </w:rPr>
            <w:fldChar w:fldCharType="separate"/>
          </w:r>
          <w:r>
            <w:rPr>
              <w:rFonts w:hint="eastAsia" w:ascii="宋体" w:hAnsi="宋体" w:eastAsia="宋体" w:cs="宋体"/>
              <w:b/>
              <w:bCs/>
            </w:rPr>
            <w:t>4</w:t>
          </w:r>
          <w:r>
            <w:rPr>
              <w:rFonts w:hint="eastAsia" w:ascii="宋体" w:hAnsi="宋体" w:eastAsia="宋体" w:cs="宋体"/>
              <w:b/>
              <w:bCs/>
            </w:rPr>
            <w:fldChar w:fldCharType="end"/>
          </w:r>
          <w:r>
            <w:rPr>
              <w:rFonts w:hint="eastAsia" w:ascii="宋体" w:hAnsi="宋体" w:eastAsia="宋体" w:cs="宋体"/>
              <w:b/>
              <w:bCs/>
              <w:szCs w:val="28"/>
              <w:lang w:val="en-US" w:eastAsia="zh-CN"/>
            </w:rPr>
            <w:fldChar w:fldCharType="end"/>
          </w:r>
        </w:p>
        <w:p w14:paraId="0C2E7B50">
          <w:pPr>
            <w:pStyle w:val="12"/>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szCs w:val="28"/>
              <w:lang w:val="en-US" w:eastAsia="zh-CN"/>
            </w:rPr>
            <w:fldChar w:fldCharType="begin"/>
          </w:r>
          <w:r>
            <w:rPr>
              <w:rFonts w:hint="eastAsia" w:ascii="宋体" w:hAnsi="宋体" w:eastAsia="宋体" w:cs="宋体"/>
              <w:szCs w:val="28"/>
              <w:lang w:val="en-US" w:eastAsia="zh-CN"/>
            </w:rPr>
            <w:instrText xml:space="preserve"> HYPERLINK \l _Toc9266 </w:instrText>
          </w:r>
          <w:r>
            <w:rPr>
              <w:rFonts w:hint="eastAsia" w:ascii="宋体" w:hAnsi="宋体" w:eastAsia="宋体" w:cs="宋体"/>
              <w:szCs w:val="28"/>
              <w:lang w:val="en-US" w:eastAsia="zh-CN"/>
            </w:rPr>
            <w:fldChar w:fldCharType="separate"/>
          </w:r>
          <w:r>
            <w:rPr>
              <w:rFonts w:hint="eastAsia" w:ascii="宋体" w:hAnsi="宋体" w:eastAsia="宋体" w:cs="宋体"/>
              <w:szCs w:val="32"/>
              <w:shd w:val="clear" w:fill="auto"/>
              <w:lang w:eastAsia="zh-CN"/>
            </w:rPr>
            <w:t xml:space="preserve">（一） </w:t>
          </w:r>
          <w:r>
            <w:rPr>
              <w:rFonts w:hint="eastAsia" w:ascii="宋体" w:hAnsi="宋体" w:eastAsia="宋体" w:cs="宋体"/>
              <w:szCs w:val="32"/>
              <w:highlight w:val="none"/>
              <w:shd w:val="clear" w:color="auto" w:fill="auto"/>
              <w:lang w:eastAsia="zh-CN"/>
            </w:rPr>
            <w:t>绩效评价的目的、对象和范围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_Toc9266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szCs w:val="28"/>
              <w:lang w:val="en-US" w:eastAsia="zh-CN"/>
            </w:rPr>
            <w:fldChar w:fldCharType="end"/>
          </w:r>
        </w:p>
        <w:p w14:paraId="1BD8AE94">
          <w:pPr>
            <w:pStyle w:val="12"/>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szCs w:val="28"/>
              <w:lang w:val="en-US" w:eastAsia="zh-CN"/>
            </w:rPr>
            <w:fldChar w:fldCharType="begin"/>
          </w:r>
          <w:r>
            <w:rPr>
              <w:rFonts w:hint="eastAsia" w:ascii="宋体" w:hAnsi="宋体" w:eastAsia="宋体" w:cs="宋体"/>
              <w:szCs w:val="28"/>
              <w:lang w:val="en-US" w:eastAsia="zh-CN"/>
            </w:rPr>
            <w:instrText xml:space="preserve"> HYPERLINK \l _Toc28011 </w:instrText>
          </w:r>
          <w:r>
            <w:rPr>
              <w:rFonts w:hint="eastAsia" w:ascii="宋体" w:hAnsi="宋体" w:eastAsia="宋体" w:cs="宋体"/>
              <w:szCs w:val="28"/>
              <w:lang w:val="en-US" w:eastAsia="zh-CN"/>
            </w:rPr>
            <w:fldChar w:fldCharType="separate"/>
          </w:r>
          <w:r>
            <w:rPr>
              <w:rFonts w:hint="eastAsia" w:ascii="宋体" w:hAnsi="宋体" w:eastAsia="宋体" w:cs="宋体"/>
              <w:szCs w:val="32"/>
              <w:shd w:val="clear" w:fill="auto"/>
              <w:lang w:val="en-US" w:eastAsia="zh-CN"/>
            </w:rPr>
            <w:t xml:space="preserve">（二） </w:t>
          </w:r>
          <w:r>
            <w:rPr>
              <w:rFonts w:hint="eastAsia" w:ascii="宋体" w:hAnsi="宋体" w:eastAsia="宋体" w:cs="宋体"/>
              <w:szCs w:val="32"/>
              <w:highlight w:val="none"/>
              <w:shd w:val="clear" w:color="auto" w:fill="auto"/>
              <w:lang w:val="en-US" w:eastAsia="zh-CN"/>
            </w:rPr>
            <w:t>绩效评价原则、评价指标体系（附表说明）、评价方法、评价标准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_Toc28011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szCs w:val="28"/>
              <w:lang w:val="en-US" w:eastAsia="zh-CN"/>
            </w:rPr>
            <w:fldChar w:fldCharType="end"/>
          </w:r>
        </w:p>
        <w:p w14:paraId="0173F8E7">
          <w:pPr>
            <w:pStyle w:val="8"/>
            <w:keepNext w:val="0"/>
            <w:keepLines w:val="0"/>
            <w:pageBreakBefore w:val="0"/>
            <w:widowControl w:val="0"/>
            <w:tabs>
              <w:tab w:val="right" w:leader="dot" w:pos="8844"/>
            </w:tabs>
            <w:kinsoku/>
            <w:wordWrap/>
            <w:overflowPunct/>
            <w:topLinePunct w:val="0"/>
            <w:autoSpaceDE/>
            <w:autoSpaceDN/>
            <w:bidi w:val="0"/>
            <w:adjustRightInd/>
            <w:snapToGrid/>
            <w:spacing w:line="520" w:lineRule="exact"/>
            <w:ind w:left="0" w:leftChars="0" w:firstLine="1120" w:firstLineChars="400"/>
            <w:textAlignment w:val="auto"/>
            <w:rPr>
              <w:rFonts w:hint="eastAsia" w:ascii="宋体" w:hAnsi="宋体" w:eastAsia="宋体" w:cs="宋体"/>
            </w:rPr>
          </w:pPr>
          <w:r>
            <w:rPr>
              <w:rFonts w:hint="eastAsia" w:ascii="宋体" w:hAnsi="宋体" w:eastAsia="宋体" w:cs="宋体"/>
              <w:szCs w:val="28"/>
              <w:lang w:val="en-US" w:eastAsia="zh-CN"/>
            </w:rPr>
            <w:fldChar w:fldCharType="begin"/>
          </w:r>
          <w:r>
            <w:rPr>
              <w:rFonts w:hint="eastAsia" w:ascii="宋体" w:hAnsi="宋体" w:eastAsia="宋体" w:cs="宋体"/>
              <w:szCs w:val="28"/>
              <w:lang w:val="en-US" w:eastAsia="zh-CN"/>
            </w:rPr>
            <w:instrText xml:space="preserve"> HYPERLINK \l _Toc12460 </w:instrText>
          </w:r>
          <w:r>
            <w:rPr>
              <w:rFonts w:hint="eastAsia" w:ascii="宋体" w:hAnsi="宋体" w:eastAsia="宋体" w:cs="宋体"/>
              <w:szCs w:val="28"/>
              <w:lang w:val="en-US" w:eastAsia="zh-CN"/>
            </w:rPr>
            <w:fldChar w:fldCharType="separate"/>
          </w:r>
          <w:r>
            <w:rPr>
              <w:rFonts w:hint="eastAsia" w:ascii="宋体" w:hAnsi="宋体" w:eastAsia="宋体" w:cs="宋体"/>
              <w:highlight w:val="none"/>
              <w:shd w:val="clear" w:color="auto" w:fill="auto"/>
              <w:lang w:val="en-US" w:eastAsia="zh-CN"/>
            </w:rPr>
            <w:t>（三）绩效评价工作过程</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_Toc12460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szCs w:val="28"/>
              <w:lang w:val="en-US" w:eastAsia="zh-CN"/>
            </w:rPr>
            <w:fldChar w:fldCharType="end"/>
          </w:r>
        </w:p>
        <w:p w14:paraId="44AD5511">
          <w:pPr>
            <w:pStyle w:val="11"/>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b/>
              <w:bCs/>
            </w:rPr>
          </w:pPr>
          <w:r>
            <w:rPr>
              <w:rFonts w:hint="eastAsia" w:ascii="宋体" w:hAnsi="宋体" w:eastAsia="宋体" w:cs="宋体"/>
              <w:b/>
              <w:bCs/>
              <w:szCs w:val="28"/>
              <w:lang w:val="en-US" w:eastAsia="zh-CN"/>
            </w:rPr>
            <w:fldChar w:fldCharType="begin"/>
          </w:r>
          <w:r>
            <w:rPr>
              <w:rFonts w:hint="eastAsia" w:ascii="宋体" w:hAnsi="宋体" w:eastAsia="宋体" w:cs="宋体"/>
              <w:b/>
              <w:bCs/>
              <w:szCs w:val="28"/>
              <w:lang w:val="en-US" w:eastAsia="zh-CN"/>
            </w:rPr>
            <w:instrText xml:space="preserve"> HYPERLINK \l _Toc20287 </w:instrText>
          </w:r>
          <w:r>
            <w:rPr>
              <w:rFonts w:hint="eastAsia" w:ascii="宋体" w:hAnsi="宋体" w:eastAsia="宋体" w:cs="宋体"/>
              <w:b/>
              <w:bCs/>
              <w:szCs w:val="28"/>
              <w:lang w:val="en-US" w:eastAsia="zh-CN"/>
            </w:rPr>
            <w:fldChar w:fldCharType="separate"/>
          </w:r>
          <w:r>
            <w:rPr>
              <w:rFonts w:hint="eastAsia" w:ascii="宋体" w:hAnsi="宋体" w:eastAsia="宋体" w:cs="宋体"/>
              <w:b/>
              <w:bCs/>
              <w:highlight w:val="none"/>
              <w:shd w:val="clear" w:color="auto" w:fill="auto"/>
              <w:lang w:val="en-US" w:eastAsia="zh-CN"/>
            </w:rPr>
            <w:t>三、</w:t>
          </w:r>
          <w:r>
            <w:rPr>
              <w:rFonts w:hint="eastAsia" w:ascii="宋体" w:hAnsi="宋体" w:eastAsia="宋体" w:cs="宋体"/>
              <w:b/>
              <w:bCs/>
              <w:highlight w:val="none"/>
              <w:shd w:val="clear" w:color="auto" w:fill="auto"/>
            </w:rPr>
            <w:t>综合评价情况及评价结论</w:t>
          </w:r>
          <w:r>
            <w:rPr>
              <w:rFonts w:hint="eastAsia" w:ascii="宋体" w:hAnsi="宋体" w:eastAsia="宋体" w:cs="宋体"/>
              <w:b/>
              <w:bCs/>
            </w:rPr>
            <w:tab/>
          </w:r>
          <w:r>
            <w:rPr>
              <w:rFonts w:hint="eastAsia" w:ascii="宋体" w:hAnsi="宋体" w:eastAsia="宋体" w:cs="宋体"/>
              <w:b/>
              <w:bCs/>
            </w:rPr>
            <w:fldChar w:fldCharType="begin"/>
          </w:r>
          <w:r>
            <w:rPr>
              <w:rFonts w:hint="eastAsia" w:ascii="宋体" w:hAnsi="宋体" w:eastAsia="宋体" w:cs="宋体"/>
              <w:b/>
              <w:bCs/>
            </w:rPr>
            <w:instrText xml:space="preserve"> PAGEREF _Toc20287 \h </w:instrText>
          </w:r>
          <w:r>
            <w:rPr>
              <w:rFonts w:hint="eastAsia" w:ascii="宋体" w:hAnsi="宋体" w:eastAsia="宋体" w:cs="宋体"/>
              <w:b/>
              <w:bCs/>
            </w:rPr>
            <w:fldChar w:fldCharType="separate"/>
          </w:r>
          <w:r>
            <w:rPr>
              <w:rFonts w:hint="eastAsia" w:ascii="宋体" w:hAnsi="宋体" w:eastAsia="宋体" w:cs="宋体"/>
              <w:b/>
              <w:bCs/>
            </w:rPr>
            <w:t>11</w:t>
          </w:r>
          <w:r>
            <w:rPr>
              <w:rFonts w:hint="eastAsia" w:ascii="宋体" w:hAnsi="宋体" w:eastAsia="宋体" w:cs="宋体"/>
              <w:b/>
              <w:bCs/>
            </w:rPr>
            <w:fldChar w:fldCharType="end"/>
          </w:r>
          <w:r>
            <w:rPr>
              <w:rFonts w:hint="eastAsia" w:ascii="宋体" w:hAnsi="宋体" w:eastAsia="宋体" w:cs="宋体"/>
              <w:b/>
              <w:bCs/>
              <w:szCs w:val="28"/>
              <w:lang w:val="en-US" w:eastAsia="zh-CN"/>
            </w:rPr>
            <w:fldChar w:fldCharType="end"/>
          </w:r>
        </w:p>
        <w:p w14:paraId="48E00F46">
          <w:pPr>
            <w:pStyle w:val="11"/>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b/>
              <w:bCs/>
              <w:szCs w:val="28"/>
              <w:lang w:val="en-US" w:eastAsia="zh-CN"/>
            </w:rPr>
            <w:fldChar w:fldCharType="begin"/>
          </w:r>
          <w:r>
            <w:rPr>
              <w:rFonts w:hint="eastAsia" w:ascii="宋体" w:hAnsi="宋体" w:eastAsia="宋体" w:cs="宋体"/>
              <w:b/>
              <w:bCs/>
              <w:szCs w:val="28"/>
              <w:lang w:val="en-US" w:eastAsia="zh-CN"/>
            </w:rPr>
            <w:instrText xml:space="preserve"> HYPERLINK \l _Toc10031 </w:instrText>
          </w:r>
          <w:r>
            <w:rPr>
              <w:rFonts w:hint="eastAsia" w:ascii="宋体" w:hAnsi="宋体" w:eastAsia="宋体" w:cs="宋体"/>
              <w:b/>
              <w:bCs/>
              <w:szCs w:val="28"/>
              <w:lang w:val="en-US" w:eastAsia="zh-CN"/>
            </w:rPr>
            <w:fldChar w:fldCharType="separate"/>
          </w:r>
          <w:r>
            <w:rPr>
              <w:rFonts w:hint="eastAsia" w:ascii="宋体" w:hAnsi="宋体" w:eastAsia="宋体" w:cs="宋体"/>
              <w:b/>
              <w:bCs/>
              <w:highlight w:val="none"/>
              <w:shd w:val="clear" w:color="auto" w:fill="auto"/>
              <w:lang w:val="en-US" w:eastAsia="zh-CN"/>
            </w:rPr>
            <w:t>四、绩效评价指标分析</w:t>
          </w:r>
          <w:r>
            <w:rPr>
              <w:rFonts w:hint="eastAsia" w:ascii="宋体" w:hAnsi="宋体" w:eastAsia="宋体" w:cs="宋体"/>
              <w:b/>
              <w:bCs/>
            </w:rPr>
            <w:tab/>
          </w:r>
          <w:r>
            <w:rPr>
              <w:rFonts w:hint="eastAsia" w:ascii="宋体" w:hAnsi="宋体" w:eastAsia="宋体" w:cs="宋体"/>
              <w:b/>
              <w:bCs/>
            </w:rPr>
            <w:fldChar w:fldCharType="begin"/>
          </w:r>
          <w:r>
            <w:rPr>
              <w:rFonts w:hint="eastAsia" w:ascii="宋体" w:hAnsi="宋体" w:eastAsia="宋体" w:cs="宋体"/>
              <w:b/>
              <w:bCs/>
            </w:rPr>
            <w:instrText xml:space="preserve"> PAGEREF _Toc10031 \h </w:instrText>
          </w:r>
          <w:r>
            <w:rPr>
              <w:rFonts w:hint="eastAsia" w:ascii="宋体" w:hAnsi="宋体" w:eastAsia="宋体" w:cs="宋体"/>
              <w:b/>
              <w:bCs/>
            </w:rPr>
            <w:fldChar w:fldCharType="separate"/>
          </w:r>
          <w:r>
            <w:rPr>
              <w:rFonts w:hint="eastAsia" w:ascii="宋体" w:hAnsi="宋体" w:eastAsia="宋体" w:cs="宋体"/>
              <w:b/>
              <w:bCs/>
            </w:rPr>
            <w:t>11</w:t>
          </w:r>
          <w:r>
            <w:rPr>
              <w:rFonts w:hint="eastAsia" w:ascii="宋体" w:hAnsi="宋体" w:eastAsia="宋体" w:cs="宋体"/>
              <w:b/>
              <w:bCs/>
            </w:rPr>
            <w:fldChar w:fldCharType="end"/>
          </w:r>
          <w:r>
            <w:rPr>
              <w:rFonts w:hint="eastAsia" w:ascii="宋体" w:hAnsi="宋体" w:eastAsia="宋体" w:cs="宋体"/>
              <w:b/>
              <w:bCs/>
              <w:szCs w:val="28"/>
              <w:lang w:val="en-US" w:eastAsia="zh-CN"/>
            </w:rPr>
            <w:fldChar w:fldCharType="end"/>
          </w:r>
        </w:p>
        <w:p w14:paraId="7DEF71B1">
          <w:pPr>
            <w:pStyle w:val="12"/>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szCs w:val="28"/>
              <w:lang w:val="en-US" w:eastAsia="zh-CN"/>
            </w:rPr>
            <w:fldChar w:fldCharType="begin"/>
          </w:r>
          <w:r>
            <w:rPr>
              <w:rFonts w:hint="eastAsia" w:ascii="宋体" w:hAnsi="宋体" w:eastAsia="宋体" w:cs="宋体"/>
              <w:szCs w:val="28"/>
              <w:lang w:val="en-US" w:eastAsia="zh-CN"/>
            </w:rPr>
            <w:instrText xml:space="preserve"> HYPERLINK \l _Toc27491 </w:instrText>
          </w:r>
          <w:r>
            <w:rPr>
              <w:rFonts w:hint="eastAsia" w:ascii="宋体" w:hAnsi="宋体" w:eastAsia="宋体" w:cs="宋体"/>
              <w:szCs w:val="28"/>
              <w:lang w:val="en-US" w:eastAsia="zh-CN"/>
            </w:rPr>
            <w:fldChar w:fldCharType="separate"/>
          </w:r>
          <w:r>
            <w:rPr>
              <w:rFonts w:hint="eastAsia" w:ascii="宋体" w:hAnsi="宋体" w:eastAsia="宋体" w:cs="宋体"/>
              <w:highlight w:val="none"/>
              <w:shd w:val="clear" w:color="auto" w:fill="auto"/>
            </w:rPr>
            <w:t>（一）项目决策情况</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_Toc27491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szCs w:val="28"/>
              <w:lang w:val="en-US" w:eastAsia="zh-CN"/>
            </w:rPr>
            <w:fldChar w:fldCharType="end"/>
          </w:r>
        </w:p>
        <w:p w14:paraId="0E0CBEA0">
          <w:pPr>
            <w:pStyle w:val="12"/>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szCs w:val="28"/>
              <w:lang w:val="en-US" w:eastAsia="zh-CN"/>
            </w:rPr>
            <w:fldChar w:fldCharType="begin"/>
          </w:r>
          <w:r>
            <w:rPr>
              <w:rFonts w:hint="eastAsia" w:ascii="宋体" w:hAnsi="宋体" w:eastAsia="宋体" w:cs="宋体"/>
              <w:szCs w:val="28"/>
              <w:lang w:val="en-US" w:eastAsia="zh-CN"/>
            </w:rPr>
            <w:instrText xml:space="preserve"> HYPERLINK \l _Toc17926 </w:instrText>
          </w:r>
          <w:r>
            <w:rPr>
              <w:rFonts w:hint="eastAsia" w:ascii="宋体" w:hAnsi="宋体" w:eastAsia="宋体" w:cs="宋体"/>
              <w:szCs w:val="28"/>
              <w:lang w:val="en-US" w:eastAsia="zh-CN"/>
            </w:rPr>
            <w:fldChar w:fldCharType="separate"/>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lang w:val="en-US" w:eastAsia="zh-CN"/>
            </w:rPr>
            <w:t>二</w:t>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rPr>
            <w:t>项目过程情况</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_Toc17926 \h </w:instrText>
          </w:r>
          <w:r>
            <w:rPr>
              <w:rFonts w:hint="eastAsia" w:ascii="宋体" w:hAnsi="宋体" w:eastAsia="宋体" w:cs="宋体"/>
            </w:rPr>
            <w:fldChar w:fldCharType="separate"/>
          </w:r>
          <w:r>
            <w:rPr>
              <w:rFonts w:hint="eastAsia" w:ascii="宋体" w:hAnsi="宋体" w:eastAsia="宋体" w:cs="宋体"/>
            </w:rPr>
            <w:t>13</w:t>
          </w:r>
          <w:r>
            <w:rPr>
              <w:rFonts w:hint="eastAsia" w:ascii="宋体" w:hAnsi="宋体" w:eastAsia="宋体" w:cs="宋体"/>
            </w:rPr>
            <w:fldChar w:fldCharType="end"/>
          </w:r>
          <w:r>
            <w:rPr>
              <w:rFonts w:hint="eastAsia" w:ascii="宋体" w:hAnsi="宋体" w:eastAsia="宋体" w:cs="宋体"/>
              <w:szCs w:val="28"/>
              <w:lang w:val="en-US" w:eastAsia="zh-CN"/>
            </w:rPr>
            <w:fldChar w:fldCharType="end"/>
          </w:r>
        </w:p>
        <w:p w14:paraId="5A04CD2D">
          <w:pPr>
            <w:pStyle w:val="12"/>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szCs w:val="28"/>
              <w:lang w:val="en-US" w:eastAsia="zh-CN"/>
            </w:rPr>
            <w:fldChar w:fldCharType="begin"/>
          </w:r>
          <w:r>
            <w:rPr>
              <w:rFonts w:hint="eastAsia" w:ascii="宋体" w:hAnsi="宋体" w:eastAsia="宋体" w:cs="宋体"/>
              <w:szCs w:val="28"/>
              <w:lang w:val="en-US" w:eastAsia="zh-CN"/>
            </w:rPr>
            <w:instrText xml:space="preserve"> HYPERLINK \l _Toc9434 </w:instrText>
          </w:r>
          <w:r>
            <w:rPr>
              <w:rFonts w:hint="eastAsia" w:ascii="宋体" w:hAnsi="宋体" w:eastAsia="宋体" w:cs="宋体"/>
              <w:szCs w:val="28"/>
              <w:lang w:val="en-US" w:eastAsia="zh-CN"/>
            </w:rPr>
            <w:fldChar w:fldCharType="separate"/>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lang w:val="en-US" w:eastAsia="zh-CN"/>
            </w:rPr>
            <w:t>三</w:t>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rPr>
            <w:t>项目产出情况</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_Toc9434 \h </w:instrText>
          </w:r>
          <w:r>
            <w:rPr>
              <w:rFonts w:hint="eastAsia" w:ascii="宋体" w:hAnsi="宋体" w:eastAsia="宋体" w:cs="宋体"/>
            </w:rPr>
            <w:fldChar w:fldCharType="separate"/>
          </w:r>
          <w:r>
            <w:rPr>
              <w:rFonts w:hint="eastAsia" w:ascii="宋体" w:hAnsi="宋体" w:eastAsia="宋体" w:cs="宋体"/>
            </w:rPr>
            <w:t>15</w:t>
          </w:r>
          <w:r>
            <w:rPr>
              <w:rFonts w:hint="eastAsia" w:ascii="宋体" w:hAnsi="宋体" w:eastAsia="宋体" w:cs="宋体"/>
            </w:rPr>
            <w:fldChar w:fldCharType="end"/>
          </w:r>
          <w:r>
            <w:rPr>
              <w:rFonts w:hint="eastAsia" w:ascii="宋体" w:hAnsi="宋体" w:eastAsia="宋体" w:cs="宋体"/>
              <w:szCs w:val="28"/>
              <w:lang w:val="en-US" w:eastAsia="zh-CN"/>
            </w:rPr>
            <w:fldChar w:fldCharType="end"/>
          </w:r>
        </w:p>
        <w:p w14:paraId="3E1FC414">
          <w:pPr>
            <w:pStyle w:val="12"/>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szCs w:val="28"/>
              <w:lang w:val="en-US" w:eastAsia="zh-CN"/>
            </w:rPr>
            <w:fldChar w:fldCharType="begin"/>
          </w:r>
          <w:r>
            <w:rPr>
              <w:rFonts w:hint="eastAsia" w:ascii="宋体" w:hAnsi="宋体" w:eastAsia="宋体" w:cs="宋体"/>
              <w:szCs w:val="28"/>
              <w:lang w:val="en-US" w:eastAsia="zh-CN"/>
            </w:rPr>
            <w:instrText xml:space="preserve"> HYPERLINK \l _Toc2740 </w:instrText>
          </w:r>
          <w:r>
            <w:rPr>
              <w:rFonts w:hint="eastAsia" w:ascii="宋体" w:hAnsi="宋体" w:eastAsia="宋体" w:cs="宋体"/>
              <w:szCs w:val="28"/>
              <w:lang w:val="en-US" w:eastAsia="zh-CN"/>
            </w:rPr>
            <w:fldChar w:fldCharType="separate"/>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lang w:val="en-US" w:eastAsia="zh-CN"/>
            </w:rPr>
            <w:t>四</w:t>
          </w:r>
          <w:r>
            <w:rPr>
              <w:rFonts w:hint="eastAsia" w:ascii="宋体" w:hAnsi="宋体" w:eastAsia="宋体" w:cs="宋体"/>
              <w:highlight w:val="none"/>
              <w:shd w:val="clear" w:color="auto" w:fill="auto"/>
              <w:lang w:eastAsia="zh-CN"/>
            </w:rPr>
            <w:t>）</w:t>
          </w:r>
          <w:r>
            <w:rPr>
              <w:rFonts w:hint="eastAsia" w:ascii="宋体" w:hAnsi="宋体" w:eastAsia="宋体" w:cs="宋体"/>
              <w:highlight w:val="none"/>
              <w:shd w:val="clear" w:color="auto" w:fill="auto"/>
            </w:rPr>
            <w:t>项目效益情况</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_Toc2740 \h </w:instrText>
          </w:r>
          <w:r>
            <w:rPr>
              <w:rFonts w:hint="eastAsia" w:ascii="宋体" w:hAnsi="宋体" w:eastAsia="宋体" w:cs="宋体"/>
            </w:rPr>
            <w:fldChar w:fldCharType="separate"/>
          </w:r>
          <w:r>
            <w:rPr>
              <w:rFonts w:hint="eastAsia" w:ascii="宋体" w:hAnsi="宋体" w:eastAsia="宋体" w:cs="宋体"/>
            </w:rPr>
            <w:t>17</w:t>
          </w:r>
          <w:r>
            <w:rPr>
              <w:rFonts w:hint="eastAsia" w:ascii="宋体" w:hAnsi="宋体" w:eastAsia="宋体" w:cs="宋体"/>
            </w:rPr>
            <w:fldChar w:fldCharType="end"/>
          </w:r>
          <w:r>
            <w:rPr>
              <w:rFonts w:hint="eastAsia" w:ascii="宋体" w:hAnsi="宋体" w:eastAsia="宋体" w:cs="宋体"/>
              <w:szCs w:val="28"/>
              <w:lang w:val="en-US" w:eastAsia="zh-CN"/>
            </w:rPr>
            <w:fldChar w:fldCharType="end"/>
          </w:r>
        </w:p>
        <w:p w14:paraId="04710BE4">
          <w:pPr>
            <w:pStyle w:val="11"/>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b/>
              <w:bCs/>
            </w:rPr>
          </w:pPr>
          <w:r>
            <w:rPr>
              <w:rFonts w:hint="eastAsia" w:ascii="宋体" w:hAnsi="宋体" w:eastAsia="宋体" w:cs="宋体"/>
              <w:b/>
              <w:bCs/>
              <w:szCs w:val="28"/>
              <w:lang w:val="en-US" w:eastAsia="zh-CN"/>
            </w:rPr>
            <w:fldChar w:fldCharType="begin"/>
          </w:r>
          <w:r>
            <w:rPr>
              <w:rFonts w:hint="eastAsia" w:ascii="宋体" w:hAnsi="宋体" w:eastAsia="宋体" w:cs="宋体"/>
              <w:b/>
              <w:bCs/>
              <w:szCs w:val="28"/>
              <w:lang w:val="en-US" w:eastAsia="zh-CN"/>
            </w:rPr>
            <w:instrText xml:space="preserve"> HYPERLINK \l _Toc7168 </w:instrText>
          </w:r>
          <w:r>
            <w:rPr>
              <w:rFonts w:hint="eastAsia" w:ascii="宋体" w:hAnsi="宋体" w:eastAsia="宋体" w:cs="宋体"/>
              <w:b/>
              <w:bCs/>
              <w:szCs w:val="28"/>
              <w:lang w:val="en-US" w:eastAsia="zh-CN"/>
            </w:rPr>
            <w:fldChar w:fldCharType="separate"/>
          </w:r>
          <w:r>
            <w:rPr>
              <w:rFonts w:hint="eastAsia" w:ascii="宋体" w:hAnsi="宋体" w:eastAsia="宋体" w:cs="宋体"/>
              <w:b/>
              <w:bCs/>
              <w:highlight w:val="none"/>
              <w:shd w:val="clear" w:color="auto" w:fill="auto"/>
              <w:lang w:val="en-US" w:eastAsia="zh-CN"/>
            </w:rPr>
            <w:t>五、预算执行进度与指标偏差</w:t>
          </w:r>
          <w:r>
            <w:rPr>
              <w:rFonts w:hint="eastAsia" w:ascii="宋体" w:hAnsi="宋体" w:eastAsia="宋体" w:cs="宋体"/>
              <w:b/>
              <w:bCs/>
            </w:rPr>
            <w:tab/>
          </w:r>
          <w:r>
            <w:rPr>
              <w:rFonts w:hint="eastAsia" w:ascii="宋体" w:hAnsi="宋体" w:eastAsia="宋体" w:cs="宋体"/>
              <w:b/>
              <w:bCs/>
            </w:rPr>
            <w:fldChar w:fldCharType="begin"/>
          </w:r>
          <w:r>
            <w:rPr>
              <w:rFonts w:hint="eastAsia" w:ascii="宋体" w:hAnsi="宋体" w:eastAsia="宋体" w:cs="宋体"/>
              <w:b/>
              <w:bCs/>
            </w:rPr>
            <w:instrText xml:space="preserve"> PAGEREF _Toc7168 \h </w:instrText>
          </w:r>
          <w:r>
            <w:rPr>
              <w:rFonts w:hint="eastAsia" w:ascii="宋体" w:hAnsi="宋体" w:eastAsia="宋体" w:cs="宋体"/>
              <w:b/>
              <w:bCs/>
            </w:rPr>
            <w:fldChar w:fldCharType="separate"/>
          </w:r>
          <w:r>
            <w:rPr>
              <w:rFonts w:hint="eastAsia" w:ascii="宋体" w:hAnsi="宋体" w:eastAsia="宋体" w:cs="宋体"/>
              <w:b/>
              <w:bCs/>
            </w:rPr>
            <w:t>17</w:t>
          </w:r>
          <w:r>
            <w:rPr>
              <w:rFonts w:hint="eastAsia" w:ascii="宋体" w:hAnsi="宋体" w:eastAsia="宋体" w:cs="宋体"/>
              <w:b/>
              <w:bCs/>
            </w:rPr>
            <w:fldChar w:fldCharType="end"/>
          </w:r>
          <w:r>
            <w:rPr>
              <w:rFonts w:hint="eastAsia" w:ascii="宋体" w:hAnsi="宋体" w:eastAsia="宋体" w:cs="宋体"/>
              <w:b/>
              <w:bCs/>
              <w:szCs w:val="28"/>
              <w:lang w:val="en-US" w:eastAsia="zh-CN"/>
            </w:rPr>
            <w:fldChar w:fldCharType="end"/>
          </w:r>
        </w:p>
        <w:p w14:paraId="219AB69C">
          <w:pPr>
            <w:pStyle w:val="11"/>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b/>
              <w:bCs/>
              <w:szCs w:val="28"/>
              <w:lang w:val="en-US" w:eastAsia="zh-CN"/>
            </w:rPr>
            <w:fldChar w:fldCharType="begin"/>
          </w:r>
          <w:r>
            <w:rPr>
              <w:rFonts w:hint="eastAsia" w:ascii="宋体" w:hAnsi="宋体" w:eastAsia="宋体" w:cs="宋体"/>
              <w:b/>
              <w:bCs/>
              <w:szCs w:val="28"/>
              <w:lang w:val="en-US" w:eastAsia="zh-CN"/>
            </w:rPr>
            <w:instrText xml:space="preserve"> HYPERLINK \l _Toc13927 </w:instrText>
          </w:r>
          <w:r>
            <w:rPr>
              <w:rFonts w:hint="eastAsia" w:ascii="宋体" w:hAnsi="宋体" w:eastAsia="宋体" w:cs="宋体"/>
              <w:b/>
              <w:bCs/>
              <w:szCs w:val="28"/>
              <w:lang w:val="en-US" w:eastAsia="zh-CN"/>
            </w:rPr>
            <w:fldChar w:fldCharType="separate"/>
          </w:r>
          <w:r>
            <w:rPr>
              <w:rFonts w:hint="eastAsia" w:ascii="宋体" w:hAnsi="宋体" w:eastAsia="宋体" w:cs="宋体"/>
              <w:b/>
              <w:bCs/>
              <w:highlight w:val="none"/>
              <w:shd w:val="clear" w:color="auto" w:fill="auto"/>
              <w:lang w:val="en-US" w:eastAsia="zh-CN"/>
            </w:rPr>
            <w:t>六、主要经验及做法、存在的问题及原因分析</w:t>
          </w:r>
          <w:r>
            <w:rPr>
              <w:rFonts w:hint="eastAsia" w:ascii="宋体" w:hAnsi="宋体" w:eastAsia="宋体" w:cs="宋体"/>
              <w:b/>
              <w:bCs/>
            </w:rPr>
            <w:tab/>
          </w:r>
          <w:r>
            <w:rPr>
              <w:rFonts w:hint="eastAsia" w:ascii="宋体" w:hAnsi="宋体" w:eastAsia="宋体" w:cs="宋体"/>
              <w:b/>
              <w:bCs/>
            </w:rPr>
            <w:fldChar w:fldCharType="begin"/>
          </w:r>
          <w:r>
            <w:rPr>
              <w:rFonts w:hint="eastAsia" w:ascii="宋体" w:hAnsi="宋体" w:eastAsia="宋体" w:cs="宋体"/>
              <w:b/>
              <w:bCs/>
            </w:rPr>
            <w:instrText xml:space="preserve"> PAGEREF _Toc13927 \h </w:instrText>
          </w:r>
          <w:r>
            <w:rPr>
              <w:rFonts w:hint="eastAsia" w:ascii="宋体" w:hAnsi="宋体" w:eastAsia="宋体" w:cs="宋体"/>
              <w:b/>
              <w:bCs/>
            </w:rPr>
            <w:fldChar w:fldCharType="separate"/>
          </w:r>
          <w:r>
            <w:rPr>
              <w:rFonts w:hint="eastAsia" w:ascii="宋体" w:hAnsi="宋体" w:eastAsia="宋体" w:cs="宋体"/>
              <w:b/>
              <w:bCs/>
            </w:rPr>
            <w:t>18</w:t>
          </w:r>
          <w:r>
            <w:rPr>
              <w:rFonts w:hint="eastAsia" w:ascii="宋体" w:hAnsi="宋体" w:eastAsia="宋体" w:cs="宋体"/>
              <w:b/>
              <w:bCs/>
            </w:rPr>
            <w:fldChar w:fldCharType="end"/>
          </w:r>
          <w:r>
            <w:rPr>
              <w:rFonts w:hint="eastAsia" w:ascii="宋体" w:hAnsi="宋体" w:eastAsia="宋体" w:cs="宋体"/>
              <w:b/>
              <w:bCs/>
              <w:szCs w:val="28"/>
              <w:lang w:val="en-US" w:eastAsia="zh-CN"/>
            </w:rPr>
            <w:fldChar w:fldCharType="end"/>
          </w:r>
        </w:p>
        <w:p w14:paraId="0561FE5B">
          <w:pPr>
            <w:pStyle w:val="12"/>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szCs w:val="28"/>
              <w:lang w:val="en-US" w:eastAsia="zh-CN"/>
            </w:rPr>
            <w:fldChar w:fldCharType="begin"/>
          </w:r>
          <w:r>
            <w:rPr>
              <w:rFonts w:hint="eastAsia" w:ascii="宋体" w:hAnsi="宋体" w:eastAsia="宋体" w:cs="宋体"/>
              <w:szCs w:val="28"/>
              <w:lang w:val="en-US" w:eastAsia="zh-CN"/>
            </w:rPr>
            <w:instrText xml:space="preserve"> HYPERLINK \l _Toc13753 </w:instrText>
          </w:r>
          <w:r>
            <w:rPr>
              <w:rFonts w:hint="eastAsia" w:ascii="宋体" w:hAnsi="宋体" w:eastAsia="宋体" w:cs="宋体"/>
              <w:szCs w:val="28"/>
              <w:lang w:val="en-US" w:eastAsia="zh-CN"/>
            </w:rPr>
            <w:fldChar w:fldCharType="separate"/>
          </w:r>
          <w:r>
            <w:rPr>
              <w:rFonts w:hint="eastAsia" w:ascii="宋体" w:hAnsi="宋体" w:eastAsia="宋体" w:cs="宋体"/>
              <w:bCs/>
              <w:lang w:eastAsia="zh-CN"/>
            </w:rPr>
            <w:t>（</w:t>
          </w:r>
          <w:r>
            <w:rPr>
              <w:rFonts w:hint="eastAsia" w:ascii="宋体" w:hAnsi="宋体" w:eastAsia="宋体" w:cs="宋体"/>
              <w:bCs/>
              <w:lang w:val="en-US" w:eastAsia="zh-CN"/>
            </w:rPr>
            <w:t>一</w:t>
          </w:r>
          <w:r>
            <w:rPr>
              <w:rFonts w:hint="eastAsia" w:ascii="宋体" w:hAnsi="宋体" w:eastAsia="宋体" w:cs="宋体"/>
              <w:bCs/>
              <w:lang w:eastAsia="zh-CN"/>
            </w:rPr>
            <w:t>）</w:t>
          </w:r>
          <w:r>
            <w:rPr>
              <w:rFonts w:hint="eastAsia" w:ascii="宋体" w:hAnsi="宋体" w:eastAsia="宋体" w:cs="宋体"/>
              <w:bCs/>
            </w:rPr>
            <w:t>主要经验及做法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_Toc13753 \h </w:instrText>
          </w:r>
          <w:r>
            <w:rPr>
              <w:rFonts w:hint="eastAsia" w:ascii="宋体" w:hAnsi="宋体" w:eastAsia="宋体" w:cs="宋体"/>
            </w:rPr>
            <w:fldChar w:fldCharType="separate"/>
          </w:r>
          <w:r>
            <w:rPr>
              <w:rFonts w:hint="eastAsia" w:ascii="宋体" w:hAnsi="宋体" w:eastAsia="宋体" w:cs="宋体"/>
            </w:rPr>
            <w:t>18</w:t>
          </w:r>
          <w:r>
            <w:rPr>
              <w:rFonts w:hint="eastAsia" w:ascii="宋体" w:hAnsi="宋体" w:eastAsia="宋体" w:cs="宋体"/>
            </w:rPr>
            <w:fldChar w:fldCharType="end"/>
          </w:r>
          <w:r>
            <w:rPr>
              <w:rFonts w:hint="eastAsia" w:ascii="宋体" w:hAnsi="宋体" w:eastAsia="宋体" w:cs="宋体"/>
              <w:szCs w:val="28"/>
              <w:lang w:val="en-US" w:eastAsia="zh-CN"/>
            </w:rPr>
            <w:fldChar w:fldCharType="end"/>
          </w:r>
        </w:p>
        <w:p w14:paraId="53937FC5">
          <w:pPr>
            <w:pStyle w:val="12"/>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szCs w:val="28"/>
              <w:lang w:val="en-US" w:eastAsia="zh-CN"/>
            </w:rPr>
            <w:fldChar w:fldCharType="begin"/>
          </w:r>
          <w:r>
            <w:rPr>
              <w:rFonts w:hint="eastAsia" w:ascii="宋体" w:hAnsi="宋体" w:eastAsia="宋体" w:cs="宋体"/>
              <w:szCs w:val="28"/>
              <w:lang w:val="en-US" w:eastAsia="zh-CN"/>
            </w:rPr>
            <w:instrText xml:space="preserve"> HYPERLINK \l _Toc20963 </w:instrText>
          </w:r>
          <w:r>
            <w:rPr>
              <w:rFonts w:hint="eastAsia" w:ascii="宋体" w:hAnsi="宋体" w:eastAsia="宋体" w:cs="宋体"/>
              <w:szCs w:val="28"/>
              <w:lang w:val="en-US" w:eastAsia="zh-CN"/>
            </w:rPr>
            <w:fldChar w:fldCharType="separate"/>
          </w:r>
          <w:r>
            <w:rPr>
              <w:rFonts w:hint="eastAsia" w:ascii="宋体" w:hAnsi="宋体" w:eastAsia="宋体" w:cs="宋体"/>
              <w:bCs/>
            </w:rPr>
            <w:t>（</w:t>
          </w:r>
          <w:r>
            <w:rPr>
              <w:rFonts w:hint="eastAsia" w:ascii="宋体" w:hAnsi="宋体" w:eastAsia="宋体" w:cs="宋体"/>
              <w:bCs/>
              <w:lang w:eastAsia="zh-CN"/>
            </w:rPr>
            <w:t>二</w:t>
          </w:r>
          <w:r>
            <w:rPr>
              <w:rFonts w:hint="eastAsia" w:ascii="宋体" w:hAnsi="宋体" w:eastAsia="宋体" w:cs="宋体"/>
              <w:bCs/>
            </w:rPr>
            <w:t>） 存在的问题及原因分析</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_Toc20963 \h </w:instrText>
          </w:r>
          <w:r>
            <w:rPr>
              <w:rFonts w:hint="eastAsia" w:ascii="宋体" w:hAnsi="宋体" w:eastAsia="宋体" w:cs="宋体"/>
            </w:rPr>
            <w:fldChar w:fldCharType="separate"/>
          </w:r>
          <w:r>
            <w:rPr>
              <w:rFonts w:hint="eastAsia" w:ascii="宋体" w:hAnsi="宋体" w:eastAsia="宋体" w:cs="宋体"/>
            </w:rPr>
            <w:t>18</w:t>
          </w:r>
          <w:r>
            <w:rPr>
              <w:rFonts w:hint="eastAsia" w:ascii="宋体" w:hAnsi="宋体" w:eastAsia="宋体" w:cs="宋体"/>
            </w:rPr>
            <w:fldChar w:fldCharType="end"/>
          </w:r>
          <w:r>
            <w:rPr>
              <w:rFonts w:hint="eastAsia" w:ascii="宋体" w:hAnsi="宋体" w:eastAsia="宋体" w:cs="宋体"/>
              <w:szCs w:val="28"/>
              <w:lang w:val="en-US" w:eastAsia="zh-CN"/>
            </w:rPr>
            <w:fldChar w:fldCharType="end"/>
          </w:r>
        </w:p>
        <w:p w14:paraId="2D5DC986">
          <w:pPr>
            <w:pStyle w:val="11"/>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rPr>
              <w:rFonts w:hint="eastAsia" w:ascii="宋体" w:hAnsi="宋体" w:eastAsia="宋体" w:cs="宋体"/>
              <w:b/>
              <w:bCs/>
            </w:rPr>
          </w:pPr>
          <w:r>
            <w:rPr>
              <w:rFonts w:hint="eastAsia" w:ascii="宋体" w:hAnsi="宋体" w:eastAsia="宋体" w:cs="宋体"/>
              <w:b/>
              <w:bCs/>
              <w:szCs w:val="28"/>
              <w:lang w:val="en-US" w:eastAsia="zh-CN"/>
            </w:rPr>
            <w:fldChar w:fldCharType="begin"/>
          </w:r>
          <w:r>
            <w:rPr>
              <w:rFonts w:hint="eastAsia" w:ascii="宋体" w:hAnsi="宋体" w:eastAsia="宋体" w:cs="宋体"/>
              <w:b/>
              <w:bCs/>
              <w:szCs w:val="28"/>
              <w:lang w:val="en-US" w:eastAsia="zh-CN"/>
            </w:rPr>
            <w:instrText xml:space="preserve"> HYPERLINK \l _Toc24056 </w:instrText>
          </w:r>
          <w:r>
            <w:rPr>
              <w:rFonts w:hint="eastAsia" w:ascii="宋体" w:hAnsi="宋体" w:eastAsia="宋体" w:cs="宋体"/>
              <w:b/>
              <w:bCs/>
              <w:szCs w:val="28"/>
              <w:lang w:val="en-US" w:eastAsia="zh-CN"/>
            </w:rPr>
            <w:fldChar w:fldCharType="separate"/>
          </w:r>
          <w:r>
            <w:rPr>
              <w:rFonts w:hint="eastAsia" w:ascii="宋体" w:hAnsi="宋体" w:eastAsia="宋体" w:cs="宋体"/>
              <w:b/>
              <w:bCs/>
              <w:highlight w:val="none"/>
              <w:shd w:val="clear" w:color="auto" w:fill="auto"/>
              <w:lang w:val="en-US" w:eastAsia="zh-CN"/>
            </w:rPr>
            <w:t>七、有关建议</w:t>
          </w:r>
          <w:r>
            <w:rPr>
              <w:rFonts w:hint="eastAsia" w:ascii="宋体" w:hAnsi="宋体" w:eastAsia="宋体" w:cs="宋体"/>
              <w:b/>
              <w:bCs/>
            </w:rPr>
            <w:tab/>
          </w:r>
          <w:r>
            <w:rPr>
              <w:rFonts w:hint="eastAsia" w:ascii="宋体" w:hAnsi="宋体" w:eastAsia="宋体" w:cs="宋体"/>
              <w:b/>
              <w:bCs/>
            </w:rPr>
            <w:fldChar w:fldCharType="begin"/>
          </w:r>
          <w:r>
            <w:rPr>
              <w:rFonts w:hint="eastAsia" w:ascii="宋体" w:hAnsi="宋体" w:eastAsia="宋体" w:cs="宋体"/>
              <w:b/>
              <w:bCs/>
            </w:rPr>
            <w:instrText xml:space="preserve"> PAGEREF _Toc24056 \h </w:instrText>
          </w:r>
          <w:r>
            <w:rPr>
              <w:rFonts w:hint="eastAsia" w:ascii="宋体" w:hAnsi="宋体" w:eastAsia="宋体" w:cs="宋体"/>
              <w:b/>
              <w:bCs/>
            </w:rPr>
            <w:fldChar w:fldCharType="separate"/>
          </w:r>
          <w:r>
            <w:rPr>
              <w:rFonts w:hint="eastAsia" w:ascii="宋体" w:hAnsi="宋体" w:eastAsia="宋体" w:cs="宋体"/>
              <w:b/>
              <w:bCs/>
            </w:rPr>
            <w:t>19</w:t>
          </w:r>
          <w:r>
            <w:rPr>
              <w:rFonts w:hint="eastAsia" w:ascii="宋体" w:hAnsi="宋体" w:eastAsia="宋体" w:cs="宋体"/>
              <w:b/>
              <w:bCs/>
            </w:rPr>
            <w:fldChar w:fldCharType="end"/>
          </w:r>
          <w:r>
            <w:rPr>
              <w:rFonts w:hint="eastAsia" w:ascii="宋体" w:hAnsi="宋体" w:eastAsia="宋体" w:cs="宋体"/>
              <w:b/>
              <w:bCs/>
              <w:szCs w:val="28"/>
              <w:lang w:val="en-US" w:eastAsia="zh-CN"/>
            </w:rPr>
            <w:fldChar w:fldCharType="end"/>
          </w:r>
        </w:p>
        <w:p w14:paraId="6D0A09CD">
          <w:pPr>
            <w:pStyle w:val="11"/>
            <w:keepNext w:val="0"/>
            <w:keepLines w:val="0"/>
            <w:pageBreakBefore w:val="0"/>
            <w:widowControl w:val="0"/>
            <w:tabs>
              <w:tab w:val="right" w:leader="dot" w:pos="8844"/>
            </w:tabs>
            <w:kinsoku/>
            <w:wordWrap/>
            <w:overflowPunct/>
            <w:topLinePunct w:val="0"/>
            <w:autoSpaceDE/>
            <w:autoSpaceDN/>
            <w:bidi w:val="0"/>
            <w:adjustRightInd/>
            <w:snapToGrid/>
            <w:spacing w:line="520" w:lineRule="exact"/>
            <w:textAlignment w:val="auto"/>
          </w:pPr>
          <w:r>
            <w:rPr>
              <w:rFonts w:hint="eastAsia" w:ascii="宋体" w:hAnsi="宋体" w:eastAsia="宋体" w:cs="宋体"/>
              <w:b/>
              <w:bCs/>
              <w:szCs w:val="28"/>
              <w:lang w:val="en-US" w:eastAsia="zh-CN"/>
            </w:rPr>
            <w:fldChar w:fldCharType="begin"/>
          </w:r>
          <w:r>
            <w:rPr>
              <w:rFonts w:hint="eastAsia" w:ascii="宋体" w:hAnsi="宋体" w:eastAsia="宋体" w:cs="宋体"/>
              <w:b/>
              <w:bCs/>
              <w:szCs w:val="28"/>
              <w:lang w:val="en-US" w:eastAsia="zh-CN"/>
            </w:rPr>
            <w:instrText xml:space="preserve"> HYPERLINK \l _Toc19248 </w:instrText>
          </w:r>
          <w:r>
            <w:rPr>
              <w:rFonts w:hint="eastAsia" w:ascii="宋体" w:hAnsi="宋体" w:eastAsia="宋体" w:cs="宋体"/>
              <w:b/>
              <w:bCs/>
              <w:szCs w:val="28"/>
              <w:lang w:val="en-US" w:eastAsia="zh-CN"/>
            </w:rPr>
            <w:fldChar w:fldCharType="separate"/>
          </w:r>
          <w:r>
            <w:rPr>
              <w:rFonts w:hint="eastAsia" w:ascii="宋体" w:hAnsi="宋体" w:eastAsia="宋体" w:cs="宋体"/>
              <w:b/>
              <w:bCs/>
              <w:highlight w:val="none"/>
              <w:shd w:val="clear" w:color="auto" w:fill="auto"/>
              <w:lang w:val="en-US" w:eastAsia="zh-CN"/>
            </w:rPr>
            <w:t>八、其他需要说明的问题</w:t>
          </w:r>
          <w:r>
            <w:rPr>
              <w:rFonts w:hint="eastAsia" w:ascii="宋体" w:hAnsi="宋体" w:eastAsia="宋体" w:cs="宋体"/>
              <w:b/>
              <w:bCs/>
            </w:rPr>
            <w:tab/>
          </w:r>
          <w:r>
            <w:rPr>
              <w:rFonts w:hint="eastAsia" w:ascii="宋体" w:hAnsi="宋体" w:eastAsia="宋体" w:cs="宋体"/>
              <w:b/>
              <w:bCs/>
            </w:rPr>
            <w:fldChar w:fldCharType="begin"/>
          </w:r>
          <w:r>
            <w:rPr>
              <w:rFonts w:hint="eastAsia" w:ascii="宋体" w:hAnsi="宋体" w:eastAsia="宋体" w:cs="宋体"/>
              <w:b/>
              <w:bCs/>
            </w:rPr>
            <w:instrText xml:space="preserve"> PAGEREF _Toc19248 \h </w:instrText>
          </w:r>
          <w:r>
            <w:rPr>
              <w:rFonts w:hint="eastAsia" w:ascii="宋体" w:hAnsi="宋体" w:eastAsia="宋体" w:cs="宋体"/>
              <w:b/>
              <w:bCs/>
            </w:rPr>
            <w:fldChar w:fldCharType="separate"/>
          </w:r>
          <w:r>
            <w:rPr>
              <w:rFonts w:hint="eastAsia" w:ascii="宋体" w:hAnsi="宋体" w:eastAsia="宋体" w:cs="宋体"/>
              <w:b/>
              <w:bCs/>
            </w:rPr>
            <w:t>19</w:t>
          </w:r>
          <w:r>
            <w:rPr>
              <w:rFonts w:hint="eastAsia" w:ascii="宋体" w:hAnsi="宋体" w:eastAsia="宋体" w:cs="宋体"/>
              <w:b/>
              <w:bCs/>
            </w:rPr>
            <w:fldChar w:fldCharType="end"/>
          </w:r>
          <w:r>
            <w:rPr>
              <w:rFonts w:hint="eastAsia" w:ascii="宋体" w:hAnsi="宋体" w:eastAsia="宋体" w:cs="宋体"/>
              <w:b/>
              <w:bCs/>
              <w:szCs w:val="28"/>
              <w:lang w:val="en-US" w:eastAsia="zh-CN"/>
            </w:rPr>
            <w:fldChar w:fldCharType="end"/>
          </w:r>
        </w:p>
        <w:p w14:paraId="59E14442">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szCs w:val="28"/>
              <w:lang w:val="en-US" w:eastAsia="zh-CN"/>
            </w:rPr>
            <w:fldChar w:fldCharType="end"/>
          </w:r>
        </w:p>
      </w:sdtContent>
    </w:sdt>
    <w:p w14:paraId="0665B85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bCs/>
          <w:color w:val="000000" w:themeColor="text1"/>
          <w:highlight w:val="none"/>
          <w:shd w:val="clear" w:color="auto" w:fill="auto"/>
          <w14:textFill>
            <w14:solidFill>
              <w14:schemeClr w14:val="tx1"/>
            </w14:solidFill>
          </w14:textFill>
        </w:rPr>
      </w:pPr>
      <w:bookmarkStart w:id="1" w:name="_Toc3316"/>
      <w:bookmarkStart w:id="2" w:name="_Toc1194"/>
      <w:r>
        <w:rPr>
          <w:rFonts w:hint="eastAsia" w:ascii="仿宋" w:hAnsi="仿宋" w:eastAsia="仿宋" w:cs="仿宋"/>
          <w:b/>
          <w:bCs/>
          <w:color w:val="auto"/>
          <w:sz w:val="40"/>
          <w:szCs w:val="40"/>
          <w:highlight w:val="none"/>
          <w:shd w:val="clear" w:color="auto" w:fill="auto"/>
          <w:lang w:val="en-US" w:eastAsia="zh-CN"/>
        </w:rPr>
        <w:t>2022年阳光食品建设项目</w:t>
      </w:r>
      <w:r>
        <w:rPr>
          <w:rFonts w:hint="eastAsia" w:ascii="仿宋" w:hAnsi="仿宋" w:eastAsia="仿宋" w:cs="仿宋"/>
          <w:b/>
          <w:bCs/>
          <w:color w:val="000000" w:themeColor="text1"/>
          <w:sz w:val="36"/>
          <w:szCs w:val="36"/>
          <w:highlight w:val="none"/>
          <w:shd w:val="clear" w:color="auto" w:fill="auto"/>
          <w14:textFill>
            <w14:solidFill>
              <w14:schemeClr w14:val="tx1"/>
            </w14:solidFill>
          </w14:textFill>
        </w:rPr>
        <w:t>支出绩效评价报告</w:t>
      </w:r>
      <w:bookmarkEnd w:id="1"/>
      <w:bookmarkEnd w:id="2"/>
    </w:p>
    <w:p w14:paraId="7A84D42D">
      <w:pPr>
        <w:pStyle w:val="2"/>
        <w:pageBreakBefore w:val="0"/>
        <w:kinsoku/>
        <w:wordWrap/>
        <w:overflowPunct/>
        <w:topLinePunct w:val="0"/>
        <w:autoSpaceDE/>
        <w:autoSpaceDN/>
        <w:bidi w:val="0"/>
        <w:adjustRightInd/>
        <w:spacing w:beforeLines="0" w:afterLines="0" w:line="360" w:lineRule="auto"/>
        <w:textAlignment w:val="auto"/>
        <w:rPr>
          <w:rFonts w:hint="eastAsia" w:ascii="仿宋" w:hAnsi="仿宋" w:eastAsia="仿宋" w:cs="仿宋"/>
          <w:b/>
          <w:bCs/>
          <w:color w:val="000000" w:themeColor="text1"/>
          <w:highlight w:val="none"/>
          <w:shd w:val="clear" w:color="auto" w:fill="auto"/>
          <w14:textFill>
            <w14:solidFill>
              <w14:schemeClr w14:val="tx1"/>
            </w14:solidFill>
          </w14:textFill>
        </w:rPr>
      </w:pPr>
      <w:bookmarkStart w:id="3" w:name="_Toc30375"/>
      <w:r>
        <w:rPr>
          <w:rFonts w:hint="eastAsia" w:ascii="仿宋" w:hAnsi="仿宋" w:eastAsia="仿宋" w:cs="仿宋"/>
          <w:b/>
          <w:bCs/>
          <w:color w:val="000000" w:themeColor="text1"/>
          <w:highlight w:val="none"/>
          <w:shd w:val="clear" w:color="auto" w:fill="auto"/>
          <w14:textFill>
            <w14:solidFill>
              <w14:schemeClr w14:val="tx1"/>
            </w14:solidFill>
          </w14:textFill>
        </w:rPr>
        <w:t>一、基本情况</w:t>
      </w:r>
      <w:bookmarkEnd w:id="3"/>
    </w:p>
    <w:p w14:paraId="49D1531C">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仿宋" w:hAnsi="仿宋" w:eastAsia="仿宋" w:cs="仿宋"/>
          <w:color w:val="000000" w:themeColor="text1"/>
          <w:highlight w:val="none"/>
          <w:shd w:val="clear" w:color="auto" w:fill="auto"/>
          <w14:textFill>
            <w14:solidFill>
              <w14:schemeClr w14:val="tx1"/>
            </w14:solidFill>
          </w14:textFill>
        </w:rPr>
      </w:pPr>
      <w:bookmarkStart w:id="4" w:name="_Toc3773"/>
      <w:r>
        <w:rPr>
          <w:rFonts w:hint="eastAsia" w:ascii="仿宋" w:hAnsi="仿宋" w:eastAsia="仿宋" w:cs="仿宋"/>
          <w:color w:val="000000" w:themeColor="text1"/>
          <w:highlight w:val="none"/>
          <w:shd w:val="clear" w:color="auto" w:fill="auto"/>
          <w14:textFill>
            <w14:solidFill>
              <w14:schemeClr w14:val="tx1"/>
            </w14:solidFill>
          </w14:textFill>
        </w:rPr>
        <w:t>（一）项目概况</w:t>
      </w:r>
      <w:bookmarkEnd w:id="4"/>
    </w:p>
    <w:p w14:paraId="33C9549C">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5" w:name="_Toc5043"/>
      <w:bookmarkStart w:id="6" w:name="_Toc16474"/>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5"/>
      <w:bookmarkEnd w:id="6"/>
    </w:p>
    <w:p w14:paraId="477337C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昌吉州“阳光食品（阳光厨房）”项目建设从2017年起实施至2031年结束，共15年完成。该项目经昌吉州人民政府授权昌吉州食品药品监督管理局为实施机构（甲方），并于2017年与新疆安飞智能科技发展有限公司（乙方）签订了PPP项目合同，合同规定：“项目建设期最长不超过2年，运行维护期为13年。”“在项目合作第二年，甲方向乙方支付的政府补贴固定为607万。”</w:t>
      </w:r>
    </w:p>
    <w:p w14:paraId="03686ED2">
      <w:pPr>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000000" w:themeColor="text1"/>
          <w:kern w:val="0"/>
          <w:sz w:val="28"/>
          <w:szCs w:val="32"/>
          <w:highlight w:val="none"/>
          <w:shd w:val="clear" w:color="auto" w:fill="auto"/>
          <w:lang w:val="en-US" w:eastAsia="zh-CN" w:bidi="ar-SA"/>
          <w14:textFill>
            <w14:solidFill>
              <w14:schemeClr w14:val="tx1"/>
            </w14:solidFill>
          </w14:textFill>
        </w:rPr>
      </w:pPr>
      <w:bookmarkStart w:id="7" w:name="_Toc27343"/>
      <w:r>
        <w:rPr>
          <w:rFonts w:hint="eastAsia" w:cs="宋体"/>
          <w:b/>
          <w:bCs/>
          <w:color w:val="000000" w:themeColor="text1"/>
          <w:kern w:val="0"/>
          <w:sz w:val="28"/>
          <w:szCs w:val="32"/>
          <w:highlight w:val="none"/>
          <w:shd w:val="clear" w:color="auto" w:fill="auto"/>
          <w:lang w:val="en-US" w:eastAsia="zh-CN" w:bidi="ar-SA"/>
          <w14:textFill>
            <w14:solidFill>
              <w14:schemeClr w14:val="tx1"/>
            </w14:solidFill>
          </w14:textFill>
        </w:rPr>
        <w:t>2.</w:t>
      </w:r>
      <w:r>
        <w:rPr>
          <w:rFonts w:hint="eastAsia" w:ascii="宋体" w:hAnsi="宋体" w:eastAsia="宋体" w:cs="宋体"/>
          <w:b/>
          <w:bCs/>
          <w:color w:val="000000" w:themeColor="text1"/>
          <w:kern w:val="0"/>
          <w:sz w:val="28"/>
          <w:szCs w:val="32"/>
          <w:highlight w:val="none"/>
          <w:shd w:val="clear" w:color="auto" w:fill="auto"/>
          <w:lang w:val="en-US" w:eastAsia="zh-CN" w:bidi="ar-SA"/>
          <w14:textFill>
            <w14:solidFill>
              <w14:schemeClr w14:val="tx1"/>
            </w14:solidFill>
          </w14:textFill>
        </w:rPr>
        <w:t>主要内容及实施情况</w:t>
      </w:r>
      <w:bookmarkEnd w:id="7"/>
    </w:p>
    <w:p w14:paraId="7D4EB2F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仿宋" w:hAnsi="仿宋" w:eastAsia="仿宋" w:cs="仿宋"/>
          <w:b/>
          <w:bCs/>
          <w:color w:val="auto"/>
          <w:lang w:val="en-US" w:eastAsia="zh-CN"/>
        </w:rPr>
        <w:t>主要内</w:t>
      </w:r>
      <w:r>
        <w:rPr>
          <w:rFonts w:hint="eastAsia" w:ascii="仿宋" w:hAnsi="仿宋" w:eastAsia="仿宋" w:cs="仿宋"/>
          <w:b/>
          <w:bCs/>
          <w:color w:val="auto"/>
          <w:highlight w:val="none"/>
          <w:lang w:val="en-US" w:eastAsia="zh-CN"/>
        </w:rPr>
        <w:t>容：</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阜康市2022年阳光食品项目建设主要任务为：到2023年底，新安装企业8家，安装设备14台；完成阜康市阳光食品视频云调试上线,阳光食品监控指挥中心每月巡检维护。</w:t>
      </w:r>
    </w:p>
    <w:p w14:paraId="441BEEC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满足人民群众美好生活对安全健康食品的需要，巩固食品安全稳定向好的态势，促进食品产业有序健康发展。巩固食品安全稳定向好的态势，促进食品产业有序健康发展。</w:t>
      </w:r>
    </w:p>
    <w:p w14:paraId="1915F7D0">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shd w:val="clear" w:color="auto" w:fill="auto"/>
          <w:lang w:val="en-US" w:eastAsia="zh-CN"/>
        </w:rPr>
      </w:pPr>
      <w:r>
        <w:rPr>
          <w:rFonts w:hint="eastAsia" w:ascii="仿宋" w:hAnsi="仿宋" w:eastAsia="仿宋" w:cs="仿宋"/>
          <w:b/>
          <w:bCs/>
          <w:color w:val="auto"/>
          <w:highlight w:val="none"/>
          <w:shd w:val="clear" w:color="auto" w:fill="auto"/>
          <w:lang w:val="en-US" w:eastAsia="zh-CN"/>
        </w:rPr>
        <w:t>组织实施：</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项目自2017年6月6日经阜康市食品委员会文件批复，经阜康市食品安全委员会会议，确定了项目领导小组，明确了责任分工：组长为董英，副组长为徐建新，项目负责人为袁鹏,组员为杨盼、艾西江、加勒别克，其中：杨盼负责监管工作，艾西江负责项目档案资料，加勒别克负责资金拨付工作。</w:t>
      </w:r>
    </w:p>
    <w:p w14:paraId="24FF1ECE">
      <w:pPr>
        <w:pStyle w:val="4"/>
        <w:pageBreakBefore w:val="0"/>
        <w:kinsoku/>
        <w:wordWrap/>
        <w:overflowPunct/>
        <w:topLinePunct w:val="0"/>
        <w:autoSpaceDE/>
        <w:autoSpaceDN/>
        <w:bidi w:val="0"/>
        <w:adjustRightInd/>
        <w:spacing w:line="360" w:lineRule="auto"/>
        <w:textAlignment w:val="auto"/>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bookmarkStart w:id="8" w:name="_Toc1858"/>
      <w:bookmarkStart w:id="9" w:name="_Toc4496"/>
      <w:r>
        <w:rPr>
          <w:rFonts w:hint="eastAsia" w:ascii="仿宋" w:hAnsi="仿宋" w:eastAsia="仿宋" w:cs="仿宋"/>
          <w:color w:val="000000" w:themeColor="text1"/>
          <w:highlight w:val="none"/>
          <w:shd w:val="clear" w:color="auto" w:fill="auto"/>
          <w:lang w:val="en-US" w:eastAsia="zh-CN"/>
          <w14:textFill>
            <w14:solidFill>
              <w14:schemeClr w14:val="tx1"/>
            </w14:solidFill>
          </w14:textFill>
        </w:rPr>
        <w:t>3.资金投入和使用情况</w:t>
      </w:r>
      <w:bookmarkEnd w:id="8"/>
      <w:bookmarkEnd w:id="9"/>
    </w:p>
    <w:p w14:paraId="2A3336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（1）项目资金安排落实、总投入等情况分析</w:t>
      </w:r>
    </w:p>
    <w:p w14:paraId="7CA8710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2022年阳光食品建设项目预算安排总额为8.77万元，其中财政资金8.77万元，其他资金0万元，2023年实际收到预算资金8.77万元，预算资金到位率为100%。</w:t>
      </w:r>
    </w:p>
    <w:p w14:paraId="2456255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（2）项目资金实际使用情况分析</w:t>
      </w:r>
    </w:p>
    <w:p w14:paraId="275F96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截至2023年12月31日，2022年阳光食品建设项目实际支付资金8.77万元，预算执行率100%。结转结余资金为0万元，项目资金主要用于平台升级、维护等方面。</w:t>
      </w:r>
    </w:p>
    <w:p w14:paraId="2B0E0B19">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仿宋" w:hAnsi="仿宋" w:eastAsia="仿宋" w:cs="仿宋"/>
          <w:color w:val="000000" w:themeColor="text1"/>
          <w:highlight w:val="none"/>
          <w:shd w:val="clear" w:color="auto" w:fill="auto"/>
          <w14:textFill>
            <w14:solidFill>
              <w14:schemeClr w14:val="tx1"/>
            </w14:solidFill>
          </w14:textFill>
        </w:rPr>
      </w:pPr>
      <w:bookmarkStart w:id="10" w:name="_Toc12472"/>
      <w:r>
        <w:rPr>
          <w:rFonts w:hint="eastAsia" w:ascii="仿宋" w:hAnsi="仿宋" w:eastAsia="仿宋" w:cs="仿宋"/>
          <w:color w:val="000000" w:themeColor="text1"/>
          <w:highlight w:val="none"/>
          <w:shd w:val="clear" w:color="auto" w:fill="auto"/>
          <w14:textFill>
            <w14:solidFill>
              <w14:schemeClr w14:val="tx1"/>
            </w14:solidFill>
          </w14:textFill>
        </w:rPr>
        <w:t>项目绩效目标</w:t>
      </w:r>
      <w:bookmarkEnd w:id="10"/>
    </w:p>
    <w:p w14:paraId="519A77AE">
      <w:pPr>
        <w:pStyle w:val="4"/>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bookmarkStart w:id="11" w:name="_Toc10047"/>
      <w:bookmarkStart w:id="12" w:name="_Toc3089"/>
      <w:r>
        <w:rPr>
          <w:rFonts w:hint="eastAsia" w:ascii="仿宋" w:hAnsi="仿宋" w:eastAsia="仿宋" w:cs="仿宋"/>
          <w:color w:val="000000" w:themeColor="text1"/>
          <w:highlight w:val="none"/>
          <w:shd w:val="clear" w:color="auto" w:fill="auto"/>
          <w:lang w:val="en-US" w:eastAsia="zh-CN"/>
          <w14:textFill>
            <w14:solidFill>
              <w14:schemeClr w14:val="tx1"/>
            </w14:solidFill>
          </w14:textFill>
        </w:rPr>
        <w:t>1.总体目标</w:t>
      </w:r>
      <w:bookmarkEnd w:id="11"/>
      <w:bookmarkEnd w:id="12"/>
    </w:p>
    <w:p w14:paraId="06A51F7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2022年阳光食品建设项目支出绩效总体目标为：负责食品生产、流通、餐饮服务的安全监督管理、负责食品安全综合协调，推生产、流通、使用环节的监督管理和质量管理规范的监督实施、负责保健食品、经营的监督管理、负责产品质量安全监督管理、市场经营秩序的规范管理和监督；负责质量管理工作、负责标准化管理工作、负责监督管理计量工作、负责认证认可工作。2022年工作计划 1、新安装企业8家，安装设备14台；2、完成阜康市阳光食品视频云调试上线,上线率达到100%；3、完成阳光食品项目软硬件设备的日常维护工作。达到业务保障能力提升,市场持续监管服务能力提升的效益，群众满意度提高。</w:t>
      </w:r>
    </w:p>
    <w:p w14:paraId="55DAF4BF">
      <w:pPr>
        <w:pStyle w:val="4"/>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bookmarkStart w:id="13" w:name="_Toc4487"/>
      <w:bookmarkStart w:id="14" w:name="_Toc15366"/>
      <w:r>
        <w:rPr>
          <w:rFonts w:hint="eastAsia" w:ascii="仿宋" w:hAnsi="仿宋" w:eastAsia="仿宋" w:cs="仿宋"/>
          <w:color w:val="000000" w:themeColor="text1"/>
          <w:highlight w:val="none"/>
          <w:shd w:val="clear" w:color="auto" w:fill="auto"/>
          <w:lang w:val="en-US" w:eastAsia="zh-CN"/>
          <w14:textFill>
            <w14:solidFill>
              <w14:schemeClr w14:val="tx1"/>
            </w14:solidFill>
          </w14:textFill>
        </w:rPr>
        <w:t>2.阶段性目标</w:t>
      </w:r>
      <w:bookmarkEnd w:id="13"/>
      <w:bookmarkEnd w:id="14"/>
    </w:p>
    <w:p w14:paraId="5D13FD4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2022年1月-2022年12完成了8个企业的14台视频云调试安装，企业设备上线合格率 100%，设备维护率达到98%，设备安装成本2.28万元，明厨亮灶服务成本6.49万元，业务保障能力和市场持续监管服务能力得到了提升，群众满意度95%。</w:t>
      </w:r>
    </w:p>
    <w:p w14:paraId="318914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14:paraId="78F8307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“新安装企业数量(个)”指标，预期指标值为≥8个；</w:t>
      </w:r>
    </w:p>
    <w:p w14:paraId="0A51101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“新安装企业设备数量(台)”指标，预期指标值为≥14台；</w:t>
      </w:r>
    </w:p>
    <w:p w14:paraId="2430813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14:paraId="3E63D09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“视频云调试上线合格率（%） ”指标，预期指标值为100%；</w:t>
      </w:r>
    </w:p>
    <w:p w14:paraId="221CF5B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“设备维护率（%）”指标，预期指标值为≥95%；</w:t>
      </w:r>
    </w:p>
    <w:p w14:paraId="62BAE8E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③时效指标</w:t>
      </w:r>
    </w:p>
    <w:p w14:paraId="1805D2C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“项目完成及时率”指标，预期指标值为≥100%；</w:t>
      </w:r>
    </w:p>
    <w:p w14:paraId="5DE3E4E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④成本指标</w:t>
      </w:r>
    </w:p>
    <w:p w14:paraId="6925C5E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“设备安装成本”指标，预期指标值为≤2.28万元；</w:t>
      </w:r>
    </w:p>
    <w:p w14:paraId="5BAC13F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“明厨亮灶服务成本”指标，预期指标值为≤6.49万元；</w:t>
      </w:r>
    </w:p>
    <w:p w14:paraId="16049D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（2）项目效益目标</w:t>
      </w:r>
    </w:p>
    <w:p w14:paraId="3AE1547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14:paraId="779ECCE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本项目不存在经济效益</w:t>
      </w:r>
    </w:p>
    <w:p w14:paraId="34923BB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②社会效益指标</w:t>
      </w:r>
    </w:p>
    <w:p w14:paraId="3F4303E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“业务保障能力提升情况”指标，预期指标值为提升；</w:t>
      </w:r>
    </w:p>
    <w:p w14:paraId="0F7D4A4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③生态效益指标</w:t>
      </w:r>
    </w:p>
    <w:p w14:paraId="5B7D8C7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本项目不存在生态效益</w:t>
      </w:r>
    </w:p>
    <w:p w14:paraId="788953C6">
      <w:pPr>
        <w:pStyle w:val="2"/>
        <w:pageBreakBefore w:val="0"/>
        <w:kinsoku/>
        <w:wordWrap/>
        <w:overflowPunct/>
        <w:topLinePunct w:val="0"/>
        <w:autoSpaceDE/>
        <w:autoSpaceDN/>
        <w:bidi w:val="0"/>
        <w:adjustRightInd/>
        <w:spacing w:beforeLines="0" w:afterLines="0" w:line="360" w:lineRule="auto"/>
        <w:textAlignment w:val="auto"/>
        <w:rPr>
          <w:rFonts w:hint="eastAsia" w:ascii="仿宋" w:hAnsi="仿宋" w:eastAsia="仿宋" w:cs="仿宋"/>
          <w:b/>
          <w:bCs/>
          <w:color w:val="000000" w:themeColor="text1"/>
          <w:highlight w:val="none"/>
          <w:shd w:val="clear" w:color="auto" w:fill="auto"/>
          <w:lang w:val="en-US" w:eastAsia="zh-CN"/>
          <w14:textFill>
            <w14:solidFill>
              <w14:schemeClr w14:val="tx1"/>
            </w14:solidFill>
          </w14:textFill>
        </w:rPr>
      </w:pPr>
      <w:bookmarkStart w:id="15" w:name="_Toc24795"/>
      <w:r>
        <w:rPr>
          <w:rFonts w:hint="eastAsia" w:ascii="仿宋" w:hAnsi="仿宋" w:eastAsia="仿宋" w:cs="仿宋"/>
          <w:b/>
          <w:bCs/>
          <w:color w:val="000000" w:themeColor="text1"/>
          <w:highlight w:val="none"/>
          <w:shd w:val="clear" w:color="auto" w:fill="auto"/>
          <w14:textFill>
            <w14:solidFill>
              <w14:schemeClr w14:val="tx1"/>
            </w14:solidFill>
          </w14:textFill>
        </w:rPr>
        <w:t>二、绩效评价工作开展情况</w:t>
      </w:r>
      <w:bookmarkEnd w:id="15"/>
    </w:p>
    <w:p w14:paraId="014A6A1F">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仿宋" w:hAnsi="仿宋" w:eastAsia="仿宋" w:cs="仿宋"/>
          <w:color w:val="000000" w:themeColor="text1"/>
          <w:sz w:val="32"/>
          <w:szCs w:val="32"/>
          <w:highlight w:val="none"/>
          <w:shd w:val="clear" w:color="auto" w:fill="auto"/>
          <w:lang w:eastAsia="zh-CN"/>
          <w14:textFill>
            <w14:solidFill>
              <w14:schemeClr w14:val="tx1"/>
            </w14:solidFill>
          </w14:textFill>
        </w:rPr>
      </w:pPr>
      <w:bookmarkStart w:id="16" w:name="_Toc22922"/>
      <w:bookmarkStart w:id="17" w:name="_Toc22169_WPSOffice_Level2"/>
      <w:bookmarkStart w:id="18" w:name="_Toc12868"/>
      <w:bookmarkStart w:id="19" w:name="_Toc21664"/>
      <w:bookmarkStart w:id="20" w:name="_Toc480473081"/>
      <w:bookmarkStart w:id="21" w:name="_Toc5258"/>
      <w:bookmarkStart w:id="22" w:name="_Toc26632"/>
      <w:bookmarkStart w:id="23" w:name="_Toc5462343"/>
      <w:bookmarkStart w:id="24" w:name="_Toc9266"/>
      <w:r>
        <w:rPr>
          <w:rFonts w:hint="eastAsia" w:ascii="仿宋" w:hAnsi="仿宋" w:eastAsia="仿宋" w:cs="仿宋"/>
          <w:color w:val="000000" w:themeColor="text1"/>
          <w:sz w:val="32"/>
          <w:szCs w:val="32"/>
          <w:highlight w:val="none"/>
          <w:shd w:val="clear" w:color="auto" w:fill="auto"/>
          <w:lang w:eastAsia="zh-CN"/>
          <w14:textFill>
            <w14:solidFill>
              <w14:schemeClr w14:val="tx1"/>
            </w14:solidFill>
          </w14:textFill>
        </w:rPr>
        <w:t>绩效评价的目的</w:t>
      </w:r>
      <w:bookmarkEnd w:id="16"/>
      <w:bookmarkEnd w:id="17"/>
      <w:bookmarkEnd w:id="18"/>
      <w:bookmarkEnd w:id="19"/>
      <w:bookmarkEnd w:id="20"/>
      <w:bookmarkEnd w:id="21"/>
      <w:bookmarkEnd w:id="22"/>
      <w:bookmarkEnd w:id="23"/>
      <w:r>
        <w:rPr>
          <w:rFonts w:hint="eastAsia" w:ascii="仿宋" w:hAnsi="仿宋" w:eastAsia="仿宋" w:cs="仿宋"/>
          <w:color w:val="000000" w:themeColor="text1"/>
          <w:sz w:val="32"/>
          <w:szCs w:val="32"/>
          <w:highlight w:val="none"/>
          <w:shd w:val="clear" w:color="auto" w:fill="auto"/>
          <w:lang w:eastAsia="zh-CN"/>
          <w14:textFill>
            <w14:solidFill>
              <w14:schemeClr w14:val="tx1"/>
            </w14:solidFill>
          </w14:textFill>
        </w:rPr>
        <w:t>、对象和范围</w:t>
      </w:r>
      <w:bookmarkEnd w:id="24"/>
    </w:p>
    <w:p w14:paraId="6C0E76C4">
      <w:pPr>
        <w:pStyle w:val="4"/>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bookmarkStart w:id="25" w:name="_Toc15732"/>
      <w:bookmarkStart w:id="26" w:name="_Toc5338"/>
      <w:r>
        <w:rPr>
          <w:rFonts w:hint="eastAsia" w:ascii="仿宋" w:hAnsi="仿宋" w:eastAsia="仿宋" w:cs="仿宋"/>
          <w:color w:val="000000" w:themeColor="text1"/>
          <w:highlight w:val="none"/>
          <w:shd w:val="clear" w:color="auto" w:fill="auto"/>
          <w:lang w:val="en-US" w:eastAsia="zh-CN"/>
          <w14:textFill>
            <w14:solidFill>
              <w14:schemeClr w14:val="tx1"/>
            </w14:solidFill>
          </w14:textFill>
        </w:rPr>
        <w:t>1.</w:t>
      </w:r>
      <w:r>
        <w:rPr>
          <w:rFonts w:hint="eastAsia" w:ascii="仿宋" w:hAnsi="仿宋" w:eastAsia="仿宋" w:cs="仿宋"/>
          <w:color w:val="000000" w:themeColor="text1"/>
          <w:sz w:val="32"/>
          <w:szCs w:val="32"/>
          <w:highlight w:val="none"/>
          <w:shd w:val="clear" w:color="auto" w:fill="auto"/>
          <w:lang w:eastAsia="zh-CN"/>
          <w14:textFill>
            <w14:solidFill>
              <w14:schemeClr w14:val="tx1"/>
            </w14:solidFill>
          </w14:textFill>
        </w:rPr>
        <w:t>绩效评价的目的</w:t>
      </w:r>
      <w:bookmarkEnd w:id="25"/>
      <w:bookmarkEnd w:id="26"/>
    </w:p>
    <w:p w14:paraId="1ACB64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51AD8287">
      <w:pPr>
        <w:pStyle w:val="4"/>
        <w:pageBreakBefore w:val="0"/>
        <w:kinsoku/>
        <w:wordWrap/>
        <w:overflowPunct/>
        <w:topLinePunct w:val="0"/>
        <w:autoSpaceDE/>
        <w:autoSpaceDN/>
        <w:bidi w:val="0"/>
        <w:adjustRightInd/>
        <w:spacing w:line="360" w:lineRule="auto"/>
        <w:textAlignment w:val="auto"/>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bookmarkStart w:id="27" w:name="_Toc25164"/>
      <w:bookmarkStart w:id="28" w:name="_Toc30609"/>
      <w:r>
        <w:rPr>
          <w:rFonts w:hint="eastAsia" w:ascii="仿宋" w:hAnsi="仿宋" w:eastAsia="仿宋" w:cs="仿宋"/>
          <w:color w:val="000000" w:themeColor="text1"/>
          <w:highlight w:val="none"/>
          <w:shd w:val="clear" w:color="auto" w:fill="auto"/>
          <w:lang w:val="en-US" w:eastAsia="zh-CN"/>
          <w14:textFill>
            <w14:solidFill>
              <w14:schemeClr w14:val="tx1"/>
            </w14:solidFill>
          </w14:textFill>
        </w:rPr>
        <w:t>2.绩效评价的对象和范围</w:t>
      </w:r>
      <w:bookmarkEnd w:id="27"/>
      <w:bookmarkEnd w:id="28"/>
    </w:p>
    <w:p w14:paraId="15D121C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此次我单位根据《财政支出绩效评价管理暂行办法》（财预〔2020〕10号）文件要求对2023年度我单位实施的2022年阳光食品建设项目开展部门绩效评价。</w:t>
      </w:r>
    </w:p>
    <w:p w14:paraId="4298E4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5F5D2AB3">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仿宋" w:hAnsi="仿宋" w:eastAsia="仿宋" w:cs="仿宋"/>
          <w:color w:val="000000" w:themeColor="text1"/>
          <w:sz w:val="32"/>
          <w:szCs w:val="32"/>
          <w:highlight w:val="none"/>
          <w:shd w:val="clear" w:color="auto" w:fill="auto"/>
          <w:lang w:val="en-US" w:eastAsia="zh-CN"/>
          <w14:textFill>
            <w14:solidFill>
              <w14:schemeClr w14:val="tx1"/>
            </w14:solidFill>
          </w14:textFill>
        </w:rPr>
      </w:pPr>
      <w:bookmarkStart w:id="29" w:name="_Toc28011"/>
      <w:r>
        <w:rPr>
          <w:rFonts w:hint="eastAsia" w:ascii="仿宋" w:hAnsi="仿宋" w:eastAsia="仿宋" w:cs="仿宋"/>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9"/>
    </w:p>
    <w:p w14:paraId="143E1559">
      <w:pPr>
        <w:pStyle w:val="4"/>
        <w:pageBreakBefore w:val="0"/>
        <w:kinsoku/>
        <w:wordWrap/>
        <w:overflowPunct/>
        <w:topLinePunct w:val="0"/>
        <w:autoSpaceDE/>
        <w:autoSpaceDN/>
        <w:bidi w:val="0"/>
        <w:adjustRightInd/>
        <w:spacing w:line="360" w:lineRule="auto"/>
        <w:textAlignment w:val="auto"/>
        <w:rPr>
          <w:rFonts w:hint="eastAsia" w:ascii="仿宋" w:hAnsi="仿宋" w:eastAsia="仿宋" w:cs="仿宋"/>
          <w:color w:val="000000" w:themeColor="text1"/>
          <w:highlight w:val="none"/>
          <w:shd w:val="clear" w:color="auto" w:fill="auto"/>
          <w14:textFill>
            <w14:solidFill>
              <w14:schemeClr w14:val="tx1"/>
            </w14:solidFill>
          </w14:textFill>
        </w:rPr>
      </w:pPr>
      <w:bookmarkStart w:id="30" w:name="_Toc15514"/>
      <w:bookmarkStart w:id="31" w:name="_Toc24506"/>
      <w:r>
        <w:rPr>
          <w:rFonts w:hint="eastAsia" w:ascii="仿宋" w:hAnsi="仿宋" w:eastAsia="仿宋" w:cs="仿宋"/>
          <w:color w:val="000000" w:themeColor="text1"/>
          <w:highlight w:val="none"/>
          <w:shd w:val="clear" w:color="auto" w:fill="auto"/>
          <w:lang w:val="en-US" w:eastAsia="zh-CN"/>
          <w14:textFill>
            <w14:solidFill>
              <w14:schemeClr w14:val="tx1"/>
            </w14:solidFill>
          </w14:textFill>
        </w:rPr>
        <w:t>1.</w:t>
      </w:r>
      <w:r>
        <w:rPr>
          <w:rFonts w:hint="eastAsia" w:ascii="仿宋" w:hAnsi="仿宋" w:eastAsia="仿宋" w:cs="仿宋"/>
          <w:color w:val="000000" w:themeColor="text1"/>
          <w:highlight w:val="none"/>
          <w:shd w:val="clear" w:color="auto" w:fill="auto"/>
          <w14:textFill>
            <w14:solidFill>
              <w14:schemeClr w14:val="tx1"/>
            </w14:solidFill>
          </w14:textFill>
        </w:rPr>
        <w:t>绩效评价原则</w:t>
      </w:r>
      <w:bookmarkEnd w:id="30"/>
      <w:bookmarkEnd w:id="31"/>
    </w:p>
    <w:p w14:paraId="51486E4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依据《财政支出绩效评价管理暂行办法》（财预〔2020〕10号）本次绩效评价秉承科学规范、公正公开、分级分类、绩效相关等原则，按照从投入、过程到产出效果和影响的绩效逻辑路径，结合2022年阳光食品建设项目实际开展情况，运用定量和定性分析相结合的方法，总结经验做法，反思项目实施和管理中的问题，以切实提升财政资金管理的科学化、规范化和精细化水平。</w:t>
      </w:r>
    </w:p>
    <w:p w14:paraId="3269A55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根据以上原则，绩效评价应遵循如下要求：</w:t>
      </w:r>
    </w:p>
    <w:p w14:paraId="75AA3F0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（1）科学公正。绩效评价应当运用科学合理的方法，按照规范的程序，对项目绩效进行客观、公正的反映。</w:t>
      </w:r>
    </w:p>
    <w:p w14:paraId="3C6ABF1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（2）统筹兼顾。单位自评、部门评价和财政评价应职责明确，各有侧重，相互衔接。单位自评应由项目单位自主实施，即“谁支出、谁自评”。</w:t>
      </w:r>
    </w:p>
    <w:p w14:paraId="2E64901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（3）激励约束。绩效评价结果应与预算安排、政策调整、改进管理实质性挂钩，体现奖优罚劣和激励相容导向，有效要安排、低效要压减、无效要问责。</w:t>
      </w:r>
    </w:p>
    <w:p w14:paraId="616190D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（4）公开透明。绩效评价结果应依法依规公开，并自觉接受社会监督。</w:t>
      </w:r>
    </w:p>
    <w:p w14:paraId="7ABCEF23">
      <w:pPr>
        <w:pStyle w:val="4"/>
        <w:pageBreakBefore w:val="0"/>
        <w:kinsoku/>
        <w:wordWrap/>
        <w:overflowPunct/>
        <w:topLinePunct w:val="0"/>
        <w:autoSpaceDE/>
        <w:autoSpaceDN/>
        <w:bidi w:val="0"/>
        <w:adjustRightInd/>
        <w:spacing w:line="360" w:lineRule="auto"/>
        <w:textAlignment w:val="auto"/>
        <w:rPr>
          <w:rFonts w:hint="eastAsia" w:ascii="仿宋" w:hAnsi="仿宋" w:eastAsia="仿宋" w:cs="仿宋"/>
          <w:color w:val="000000" w:themeColor="text1"/>
          <w:highlight w:val="none"/>
          <w:shd w:val="clear" w:color="auto" w:fill="auto"/>
          <w:lang w:eastAsia="zh-CN"/>
          <w14:textFill>
            <w14:solidFill>
              <w14:schemeClr w14:val="tx1"/>
            </w14:solidFill>
          </w14:textFill>
        </w:rPr>
      </w:pPr>
      <w:bookmarkStart w:id="32" w:name="_Toc419984722"/>
      <w:bookmarkStart w:id="33" w:name="_Toc428278230"/>
      <w:bookmarkStart w:id="34" w:name="_Toc1913"/>
      <w:bookmarkStart w:id="35" w:name="_Toc26131"/>
      <w:bookmarkStart w:id="36" w:name="_Toc23700"/>
      <w:bookmarkStart w:id="37" w:name="_Toc24396"/>
      <w:r>
        <w:rPr>
          <w:rFonts w:hint="eastAsia" w:ascii="仿宋" w:hAnsi="仿宋" w:eastAsia="仿宋" w:cs="仿宋"/>
          <w:color w:val="000000" w:themeColor="text1"/>
          <w:highlight w:val="none"/>
          <w:shd w:val="clear" w:color="auto" w:fill="auto"/>
          <w:lang w:val="en-US" w:eastAsia="zh-CN"/>
          <w14:textFill>
            <w14:solidFill>
              <w14:schemeClr w14:val="tx1"/>
            </w14:solidFill>
          </w14:textFill>
        </w:rPr>
        <w:t>2.</w:t>
      </w:r>
      <w:r>
        <w:rPr>
          <w:rFonts w:hint="eastAsia" w:ascii="仿宋" w:hAnsi="仿宋" w:eastAsia="仿宋" w:cs="仿宋"/>
          <w:color w:val="000000" w:themeColor="text1"/>
          <w:highlight w:val="none"/>
          <w:shd w:val="clear" w:color="auto" w:fill="auto"/>
          <w:lang w:eastAsia="zh-CN"/>
          <w14:textFill>
            <w14:solidFill>
              <w14:schemeClr w14:val="tx1"/>
            </w14:solidFill>
          </w14:textFill>
        </w:rPr>
        <w:t>绩效评价指标体系及绩效评价</w:t>
      </w:r>
      <w:bookmarkEnd w:id="32"/>
      <w:bookmarkEnd w:id="33"/>
      <w:bookmarkEnd w:id="34"/>
      <w:bookmarkEnd w:id="35"/>
      <w:r>
        <w:rPr>
          <w:rFonts w:hint="eastAsia" w:ascii="仿宋" w:hAnsi="仿宋" w:eastAsia="仿宋" w:cs="仿宋"/>
          <w:color w:val="000000" w:themeColor="text1"/>
          <w:highlight w:val="none"/>
          <w:shd w:val="clear" w:color="auto" w:fill="auto"/>
          <w:lang w:val="en-US" w:eastAsia="zh-CN"/>
          <w14:textFill>
            <w14:solidFill>
              <w14:schemeClr w14:val="tx1"/>
            </w14:solidFill>
          </w14:textFill>
        </w:rPr>
        <w:t>标准</w:t>
      </w:r>
      <w:bookmarkEnd w:id="36"/>
      <w:bookmarkEnd w:id="37"/>
    </w:p>
    <w:p w14:paraId="64A9F0B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ascii="仿宋" w:hAnsi="仿宋" w:eastAsia="仿宋" w:cs="仿宋"/>
          <w:b/>
          <w:bCs/>
          <w:color w:val="000000" w:themeColor="text1"/>
          <w:highlight w:val="none"/>
          <w:shd w:val="clear" w:color="auto" w:fill="auto"/>
          <w:lang w:val="en-US" w:eastAsia="zh-CN"/>
          <w14:textFill>
            <w14:solidFill>
              <w14:schemeClr w14:val="tx1"/>
            </w14:solidFill>
          </w14:textFill>
        </w:rPr>
        <w:t>（详见上传的附件）</w:t>
      </w:r>
      <w:r>
        <w:rPr>
          <w:rFonts w:hint="eastAsia" w:ascii="仿宋" w:hAnsi="仿宋" w:eastAsia="仿宋" w:cs="仿宋"/>
          <w:color w:val="000000" w:themeColor="text1"/>
          <w:highlight w:val="none"/>
          <w:shd w:val="clear" w:color="auto" w:fill="auto"/>
          <w:lang w:val="en-US" w:eastAsia="zh-CN"/>
          <w14:textFill>
            <w14:solidFill>
              <w14:schemeClr w14:val="tx1"/>
            </w14:solidFill>
          </w14:textFill>
        </w:rPr>
        <w:t>：</w:t>
      </w:r>
    </w:p>
    <w:p w14:paraId="724C4630">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4"/>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2D7FBD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044C17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4653AB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721ACB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6AFE33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1250BE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4D70A9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69DED1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5CC151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256634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7DD732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5DD19C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36C3344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DF0DFA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41DF39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03C4F0F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3B74891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4EF0D4B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758A0D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3D60771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C7E99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A8B55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44B479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1A5740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502F893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6D7080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5586081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0CE1AA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7EC134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44BEF66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26C723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16B4A2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608623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3A399C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56D3E85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3003DF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6135139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2B78BB0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4149A69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1E80BE5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436FC5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D0B28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56908B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0AD4F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2F346A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139FBC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014F60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92846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590512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75A6D5E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5E15B3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425A6F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5E12DC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7CCB58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546320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387A01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7D5570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B31A5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167B20D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682E47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70E395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2B6FDA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5CA393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796AF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41480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07E8D5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5D5E0D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2EF3C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3E8B9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1EADF3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19385B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18C2CD3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2C55A5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0A6722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5089648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1C6F03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53BCA3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03838C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594F6F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F3F7D1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EBA9AC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5AD372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27D9B3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60F7A4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72AEBB3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534D0D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0D672A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48280F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9DC5F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436E0C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743EFF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3DD13C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67E09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78D0BF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125539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461499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035E36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741536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1F4EC0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6332ED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361226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0FE06D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3147A1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3ACD3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4A2F051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573CF5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0C113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0F14DF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E90AA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384CF5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6CA7E3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102AA2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D9BE2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5195BA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36BD31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45D470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47F9D1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535D3D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76F34B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23442B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022A91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2499176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1321CC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6F95464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471A5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E0D27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0CF866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6CAFE4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6D69B9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7C436F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5BC78A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363E8E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05F5EC5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3C7FD85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4A90FB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37FC19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508672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0C8D26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76FFD4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86F10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0B61BA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5F3711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696679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6DACEB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43A4D6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436A5F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693FF9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46C1F9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2287E2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73E47E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641B6B3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1EF6427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1065C8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727EA1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32335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FF24B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3BF893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7A211C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23C47CCE">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8" w:name="_Toc9941"/>
      <w:bookmarkStart w:id="39" w:name="_Toc3034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8"/>
      <w:bookmarkEnd w:id="39"/>
    </w:p>
    <w:p w14:paraId="489087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与实施情况进行比较，以及采取公众问卷及抽样调查等方式进行评判的方法对</w:t>
      </w:r>
      <w:r>
        <w:rPr>
          <w:rFonts w:hint="eastAsia" w:cs="宋体"/>
          <w:color w:val="000000" w:themeColor="text1"/>
          <w:highlight w:val="none"/>
          <w:shd w:val="clear" w:color="auto" w:fill="auto"/>
          <w:lang w:val="en-US" w:eastAsia="zh-CN"/>
          <w14:textFill>
            <w14:solidFill>
              <w14:schemeClr w14:val="tx1"/>
            </w14:solidFill>
          </w14:textFill>
        </w:rPr>
        <w:t>2022年阳光食品建设项目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进行评价。</w:t>
      </w:r>
    </w:p>
    <w:p w14:paraId="7BBFEC29">
      <w:pPr>
        <w:pStyle w:val="4"/>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40" w:name="_Toc25391"/>
      <w:bookmarkStart w:id="41" w:name="_Toc5065"/>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40"/>
      <w:bookmarkEnd w:id="41"/>
    </w:p>
    <w:p w14:paraId="3E8E8A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6D8427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145BCE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443D2AA7">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565BD304">
      <w:pPr>
        <w:pStyle w:val="4"/>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42" w:name="_Toc1246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42"/>
    </w:p>
    <w:p w14:paraId="7B8A4DD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43" w:name="_Toc12862"/>
      <w:bookmarkStart w:id="44" w:name="_Toc668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43"/>
      <w:bookmarkEnd w:id="44"/>
    </w:p>
    <w:p w14:paraId="78C47D8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57E2A66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6FD49B32">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31571"/>
      <w:bookmarkStart w:id="46" w:name="_Toc74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45"/>
      <w:bookmarkEnd w:id="46"/>
    </w:p>
    <w:p w14:paraId="5AEFCD0A">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21240"/>
      <w:bookmarkStart w:id="48" w:name="_Toc2684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2022年阳光食品建设项目实施内容、目标信息、预算信息以及其他的一些项目基本信息，有了初步了解，为制定绩效评价工作方案做好准备。</w:t>
      </w:r>
      <w:bookmarkEnd w:id="47"/>
      <w:bookmarkEnd w:id="48"/>
    </w:p>
    <w:p w14:paraId="008091E8">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27977"/>
      <w:bookmarkStart w:id="50" w:name="_Toc2636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49"/>
      <w:bookmarkEnd w:id="50"/>
    </w:p>
    <w:p w14:paraId="77043E27">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1" w:name="_Toc27082"/>
      <w:bookmarkStart w:id="52"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51"/>
      <w:bookmarkEnd w:id="52"/>
    </w:p>
    <w:p w14:paraId="5E68E0C9">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11353"/>
      <w:bookmarkStart w:id="54" w:name="_Toc5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53"/>
      <w:bookmarkEnd w:id="54"/>
    </w:p>
    <w:p w14:paraId="20F9756D">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5" w:name="_Toc14111"/>
      <w:bookmarkStart w:id="56" w:name="_Toc19622"/>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55"/>
      <w:bookmarkEnd w:id="56"/>
    </w:p>
    <w:p w14:paraId="4C084CF8">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7" w:name="_Toc28524"/>
      <w:bookmarkStart w:id="58" w:name="_Toc354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57"/>
      <w:bookmarkEnd w:id="58"/>
    </w:p>
    <w:p w14:paraId="2E5B4E29">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9" w:name="_Toc5553"/>
      <w:bookmarkStart w:id="60"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59"/>
      <w:bookmarkEnd w:id="60"/>
    </w:p>
    <w:p w14:paraId="321C2ABE">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61" w:name="_Toc10505"/>
      <w:bookmarkStart w:id="62" w:name="_Toc2233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61"/>
      <w:bookmarkEnd w:id="62"/>
    </w:p>
    <w:p w14:paraId="71FEB417">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63" w:name="_Toc5423"/>
      <w:bookmarkStart w:id="64"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63"/>
      <w:bookmarkEnd w:id="64"/>
    </w:p>
    <w:p w14:paraId="52FD396F">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65" w:name="_Toc27266"/>
      <w:bookmarkStart w:id="66"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65"/>
      <w:bookmarkEnd w:id="66"/>
    </w:p>
    <w:p w14:paraId="227D2F13">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67" w:name="_Toc1"/>
      <w:bookmarkStart w:id="68" w:name="_Toc1440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67"/>
      <w:bookmarkEnd w:id="68"/>
    </w:p>
    <w:p w14:paraId="3B52541B">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69" w:name="_Toc20059"/>
      <w:bookmarkStart w:id="70" w:name="_Toc13346"/>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69"/>
      <w:bookmarkEnd w:id="70"/>
    </w:p>
    <w:p w14:paraId="2E7817CA">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71" w:name="_Toc26046"/>
      <w:bookmarkStart w:id="72"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71"/>
      <w:bookmarkEnd w:id="72"/>
    </w:p>
    <w:p w14:paraId="15DA7E2E">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73" w:name="_Toc9059"/>
      <w:bookmarkStart w:id="74"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73"/>
      <w:bookmarkEnd w:id="74"/>
    </w:p>
    <w:p w14:paraId="48E7261F">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75" w:name="_Toc30513"/>
      <w:bookmarkStart w:id="76" w:name="_Toc2796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75"/>
      <w:bookmarkEnd w:id="76"/>
    </w:p>
    <w:p w14:paraId="3CD69060">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77" w:name="_Toc22743"/>
      <w:bookmarkStart w:id="78"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77"/>
      <w:bookmarkEnd w:id="78"/>
    </w:p>
    <w:p w14:paraId="229E674D">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79" w:name="_Toc1614"/>
      <w:bookmarkStart w:id="80"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79"/>
      <w:bookmarkEnd w:id="80"/>
    </w:p>
    <w:p w14:paraId="5395417A">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81" w:name="_Toc26231"/>
      <w:bookmarkStart w:id="82" w:name="_Toc2530"/>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81"/>
      <w:bookmarkEnd w:id="82"/>
    </w:p>
    <w:p w14:paraId="3BEB74C9">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83" w:name="_Toc1131"/>
      <w:bookmarkStart w:id="84"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83"/>
      <w:bookmarkEnd w:id="84"/>
    </w:p>
    <w:p w14:paraId="2A7854FC">
      <w:pPr>
        <w:pStyle w:val="13"/>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85" w:name="_Toc18798"/>
      <w:bookmarkStart w:id="86"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85"/>
      <w:bookmarkEnd w:id="86"/>
    </w:p>
    <w:p w14:paraId="6AB322C5">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87" w:name="_Toc2028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87"/>
    </w:p>
    <w:p w14:paraId="6E1D90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w:t>
      </w:r>
      <w:r>
        <w:rPr>
          <w:rFonts w:hint="eastAsia" w:ascii="宋体" w:hAnsi="宋体" w:eastAsia="宋体" w:cs="宋体"/>
          <w:color w:val="auto"/>
          <w:highlight w:val="none"/>
          <w:shd w:val="clear" w:color="auto" w:fill="auto"/>
          <w:lang w:eastAsia="zh-CN"/>
        </w:rPr>
        <w:t>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2022年阳光食品建设项目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zh-TW"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4"/>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75C49879">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557929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color w:val="auto"/>
                <w:highlight w:val="none"/>
                <w:shd w:val="clear" w:color="auto" w:fill="auto"/>
                <w:lang w:val="en-US" w:eastAsia="zh-CN"/>
              </w:rPr>
              <w:t>2022年阳光食品建设项目</w:t>
            </w:r>
            <w:r>
              <w:rPr>
                <w:rFonts w:hint="eastAsia" w:ascii="宋体" w:hAnsi="宋体" w:eastAsia="宋体" w:cs="宋体"/>
                <w:b/>
                <w:bCs/>
                <w:color w:val="auto"/>
                <w:kern w:val="0"/>
                <w:sz w:val="28"/>
                <w:szCs w:val="28"/>
                <w:highlight w:val="none"/>
                <w:shd w:val="clear" w:color="auto" w:fill="auto"/>
                <w:lang w:val="en-US" w:eastAsia="zh-CN"/>
              </w:rPr>
              <w:t>得分表</w:t>
            </w:r>
          </w:p>
          <w:p w14:paraId="6F0B1B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14:paraId="4D508B2C">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697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290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F2C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309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423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C98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095F3B4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4F6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87D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40D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AB6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FFF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09B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26682EF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7D5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23A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16F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4A8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67E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A7B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w:t>
            </w:r>
          </w:p>
        </w:tc>
      </w:tr>
      <w:tr w14:paraId="0FE5E0C5">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25E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EF8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391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F59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F11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3CF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74418270">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8" w:name="_Toc1003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88"/>
    </w:p>
    <w:p w14:paraId="6C2C6DDC">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9" w:name="_Toc27491"/>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89"/>
    </w:p>
    <w:p w14:paraId="692822DB">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分</w:t>
      </w:r>
      <w:r>
        <w:rPr>
          <w:rFonts w:hint="eastAsia" w:cs="宋体"/>
          <w:color w:val="000000" w:themeColor="text1"/>
          <w:highlight w:val="none"/>
          <w:shd w:val="clear" w:color="auto" w:fill="auto"/>
          <w:lang w:val="en-US" w:eastAsia="zh-CN"/>
          <w14:textFill>
            <w14:solidFill>
              <w14:schemeClr w14:val="tx1"/>
            </w14:solidFill>
          </w14:textFill>
        </w:rPr>
        <w:t>19.8</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分</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p>
    <w:p w14:paraId="3B660047">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33D53BD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4"/>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34FF3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4188E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l2br w:val="nil"/>
              <w:tr2bl w:val="nil"/>
            </w:tcBorders>
            <w:shd w:val="clear" w:color="auto" w:fill="auto"/>
            <w:tcMar>
              <w:top w:w="12" w:type="dxa"/>
              <w:left w:w="12" w:type="dxa"/>
              <w:right w:w="12" w:type="dxa"/>
            </w:tcMar>
            <w:vAlign w:val="center"/>
          </w:tcPr>
          <w:p w14:paraId="3551DB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l2br w:val="nil"/>
              <w:tr2bl w:val="nil"/>
            </w:tcBorders>
            <w:shd w:val="clear" w:color="auto" w:fill="auto"/>
            <w:tcMar>
              <w:top w:w="12" w:type="dxa"/>
              <w:left w:w="12" w:type="dxa"/>
              <w:right w:w="12" w:type="dxa"/>
            </w:tcMar>
            <w:vAlign w:val="center"/>
          </w:tcPr>
          <w:p w14:paraId="05BA3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l2br w:val="nil"/>
              <w:tr2bl w:val="nil"/>
            </w:tcBorders>
            <w:shd w:val="clear" w:color="auto" w:fill="auto"/>
            <w:tcMar>
              <w:top w:w="12" w:type="dxa"/>
              <w:left w:w="12" w:type="dxa"/>
              <w:right w:w="12" w:type="dxa"/>
            </w:tcMar>
            <w:vAlign w:val="center"/>
          </w:tcPr>
          <w:p w14:paraId="47A248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l2br w:val="nil"/>
              <w:tr2bl w:val="nil"/>
            </w:tcBorders>
            <w:shd w:val="clear" w:color="auto" w:fill="auto"/>
            <w:tcMar>
              <w:top w:w="12" w:type="dxa"/>
              <w:left w:w="12" w:type="dxa"/>
              <w:right w:w="12" w:type="dxa"/>
            </w:tcMar>
            <w:vAlign w:val="center"/>
          </w:tcPr>
          <w:p w14:paraId="485D33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l2br w:val="nil"/>
              <w:tr2bl w:val="nil"/>
            </w:tcBorders>
            <w:shd w:val="clear" w:color="auto" w:fill="auto"/>
            <w:tcMar>
              <w:top w:w="12" w:type="dxa"/>
              <w:left w:w="12" w:type="dxa"/>
              <w:right w:w="12" w:type="dxa"/>
            </w:tcMar>
            <w:vAlign w:val="center"/>
          </w:tcPr>
          <w:p w14:paraId="53B407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l2br w:val="nil"/>
              <w:tr2bl w:val="nil"/>
            </w:tcBorders>
            <w:shd w:val="clear" w:color="auto" w:fill="auto"/>
            <w:tcMar>
              <w:top w:w="12" w:type="dxa"/>
              <w:left w:w="12" w:type="dxa"/>
              <w:right w:w="12" w:type="dxa"/>
            </w:tcMar>
            <w:vAlign w:val="center"/>
          </w:tcPr>
          <w:p w14:paraId="3B2D94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5C9AC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3FFFDF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727030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l2br w:val="nil"/>
              <w:tr2bl w:val="nil"/>
            </w:tcBorders>
            <w:shd w:val="clear" w:color="auto" w:fill="auto"/>
            <w:tcMar>
              <w:top w:w="12" w:type="dxa"/>
              <w:left w:w="12" w:type="dxa"/>
              <w:right w:w="12" w:type="dxa"/>
            </w:tcMar>
            <w:vAlign w:val="center"/>
          </w:tcPr>
          <w:p w14:paraId="738565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1A58FC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l2br w:val="nil"/>
              <w:tr2bl w:val="nil"/>
            </w:tcBorders>
            <w:shd w:val="clear" w:color="auto" w:fill="auto"/>
            <w:tcMar>
              <w:top w:w="12" w:type="dxa"/>
              <w:left w:w="12" w:type="dxa"/>
              <w:right w:w="12" w:type="dxa"/>
            </w:tcMar>
            <w:vAlign w:val="center"/>
          </w:tcPr>
          <w:p w14:paraId="0509AB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2957C5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74A574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7586D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5B3FE2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tl2br w:val="nil"/>
              <w:tr2bl w:val="nil"/>
            </w:tcBorders>
            <w:shd w:val="clear" w:color="auto" w:fill="auto"/>
            <w:tcMar>
              <w:top w:w="12" w:type="dxa"/>
              <w:left w:w="12" w:type="dxa"/>
              <w:right w:w="12" w:type="dxa"/>
            </w:tcMar>
            <w:vAlign w:val="center"/>
          </w:tcPr>
          <w:p w14:paraId="77890C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l2br w:val="nil"/>
              <w:tr2bl w:val="nil"/>
            </w:tcBorders>
            <w:shd w:val="clear" w:color="auto" w:fill="auto"/>
            <w:tcMar>
              <w:top w:w="12" w:type="dxa"/>
              <w:left w:w="12" w:type="dxa"/>
              <w:right w:w="12" w:type="dxa"/>
            </w:tcMar>
            <w:vAlign w:val="center"/>
          </w:tcPr>
          <w:p w14:paraId="596684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l2br w:val="nil"/>
              <w:tr2bl w:val="nil"/>
            </w:tcBorders>
            <w:shd w:val="clear" w:color="auto" w:fill="auto"/>
            <w:tcMar>
              <w:top w:w="12" w:type="dxa"/>
              <w:left w:w="12" w:type="dxa"/>
              <w:right w:w="12" w:type="dxa"/>
            </w:tcMar>
            <w:vAlign w:val="center"/>
          </w:tcPr>
          <w:p w14:paraId="38F070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l2br w:val="nil"/>
              <w:tr2bl w:val="nil"/>
            </w:tcBorders>
            <w:shd w:val="clear" w:color="auto" w:fill="auto"/>
            <w:tcMar>
              <w:top w:w="12" w:type="dxa"/>
              <w:left w:w="12" w:type="dxa"/>
              <w:right w:w="12" w:type="dxa"/>
            </w:tcMar>
            <w:vAlign w:val="center"/>
          </w:tcPr>
          <w:p w14:paraId="56F14D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2C7DBE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25C56E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2.8</w:t>
            </w:r>
          </w:p>
        </w:tc>
      </w:tr>
      <w:tr w14:paraId="660D07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45489A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tl2br w:val="nil"/>
              <w:tr2bl w:val="nil"/>
            </w:tcBorders>
            <w:shd w:val="clear" w:color="auto" w:fill="auto"/>
            <w:tcMar>
              <w:top w:w="12" w:type="dxa"/>
              <w:left w:w="12" w:type="dxa"/>
              <w:right w:w="12" w:type="dxa"/>
            </w:tcMar>
            <w:vAlign w:val="center"/>
          </w:tcPr>
          <w:p w14:paraId="6730E0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l2br w:val="nil"/>
              <w:tr2bl w:val="nil"/>
            </w:tcBorders>
            <w:shd w:val="clear" w:color="auto" w:fill="auto"/>
            <w:tcMar>
              <w:top w:w="12" w:type="dxa"/>
              <w:left w:w="12" w:type="dxa"/>
              <w:right w:w="12" w:type="dxa"/>
            </w:tcMar>
            <w:vAlign w:val="center"/>
          </w:tcPr>
          <w:p w14:paraId="6E4375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09472A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l2br w:val="nil"/>
              <w:tr2bl w:val="nil"/>
            </w:tcBorders>
            <w:shd w:val="clear" w:color="auto" w:fill="auto"/>
            <w:tcMar>
              <w:top w:w="12" w:type="dxa"/>
              <w:left w:w="12" w:type="dxa"/>
              <w:right w:w="12" w:type="dxa"/>
            </w:tcMar>
            <w:vAlign w:val="center"/>
          </w:tcPr>
          <w:p w14:paraId="3631CD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7953D9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35C50F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B2455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282EC3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tl2br w:val="nil"/>
              <w:tr2bl w:val="nil"/>
            </w:tcBorders>
            <w:shd w:val="clear" w:color="auto" w:fill="auto"/>
            <w:tcMar>
              <w:top w:w="12" w:type="dxa"/>
              <w:left w:w="12" w:type="dxa"/>
              <w:right w:w="12" w:type="dxa"/>
            </w:tcMar>
            <w:vAlign w:val="center"/>
          </w:tcPr>
          <w:p w14:paraId="510107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l2br w:val="nil"/>
              <w:tr2bl w:val="nil"/>
            </w:tcBorders>
            <w:shd w:val="clear" w:color="auto" w:fill="auto"/>
            <w:tcMar>
              <w:top w:w="12" w:type="dxa"/>
              <w:left w:w="12" w:type="dxa"/>
              <w:right w:w="12" w:type="dxa"/>
            </w:tcMar>
            <w:vAlign w:val="center"/>
          </w:tcPr>
          <w:p w14:paraId="1F2426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l2br w:val="nil"/>
              <w:tr2bl w:val="nil"/>
            </w:tcBorders>
            <w:shd w:val="clear" w:color="auto" w:fill="auto"/>
            <w:tcMar>
              <w:top w:w="12" w:type="dxa"/>
              <w:left w:w="12" w:type="dxa"/>
              <w:right w:w="12" w:type="dxa"/>
            </w:tcMar>
            <w:vAlign w:val="center"/>
          </w:tcPr>
          <w:p w14:paraId="7ACCD8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l2br w:val="nil"/>
              <w:tr2bl w:val="nil"/>
            </w:tcBorders>
            <w:shd w:val="clear" w:color="auto" w:fill="auto"/>
            <w:tcMar>
              <w:top w:w="12" w:type="dxa"/>
              <w:left w:w="12" w:type="dxa"/>
              <w:right w:w="12" w:type="dxa"/>
            </w:tcMar>
            <w:vAlign w:val="center"/>
          </w:tcPr>
          <w:p w14:paraId="68A364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1208D8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1E9436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CB9E2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400EF3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tl2br w:val="nil"/>
              <w:tr2bl w:val="nil"/>
            </w:tcBorders>
            <w:shd w:val="clear" w:color="auto" w:fill="auto"/>
            <w:tcMar>
              <w:top w:w="12" w:type="dxa"/>
              <w:left w:w="12" w:type="dxa"/>
              <w:right w:w="12" w:type="dxa"/>
            </w:tcMar>
            <w:vAlign w:val="center"/>
          </w:tcPr>
          <w:p w14:paraId="7CBCC3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l2br w:val="nil"/>
              <w:tr2bl w:val="nil"/>
            </w:tcBorders>
            <w:shd w:val="clear" w:color="auto" w:fill="auto"/>
            <w:tcMar>
              <w:top w:w="12" w:type="dxa"/>
              <w:left w:w="12" w:type="dxa"/>
              <w:right w:w="12" w:type="dxa"/>
            </w:tcMar>
            <w:vAlign w:val="center"/>
          </w:tcPr>
          <w:p w14:paraId="6D0B2D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5BD51F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l2br w:val="nil"/>
              <w:tr2bl w:val="nil"/>
            </w:tcBorders>
            <w:shd w:val="clear" w:color="auto" w:fill="auto"/>
            <w:tcMar>
              <w:top w:w="12" w:type="dxa"/>
              <w:left w:w="12" w:type="dxa"/>
              <w:right w:w="12" w:type="dxa"/>
            </w:tcMar>
            <w:vAlign w:val="center"/>
          </w:tcPr>
          <w:p w14:paraId="226A59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0D1C21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2A17D5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31ED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5153C8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tl2br w:val="nil"/>
              <w:tr2bl w:val="nil"/>
            </w:tcBorders>
            <w:shd w:val="clear" w:color="auto" w:fill="auto"/>
            <w:tcMar>
              <w:top w:w="12" w:type="dxa"/>
              <w:left w:w="12" w:type="dxa"/>
              <w:right w:w="12" w:type="dxa"/>
            </w:tcMar>
            <w:vAlign w:val="center"/>
          </w:tcPr>
          <w:p w14:paraId="65219E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l2br w:val="nil"/>
              <w:tr2bl w:val="nil"/>
            </w:tcBorders>
            <w:shd w:val="clear" w:color="auto" w:fill="auto"/>
            <w:tcMar>
              <w:top w:w="12" w:type="dxa"/>
              <w:left w:w="12" w:type="dxa"/>
              <w:right w:w="12" w:type="dxa"/>
            </w:tcMar>
            <w:vAlign w:val="center"/>
          </w:tcPr>
          <w:p w14:paraId="16E4D6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l2br w:val="nil"/>
              <w:tr2bl w:val="nil"/>
            </w:tcBorders>
            <w:shd w:val="clear" w:color="auto" w:fill="auto"/>
            <w:tcMar>
              <w:top w:w="12" w:type="dxa"/>
              <w:left w:w="12" w:type="dxa"/>
              <w:right w:w="12" w:type="dxa"/>
            </w:tcMar>
            <w:vAlign w:val="center"/>
          </w:tcPr>
          <w:p w14:paraId="47C293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l2br w:val="nil"/>
              <w:tr2bl w:val="nil"/>
            </w:tcBorders>
            <w:shd w:val="clear" w:color="auto" w:fill="auto"/>
            <w:tcMar>
              <w:top w:w="12" w:type="dxa"/>
              <w:left w:w="12" w:type="dxa"/>
              <w:right w:w="12" w:type="dxa"/>
            </w:tcMar>
            <w:vAlign w:val="center"/>
          </w:tcPr>
          <w:p w14:paraId="5EF278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24132E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726673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4B07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597774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l2br w:val="nil"/>
              <w:tr2bl w:val="nil"/>
            </w:tcBorders>
            <w:shd w:val="clear" w:color="auto" w:fill="auto"/>
            <w:tcMar>
              <w:top w:w="12" w:type="dxa"/>
              <w:left w:w="12" w:type="dxa"/>
              <w:right w:w="12" w:type="dxa"/>
            </w:tcMar>
            <w:vAlign w:val="center"/>
          </w:tcPr>
          <w:p w14:paraId="1C7B1E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l2br w:val="nil"/>
              <w:tr2bl w:val="nil"/>
            </w:tcBorders>
            <w:shd w:val="clear" w:color="auto" w:fill="auto"/>
            <w:tcMar>
              <w:top w:w="12" w:type="dxa"/>
              <w:left w:w="12" w:type="dxa"/>
              <w:right w:w="12" w:type="dxa"/>
            </w:tcMar>
            <w:vAlign w:val="center"/>
          </w:tcPr>
          <w:p w14:paraId="47C470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l2br w:val="nil"/>
              <w:tr2bl w:val="nil"/>
            </w:tcBorders>
            <w:shd w:val="clear" w:color="auto" w:fill="auto"/>
            <w:tcMar>
              <w:top w:w="12" w:type="dxa"/>
              <w:left w:w="12" w:type="dxa"/>
              <w:right w:w="12" w:type="dxa"/>
            </w:tcMar>
            <w:vAlign w:val="center"/>
          </w:tcPr>
          <w:p w14:paraId="763241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14:paraId="4F23E4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w:t>
            </w:r>
          </w:p>
        </w:tc>
      </w:tr>
    </w:tbl>
    <w:p w14:paraId="59E40D16">
      <w:pPr>
        <w:bidi w:val="0"/>
        <w:outlineLvl w:val="2"/>
        <w:rPr>
          <w:rFonts w:hint="default"/>
          <w:b/>
          <w:bCs/>
          <w:highlight w:val="none"/>
          <w:lang w:val="en-US" w:eastAsia="zh-CN"/>
        </w:rPr>
      </w:pPr>
      <w:bookmarkStart w:id="90" w:name="_Toc25133"/>
      <w:bookmarkStart w:id="91" w:name="_Toc13522"/>
      <w:r>
        <w:rPr>
          <w:rFonts w:hint="eastAsia"/>
          <w:b/>
          <w:bCs/>
          <w:highlight w:val="none"/>
          <w:lang w:val="en-US" w:eastAsia="zh-CN"/>
        </w:rPr>
        <w:t>1.立项依据充分性</w:t>
      </w:r>
      <w:bookmarkEnd w:id="90"/>
      <w:bookmarkEnd w:id="91"/>
    </w:p>
    <w:p w14:paraId="15C6E4E3">
      <w:pPr>
        <w:bidi w:val="0"/>
        <w:rPr>
          <w:rFonts w:hint="eastAsia"/>
          <w:color w:val="000000" w:themeColor="text1"/>
          <w:lang w:eastAsia="zh-CN"/>
          <w14:textFill>
            <w14:solidFill>
              <w14:schemeClr w14:val="tx1"/>
            </w14:solidFill>
          </w14:textFill>
        </w:rPr>
      </w:pPr>
      <w:r>
        <w:rPr>
          <w:rFonts w:hint="eastAsia"/>
          <w:highlight w:val="none"/>
          <w:lang w:eastAsia="zh-CN"/>
        </w:rPr>
        <w:t>①项目立项符合</w:t>
      </w:r>
      <w:r>
        <w:rPr>
          <w:rFonts w:hint="eastAsia"/>
          <w:color w:val="auto"/>
          <w:highlight w:val="none"/>
          <w:lang w:eastAsia="zh-CN"/>
        </w:rPr>
        <w:t>《</w:t>
      </w:r>
      <w:r>
        <w:rPr>
          <w:rFonts w:hint="eastAsia"/>
          <w:color w:val="000000" w:themeColor="text1"/>
          <w:highlight w:val="none"/>
          <w:lang w:val="en-US" w:eastAsia="zh-CN"/>
          <w14:textFill>
            <w14:solidFill>
              <w14:schemeClr w14:val="tx1"/>
            </w14:solidFill>
          </w14:textFill>
        </w:rPr>
        <w:t>昌吉州人民政府办公室关于印发</w:t>
      </w:r>
      <w:r>
        <w:rPr>
          <w:rFonts w:hint="eastAsia"/>
          <w:color w:val="auto"/>
          <w:highlight w:val="none"/>
          <w:lang w:eastAsia="zh-CN"/>
        </w:rPr>
        <w:t>》</w:t>
      </w:r>
      <w:r>
        <w:rPr>
          <w:rFonts w:hint="eastAsia"/>
          <w:color w:val="000000" w:themeColor="text1"/>
          <w:highlight w:val="none"/>
          <w:lang w:eastAsia="zh-CN"/>
          <w14:textFill>
            <w14:solidFill>
              <w14:schemeClr w14:val="tx1"/>
            </w14:solidFill>
          </w14:textFill>
        </w:rPr>
        <w:t>昌州政办发【</w:t>
      </w:r>
      <w:r>
        <w:rPr>
          <w:rFonts w:hint="eastAsia"/>
          <w:color w:val="000000" w:themeColor="text1"/>
          <w:highlight w:val="none"/>
          <w:lang w:val="en-US" w:eastAsia="zh-CN"/>
          <w14:textFill>
            <w14:solidFill>
              <w14:schemeClr w14:val="tx1"/>
            </w14:solidFill>
          </w14:textFill>
        </w:rPr>
        <w:t>2017</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29号自治州阳光食品项目建设实施方案的通知文件</w:t>
      </w:r>
      <w:r>
        <w:rPr>
          <w:rFonts w:hint="eastAsia"/>
          <w:color w:val="000000" w:themeColor="text1"/>
          <w:highlight w:val="none"/>
          <w:lang w:eastAsia="zh-CN"/>
          <w14:textFill>
            <w14:solidFill>
              <w14:schemeClr w14:val="tx1"/>
            </w14:solidFill>
          </w14:textFill>
        </w:rPr>
        <w:t>相关政策；</w:t>
      </w:r>
    </w:p>
    <w:p w14:paraId="33D6EE22">
      <w:pPr>
        <w:bidi w:val="0"/>
        <w:rPr>
          <w:rFonts w:hint="eastAsia"/>
          <w:lang w:eastAsia="zh-CN"/>
        </w:rPr>
      </w:pPr>
      <w:r>
        <w:rPr>
          <w:rFonts w:hint="eastAsia"/>
          <w:lang w:eastAsia="zh-CN"/>
        </w:rPr>
        <w:t>②项目立项符合</w:t>
      </w:r>
      <w:r>
        <w:rPr>
          <w:rFonts w:hint="eastAsia"/>
          <w:color w:val="auto"/>
          <w:highlight w:val="none"/>
          <w:lang w:eastAsia="zh-CN"/>
        </w:rPr>
        <w:t>《财政部关于印发政府和社会资本方合作模式有关问题的通知》</w:t>
      </w:r>
      <w:r>
        <w:rPr>
          <w:rFonts w:hint="eastAsia"/>
          <w:color w:val="000000" w:themeColor="text1"/>
          <w:lang w:eastAsia="zh-CN"/>
          <w14:textFill>
            <w14:solidFill>
              <w14:schemeClr w14:val="tx1"/>
            </w14:solidFill>
          </w14:textFill>
        </w:rPr>
        <w:t>政策要求</w:t>
      </w:r>
      <w:r>
        <w:rPr>
          <w:rFonts w:hint="eastAsia"/>
          <w:lang w:eastAsia="zh-CN"/>
        </w:rPr>
        <w:t>；</w:t>
      </w:r>
    </w:p>
    <w:p w14:paraId="6F9CCB80">
      <w:pPr>
        <w:bidi w:val="0"/>
        <w:rPr>
          <w:rFonts w:hint="eastAsia"/>
          <w:lang w:eastAsia="zh-CN"/>
        </w:rPr>
      </w:pPr>
      <w:r>
        <w:rPr>
          <w:rFonts w:hint="eastAsia"/>
          <w:lang w:eastAsia="zh-CN"/>
        </w:rPr>
        <w:t>③项目立项与</w:t>
      </w:r>
      <w:r>
        <w:rPr>
          <w:rFonts w:hint="default"/>
          <w:lang w:val="en-US" w:eastAsia="zh-CN"/>
        </w:rPr>
        <w:t>负责食品安全监督管理综合协调，组织制定食品安全重大政策并组织实施</w:t>
      </w:r>
      <w:r>
        <w:rPr>
          <w:rFonts w:hint="eastAsia"/>
          <w:lang w:val="en-US" w:eastAsia="zh-CN"/>
        </w:rPr>
        <w:t>职责</w:t>
      </w:r>
      <w:r>
        <w:rPr>
          <w:rFonts w:hint="eastAsia"/>
          <w:lang w:eastAsia="zh-CN"/>
        </w:rPr>
        <w:t>范围相符，属于部门履职所需；</w:t>
      </w:r>
    </w:p>
    <w:p w14:paraId="3CB89C20">
      <w:pPr>
        <w:bidi w:val="0"/>
        <w:rPr>
          <w:rFonts w:hint="eastAsia"/>
          <w:lang w:eastAsia="zh-CN"/>
        </w:rPr>
      </w:pPr>
      <w:r>
        <w:rPr>
          <w:rFonts w:hint="eastAsia"/>
          <w:lang w:eastAsia="zh-CN"/>
        </w:rPr>
        <w:t>④项目属于公共财政支持范围，符合中央、地方事权支出责任划分原则；</w:t>
      </w:r>
    </w:p>
    <w:p w14:paraId="72E21CD5">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20FA6B27">
      <w:pPr>
        <w:bidi w:val="0"/>
        <w:rPr>
          <w:rFonts w:hint="default"/>
          <w:lang w:val="en-US" w:eastAsia="zh-CN"/>
        </w:rPr>
      </w:pPr>
      <w:r>
        <w:rPr>
          <w:rFonts w:hint="eastAsia"/>
          <w:b/>
          <w:bCs/>
          <w:lang w:val="en-US" w:eastAsia="zh-CN"/>
        </w:rPr>
        <w:t>综上，该项指标满分</w:t>
      </w:r>
      <w:r>
        <w:rPr>
          <w:rFonts w:hint="eastAsia"/>
          <w:b/>
          <w:bCs/>
          <w:color w:val="000000" w:themeColor="text1"/>
          <w:lang w:val="en-US" w:eastAsia="zh-CN"/>
          <w14:textFill>
            <w14:solidFill>
              <w14:schemeClr w14:val="tx1"/>
            </w14:solidFill>
          </w14:textFill>
        </w:rPr>
        <w:t>2分，得分2分</w:t>
      </w:r>
      <w:r>
        <w:rPr>
          <w:rFonts w:hint="eastAsia"/>
          <w:b/>
          <w:bCs/>
          <w:lang w:val="en-US" w:eastAsia="zh-CN"/>
        </w:rPr>
        <w:t>。</w:t>
      </w:r>
    </w:p>
    <w:p w14:paraId="3E7FEEF1">
      <w:pPr>
        <w:bidi w:val="0"/>
        <w:outlineLvl w:val="2"/>
        <w:rPr>
          <w:rFonts w:hint="default"/>
          <w:b/>
          <w:bCs/>
          <w:color w:val="auto"/>
          <w:lang w:val="en-US" w:eastAsia="zh-CN"/>
        </w:rPr>
      </w:pPr>
      <w:bookmarkStart w:id="92" w:name="_Toc32077"/>
      <w:bookmarkStart w:id="93" w:name="_Toc21976"/>
      <w:r>
        <w:rPr>
          <w:rFonts w:hint="eastAsia"/>
          <w:b/>
          <w:bCs/>
          <w:color w:val="auto"/>
          <w:lang w:val="en-US" w:eastAsia="zh-CN"/>
        </w:rPr>
        <w:t>2.立项程序规范性</w:t>
      </w:r>
      <w:bookmarkEnd w:id="92"/>
      <w:bookmarkEnd w:id="93"/>
    </w:p>
    <w:p w14:paraId="275585AF">
      <w:pPr>
        <w:bidi w:val="0"/>
        <w:rPr>
          <w:rFonts w:hint="eastAsia"/>
          <w:lang w:eastAsia="zh-CN"/>
        </w:rPr>
      </w:pPr>
      <w:r>
        <w:rPr>
          <w:rFonts w:hint="eastAsia"/>
          <w:lang w:eastAsia="zh-CN"/>
        </w:rPr>
        <w:t>①项目按照规定的程序申请设立；</w:t>
      </w:r>
    </w:p>
    <w:p w14:paraId="31A23BB7">
      <w:pPr>
        <w:bidi w:val="0"/>
        <w:rPr>
          <w:rFonts w:hint="eastAsia"/>
          <w:lang w:eastAsia="zh-CN"/>
        </w:rPr>
      </w:pPr>
      <w:r>
        <w:rPr>
          <w:rFonts w:hint="eastAsia"/>
          <w:lang w:eastAsia="zh-CN"/>
        </w:rPr>
        <w:t>②审批文件、材料符合相关要求；</w:t>
      </w:r>
    </w:p>
    <w:p w14:paraId="3F62D4D3">
      <w:pPr>
        <w:bidi w:val="0"/>
        <w:rPr>
          <w:rFonts w:hint="default" w:eastAsia="宋体"/>
          <w:highlight w:val="none"/>
          <w:lang w:val="en-US" w:eastAsia="zh-CN"/>
        </w:rPr>
      </w:pPr>
      <w:r>
        <w:rPr>
          <w:rFonts w:hint="eastAsia"/>
          <w:highlight w:val="none"/>
          <w:lang w:eastAsia="zh-CN"/>
        </w:rPr>
        <w:t>③事前经过必要的可行性研究、风险评估、集体决策。未经过事前绩效评估扣</w:t>
      </w:r>
      <w:r>
        <w:rPr>
          <w:rFonts w:hint="eastAsia"/>
          <w:highlight w:val="none"/>
          <w:lang w:val="en-US" w:eastAsia="zh-CN"/>
        </w:rPr>
        <w:t>0.2分。</w:t>
      </w:r>
    </w:p>
    <w:p w14:paraId="7A8D6212">
      <w:pPr>
        <w:bidi w:val="0"/>
        <w:rPr>
          <w:rFonts w:hint="eastAsia"/>
          <w:highlight w:val="none"/>
          <w:lang w:eastAsia="zh-CN"/>
        </w:rPr>
      </w:pPr>
      <w:r>
        <w:rPr>
          <w:rFonts w:hint="eastAsia"/>
          <w:b/>
          <w:bCs/>
          <w:highlight w:val="none"/>
          <w:lang w:val="en-US" w:eastAsia="zh-CN"/>
        </w:rPr>
        <w:t>综上，该项指标满分3</w:t>
      </w:r>
      <w:r>
        <w:rPr>
          <w:rFonts w:hint="eastAsia"/>
          <w:b/>
          <w:bCs/>
          <w:color w:val="000000" w:themeColor="text1"/>
          <w:highlight w:val="none"/>
          <w:lang w:val="en-US" w:eastAsia="zh-CN"/>
          <w14:textFill>
            <w14:solidFill>
              <w14:schemeClr w14:val="tx1"/>
            </w14:solidFill>
          </w14:textFill>
        </w:rPr>
        <w:t>分，得分2.8分</w:t>
      </w:r>
      <w:r>
        <w:rPr>
          <w:rFonts w:hint="eastAsia"/>
          <w:b/>
          <w:bCs/>
          <w:highlight w:val="none"/>
          <w:lang w:val="en-US" w:eastAsia="zh-CN"/>
        </w:rPr>
        <w:t>。</w:t>
      </w:r>
    </w:p>
    <w:p w14:paraId="6EE1D201">
      <w:pPr>
        <w:bidi w:val="0"/>
        <w:outlineLvl w:val="2"/>
        <w:rPr>
          <w:rFonts w:hint="default"/>
          <w:b/>
          <w:bCs/>
          <w:highlight w:val="none"/>
          <w:lang w:val="en-US" w:eastAsia="zh-CN"/>
        </w:rPr>
      </w:pPr>
      <w:bookmarkStart w:id="94" w:name="_Toc4201"/>
      <w:bookmarkStart w:id="95" w:name="_Toc15382"/>
      <w:r>
        <w:rPr>
          <w:rFonts w:hint="eastAsia"/>
          <w:b/>
          <w:bCs/>
          <w:highlight w:val="none"/>
          <w:lang w:val="en-US" w:eastAsia="zh-CN"/>
        </w:rPr>
        <w:t>3.绩效目标合理性</w:t>
      </w:r>
      <w:bookmarkEnd w:id="94"/>
      <w:bookmarkEnd w:id="95"/>
    </w:p>
    <w:p w14:paraId="075E1684">
      <w:pPr>
        <w:bidi w:val="0"/>
        <w:rPr>
          <w:rFonts w:hint="eastAsia"/>
          <w:lang w:eastAsia="zh-CN"/>
        </w:rPr>
      </w:pPr>
      <w:r>
        <w:rPr>
          <w:rFonts w:hint="eastAsia"/>
          <w:lang w:eastAsia="zh-CN"/>
        </w:rPr>
        <w:t>①项目有绩效目标；</w:t>
      </w:r>
    </w:p>
    <w:p w14:paraId="70B2BF9D">
      <w:pPr>
        <w:bidi w:val="0"/>
        <w:rPr>
          <w:rFonts w:hint="eastAsia"/>
          <w:lang w:eastAsia="zh-CN"/>
        </w:rPr>
      </w:pPr>
      <w:r>
        <w:rPr>
          <w:rFonts w:hint="eastAsia"/>
          <w:lang w:eastAsia="zh-CN"/>
        </w:rPr>
        <w:t>②项目绩效目标与实际工作内容具有相关性；</w:t>
      </w:r>
    </w:p>
    <w:p w14:paraId="21F6AC6D">
      <w:pPr>
        <w:bidi w:val="0"/>
        <w:rPr>
          <w:rFonts w:hint="eastAsia"/>
          <w:lang w:eastAsia="zh-CN"/>
        </w:rPr>
      </w:pPr>
      <w:r>
        <w:rPr>
          <w:rFonts w:hint="eastAsia"/>
          <w:lang w:eastAsia="zh-CN"/>
        </w:rPr>
        <w:t>③项目预期产出效益和效果符合正常的业绩水平；</w:t>
      </w:r>
    </w:p>
    <w:p w14:paraId="551C492B">
      <w:pPr>
        <w:bidi w:val="0"/>
        <w:rPr>
          <w:rFonts w:hint="eastAsia"/>
          <w:lang w:eastAsia="zh-CN"/>
        </w:rPr>
      </w:pPr>
      <w:r>
        <w:rPr>
          <w:rFonts w:hint="eastAsia"/>
          <w:lang w:eastAsia="zh-CN"/>
        </w:rPr>
        <w:t>④与预算确定的项目投资额或资金量相匹配。</w:t>
      </w:r>
    </w:p>
    <w:p w14:paraId="6028DAAC">
      <w:pPr>
        <w:bidi w:val="0"/>
        <w:rPr>
          <w:rFonts w:hint="eastAsia"/>
          <w:lang w:eastAsia="zh-CN"/>
        </w:rPr>
      </w:pPr>
      <w:r>
        <w:rPr>
          <w:rFonts w:hint="eastAsia"/>
          <w:b/>
          <w:bCs/>
          <w:lang w:val="en-US" w:eastAsia="zh-CN"/>
        </w:rPr>
        <w:t>综上，该项指标满分</w:t>
      </w:r>
      <w:r>
        <w:rPr>
          <w:rFonts w:hint="eastAsia"/>
          <w:b/>
          <w:bCs/>
          <w:color w:val="000000" w:themeColor="text1"/>
          <w:lang w:val="en-US" w:eastAsia="zh-CN"/>
          <w14:textFill>
            <w14:solidFill>
              <w14:schemeClr w14:val="tx1"/>
            </w14:solidFill>
          </w14:textFill>
        </w:rPr>
        <w:t>5分，得分5分。</w:t>
      </w:r>
    </w:p>
    <w:p w14:paraId="394985B0">
      <w:pPr>
        <w:bidi w:val="0"/>
        <w:outlineLvl w:val="2"/>
        <w:rPr>
          <w:rFonts w:hint="default"/>
          <w:b/>
          <w:bCs/>
          <w:lang w:val="en-US" w:eastAsia="zh-CN"/>
        </w:rPr>
      </w:pPr>
      <w:bookmarkStart w:id="96" w:name="_Toc16592"/>
      <w:bookmarkStart w:id="97" w:name="_Toc10650"/>
      <w:r>
        <w:rPr>
          <w:rFonts w:hint="eastAsia"/>
          <w:b/>
          <w:bCs/>
          <w:lang w:val="en-US" w:eastAsia="zh-CN"/>
        </w:rPr>
        <w:t>4.绩效指标明确性</w:t>
      </w:r>
      <w:bookmarkEnd w:id="96"/>
      <w:bookmarkEnd w:id="97"/>
    </w:p>
    <w:p w14:paraId="29617A69">
      <w:pPr>
        <w:bidi w:val="0"/>
        <w:rPr>
          <w:rFonts w:hint="eastAsia"/>
          <w:color w:val="auto"/>
          <w:highlight w:val="none"/>
          <w:lang w:eastAsia="zh-CN"/>
        </w:rPr>
      </w:pPr>
      <w:r>
        <w:rPr>
          <w:rFonts w:hint="eastAsia"/>
          <w:lang w:eastAsia="zh-CN"/>
        </w:rPr>
        <w:t>①将项目绩效</w:t>
      </w:r>
      <w:r>
        <w:rPr>
          <w:rFonts w:hint="eastAsia"/>
          <w:highlight w:val="none"/>
          <w:lang w:eastAsia="zh-CN"/>
        </w:rPr>
        <w:t>目标细化分解</w:t>
      </w:r>
      <w:r>
        <w:rPr>
          <w:rFonts w:hint="eastAsia"/>
          <w:color w:val="auto"/>
          <w:highlight w:val="none"/>
          <w:lang w:eastAsia="zh-CN"/>
        </w:rPr>
        <w:t>为具体的绩效指标，由</w:t>
      </w:r>
      <w:r>
        <w:rPr>
          <w:rFonts w:hint="eastAsia" w:cs="宋体"/>
          <w:color w:val="auto"/>
          <w:highlight w:val="none"/>
          <w:shd w:val="clear" w:color="auto" w:fill="auto"/>
          <w:lang w:val="en-US" w:eastAsia="zh-CN"/>
        </w:rPr>
        <w:t>5</w:t>
      </w:r>
      <w:r>
        <w:rPr>
          <w:rFonts w:hint="eastAsia" w:ascii="宋体" w:hAnsi="宋体" w:eastAsia="宋体" w:cs="宋体"/>
          <w:color w:val="auto"/>
          <w:highlight w:val="none"/>
          <w:shd w:val="clear" w:color="auto" w:fill="auto"/>
          <w:lang w:val="en-US" w:eastAsia="zh-CN"/>
        </w:rPr>
        <w:t>个二级指标和</w:t>
      </w:r>
      <w:r>
        <w:rPr>
          <w:rFonts w:hint="eastAsia" w:cs="宋体"/>
          <w:color w:val="auto"/>
          <w:highlight w:val="none"/>
          <w:shd w:val="clear" w:color="auto" w:fill="auto"/>
          <w:lang w:val="en-US" w:eastAsia="zh-CN"/>
        </w:rPr>
        <w:t>8</w:t>
      </w:r>
      <w:r>
        <w:rPr>
          <w:rFonts w:hint="eastAsia" w:ascii="宋体" w:hAnsi="宋体" w:eastAsia="宋体" w:cs="宋体"/>
          <w:color w:val="auto"/>
          <w:highlight w:val="none"/>
          <w:shd w:val="clear" w:color="auto" w:fill="auto"/>
          <w:lang w:val="en-US" w:eastAsia="zh-CN"/>
        </w:rPr>
        <w:t>个三级指标构成</w:t>
      </w:r>
      <w:r>
        <w:rPr>
          <w:rFonts w:hint="eastAsia"/>
          <w:color w:val="auto"/>
          <w:highlight w:val="none"/>
          <w:lang w:eastAsia="zh-CN"/>
        </w:rPr>
        <w:t>；</w:t>
      </w:r>
    </w:p>
    <w:p w14:paraId="6E7F9472">
      <w:pPr>
        <w:bidi w:val="0"/>
        <w:rPr>
          <w:rFonts w:hint="eastAsia"/>
          <w:color w:val="auto"/>
          <w:highlight w:val="none"/>
          <w:lang w:eastAsia="zh-CN"/>
        </w:rPr>
      </w:pPr>
      <w:r>
        <w:rPr>
          <w:rFonts w:hint="eastAsia"/>
          <w:color w:val="auto"/>
          <w:highlight w:val="none"/>
          <w:lang w:eastAsia="zh-CN"/>
        </w:rPr>
        <w:t>②通过清晰、可衡量的指标值予以体现，量化率达到</w:t>
      </w:r>
      <w:r>
        <w:rPr>
          <w:rFonts w:hint="eastAsia"/>
          <w:color w:val="auto"/>
          <w:highlight w:val="none"/>
          <w:lang w:val="en-US" w:eastAsia="zh-CN"/>
        </w:rPr>
        <w:t>87.5%</w:t>
      </w:r>
      <w:r>
        <w:rPr>
          <w:rFonts w:hint="eastAsia"/>
          <w:color w:val="auto"/>
          <w:highlight w:val="none"/>
          <w:lang w:eastAsia="zh-CN"/>
        </w:rPr>
        <w:t>；</w:t>
      </w:r>
    </w:p>
    <w:p w14:paraId="1EFF59B4">
      <w:pPr>
        <w:bidi w:val="0"/>
        <w:rPr>
          <w:rFonts w:hint="eastAsia"/>
          <w:lang w:eastAsia="zh-CN"/>
        </w:rPr>
      </w:pPr>
      <w:r>
        <w:rPr>
          <w:rFonts w:hint="eastAsia"/>
          <w:color w:val="auto"/>
          <w:highlight w:val="none"/>
          <w:lang w:eastAsia="zh-CN"/>
        </w:rPr>
        <w:t>③与项目目标任务数或计划数相对</w:t>
      </w:r>
      <w:r>
        <w:rPr>
          <w:rFonts w:hint="eastAsia"/>
          <w:highlight w:val="none"/>
          <w:lang w:eastAsia="zh-CN"/>
        </w:rPr>
        <w:t>应。</w:t>
      </w:r>
    </w:p>
    <w:p w14:paraId="501A1073">
      <w:pPr>
        <w:bidi w:val="0"/>
        <w:rPr>
          <w:rFonts w:hint="eastAsia"/>
          <w:lang w:eastAsia="zh-CN"/>
        </w:rPr>
      </w:pPr>
      <w:r>
        <w:rPr>
          <w:rFonts w:hint="eastAsia"/>
          <w:b/>
          <w:bCs/>
          <w:lang w:val="en-US" w:eastAsia="zh-CN"/>
        </w:rPr>
        <w:t>综上，该项指标满分</w:t>
      </w:r>
      <w:r>
        <w:rPr>
          <w:rFonts w:hint="eastAsia"/>
          <w:b/>
          <w:bCs/>
          <w:color w:val="000000" w:themeColor="text1"/>
          <w:lang w:val="en-US" w:eastAsia="zh-CN"/>
          <w14:textFill>
            <w14:solidFill>
              <w14:schemeClr w14:val="tx1"/>
            </w14:solidFill>
          </w14:textFill>
        </w:rPr>
        <w:t>5分，得分5分</w:t>
      </w:r>
      <w:r>
        <w:rPr>
          <w:rFonts w:hint="eastAsia"/>
          <w:b/>
          <w:bCs/>
          <w:lang w:val="en-US" w:eastAsia="zh-CN"/>
        </w:rPr>
        <w:t>。</w:t>
      </w:r>
    </w:p>
    <w:p w14:paraId="4AB0CB83">
      <w:pPr>
        <w:bidi w:val="0"/>
        <w:outlineLvl w:val="2"/>
        <w:rPr>
          <w:rFonts w:hint="default"/>
          <w:b/>
          <w:bCs/>
          <w:lang w:val="en-US" w:eastAsia="zh-CN"/>
        </w:rPr>
      </w:pPr>
      <w:bookmarkStart w:id="98" w:name="_Toc27862"/>
      <w:bookmarkStart w:id="99" w:name="_Toc19401"/>
      <w:r>
        <w:rPr>
          <w:rFonts w:hint="eastAsia"/>
          <w:b/>
          <w:bCs/>
          <w:lang w:val="en-US" w:eastAsia="zh-CN"/>
        </w:rPr>
        <w:t>5.预算编制科学性</w:t>
      </w:r>
      <w:bookmarkEnd w:id="98"/>
      <w:bookmarkEnd w:id="99"/>
    </w:p>
    <w:p w14:paraId="6A1E6152">
      <w:pPr>
        <w:bidi w:val="0"/>
        <w:rPr>
          <w:rFonts w:hint="eastAsia"/>
          <w:lang w:eastAsia="zh-CN"/>
        </w:rPr>
      </w:pPr>
      <w:r>
        <w:rPr>
          <w:rFonts w:hint="eastAsia"/>
          <w:lang w:eastAsia="zh-CN"/>
        </w:rPr>
        <w:t>①预算编制经过科学论证；</w:t>
      </w:r>
    </w:p>
    <w:p w14:paraId="010C4EE5">
      <w:pPr>
        <w:bidi w:val="0"/>
        <w:rPr>
          <w:rFonts w:hint="eastAsia"/>
          <w:lang w:eastAsia="zh-CN"/>
        </w:rPr>
      </w:pPr>
      <w:r>
        <w:rPr>
          <w:rFonts w:hint="eastAsia"/>
          <w:lang w:eastAsia="zh-CN"/>
        </w:rPr>
        <w:t>②预算内容与项目内容匹配；</w:t>
      </w:r>
    </w:p>
    <w:p w14:paraId="3F8834D3">
      <w:pPr>
        <w:bidi w:val="0"/>
        <w:rPr>
          <w:rFonts w:hint="eastAsia"/>
          <w:lang w:eastAsia="zh-CN"/>
        </w:rPr>
      </w:pPr>
      <w:r>
        <w:rPr>
          <w:rFonts w:hint="eastAsia"/>
          <w:lang w:eastAsia="zh-CN"/>
        </w:rPr>
        <w:t>③预算额度测算依据充分，按照标准编制；</w:t>
      </w:r>
    </w:p>
    <w:p w14:paraId="4D0FB112">
      <w:pPr>
        <w:bidi w:val="0"/>
        <w:rPr>
          <w:rFonts w:hint="eastAsia"/>
          <w:lang w:eastAsia="zh-CN"/>
        </w:rPr>
      </w:pPr>
      <w:r>
        <w:rPr>
          <w:rFonts w:hint="eastAsia"/>
          <w:lang w:eastAsia="zh-CN"/>
        </w:rPr>
        <w:t>④预算确定的项目投资额或资金量与工作任务相匹配。</w:t>
      </w:r>
    </w:p>
    <w:p w14:paraId="70E05BB3">
      <w:pPr>
        <w:bidi w:val="0"/>
        <w:rPr>
          <w:rFonts w:hint="eastAsia"/>
          <w:lang w:eastAsia="zh-CN"/>
        </w:rPr>
      </w:pPr>
      <w:r>
        <w:rPr>
          <w:rFonts w:hint="eastAsia"/>
          <w:b/>
          <w:bCs/>
          <w:lang w:val="en-US" w:eastAsia="zh-CN"/>
        </w:rPr>
        <w:t>综上，该项指标满分</w:t>
      </w:r>
      <w:r>
        <w:rPr>
          <w:rFonts w:hint="eastAsia"/>
          <w:b/>
          <w:bCs/>
          <w:color w:val="000000" w:themeColor="text1"/>
          <w:lang w:val="en-US" w:eastAsia="zh-CN"/>
          <w14:textFill>
            <w14:solidFill>
              <w14:schemeClr w14:val="tx1"/>
            </w14:solidFill>
          </w14:textFill>
        </w:rPr>
        <w:t>2分，得分2分</w:t>
      </w:r>
      <w:r>
        <w:rPr>
          <w:rFonts w:hint="eastAsia"/>
          <w:b/>
          <w:bCs/>
          <w:lang w:val="en-US" w:eastAsia="zh-CN"/>
        </w:rPr>
        <w:t>。</w:t>
      </w:r>
    </w:p>
    <w:p w14:paraId="53B8F3DE">
      <w:pPr>
        <w:bidi w:val="0"/>
        <w:outlineLvl w:val="2"/>
        <w:rPr>
          <w:rFonts w:hint="default"/>
          <w:b/>
          <w:bCs/>
          <w:lang w:val="en-US" w:eastAsia="zh-CN"/>
        </w:rPr>
      </w:pPr>
      <w:bookmarkStart w:id="100" w:name="_Toc447"/>
      <w:bookmarkStart w:id="101" w:name="_Toc697"/>
      <w:r>
        <w:rPr>
          <w:rFonts w:hint="eastAsia"/>
          <w:b/>
          <w:bCs/>
          <w:lang w:val="en-US" w:eastAsia="zh-CN"/>
        </w:rPr>
        <w:t>6.资金分配合理性</w:t>
      </w:r>
      <w:bookmarkEnd w:id="100"/>
      <w:bookmarkEnd w:id="101"/>
    </w:p>
    <w:p w14:paraId="2423D4A3">
      <w:pPr>
        <w:bidi w:val="0"/>
        <w:rPr>
          <w:rFonts w:hint="eastAsia"/>
          <w:lang w:eastAsia="zh-CN"/>
        </w:rPr>
      </w:pPr>
      <w:r>
        <w:rPr>
          <w:rFonts w:hint="eastAsia"/>
          <w:lang w:eastAsia="zh-CN"/>
        </w:rPr>
        <w:t>①预算资金分配依据充分；</w:t>
      </w:r>
    </w:p>
    <w:p w14:paraId="3C44EF90">
      <w:pPr>
        <w:bidi w:val="0"/>
        <w:rPr>
          <w:rFonts w:hint="eastAsia"/>
          <w:lang w:eastAsia="zh-CN"/>
        </w:rPr>
      </w:pPr>
      <w:r>
        <w:rPr>
          <w:rFonts w:hint="eastAsia"/>
          <w:lang w:eastAsia="zh-CN"/>
        </w:rPr>
        <w:t>②资金分配额度合理，与项目单位或地方实际相适应。</w:t>
      </w:r>
    </w:p>
    <w:p w14:paraId="5A1F45A5">
      <w:pPr>
        <w:bidi w:val="0"/>
        <w:rPr>
          <w:rFonts w:hint="eastAsia"/>
          <w:lang w:eastAsia="zh-CN"/>
        </w:rPr>
      </w:pPr>
      <w:r>
        <w:rPr>
          <w:rFonts w:hint="eastAsia"/>
          <w:b/>
          <w:bCs/>
          <w:lang w:val="en-US" w:eastAsia="zh-CN"/>
        </w:rPr>
        <w:t>综上，该项指标满分</w:t>
      </w:r>
      <w:r>
        <w:rPr>
          <w:rFonts w:hint="eastAsia"/>
          <w:b/>
          <w:bCs/>
          <w:color w:val="000000" w:themeColor="text1"/>
          <w:lang w:val="en-US" w:eastAsia="zh-CN"/>
          <w14:textFill>
            <w14:solidFill>
              <w14:schemeClr w14:val="tx1"/>
            </w14:solidFill>
          </w14:textFill>
        </w:rPr>
        <w:t>3分，得分3分</w:t>
      </w:r>
      <w:r>
        <w:rPr>
          <w:rFonts w:hint="eastAsia"/>
          <w:b/>
          <w:bCs/>
          <w:lang w:val="en-US" w:eastAsia="zh-CN"/>
        </w:rPr>
        <w:t>。</w:t>
      </w:r>
    </w:p>
    <w:p w14:paraId="0FCA6403">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102" w:name="_Toc17926"/>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102"/>
    </w:p>
    <w:p w14:paraId="6D9DFB1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000000" w:themeColor="text1"/>
          <w:kern w:val="2"/>
          <w:highlight w:val="none"/>
          <w:u w:color="000000"/>
          <w:shd w:val="clear" w:color="auto" w:fill="auto"/>
          <w:lang w:val="en-US" w:eastAsia="zh-CN"/>
          <w14:textFill>
            <w14:solidFill>
              <w14:schemeClr w14:val="tx1"/>
            </w14:solidFill>
          </w14:textFill>
        </w:rPr>
        <w:t>20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C9C638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4"/>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09D64010">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234E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DF1D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E33D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1B04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7E99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E215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128D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391F4B14">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939E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B25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9B43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84EA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423D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05A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3E1A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88C6A32">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FB7A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BB76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7D8A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C085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D1C1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6C94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DB4B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B84ED6F">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B0E8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3514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C437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8225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D10B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2376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B734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2ADC1ED">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33BD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54F5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9A53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2939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47E0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43E6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66E3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80A6CF6">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D4E0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043E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5B8B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2787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97C9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48B3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C240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52BA050">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1B3E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4115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3755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79A7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6747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00ECC832">
      <w:pPr>
        <w:bidi w:val="0"/>
        <w:outlineLvl w:val="2"/>
        <w:rPr>
          <w:rFonts w:hint="default"/>
          <w:b/>
          <w:bCs/>
          <w:color w:val="FF0000"/>
          <w:highlight w:val="none"/>
          <w:lang w:val="en-US" w:eastAsia="zh-CN"/>
        </w:rPr>
      </w:pPr>
      <w:bookmarkStart w:id="103" w:name="_Toc18017"/>
      <w:bookmarkStart w:id="104" w:name="_Toc3886"/>
      <w:r>
        <w:rPr>
          <w:rFonts w:hint="eastAsia"/>
          <w:b/>
          <w:bCs/>
          <w:highlight w:val="none"/>
          <w:lang w:val="en-US" w:eastAsia="zh-CN"/>
        </w:rPr>
        <w:t>1.资金到位率</w:t>
      </w:r>
      <w:bookmarkEnd w:id="103"/>
      <w:bookmarkEnd w:id="104"/>
    </w:p>
    <w:p w14:paraId="0C740E76">
      <w:pPr>
        <w:bidi w:val="0"/>
        <w:rPr>
          <w:rFonts w:hint="default"/>
          <w:b/>
          <w:bCs/>
          <w:color w:val="000000" w:themeColor="text1"/>
          <w:highlight w:val="none"/>
          <w:lang w:val="en-US" w:eastAsia="zh-CN"/>
          <w14:textFill>
            <w14:solidFill>
              <w14:schemeClr w14:val="tx1"/>
            </w14:solidFill>
          </w14:textFill>
        </w:rPr>
      </w:pPr>
      <w:r>
        <w:rPr>
          <w:rFonts w:hint="eastAsia"/>
          <w:highlight w:val="none"/>
          <w:lang w:eastAsia="zh-CN"/>
        </w:rPr>
        <w:t>资金到位率=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8.77万元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8.77万元</w:t>
      </w:r>
      <w:r>
        <w:rPr>
          <w:rFonts w:hint="eastAsia"/>
          <w:color w:val="000000" w:themeColor="text1"/>
          <w:highlight w:val="none"/>
          <w:lang w:eastAsia="zh-CN"/>
          <w14:textFill>
            <w14:solidFill>
              <w14:schemeClr w14:val="tx1"/>
            </w14:solidFill>
          </w14:textFill>
        </w:rPr>
        <w:t>）×100%</w:t>
      </w:r>
      <w:r>
        <w:rPr>
          <w:rFonts w:hint="eastAsia"/>
          <w:b/>
          <w:bCs/>
          <w:color w:val="000000" w:themeColor="text1"/>
          <w:highlight w:val="none"/>
          <w:lang w:val="en-US" w:eastAsia="zh-CN"/>
          <w14:textFill>
            <w14:solidFill>
              <w14:schemeClr w14:val="tx1"/>
            </w14:solidFill>
          </w14:textFill>
        </w:rPr>
        <w:t>=100%</w:t>
      </w:r>
    </w:p>
    <w:p w14:paraId="1D009639">
      <w:pPr>
        <w:bidi w:val="0"/>
        <w:rPr>
          <w:rFonts w:hint="eastAsia"/>
          <w:color w:val="000000" w:themeColor="text1"/>
          <w:highlight w:val="none"/>
          <w:lang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综上，该项指标满分4分，得分4分。</w:t>
      </w:r>
    </w:p>
    <w:p w14:paraId="7073B34A">
      <w:pPr>
        <w:bidi w:val="0"/>
        <w:outlineLvl w:val="2"/>
        <w:rPr>
          <w:rFonts w:hint="default"/>
          <w:b/>
          <w:bCs/>
          <w:color w:val="000000" w:themeColor="text1"/>
          <w:highlight w:val="none"/>
          <w:lang w:val="en-US" w:eastAsia="zh-CN"/>
          <w14:textFill>
            <w14:solidFill>
              <w14:schemeClr w14:val="tx1"/>
            </w14:solidFill>
          </w14:textFill>
        </w:rPr>
      </w:pPr>
      <w:bookmarkStart w:id="105" w:name="_Toc6957"/>
      <w:bookmarkStart w:id="106" w:name="_Toc9705"/>
      <w:r>
        <w:rPr>
          <w:rFonts w:hint="eastAsia"/>
          <w:b/>
          <w:bCs/>
          <w:color w:val="000000" w:themeColor="text1"/>
          <w:highlight w:val="none"/>
          <w:lang w:val="en-US" w:eastAsia="zh-CN"/>
          <w14:textFill>
            <w14:solidFill>
              <w14:schemeClr w14:val="tx1"/>
            </w14:solidFill>
          </w14:textFill>
        </w:rPr>
        <w:t>2.预算执行率</w:t>
      </w:r>
      <w:bookmarkEnd w:id="105"/>
      <w:bookmarkEnd w:id="106"/>
    </w:p>
    <w:p w14:paraId="29771980">
      <w:pPr>
        <w:bidi w:val="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预算执行率=（</w:t>
      </w:r>
      <w:r>
        <w:rPr>
          <w:rFonts w:hint="eastAsia"/>
          <w:color w:val="000000" w:themeColor="text1"/>
          <w:highlight w:val="none"/>
          <w:lang w:val="en-US" w:eastAsia="zh-CN"/>
          <w14:textFill>
            <w14:solidFill>
              <w14:schemeClr w14:val="tx1"/>
            </w14:solidFill>
          </w14:textFill>
        </w:rPr>
        <w:t>8.77万元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8.77万元</w:t>
      </w:r>
      <w:r>
        <w:rPr>
          <w:rFonts w:hint="eastAsia"/>
          <w:color w:val="000000" w:themeColor="text1"/>
          <w:highlight w:val="none"/>
          <w:lang w:eastAsia="zh-CN"/>
          <w14:textFill>
            <w14:solidFill>
              <w14:schemeClr w14:val="tx1"/>
            </w14:solidFill>
          </w14:textFill>
        </w:rPr>
        <w:t>）×100%。</w:t>
      </w:r>
      <w:r>
        <w:rPr>
          <w:rFonts w:hint="eastAsia"/>
          <w:b/>
          <w:bCs/>
          <w:color w:val="000000" w:themeColor="text1"/>
          <w:highlight w:val="none"/>
          <w:lang w:val="en-US" w:eastAsia="zh-CN"/>
          <w14:textFill>
            <w14:solidFill>
              <w14:schemeClr w14:val="tx1"/>
            </w14:solidFill>
          </w14:textFill>
        </w:rPr>
        <w:t>=100%</w:t>
      </w:r>
    </w:p>
    <w:p w14:paraId="0FDF8FE9">
      <w:pPr>
        <w:bidi w:val="0"/>
        <w:rPr>
          <w:rFonts w:hint="eastAsia"/>
          <w:color w:val="000000" w:themeColor="text1"/>
          <w:highlight w:val="none"/>
          <w:lang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综上，该项指标满分4分，得分4分。</w:t>
      </w:r>
    </w:p>
    <w:p w14:paraId="3072759C">
      <w:pPr>
        <w:bidi w:val="0"/>
        <w:outlineLvl w:val="2"/>
        <w:rPr>
          <w:rFonts w:hint="default"/>
          <w:b/>
          <w:bCs/>
          <w:highlight w:val="none"/>
          <w:lang w:val="en-US" w:eastAsia="zh-CN"/>
        </w:rPr>
      </w:pPr>
      <w:bookmarkStart w:id="107" w:name="_Toc18691"/>
      <w:bookmarkStart w:id="108" w:name="_Toc8928"/>
      <w:r>
        <w:rPr>
          <w:rFonts w:hint="eastAsia"/>
          <w:b/>
          <w:bCs/>
          <w:highlight w:val="none"/>
          <w:lang w:val="en-US" w:eastAsia="zh-CN"/>
        </w:rPr>
        <w:t>3.资金使用合规性</w:t>
      </w:r>
      <w:bookmarkEnd w:id="107"/>
      <w:bookmarkEnd w:id="108"/>
    </w:p>
    <w:p w14:paraId="197D8DD5">
      <w:pPr>
        <w:bidi w:val="0"/>
        <w:rPr>
          <w:rFonts w:hint="eastAsia"/>
          <w:color w:val="auto"/>
          <w:highlight w:val="none"/>
          <w:lang w:eastAsia="zh-CN"/>
        </w:rPr>
      </w:pPr>
      <w:r>
        <w:rPr>
          <w:rFonts w:hint="eastAsia"/>
          <w:color w:val="auto"/>
          <w:highlight w:val="none"/>
          <w:lang w:eastAsia="zh-CN"/>
        </w:rPr>
        <w:t>①符合国家财经法规和《预算法》、《国库集中支付制度》、《会计法》的规定；</w:t>
      </w:r>
    </w:p>
    <w:p w14:paraId="66FDACFE">
      <w:pPr>
        <w:bidi w:val="0"/>
        <w:rPr>
          <w:rFonts w:hint="eastAsia"/>
          <w:highlight w:val="none"/>
          <w:lang w:eastAsia="zh-CN"/>
        </w:rPr>
      </w:pPr>
      <w:r>
        <w:rPr>
          <w:rFonts w:hint="eastAsia"/>
          <w:highlight w:val="none"/>
          <w:lang w:eastAsia="zh-CN"/>
        </w:rPr>
        <w:t>②资金的拨付有完整的审批程序和手续；</w:t>
      </w:r>
    </w:p>
    <w:p w14:paraId="4CF533F7">
      <w:pPr>
        <w:bidi w:val="0"/>
        <w:rPr>
          <w:rFonts w:hint="eastAsia"/>
          <w:lang w:eastAsia="zh-CN"/>
        </w:rPr>
      </w:pPr>
      <w:r>
        <w:rPr>
          <w:rFonts w:hint="eastAsia"/>
          <w:highlight w:val="none"/>
          <w:lang w:eastAsia="zh-CN"/>
        </w:rPr>
        <w:t>③符合项目预算批复或合同</w:t>
      </w:r>
      <w:r>
        <w:rPr>
          <w:rFonts w:hint="eastAsia"/>
          <w:lang w:eastAsia="zh-CN"/>
        </w:rPr>
        <w:t>规定的用途；</w:t>
      </w:r>
    </w:p>
    <w:p w14:paraId="62708A1B">
      <w:pPr>
        <w:bidi w:val="0"/>
        <w:rPr>
          <w:rFonts w:hint="eastAsia"/>
          <w:lang w:eastAsia="zh-CN"/>
        </w:rPr>
      </w:pPr>
      <w:r>
        <w:rPr>
          <w:rFonts w:hint="eastAsia"/>
          <w:lang w:eastAsia="zh-CN"/>
        </w:rPr>
        <w:t>④</w:t>
      </w:r>
      <w:r>
        <w:rPr>
          <w:rFonts w:hint="eastAsia"/>
          <w:lang w:val="en-US" w:eastAsia="zh-CN"/>
        </w:rPr>
        <w:t>不</w:t>
      </w:r>
      <w:r>
        <w:rPr>
          <w:rFonts w:hint="eastAsia"/>
          <w:lang w:eastAsia="zh-CN"/>
        </w:rPr>
        <w:t>存在截留、挤占、挪用、虚列支出等情况。</w:t>
      </w:r>
    </w:p>
    <w:p w14:paraId="1172E439">
      <w:pPr>
        <w:bidi w:val="0"/>
        <w:rPr>
          <w:rFonts w:hint="eastAsia"/>
          <w:lang w:eastAsia="zh-CN"/>
        </w:rPr>
      </w:pPr>
      <w:r>
        <w:rPr>
          <w:rFonts w:hint="eastAsia"/>
          <w:b/>
          <w:bCs/>
          <w:lang w:val="en-US" w:eastAsia="zh-CN"/>
        </w:rPr>
        <w:t>综上，该项指标满分</w:t>
      </w:r>
      <w:r>
        <w:rPr>
          <w:rFonts w:hint="eastAsia"/>
          <w:b/>
          <w:bCs/>
          <w:color w:val="000000" w:themeColor="text1"/>
          <w:lang w:val="en-US" w:eastAsia="zh-CN"/>
          <w14:textFill>
            <w14:solidFill>
              <w14:schemeClr w14:val="tx1"/>
            </w14:solidFill>
          </w14:textFill>
        </w:rPr>
        <w:t>4分，得分4分</w:t>
      </w:r>
      <w:r>
        <w:rPr>
          <w:rFonts w:hint="eastAsia"/>
          <w:b/>
          <w:bCs/>
          <w:lang w:val="en-US" w:eastAsia="zh-CN"/>
        </w:rPr>
        <w:t>。</w:t>
      </w:r>
    </w:p>
    <w:p w14:paraId="27E27FA5">
      <w:pPr>
        <w:bidi w:val="0"/>
        <w:rPr>
          <w:rFonts w:hint="default"/>
          <w:b/>
          <w:bCs/>
          <w:lang w:val="en-US" w:eastAsia="zh-CN"/>
        </w:rPr>
      </w:pPr>
      <w:r>
        <w:rPr>
          <w:rFonts w:hint="eastAsia"/>
          <w:b/>
          <w:bCs/>
          <w:lang w:val="en-US" w:eastAsia="zh-CN"/>
        </w:rPr>
        <w:t>4.管理制度健全性</w:t>
      </w:r>
    </w:p>
    <w:p w14:paraId="53D9B3D6">
      <w:pPr>
        <w:numPr>
          <w:ilvl w:val="0"/>
          <w:numId w:val="0"/>
        </w:numPr>
        <w:bidi w:val="0"/>
        <w:ind w:firstLine="560" w:firstLineChars="200"/>
        <w:rPr>
          <w:rFonts w:hint="eastAsia" w:eastAsia="宋体"/>
          <w:color w:val="auto"/>
          <w:highlight w:val="none"/>
          <w:lang w:eastAsia="zh-CN"/>
        </w:rPr>
      </w:pPr>
      <w:r>
        <w:rPr>
          <w:rFonts w:hint="eastAsia"/>
          <w:color w:val="auto"/>
          <w:highlight w:val="none"/>
          <w:lang w:eastAsia="zh-CN"/>
        </w:rPr>
        <w:t>①已制定相应的《阜康市市场监督管理局财务管理制度》和《</w:t>
      </w:r>
      <w:r>
        <w:rPr>
          <w:rFonts w:hint="eastAsia" w:cs="Times New Roman"/>
          <w:i w:val="0"/>
          <w:iCs w:val="0"/>
          <w:color w:val="auto"/>
          <w:kern w:val="2"/>
          <w:sz w:val="28"/>
          <w:szCs w:val="24"/>
          <w:highlight w:val="none"/>
          <w:lang w:val="en-US" w:eastAsia="zh-CN" w:bidi="ar-SA"/>
        </w:rPr>
        <w:t>阜康市市场监督管理局</w:t>
      </w:r>
      <w:r>
        <w:rPr>
          <w:rFonts w:hint="eastAsia"/>
          <w:color w:val="auto"/>
          <w:highlight w:val="none"/>
          <w:lang w:val="zh-TW"/>
        </w:rPr>
        <w:t>内部控制规范</w:t>
      </w:r>
      <w:r>
        <w:rPr>
          <w:rFonts w:hint="eastAsia"/>
          <w:color w:val="auto"/>
          <w:highlight w:val="none"/>
          <w:lang w:val="zh-TW" w:eastAsia="zh-CN"/>
        </w:rPr>
        <w:t>》</w:t>
      </w:r>
      <w:r>
        <w:rPr>
          <w:rFonts w:hint="eastAsia"/>
          <w:color w:val="auto"/>
          <w:highlight w:val="none"/>
          <w:lang w:eastAsia="zh-CN"/>
        </w:rPr>
        <w:t>；</w:t>
      </w:r>
      <w:r>
        <w:rPr>
          <w:rFonts w:hint="eastAsia"/>
          <w:color w:val="auto"/>
          <w:highlight w:val="none"/>
        </w:rPr>
        <w:t>《</w:t>
      </w:r>
      <w:r>
        <w:rPr>
          <w:rFonts w:hint="eastAsia" w:cs="Times New Roman"/>
          <w:i w:val="0"/>
          <w:iCs w:val="0"/>
          <w:color w:val="auto"/>
          <w:kern w:val="2"/>
          <w:sz w:val="28"/>
          <w:szCs w:val="24"/>
          <w:highlight w:val="none"/>
          <w:lang w:val="en-US" w:eastAsia="zh-CN" w:bidi="ar-SA"/>
        </w:rPr>
        <w:t>阜康市市场监督管理局</w:t>
      </w:r>
      <w:r>
        <w:rPr>
          <w:rFonts w:hint="eastAsia"/>
          <w:color w:val="auto"/>
          <w:highlight w:val="none"/>
        </w:rPr>
        <w:t>项目管理规范》</w:t>
      </w:r>
      <w:r>
        <w:rPr>
          <w:rFonts w:hint="eastAsia"/>
          <w:color w:val="auto"/>
          <w:highlight w:val="none"/>
          <w:lang w:eastAsia="zh-CN"/>
        </w:rPr>
        <w:t>；</w:t>
      </w:r>
    </w:p>
    <w:p w14:paraId="7ECFB53B">
      <w:pPr>
        <w:bidi w:val="0"/>
        <w:rPr>
          <w:rFonts w:hint="eastAsia"/>
          <w:lang w:eastAsia="zh-CN"/>
        </w:rPr>
      </w:pPr>
      <w:r>
        <w:rPr>
          <w:rFonts w:hint="eastAsia"/>
          <w:lang w:eastAsia="zh-CN"/>
        </w:rPr>
        <w:t>②财务和业务管理制度合法、合规、完整。</w:t>
      </w:r>
    </w:p>
    <w:p w14:paraId="054E6A09">
      <w:pPr>
        <w:bidi w:val="0"/>
        <w:rPr>
          <w:rFonts w:hint="eastAsia"/>
          <w:lang w:eastAsia="zh-CN"/>
        </w:rPr>
      </w:pPr>
      <w:r>
        <w:rPr>
          <w:rFonts w:hint="eastAsia"/>
          <w:b/>
          <w:bCs/>
          <w:lang w:val="en-US" w:eastAsia="zh-CN"/>
        </w:rPr>
        <w:t>综上，该项指标满分</w:t>
      </w:r>
      <w:r>
        <w:rPr>
          <w:rFonts w:hint="eastAsia"/>
          <w:b/>
          <w:bCs/>
          <w:color w:val="000000" w:themeColor="text1"/>
          <w:lang w:val="en-US" w:eastAsia="zh-CN"/>
          <w14:textFill>
            <w14:solidFill>
              <w14:schemeClr w14:val="tx1"/>
            </w14:solidFill>
          </w14:textFill>
        </w:rPr>
        <w:t>4分，得分4分</w:t>
      </w:r>
      <w:r>
        <w:rPr>
          <w:rFonts w:hint="eastAsia"/>
          <w:b/>
          <w:bCs/>
          <w:lang w:val="en-US" w:eastAsia="zh-CN"/>
        </w:rPr>
        <w:t>。</w:t>
      </w:r>
    </w:p>
    <w:p w14:paraId="1929F59D">
      <w:pPr>
        <w:bidi w:val="0"/>
        <w:ind w:left="1403" w:leftChars="200" w:hanging="843" w:hangingChars="300"/>
        <w:outlineLvl w:val="2"/>
        <w:rPr>
          <w:rFonts w:hint="eastAsia"/>
          <w:b/>
          <w:bCs/>
          <w:lang w:val="en-US" w:eastAsia="zh-CN"/>
        </w:rPr>
      </w:pPr>
      <w:bookmarkStart w:id="109" w:name="_Toc31684"/>
      <w:bookmarkStart w:id="110" w:name="_Toc8820"/>
      <w:r>
        <w:rPr>
          <w:rFonts w:hint="eastAsia"/>
          <w:b/>
          <w:bCs/>
          <w:lang w:val="en-US" w:eastAsia="zh-CN"/>
        </w:rPr>
        <w:t>5.制度执行有效性</w:t>
      </w:r>
      <w:bookmarkEnd w:id="109"/>
      <w:bookmarkEnd w:id="110"/>
    </w:p>
    <w:p w14:paraId="38F80017">
      <w:pPr>
        <w:bidi w:val="0"/>
        <w:rPr>
          <w:rFonts w:hint="eastAsia"/>
          <w:color w:val="auto"/>
          <w:highlight w:val="none"/>
          <w:lang w:eastAsia="zh-CN"/>
        </w:rPr>
      </w:pPr>
      <w:r>
        <w:rPr>
          <w:rFonts w:hint="eastAsia"/>
          <w:color w:val="auto"/>
          <w:highlight w:val="none"/>
          <w:lang w:eastAsia="zh-CN"/>
        </w:rPr>
        <w:t>①遵守相关法律法规和相关管理规定；</w:t>
      </w:r>
    </w:p>
    <w:p w14:paraId="658395A1">
      <w:pPr>
        <w:bidi w:val="0"/>
        <w:rPr>
          <w:rFonts w:hint="eastAsia"/>
          <w:color w:val="auto"/>
          <w:highlight w:val="none"/>
          <w:lang w:eastAsia="zh-CN"/>
        </w:rPr>
      </w:pPr>
      <w:r>
        <w:rPr>
          <w:rFonts w:hint="eastAsia"/>
          <w:color w:val="auto"/>
          <w:highlight w:val="none"/>
          <w:lang w:eastAsia="zh-CN"/>
        </w:rPr>
        <w:t>②项目调整及支出调整手续完备；</w:t>
      </w:r>
    </w:p>
    <w:p w14:paraId="6642B3C7">
      <w:pPr>
        <w:bidi w:val="0"/>
        <w:rPr>
          <w:rFonts w:hint="eastAsia"/>
          <w:color w:val="auto"/>
          <w:highlight w:val="none"/>
          <w:lang w:eastAsia="zh-CN"/>
        </w:rPr>
      </w:pPr>
      <w:r>
        <w:rPr>
          <w:rFonts w:hint="eastAsia"/>
          <w:color w:val="auto"/>
          <w:highlight w:val="none"/>
          <w:lang w:eastAsia="zh-CN"/>
        </w:rPr>
        <w:t>③项目合同书、验收报告等资料齐全并及时归档；</w:t>
      </w:r>
    </w:p>
    <w:p w14:paraId="101A8FA6">
      <w:pPr>
        <w:bidi w:val="0"/>
        <w:rPr>
          <w:rFonts w:hint="eastAsia"/>
          <w:color w:val="auto"/>
          <w:highlight w:val="none"/>
          <w:lang w:eastAsia="zh-CN"/>
        </w:rPr>
      </w:pPr>
      <w:r>
        <w:rPr>
          <w:rFonts w:hint="eastAsia"/>
          <w:color w:val="auto"/>
          <w:highlight w:val="none"/>
          <w:lang w:eastAsia="zh-CN"/>
        </w:rPr>
        <w:t>④该项目设有阜康市阳光食品监控中心，</w:t>
      </w:r>
      <w:r>
        <w:rPr>
          <w:rFonts w:hint="eastAsia"/>
          <w:color w:val="auto"/>
          <w:highlight w:val="none"/>
          <w:lang w:val="en-US" w:eastAsia="zh-CN"/>
        </w:rPr>
        <w:t>场地设在阜康市市场监督管理局五楼，</w:t>
      </w:r>
      <w:r>
        <w:rPr>
          <w:rFonts w:hint="eastAsia"/>
          <w:color w:val="auto"/>
          <w:highlight w:val="none"/>
          <w:lang w:eastAsia="zh-CN"/>
        </w:rPr>
        <w:t>实施的人员</w:t>
      </w:r>
      <w:r>
        <w:rPr>
          <w:rFonts w:hint="eastAsia"/>
          <w:color w:val="auto"/>
          <w:highlight w:val="none"/>
          <w:lang w:val="en-US" w:eastAsia="zh-CN"/>
        </w:rPr>
        <w:t>4人，</w:t>
      </w:r>
      <w:r>
        <w:rPr>
          <w:rFonts w:hint="eastAsia"/>
          <w:color w:val="auto"/>
          <w:highlight w:val="none"/>
          <w:lang w:eastAsia="zh-CN"/>
        </w:rPr>
        <w:t>共有三套办公设备，信息支撑等落实到位。</w:t>
      </w:r>
    </w:p>
    <w:p w14:paraId="4BBE0A87">
      <w:pPr>
        <w:bidi w:val="0"/>
        <w:rPr>
          <w:rFonts w:hint="eastAsia"/>
          <w:lang w:eastAsia="zh-CN"/>
        </w:rPr>
      </w:pPr>
      <w:r>
        <w:rPr>
          <w:rFonts w:hint="eastAsia"/>
          <w:b/>
          <w:bCs/>
          <w:lang w:val="en-US" w:eastAsia="zh-CN"/>
        </w:rPr>
        <w:t>综上，该项指标满分</w:t>
      </w:r>
      <w:r>
        <w:rPr>
          <w:rFonts w:hint="eastAsia"/>
          <w:b/>
          <w:bCs/>
          <w:color w:val="000000" w:themeColor="text1"/>
          <w:lang w:val="en-US" w:eastAsia="zh-CN"/>
          <w14:textFill>
            <w14:solidFill>
              <w14:schemeClr w14:val="tx1"/>
            </w14:solidFill>
          </w14:textFill>
        </w:rPr>
        <w:t>4分，得分4分</w:t>
      </w:r>
      <w:r>
        <w:rPr>
          <w:rFonts w:hint="eastAsia"/>
          <w:b/>
          <w:bCs/>
          <w:lang w:val="en-US" w:eastAsia="zh-CN"/>
        </w:rPr>
        <w:t>。</w:t>
      </w:r>
    </w:p>
    <w:p w14:paraId="222E3C58">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111" w:name="_Toc9434"/>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111"/>
    </w:p>
    <w:p w14:paraId="4AB46C9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000000" w:themeColor="text1"/>
          <w:kern w:val="2"/>
          <w:highlight w:val="none"/>
          <w:u w:color="000000"/>
          <w:shd w:val="clear" w:color="auto" w:fill="auto"/>
          <w:lang w:val="en-US" w:eastAsia="zh-CN"/>
          <w14:textFill>
            <w14:solidFill>
              <w14:schemeClr w14:val="tx1"/>
            </w14:solidFill>
          </w14:textFill>
        </w:rPr>
        <w:t>5</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二</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级指标和</w:t>
      </w:r>
      <w:r>
        <w:rPr>
          <w:rFonts w:hint="eastAsia" w:cs="宋体"/>
          <w:color w:val="000000" w:themeColor="text1"/>
          <w:kern w:val="2"/>
          <w:highlight w:val="none"/>
          <w:u w:color="000000"/>
          <w:shd w:val="clear" w:color="auto" w:fill="auto"/>
          <w:lang w:val="en-US" w:eastAsia="zh-CN"/>
          <w14:textFill>
            <w14:solidFill>
              <w14:schemeClr w14:val="tx1"/>
            </w14:solidFill>
          </w14:textFill>
        </w:rPr>
        <w:t>8</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三</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级指标构成，权重分</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分，实际得分</w:t>
      </w:r>
      <w:r>
        <w:rPr>
          <w:rFonts w:hint="eastAsia"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7C6700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bookmarkStart w:id="112" w:name="_Toc11067"/>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4"/>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19446C4A">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9A6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E39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02F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A24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D10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50F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5898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53934D01">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8C7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6FFB7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A932B">
            <w:pPr>
              <w:keepNext w:val="0"/>
              <w:keepLines w:val="0"/>
              <w:widowControl/>
              <w:suppressLineNumbers w:val="0"/>
              <w:ind w:firstLine="400" w:firstLineChars="20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新安装企业数量(个)</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ABC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428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B80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B81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B4D075E">
        <w:tblPrEx>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E223F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0FE1C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114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新安装企业设备数量(台)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F50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≥14台</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06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8F9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14台</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50D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7D836C0">
        <w:tblPrEx>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76C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0D30D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8394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视频云调试上线合格率（%）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9FB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9A3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9CE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8E0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01E5226">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BC90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B66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333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设备维护率（%）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D65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98FE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34C7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FB1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5CA3BFA">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10A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ED5F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DE0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项目按时完成率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D4F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F6E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FA8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7627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6D2D16A">
        <w:tblPrEx>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516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926A5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505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设备安装成本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56B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≤2.28万元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E86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BEF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2.28万元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2587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D072116">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DEA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E75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B32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明厨亮灶服务成本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ABD0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≤6.49万元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DDC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0BAA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6.49万元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8AD3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1C1CC34">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95E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F33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3EA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61E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FC13B01">
      <w:pPr>
        <w:bidi w:val="0"/>
        <w:rPr>
          <w:rFonts w:hint="default"/>
          <w:b/>
          <w:bCs/>
          <w:color w:val="FF0000"/>
          <w:lang w:val="en-US" w:eastAsia="zh-CN"/>
        </w:rPr>
      </w:pPr>
      <w:r>
        <w:rPr>
          <w:rFonts w:hint="eastAsia"/>
          <w:b/>
          <w:bCs/>
          <w:lang w:val="en-US" w:eastAsia="zh-CN"/>
        </w:rPr>
        <w:t>1.项目完成数量</w:t>
      </w:r>
      <w:bookmarkEnd w:id="112"/>
    </w:p>
    <w:p w14:paraId="59096977">
      <w:pPr>
        <w:bidi w:val="0"/>
        <w:rPr>
          <w:rFonts w:hint="eastAsia"/>
          <w:color w:val="auto"/>
          <w:highlight w:val="none"/>
          <w:lang w:val="en-US" w:eastAsia="zh-CN"/>
        </w:rPr>
      </w:pPr>
      <w:r>
        <w:rPr>
          <w:rFonts w:hint="eastAsia" w:ascii="宋体" w:hAnsi="宋体" w:eastAsia="宋体" w:cs="宋体"/>
          <w:color w:val="auto"/>
          <w:highlight w:val="none"/>
          <w:lang w:val="en-US" w:eastAsia="zh-CN"/>
        </w:rPr>
        <w:t>“新安装企业数量(个)”</w:t>
      </w:r>
      <w:r>
        <w:rPr>
          <w:rFonts w:hint="eastAsia"/>
          <w:color w:val="auto"/>
          <w:highlight w:val="none"/>
          <w:lang w:val="en-US" w:eastAsia="zh-CN"/>
        </w:rPr>
        <w:t>指标，预期指标</w:t>
      </w:r>
      <w:r>
        <w:rPr>
          <w:rFonts w:hint="eastAsia" w:ascii="宋体" w:hAnsi="宋体" w:eastAsia="宋体" w:cs="宋体"/>
          <w:color w:val="auto"/>
          <w:highlight w:val="none"/>
          <w:lang w:val="en-US" w:eastAsia="zh-CN"/>
        </w:rPr>
        <w:t>值为≥8个</w:t>
      </w:r>
      <w:r>
        <w:rPr>
          <w:rFonts w:hint="eastAsia"/>
          <w:color w:val="auto"/>
          <w:highlight w:val="none"/>
          <w:lang w:val="en-US" w:eastAsia="zh-CN"/>
        </w:rPr>
        <w:t>，实际完</w:t>
      </w:r>
      <w:r>
        <w:rPr>
          <w:rFonts w:hint="eastAsia" w:ascii="宋体" w:hAnsi="宋体" w:eastAsia="宋体" w:cs="宋体"/>
          <w:color w:val="auto"/>
          <w:highlight w:val="none"/>
          <w:lang w:val="en-US" w:eastAsia="zh-CN"/>
        </w:rPr>
        <w:t>成为8个。</w:t>
      </w:r>
      <w:r>
        <w:rPr>
          <w:rFonts w:hint="eastAsia"/>
          <w:color w:val="auto"/>
          <w:highlight w:val="none"/>
          <w:lang w:val="en-US" w:eastAsia="zh-CN"/>
        </w:rPr>
        <w:t>实际完成率100%。</w:t>
      </w:r>
    </w:p>
    <w:p w14:paraId="6B5ACB8A">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“新安装企业设备数量(台)”指标，预期指标值为≥14台，实际完成为14台。实际完成率100%。</w:t>
      </w:r>
    </w:p>
    <w:p w14:paraId="00203530">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6F4C4F57">
      <w:pPr>
        <w:bidi w:val="0"/>
        <w:rPr>
          <w:rFonts w:hint="eastAsia"/>
          <w:b/>
          <w:bCs/>
          <w:lang w:val="en-US" w:eastAsia="zh-CN"/>
        </w:rPr>
      </w:pPr>
      <w:r>
        <w:rPr>
          <w:rFonts w:hint="eastAsia"/>
          <w:b/>
          <w:bCs/>
          <w:lang w:val="en-US" w:eastAsia="zh-CN"/>
        </w:rPr>
        <w:t>２．项目完成质量</w:t>
      </w:r>
    </w:p>
    <w:p w14:paraId="1DABCD2C">
      <w:pPr>
        <w:numPr>
          <w:ilvl w:val="0"/>
          <w:numId w:val="0"/>
        </w:numPr>
        <w:bidi w:val="0"/>
        <w:ind w:firstLine="56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“视频云调试上线合格率（%）”指标，预期指标值为100%，实际完成为100%。</w:t>
      </w:r>
    </w:p>
    <w:p w14:paraId="48B8506B">
      <w:pPr>
        <w:numPr>
          <w:ilvl w:val="0"/>
          <w:numId w:val="0"/>
        </w:numPr>
        <w:bidi w:val="0"/>
        <w:ind w:firstLine="56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“设备维护率（%）”指标，预期指标值为≥95%，实际完成为95%。</w:t>
      </w:r>
    </w:p>
    <w:p w14:paraId="7EB9CFAB">
      <w:pPr>
        <w:numPr>
          <w:ilvl w:val="0"/>
          <w:numId w:val="0"/>
        </w:numPr>
        <w:bidi w:val="0"/>
        <w:ind w:firstLine="56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综上，该项指标满分</w:t>
      </w:r>
      <w:r>
        <w:rPr>
          <w:rFonts w:hint="eastAsia" w:cs="宋体"/>
          <w:color w:val="auto"/>
          <w:highlight w:val="none"/>
          <w:lang w:val="en-US" w:eastAsia="zh-CN"/>
        </w:rPr>
        <w:t>8</w:t>
      </w:r>
      <w:r>
        <w:rPr>
          <w:rFonts w:hint="eastAsia" w:ascii="宋体" w:hAnsi="宋体" w:eastAsia="宋体" w:cs="宋体"/>
          <w:color w:val="auto"/>
          <w:highlight w:val="none"/>
          <w:lang w:val="en-US" w:eastAsia="zh-CN"/>
        </w:rPr>
        <w:t>分，得分</w:t>
      </w:r>
      <w:r>
        <w:rPr>
          <w:rFonts w:hint="eastAsia" w:cs="宋体"/>
          <w:color w:val="auto"/>
          <w:highlight w:val="none"/>
          <w:lang w:val="en-US" w:eastAsia="zh-CN"/>
        </w:rPr>
        <w:t>8</w:t>
      </w:r>
      <w:r>
        <w:rPr>
          <w:rFonts w:hint="eastAsia" w:ascii="宋体" w:hAnsi="宋体" w:eastAsia="宋体" w:cs="宋体"/>
          <w:color w:val="auto"/>
          <w:highlight w:val="none"/>
          <w:lang w:val="en-US" w:eastAsia="zh-CN"/>
        </w:rPr>
        <w:t>分。</w:t>
      </w:r>
    </w:p>
    <w:p w14:paraId="745B9813">
      <w:pPr>
        <w:numPr>
          <w:ilvl w:val="0"/>
          <w:numId w:val="0"/>
        </w:numPr>
        <w:bidi w:val="0"/>
        <w:ind w:leftChars="200"/>
        <w:rPr>
          <w:rFonts w:hint="eastAsia"/>
          <w:b/>
          <w:bCs/>
          <w:color w:val="auto"/>
          <w:highlight w:val="none"/>
          <w:lang w:val="en-US" w:eastAsia="zh-CN"/>
        </w:rPr>
      </w:pPr>
      <w:r>
        <w:rPr>
          <w:rFonts w:hint="eastAsia"/>
          <w:b/>
          <w:bCs/>
          <w:color w:val="auto"/>
          <w:highlight w:val="none"/>
          <w:lang w:val="en-US" w:eastAsia="zh-CN"/>
        </w:rPr>
        <w:t>３．项目完成时效</w:t>
      </w:r>
    </w:p>
    <w:p w14:paraId="27399303">
      <w:pPr>
        <w:numPr>
          <w:ilvl w:val="0"/>
          <w:numId w:val="0"/>
        </w:numPr>
        <w:bidi w:val="0"/>
        <w:ind w:firstLine="560" w:firstLineChars="20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“项目按时完成率”指标，预期指标值为100%，实际完成为100%</w:t>
      </w:r>
    </w:p>
    <w:p w14:paraId="37F9E9C3">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A252DC3">
      <w:pPr>
        <w:numPr>
          <w:ilvl w:val="0"/>
          <w:numId w:val="0"/>
        </w:numPr>
        <w:bidi w:val="0"/>
        <w:ind w:leftChars="200"/>
        <w:rPr>
          <w:rFonts w:hint="eastAsia"/>
          <w:b/>
          <w:bCs/>
          <w:color w:val="auto"/>
          <w:highlight w:val="none"/>
          <w:lang w:val="en-US" w:eastAsia="zh-CN"/>
        </w:rPr>
      </w:pPr>
      <w:r>
        <w:rPr>
          <w:rFonts w:hint="eastAsia"/>
          <w:b/>
          <w:bCs/>
          <w:color w:val="auto"/>
          <w:highlight w:val="none"/>
          <w:lang w:val="en-US" w:eastAsia="zh-CN"/>
        </w:rPr>
        <w:t>4.项目完成成本</w:t>
      </w:r>
    </w:p>
    <w:p w14:paraId="157AA4AD">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“设备安装成本”指标，预期指标值为≤2.28万元，实际完成值为2.28万元。实际完成率100%。</w:t>
      </w:r>
    </w:p>
    <w:p w14:paraId="4BA37AFB">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明厨亮灶服务成本</w:t>
      </w:r>
      <w:r>
        <w:rPr>
          <w:rFonts w:hint="eastAsia"/>
          <w:color w:val="auto"/>
          <w:highlight w:val="none"/>
          <w:lang w:eastAsia="zh-CN"/>
        </w:rPr>
        <w:t>”</w:t>
      </w:r>
      <w:r>
        <w:rPr>
          <w:rFonts w:hint="eastAsia"/>
          <w:color w:val="auto"/>
          <w:highlight w:val="none"/>
          <w:lang w:val="en-US" w:eastAsia="zh-CN"/>
        </w:rPr>
        <w:t>指标，预期指标值为≤6.49万元，实际完成为6.49万元。实际完成率100%。</w:t>
      </w:r>
    </w:p>
    <w:p w14:paraId="587D015F">
      <w:pPr>
        <w:bidi w:val="0"/>
        <w:ind w:left="0" w:leftChars="0" w:firstLine="562" w:firstLineChars="200"/>
        <w:rPr>
          <w:rFonts w:hint="eastAsia"/>
          <w:color w:val="auto"/>
          <w:highlight w:val="none"/>
          <w:lang w:eastAsia="zh-CN"/>
        </w:rPr>
      </w:pPr>
      <w:r>
        <w:rPr>
          <w:rFonts w:hint="eastAsia"/>
          <w:b/>
          <w:bCs/>
          <w:color w:val="auto"/>
          <w:highlight w:val="none"/>
          <w:lang w:val="en-US" w:eastAsia="zh-CN"/>
        </w:rPr>
        <w:t>综上，该项指标满分8分，得分8分。</w:t>
      </w:r>
    </w:p>
    <w:p w14:paraId="3D141D9C">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113" w:name="_Toc2740"/>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113"/>
    </w:p>
    <w:p w14:paraId="3A91D916">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pP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项目</w:t>
      </w:r>
      <w:r>
        <w:rPr>
          <w:rFonts w:hint="eastAsia" w:cs="宋体"/>
          <w:color w:val="000000" w:themeColor="text1"/>
          <w:highlight w:val="none"/>
          <w:shd w:val="clear" w:color="auto" w:fill="auto"/>
          <w:lang w:val="en-US" w:eastAsia="zh-CN"/>
          <w14:textFill>
            <w14:solidFill>
              <w14:schemeClr w14:val="tx1"/>
            </w14:solidFill>
          </w14:textFill>
        </w:rPr>
        <w:t>效益</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类指标由</w:t>
      </w:r>
      <w:r>
        <w:rPr>
          <w:rFonts w:hint="eastAsia" w:cs="宋体"/>
          <w:color w:val="000000" w:themeColor="text1"/>
          <w:kern w:val="2"/>
          <w:highlight w:val="none"/>
          <w:u w:color="000000"/>
          <w:shd w:val="clear" w:color="auto" w:fill="auto"/>
          <w:lang w:val="en-US" w:eastAsia="zh-CN"/>
          <w14:textFill>
            <w14:solidFill>
              <w14:schemeClr w14:val="tx1"/>
            </w14:solidFill>
          </w14:textFill>
        </w:rPr>
        <w:t>1</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二</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级指标和</w:t>
      </w:r>
      <w:r>
        <w:rPr>
          <w:rFonts w:hint="eastAsia" w:cs="宋体"/>
          <w:color w:val="000000" w:themeColor="text1"/>
          <w:kern w:val="2"/>
          <w:highlight w:val="none"/>
          <w:u w:color="000000"/>
          <w:shd w:val="clear" w:color="auto" w:fill="auto"/>
          <w:lang w:val="en-US" w:eastAsia="zh-CN"/>
          <w14:textFill>
            <w14:solidFill>
              <w14:schemeClr w14:val="tx1"/>
            </w14:solidFill>
          </w14:textFill>
        </w:rPr>
        <w:t>2</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三</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级指标构成，权重分</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分，实际得分</w:t>
      </w:r>
      <w:r>
        <w:rPr>
          <w:rFonts w:hint="eastAsia"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各指标业绩值和绩效分值如表</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4</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4</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所示</w:t>
      </w:r>
      <w:r>
        <w:rPr>
          <w:rFonts w:hint="eastAsia" w:cs="宋体"/>
          <w:b/>
          <w:bCs/>
          <w:color w:val="000000" w:themeColor="text1"/>
          <w:kern w:val="2"/>
          <w:highlight w:val="none"/>
          <w:u w:color="000000"/>
          <w:shd w:val="clear" w:color="auto" w:fill="auto"/>
          <w:lang w:val="zh-TW" w:eastAsia="zh-CN"/>
          <w14:textFill>
            <w14:solidFill>
              <w14:schemeClr w14:val="tx1"/>
            </w14:solidFill>
          </w14:textFill>
        </w:rPr>
        <w:t>（</w:t>
      </w:r>
      <w:r>
        <w:rPr>
          <w:rFonts w:hint="eastAsia" w:cs="宋体"/>
          <w:b/>
          <w:bCs/>
          <w:color w:val="000000" w:themeColor="text1"/>
          <w:kern w:val="2"/>
          <w:highlight w:val="none"/>
          <w:u w:color="000000"/>
          <w:shd w:val="clear" w:color="auto" w:fill="auto"/>
          <w:lang w:val="en-US" w:eastAsia="zh-CN"/>
          <w14:textFill>
            <w14:solidFill>
              <w14:schemeClr w14:val="tx1"/>
            </w14:solidFill>
          </w14:textFill>
        </w:rPr>
        <w:t>详见上传的附件</w:t>
      </w:r>
      <w:r>
        <w:rPr>
          <w:rFonts w:hint="eastAsia" w:cs="宋体"/>
          <w:b/>
          <w:bCs/>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w:t>
      </w:r>
    </w:p>
    <w:p w14:paraId="6B94DEC3">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p w14:paraId="17DD8018">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p>
    <w:tbl>
      <w:tblPr>
        <w:tblStyle w:val="14"/>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A2879DC">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66136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14:paraId="3B75B1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A7B6F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1CD5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D4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14:paraId="012ADB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130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14:paraId="419A18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F30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14:paraId="18935D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459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14:paraId="294ECD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6622A40F">
        <w:tblPrEx>
          <w:shd w:val="clear" w:color="auto" w:fill="auto"/>
          <w:tblCellMar>
            <w:top w:w="0" w:type="dxa"/>
            <w:left w:w="0" w:type="dxa"/>
            <w:bottom w:w="0" w:type="dxa"/>
            <w:right w:w="0" w:type="dxa"/>
          </w:tblCellMar>
        </w:tblPrEx>
        <w:trPr>
          <w:trHeight w:val="534"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3D110C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14:paraId="650A65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社会效益指标</w:t>
            </w:r>
          </w:p>
        </w:tc>
        <w:tc>
          <w:tcPr>
            <w:tcW w:w="2744" w:type="dxa"/>
            <w:tcBorders>
              <w:top w:val="single" w:color="000000" w:sz="4" w:space="0"/>
              <w:left w:val="single" w:color="auto" w:sz="4" w:space="0"/>
              <w:right w:val="single" w:color="000000" w:sz="4" w:space="0"/>
            </w:tcBorders>
            <w:shd w:val="clear" w:color="auto" w:fill="auto"/>
            <w:tcMar>
              <w:top w:w="15" w:type="dxa"/>
              <w:left w:w="15" w:type="dxa"/>
              <w:right w:w="15" w:type="dxa"/>
            </w:tcMar>
            <w:vAlign w:val="center"/>
          </w:tcPr>
          <w:p w14:paraId="70AB37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业务保障能力提升情况</w:t>
            </w:r>
          </w:p>
        </w:tc>
        <w:tc>
          <w:tcPr>
            <w:tcW w:w="87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FF6E1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提升</w:t>
            </w:r>
          </w:p>
        </w:tc>
        <w:tc>
          <w:tcPr>
            <w:tcW w:w="64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0BE1F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05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B3DB4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B73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w:t>
            </w:r>
          </w:p>
        </w:tc>
      </w:tr>
      <w:tr w14:paraId="641FAA03">
        <w:tblPrEx>
          <w:shd w:val="clear" w:color="auto" w:fill="auto"/>
          <w:tblCellMar>
            <w:top w:w="0" w:type="dxa"/>
            <w:left w:w="0" w:type="dxa"/>
            <w:bottom w:w="0" w:type="dxa"/>
            <w:right w:w="0" w:type="dxa"/>
          </w:tblCellMar>
        </w:tblPrEx>
        <w:trPr>
          <w:trHeight w:val="534"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6A2A4F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cyan"/>
                <w:shd w:val="clear" w:color="auto" w:fill="auto"/>
                <w:lang w:val="en-US" w:eastAsia="zh-CN"/>
                <w14:textFill>
                  <w14:solidFill>
                    <w14:schemeClr w14:val="tx1"/>
                  </w14:solidFill>
                </w14:textFill>
              </w:rPr>
            </w:pPr>
          </w:p>
        </w:tc>
        <w:tc>
          <w:tcPr>
            <w:tcW w:w="1725" w:type="dxa"/>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14:paraId="1198BE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满意度指标</w:t>
            </w:r>
          </w:p>
        </w:tc>
        <w:tc>
          <w:tcPr>
            <w:tcW w:w="2744" w:type="dxa"/>
            <w:tcBorders>
              <w:top w:val="single" w:color="000000" w:sz="4" w:space="0"/>
              <w:left w:val="single" w:color="auto" w:sz="4" w:space="0"/>
              <w:right w:val="single" w:color="000000" w:sz="4" w:space="0"/>
            </w:tcBorders>
            <w:shd w:val="clear" w:color="auto" w:fill="auto"/>
            <w:tcMar>
              <w:top w:w="15" w:type="dxa"/>
              <w:left w:w="15" w:type="dxa"/>
              <w:right w:w="15" w:type="dxa"/>
            </w:tcMar>
            <w:vAlign w:val="center"/>
          </w:tcPr>
          <w:p w14:paraId="547A87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居民满意度</w:t>
            </w:r>
          </w:p>
        </w:tc>
        <w:tc>
          <w:tcPr>
            <w:tcW w:w="87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712DE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≥95%</w:t>
            </w:r>
          </w:p>
        </w:tc>
        <w:tc>
          <w:tcPr>
            <w:tcW w:w="64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C8765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05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415C4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62F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w:t>
            </w:r>
          </w:p>
        </w:tc>
      </w:tr>
      <w:tr w14:paraId="25E3E6E7">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B94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C1F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069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BB0C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30</w:t>
            </w:r>
          </w:p>
        </w:tc>
      </w:tr>
    </w:tbl>
    <w:p w14:paraId="65A641D4">
      <w:pPr>
        <w:bidi w:val="0"/>
        <w:rPr>
          <w:rFonts w:hint="eastAsia"/>
          <w:lang w:val="en-US" w:eastAsia="zh-CN"/>
        </w:rPr>
      </w:pPr>
      <w:r>
        <w:rPr>
          <w:rFonts w:hint="eastAsia"/>
          <w:b/>
          <w:bCs/>
          <w:lang w:val="en-US" w:eastAsia="zh-CN"/>
        </w:rPr>
        <w:t>综上，该项指标满分</w:t>
      </w:r>
      <w:r>
        <w:rPr>
          <w:rFonts w:hint="eastAsia"/>
          <w:b/>
          <w:bCs/>
          <w:color w:val="000000" w:themeColor="text1"/>
          <w:lang w:val="en-US" w:eastAsia="zh-CN"/>
          <w14:textFill>
            <w14:solidFill>
              <w14:schemeClr w14:val="tx1"/>
            </w14:solidFill>
          </w14:textFill>
        </w:rPr>
        <w:t>30分，得分30分</w:t>
      </w:r>
      <w:r>
        <w:rPr>
          <w:rFonts w:hint="eastAsia"/>
          <w:b/>
          <w:bCs/>
          <w:lang w:val="en-US" w:eastAsia="zh-CN"/>
        </w:rPr>
        <w:t>。</w:t>
      </w:r>
    </w:p>
    <w:p w14:paraId="4E045A38">
      <w:pPr>
        <w:bidi w:val="0"/>
        <w:outlineLvl w:val="2"/>
        <w:rPr>
          <w:rFonts w:hint="eastAsia"/>
          <w:b/>
          <w:bCs/>
          <w:lang w:val="en-US" w:eastAsia="zh-CN"/>
        </w:rPr>
      </w:pPr>
      <w:bookmarkStart w:id="114" w:name="_Toc179"/>
      <w:bookmarkStart w:id="115" w:name="_Toc27006"/>
      <w:r>
        <w:rPr>
          <w:rFonts w:hint="eastAsia"/>
          <w:b/>
          <w:bCs/>
          <w:lang w:val="en-US" w:eastAsia="zh-CN"/>
        </w:rPr>
        <w:t>1.社会效益指标</w:t>
      </w:r>
      <w:bookmarkEnd w:id="114"/>
      <w:bookmarkEnd w:id="115"/>
    </w:p>
    <w:p w14:paraId="7B57EDDD">
      <w:pPr>
        <w:bidi w:val="0"/>
        <w:rPr>
          <w:rFonts w:hint="eastAsia"/>
          <w:b w:val="0"/>
          <w:bCs w:val="0"/>
          <w:color w:val="000000" w:themeColor="text1"/>
          <w:highlight w:val="none"/>
          <w:lang w:val="en-US" w:eastAsia="zh-CN"/>
          <w14:textFill>
            <w14:solidFill>
              <w14:schemeClr w14:val="tx1"/>
            </w14:solidFill>
          </w14:textFill>
        </w:rPr>
      </w:pPr>
      <w:r>
        <w:rPr>
          <w:rFonts w:hint="eastAsia" w:ascii="宋体" w:hAnsi="宋体" w:eastAsia="宋体" w:cs="宋体"/>
          <w:lang w:val="en-US" w:eastAsia="zh-CN"/>
        </w:rPr>
        <w:t>“业务保障能力提升情况”</w:t>
      </w:r>
      <w:r>
        <w:rPr>
          <w:rFonts w:hint="eastAsia"/>
          <w:lang w:val="en-US" w:eastAsia="zh-CN"/>
        </w:rPr>
        <w:t>指标，预期目标值为</w:t>
      </w:r>
      <w:r>
        <w:rPr>
          <w:rFonts w:hint="eastAsia"/>
          <w:color w:val="000000" w:themeColor="text1"/>
          <w:lang w:val="en-US" w:eastAsia="zh-CN"/>
          <w14:textFill>
            <w14:solidFill>
              <w14:schemeClr w14:val="tx1"/>
            </w14:solidFill>
          </w14:textFill>
        </w:rPr>
        <w:t>提升，实际完成为100%。</w:t>
      </w:r>
    </w:p>
    <w:p w14:paraId="22E5E321">
      <w:pPr>
        <w:bidi w:val="0"/>
        <w:rPr>
          <w:rFonts w:hint="default"/>
          <w:b w:val="0"/>
          <w:bCs w:val="0"/>
          <w:highlight w:val="none"/>
          <w:lang w:val="en-US" w:eastAsia="zh-CN"/>
        </w:rPr>
      </w:pPr>
      <w:r>
        <w:rPr>
          <w:rFonts w:hint="eastAsia"/>
          <w:b w:val="0"/>
          <w:bCs w:val="0"/>
          <w:highlight w:val="none"/>
          <w:lang w:val="en-US" w:eastAsia="zh-CN"/>
        </w:rPr>
        <w:t>通过项目的实施，</w:t>
      </w:r>
      <w:r>
        <w:rPr>
          <w:rFonts w:hint="eastAsia"/>
          <w:b w:val="0"/>
          <w:bCs w:val="0"/>
          <w:color w:val="auto"/>
          <w:highlight w:val="none"/>
          <w:lang w:val="en-US" w:eastAsia="zh-CN"/>
        </w:rPr>
        <w:t>业务保障能力提升。</w:t>
      </w:r>
    </w:p>
    <w:p w14:paraId="726F9945">
      <w:pPr>
        <w:bidi w:val="0"/>
        <w:rPr>
          <w:rFonts w:hint="eastAsia"/>
          <w:b/>
          <w:bCs/>
          <w:highlight w:val="cyan"/>
          <w:lang w:val="en-US" w:eastAsia="zh-CN"/>
        </w:rPr>
      </w:pPr>
      <w:r>
        <w:rPr>
          <w:rFonts w:hint="eastAsia" w:ascii="宋体" w:hAnsi="宋体" w:eastAsia="宋体" w:cs="宋体"/>
          <w:highlight w:val="none"/>
          <w:lang w:val="en-US" w:eastAsia="zh-CN"/>
        </w:rPr>
        <w:t>“</w:t>
      </w:r>
      <w:r>
        <w:rPr>
          <w:rFonts w:hint="eastAsia" w:cs="宋体"/>
          <w:highlight w:val="none"/>
          <w:lang w:val="en-US" w:eastAsia="zh-CN"/>
        </w:rPr>
        <w:t>居民</w:t>
      </w:r>
      <w:r>
        <w:rPr>
          <w:rFonts w:hint="eastAsia" w:ascii="宋体" w:hAnsi="宋体" w:eastAsia="宋体" w:cs="宋体"/>
          <w:highlight w:val="none"/>
          <w:lang w:val="en-US" w:eastAsia="zh-CN"/>
        </w:rPr>
        <w:t>满意度”指标，预期目标值为≥95%</w:t>
      </w:r>
      <w:r>
        <w:rPr>
          <w:rFonts w:hint="eastAsia" w:ascii="宋体" w:hAnsi="宋体" w:eastAsia="宋体" w:cs="宋体"/>
          <w:lang w:val="en-US" w:eastAsia="zh-CN"/>
        </w:rPr>
        <w:t>，实际完成为95%。</w:t>
      </w:r>
    </w:p>
    <w:p w14:paraId="0084E5AF">
      <w:pPr>
        <w:rPr>
          <w:rFonts w:hint="eastAsia"/>
          <w:lang w:val="en-US" w:eastAsia="zh-CN"/>
        </w:rPr>
      </w:pPr>
      <w:r>
        <w:rPr>
          <w:rFonts w:hint="eastAsia"/>
          <w:b/>
          <w:bCs/>
          <w:lang w:val="en-US" w:eastAsia="zh-CN"/>
        </w:rPr>
        <w:t>综上，该项指标满分</w:t>
      </w:r>
      <w:r>
        <w:rPr>
          <w:rFonts w:hint="eastAsia"/>
          <w:b/>
          <w:bCs/>
          <w:color w:val="000000" w:themeColor="text1"/>
          <w:lang w:val="en-US" w:eastAsia="zh-CN"/>
          <w14:textFill>
            <w14:solidFill>
              <w14:schemeClr w14:val="tx1"/>
            </w14:solidFill>
          </w14:textFill>
        </w:rPr>
        <w:t>30分，得分30分</w:t>
      </w:r>
    </w:p>
    <w:p w14:paraId="2D7BCEC2">
      <w:pPr>
        <w:pStyle w:val="2"/>
        <w:pageBreakBefore w:val="0"/>
        <w:kinsoku/>
        <w:wordWrap/>
        <w:overflowPunct/>
        <w:topLinePunct w:val="0"/>
        <w:autoSpaceDE/>
        <w:autoSpaceDN/>
        <w:bidi w:val="0"/>
        <w:adjustRightInd/>
        <w:spacing w:beforeLines="0" w:afterLines="0" w:line="360" w:lineRule="auto"/>
        <w:textAlignment w:val="auto"/>
        <w:rPr>
          <w:rFonts w:hint="eastAsia" w:ascii="仿宋" w:hAnsi="仿宋" w:eastAsia="仿宋" w:cs="仿宋"/>
          <w:b/>
          <w:bCs/>
          <w:color w:val="000000" w:themeColor="text1"/>
          <w:highlight w:val="none"/>
          <w:shd w:val="clear" w:color="auto" w:fill="auto"/>
          <w:lang w:val="en-US" w:eastAsia="zh-CN"/>
          <w14:textFill>
            <w14:solidFill>
              <w14:schemeClr w14:val="tx1"/>
            </w14:solidFill>
          </w14:textFill>
        </w:rPr>
      </w:pPr>
      <w:bookmarkStart w:id="116" w:name="_Toc7168"/>
      <w:r>
        <w:rPr>
          <w:rFonts w:hint="eastAsia" w:ascii="仿宋" w:hAnsi="仿宋" w:eastAsia="仿宋" w:cs="仿宋"/>
          <w:b/>
          <w:bCs/>
          <w:color w:val="000000" w:themeColor="text1"/>
          <w:highlight w:val="none"/>
          <w:shd w:val="clear" w:color="auto" w:fill="auto"/>
          <w:lang w:val="en-US" w:eastAsia="zh-CN"/>
          <w14:textFill>
            <w14:solidFill>
              <w14:schemeClr w14:val="tx1"/>
            </w14:solidFill>
          </w14:textFill>
        </w:rPr>
        <w:t>五、预算执行进度与指标偏差</w:t>
      </w:r>
      <w:bookmarkEnd w:id="116"/>
    </w:p>
    <w:p w14:paraId="34A64147">
      <w:pPr>
        <w:bidi w:val="0"/>
        <w:rPr>
          <w:rFonts w:hint="eastAsia" w:ascii="宋体" w:hAnsi="宋体" w:eastAsia="宋体" w:cs="宋体"/>
          <w:lang w:val="en-US" w:eastAsia="zh-CN"/>
        </w:rPr>
      </w:pPr>
      <w:r>
        <w:rPr>
          <w:rFonts w:hint="eastAsia" w:ascii="宋体" w:hAnsi="宋体" w:eastAsia="宋体" w:cs="宋体"/>
          <w:lang w:val="en-US" w:eastAsia="zh-CN"/>
        </w:rPr>
        <w:t>该项目预算资金总额为8.77万元，全年执行数为8.77万元，预算执行率为100%，总体完成率为100</w:t>
      </w:r>
      <w:r>
        <w:rPr>
          <w:rFonts w:hint="eastAsia" w:ascii="宋体" w:hAnsi="宋体" w:eastAsia="宋体" w:cs="宋体"/>
          <w:lang w:val="zh-TW" w:eastAsia="zh-TW"/>
        </w:rPr>
        <w:t>%。</w:t>
      </w:r>
      <w:r>
        <w:rPr>
          <w:rFonts w:hint="eastAsia" w:ascii="宋体" w:hAnsi="宋体" w:eastAsia="宋体" w:cs="宋体"/>
          <w:lang w:val="en-US" w:eastAsia="zh-CN"/>
        </w:rPr>
        <w:t>预算执行率与总体完成率之间的偏差为0%，无偏差。</w:t>
      </w:r>
    </w:p>
    <w:p w14:paraId="4D689DD5">
      <w:pPr>
        <w:pStyle w:val="2"/>
        <w:pageBreakBefore w:val="0"/>
        <w:kinsoku/>
        <w:wordWrap/>
        <w:overflowPunct/>
        <w:topLinePunct w:val="0"/>
        <w:autoSpaceDE/>
        <w:autoSpaceDN/>
        <w:bidi w:val="0"/>
        <w:adjustRightInd/>
        <w:spacing w:beforeLines="0" w:afterLines="0" w:line="360" w:lineRule="auto"/>
        <w:textAlignment w:val="auto"/>
        <w:rPr>
          <w:rFonts w:hint="eastAsia" w:ascii="仿宋" w:hAnsi="仿宋" w:eastAsia="仿宋" w:cs="仿宋"/>
          <w:b/>
          <w:bCs/>
          <w:color w:val="000000" w:themeColor="text1"/>
          <w:highlight w:val="none"/>
          <w:shd w:val="clear" w:color="auto" w:fill="auto"/>
          <w:lang w:val="en-US" w:eastAsia="zh-CN"/>
          <w14:textFill>
            <w14:solidFill>
              <w14:schemeClr w14:val="tx1"/>
            </w14:solidFill>
          </w14:textFill>
        </w:rPr>
      </w:pPr>
      <w:bookmarkStart w:id="117" w:name="_Toc13927"/>
      <w:r>
        <w:rPr>
          <w:rFonts w:hint="eastAsia" w:ascii="仿宋" w:hAnsi="仿宋" w:eastAsia="仿宋" w:cs="仿宋"/>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117"/>
    </w:p>
    <w:p w14:paraId="34B6CD3B">
      <w:pPr>
        <w:numPr>
          <w:ilvl w:val="0"/>
          <w:numId w:val="0"/>
        </w:numPr>
        <w:bidi w:val="0"/>
        <w:ind w:left="560" w:leftChars="0"/>
        <w:outlineLvl w:val="1"/>
        <w:rPr>
          <w:rFonts w:hint="eastAsia" w:ascii="仿宋" w:hAnsi="仿宋" w:eastAsia="仿宋" w:cs="仿宋"/>
          <w:b/>
          <w:bCs/>
          <w:lang w:eastAsia="zh-CN"/>
        </w:rPr>
      </w:pPr>
      <w:bookmarkStart w:id="118" w:name="_Toc13753"/>
      <w:bookmarkStart w:id="119" w:name="_Toc28290"/>
      <w:bookmarkStart w:id="120" w:name="_Toc1921"/>
      <w:r>
        <w:rPr>
          <w:rFonts w:hint="eastAsia" w:ascii="仿宋" w:hAnsi="仿宋" w:eastAsia="仿宋" w:cs="仿宋"/>
          <w:b/>
          <w:bCs/>
          <w:lang w:eastAsia="zh-CN"/>
        </w:rPr>
        <w:t>（</w:t>
      </w:r>
      <w:r>
        <w:rPr>
          <w:rFonts w:hint="eastAsia" w:ascii="仿宋" w:hAnsi="仿宋" w:eastAsia="仿宋" w:cs="仿宋"/>
          <w:b/>
          <w:bCs/>
          <w:lang w:val="en-US" w:eastAsia="zh-CN"/>
        </w:rPr>
        <w:t>一</w:t>
      </w:r>
      <w:r>
        <w:rPr>
          <w:rFonts w:hint="eastAsia" w:ascii="仿宋" w:hAnsi="仿宋" w:eastAsia="仿宋" w:cs="仿宋"/>
          <w:b/>
          <w:bCs/>
          <w:lang w:eastAsia="zh-CN"/>
        </w:rPr>
        <w:t>）</w:t>
      </w:r>
      <w:r>
        <w:rPr>
          <w:rFonts w:hint="eastAsia" w:ascii="仿宋" w:hAnsi="仿宋" w:eastAsia="仿宋" w:cs="仿宋"/>
          <w:b/>
          <w:bCs/>
        </w:rPr>
        <w:t>主要经验及做法</w:t>
      </w:r>
      <w:bookmarkEnd w:id="118"/>
    </w:p>
    <w:p w14:paraId="43145D7C">
      <w:pPr>
        <w:bidi w:val="0"/>
        <w:rPr>
          <w:rFonts w:hint="eastAsia" w:ascii="宋体" w:hAnsi="宋体" w:eastAsia="宋体" w:cs="宋体"/>
          <w:lang w:val="en-US" w:eastAsia="zh-CN"/>
        </w:rPr>
      </w:pPr>
      <w:r>
        <w:rPr>
          <w:rFonts w:hint="eastAsia" w:ascii="宋体" w:hAnsi="宋体" w:eastAsia="宋体" w:cs="宋体"/>
          <w:lang w:val="en-US" w:eastAsia="zh-CN"/>
        </w:rPr>
        <w:t>2022年阳光食品建设项目2023年预算数为8.77万元，截至2023年12月31日共支出8.77万元，预算执行率为100%。</w:t>
      </w:r>
    </w:p>
    <w:p w14:paraId="764BA96C">
      <w:pPr>
        <w:bidi w:val="0"/>
        <w:rPr>
          <w:rFonts w:hint="eastAsia" w:ascii="宋体" w:hAnsi="宋体" w:eastAsia="宋体" w:cs="宋体"/>
          <w:lang w:val="en-US" w:eastAsia="zh-CN"/>
        </w:rPr>
      </w:pPr>
      <w:r>
        <w:rPr>
          <w:rFonts w:hint="eastAsia" w:ascii="宋体" w:hAnsi="宋体" w:eastAsia="宋体" w:cs="宋体"/>
          <w:lang w:val="en-US" w:eastAsia="zh-CN"/>
        </w:rPr>
        <w:t>阜康市市场监督管理局建立健全了预算管理规章制度，各部门严格按照预算编制的原则和要求做好当年预算编制工作，在预算绩效管理工作中，做到合理安排各项资金，重点保障基本支出，按轻重缓急顺序原则，优先安排了阜康市市场监督管理局事业发展中关系民生与稳定的项目，切实优化资源配置，提高了资金使用的效率和效果。</w:t>
      </w:r>
    </w:p>
    <w:bookmarkEnd w:id="119"/>
    <w:bookmarkEnd w:id="120"/>
    <w:p w14:paraId="61D3530A">
      <w:pPr>
        <w:numPr>
          <w:ilvl w:val="0"/>
          <w:numId w:val="2"/>
        </w:numPr>
        <w:bidi w:val="0"/>
        <w:ind w:left="0" w:leftChars="0" w:firstLine="562" w:firstLineChars="200"/>
        <w:outlineLvl w:val="1"/>
        <w:rPr>
          <w:rFonts w:hint="eastAsia" w:ascii="仿宋" w:hAnsi="仿宋" w:eastAsia="仿宋" w:cs="仿宋"/>
          <w:b/>
          <w:bCs/>
        </w:rPr>
      </w:pPr>
      <w:bookmarkStart w:id="121" w:name="_Toc20963"/>
      <w:r>
        <w:rPr>
          <w:rFonts w:hint="eastAsia" w:ascii="仿宋" w:hAnsi="仿宋" w:eastAsia="仿宋" w:cs="仿宋"/>
          <w:b/>
          <w:bCs/>
        </w:rPr>
        <w:t>存在的问题及原因分析</w:t>
      </w:r>
      <w:bookmarkEnd w:id="121"/>
    </w:p>
    <w:p w14:paraId="4A0CA6BB">
      <w:pPr>
        <w:bidi w:val="0"/>
        <w:rPr>
          <w:rFonts w:hint="eastAsia" w:ascii="宋体" w:hAnsi="宋体" w:eastAsia="宋体" w:cs="宋体"/>
          <w:lang w:val="en-US" w:eastAsia="zh-CN"/>
        </w:rPr>
      </w:pPr>
      <w:bookmarkStart w:id="122" w:name="_Toc11349"/>
      <w:r>
        <w:rPr>
          <w:rFonts w:hint="eastAsia" w:ascii="宋体" w:hAnsi="宋体" w:eastAsia="宋体" w:cs="宋体"/>
          <w:lang w:val="en-US" w:eastAsia="zh-CN"/>
        </w:rPr>
        <w:t>2022年阳光食品建设项目2023年预算数为8.77万元，截至2023年12月31日共支出8.77万元，预算执行率为100%。</w:t>
      </w:r>
    </w:p>
    <w:p w14:paraId="18EB06E0">
      <w:pPr>
        <w:bidi w:val="0"/>
        <w:rPr>
          <w:rFonts w:hint="eastAsia" w:ascii="宋体" w:hAnsi="宋体" w:eastAsia="宋体" w:cs="宋体"/>
          <w:lang w:val="en-US" w:eastAsia="zh-CN"/>
        </w:rPr>
      </w:pPr>
      <w:r>
        <w:rPr>
          <w:rFonts w:hint="eastAsia" w:ascii="宋体" w:hAnsi="宋体" w:eastAsia="宋体" w:cs="宋体"/>
          <w:lang w:val="en-US" w:eastAsia="zh-CN"/>
        </w:rPr>
        <w:t>市场监督管理局建立健全了预算管理规章制度，各部门严格按预算编制的原则和要求做好当年预算编制工作，在预算绩效管理工作中，做到合理安排各项资金，重点保障基本支出，按轻重缓急顺序原则，优先安排了市场监督管理局事业发展中关系民生与稳定的项目，切实优化资源配置，提高了资金使用的效率和效果。</w:t>
      </w:r>
    </w:p>
    <w:p w14:paraId="46831D7B">
      <w:pPr>
        <w:bidi w:val="0"/>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lang w:val="en-US" w:eastAsia="zh-CN"/>
        </w:rPr>
        <w:t>二</w:t>
      </w:r>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rPr>
        <w:t>存在的问题及原因分析</w:t>
      </w:r>
    </w:p>
    <w:p w14:paraId="286CA16B">
      <w:pPr>
        <w:bidi w:val="0"/>
        <w:rPr>
          <w:rFonts w:hint="eastAsia" w:ascii="宋体" w:hAnsi="宋体" w:eastAsia="宋体" w:cs="宋体"/>
          <w:lang w:val="en-US" w:eastAsia="zh-CN"/>
        </w:rPr>
      </w:pPr>
      <w:r>
        <w:rPr>
          <w:rFonts w:hint="eastAsia" w:ascii="宋体" w:hAnsi="宋体" w:eastAsia="宋体" w:cs="宋体"/>
          <w:lang w:val="en-US" w:eastAsia="zh-CN"/>
        </w:rPr>
        <w:t>1.单位项目负责人员绩效管理意识有待增强，未能全面深入认识理解绩效管理工作的意义，日常项目工作和相关绩效工作连接不紧密。</w:t>
      </w:r>
    </w:p>
    <w:p w14:paraId="1C63BBC0">
      <w:pPr>
        <w:bidi w:val="0"/>
        <w:rPr>
          <w:rFonts w:hint="eastAsia" w:ascii="宋体" w:hAnsi="宋体" w:eastAsia="宋体" w:cs="宋体"/>
          <w:lang w:val="en-US" w:eastAsia="zh-CN"/>
        </w:rPr>
      </w:pPr>
      <w:r>
        <w:rPr>
          <w:rFonts w:hint="eastAsia" w:ascii="宋体" w:hAnsi="宋体" w:eastAsia="宋体" w:cs="宋体"/>
          <w:lang w:val="en-US" w:eastAsia="zh-CN"/>
        </w:rPr>
        <w:t>2.单位在预算编制工作有待细化，整体绩效预算编制的合理性需要提高，预算执行力度还要进一步加强。预算编制时，忽略了可变量，没有充分考虑实际需求和服务质量，编制时缺乏数据支持，未将可变因素考虑在内，导致预算执行与预算编制存在差异较大。</w:t>
      </w:r>
    </w:p>
    <w:p w14:paraId="4A4A197B">
      <w:pPr>
        <w:pStyle w:val="2"/>
        <w:pageBreakBefore w:val="0"/>
        <w:kinsoku/>
        <w:wordWrap/>
        <w:overflowPunct/>
        <w:topLinePunct w:val="0"/>
        <w:autoSpaceDE/>
        <w:autoSpaceDN/>
        <w:bidi w:val="0"/>
        <w:adjustRightInd/>
        <w:spacing w:beforeLines="0" w:afterLines="0" w:line="360" w:lineRule="auto"/>
        <w:textAlignment w:val="auto"/>
        <w:rPr>
          <w:rFonts w:hint="eastAsia" w:ascii="仿宋" w:hAnsi="仿宋" w:eastAsia="仿宋" w:cs="仿宋"/>
          <w:b/>
          <w:bCs/>
          <w:color w:val="000000" w:themeColor="text1"/>
          <w:highlight w:val="none"/>
          <w:shd w:val="clear" w:color="auto" w:fill="auto"/>
          <w:lang w:val="en-US" w:eastAsia="zh-CN"/>
          <w14:textFill>
            <w14:solidFill>
              <w14:schemeClr w14:val="tx1"/>
            </w14:solidFill>
          </w14:textFill>
        </w:rPr>
      </w:pPr>
      <w:bookmarkStart w:id="123" w:name="_Toc24056"/>
      <w:r>
        <w:rPr>
          <w:rFonts w:hint="eastAsia" w:ascii="仿宋" w:hAnsi="仿宋" w:eastAsia="仿宋" w:cs="仿宋"/>
          <w:b/>
          <w:bCs/>
          <w:color w:val="000000" w:themeColor="text1"/>
          <w:highlight w:val="none"/>
          <w:shd w:val="clear" w:color="auto" w:fill="auto"/>
          <w:lang w:val="en-US" w:eastAsia="zh-CN"/>
          <w14:textFill>
            <w14:solidFill>
              <w14:schemeClr w14:val="tx1"/>
            </w14:solidFill>
          </w14:textFill>
        </w:rPr>
        <w:t>七、有关建议</w:t>
      </w:r>
      <w:bookmarkEnd w:id="123"/>
    </w:p>
    <w:p w14:paraId="62AFED4D">
      <w:pPr>
        <w:bidi w:val="0"/>
        <w:rPr>
          <w:rFonts w:hint="eastAsia" w:ascii="宋体" w:hAnsi="宋体" w:eastAsia="宋体" w:cs="宋体"/>
          <w:lang w:val="en-US" w:eastAsia="zh-CN"/>
        </w:rPr>
      </w:pPr>
      <w:r>
        <w:rPr>
          <w:rFonts w:hint="eastAsia" w:ascii="宋体" w:hAnsi="宋体" w:eastAsia="宋体" w:cs="宋体"/>
          <w:lang w:val="en-US" w:eastAsia="zh-CN"/>
        </w:rPr>
        <w:t>（一）加强绩效业务学习及培训，提高业务人员绩效管理意识，进一步加强预算绩效管理工作，优化项目支出绩效指标体系，完善预算绩效管理制度，有效推动我单位下一年度预算绩效管理工作常态化、规范化。</w:t>
      </w:r>
    </w:p>
    <w:p w14:paraId="400F64C9">
      <w:pPr>
        <w:bidi w:val="0"/>
        <w:rPr>
          <w:rFonts w:hint="eastAsia" w:ascii="宋体" w:hAnsi="宋体" w:eastAsia="宋体" w:cs="宋体"/>
          <w:lang w:val="en-US" w:eastAsia="zh-CN"/>
        </w:rPr>
      </w:pPr>
      <w:r>
        <w:rPr>
          <w:rFonts w:hint="eastAsia" w:ascii="宋体" w:hAnsi="宋体" w:eastAsia="宋体" w:cs="宋体"/>
          <w:lang w:val="en-US" w:eastAsia="zh-CN"/>
        </w:rPr>
        <w:t>（二）密切关注目标任务开展情况，确保实际工作切合绩效目标，加强绩效目标编制培训，强化目标审核</w:t>
      </w:r>
    </w:p>
    <w:p w14:paraId="5AF020B1">
      <w:pPr>
        <w:bidi w:val="0"/>
        <w:rPr>
          <w:rFonts w:hint="eastAsia" w:ascii="宋体" w:hAnsi="宋体" w:eastAsia="宋体" w:cs="宋体"/>
          <w:lang w:val="en-US" w:eastAsia="zh-CN"/>
        </w:rPr>
      </w:pPr>
      <w:r>
        <w:rPr>
          <w:rFonts w:hint="eastAsia" w:ascii="宋体" w:hAnsi="宋体" w:eastAsia="宋体" w:cs="宋体"/>
          <w:lang w:val="en-US" w:eastAsia="zh-CN"/>
        </w:rPr>
        <w:t>一是加强对工作人员预算绩效管理培训力度，采取集中学习、讲座、专题会议等方式，进一步统一认识，充实业务知识，加入财务管理制度培训，政府采购管理制度的培训，实现提高绩效管理工作效率及质量的目标。</w:t>
      </w:r>
    </w:p>
    <w:p w14:paraId="1C798E7C">
      <w:pPr>
        <w:bidi w:val="0"/>
        <w:rPr>
          <w:rFonts w:hint="eastAsia" w:ascii="宋体" w:hAnsi="宋体" w:eastAsia="宋体" w:cs="宋体"/>
          <w:lang w:val="en-US" w:eastAsia="zh-CN"/>
        </w:rPr>
      </w:pPr>
      <w:r>
        <w:rPr>
          <w:rFonts w:hint="eastAsia" w:ascii="宋体" w:hAnsi="宋体" w:eastAsia="宋体" w:cs="宋体"/>
          <w:lang w:val="en-US" w:eastAsia="zh-CN"/>
        </w:rPr>
        <w:t>二是加强资金使用部门对绩效评价工作的认识和重视程度，并将评价结果运用于工作始终。</w:t>
      </w:r>
    </w:p>
    <w:p w14:paraId="0C32F07A">
      <w:pPr>
        <w:bidi w:val="0"/>
        <w:rPr>
          <w:rFonts w:hint="eastAsia" w:ascii="宋体" w:hAnsi="宋体" w:eastAsia="宋体" w:cs="宋体"/>
          <w:lang w:val="en-US" w:eastAsia="zh-CN"/>
        </w:rPr>
      </w:pPr>
      <w:r>
        <w:rPr>
          <w:rFonts w:hint="eastAsia" w:ascii="宋体" w:hAnsi="宋体" w:eastAsia="宋体" w:cs="宋体"/>
          <w:lang w:val="en-US" w:eastAsia="zh-CN"/>
        </w:rPr>
        <w:t>三是做好项目实施管理与资金使用的匹配，根据项目实施计划，制定出科学合理的资金计划，不断提高资金使用效率。</w:t>
      </w:r>
    </w:p>
    <w:p w14:paraId="1FF577D9">
      <w:pPr>
        <w:pStyle w:val="2"/>
        <w:pageBreakBefore w:val="0"/>
        <w:kinsoku/>
        <w:wordWrap/>
        <w:overflowPunct/>
        <w:topLinePunct w:val="0"/>
        <w:autoSpaceDE/>
        <w:autoSpaceDN/>
        <w:bidi w:val="0"/>
        <w:adjustRightInd/>
        <w:spacing w:beforeLines="0" w:afterLines="0" w:line="360" w:lineRule="auto"/>
        <w:textAlignment w:val="auto"/>
        <w:rPr>
          <w:rFonts w:hint="eastAsia" w:ascii="仿宋" w:hAnsi="仿宋" w:eastAsia="仿宋" w:cs="仿宋"/>
          <w:b/>
          <w:bCs/>
          <w:color w:val="000000" w:themeColor="text1"/>
          <w:highlight w:val="none"/>
          <w:shd w:val="clear" w:color="auto" w:fill="auto"/>
          <w:lang w:val="en-US" w:eastAsia="zh-CN"/>
          <w14:textFill>
            <w14:solidFill>
              <w14:schemeClr w14:val="tx1"/>
            </w14:solidFill>
          </w14:textFill>
        </w:rPr>
      </w:pPr>
      <w:bookmarkStart w:id="124" w:name="_Toc19248"/>
      <w:r>
        <w:rPr>
          <w:rFonts w:hint="eastAsia" w:ascii="仿宋" w:hAnsi="仿宋" w:eastAsia="仿宋" w:cs="仿宋"/>
          <w:b/>
          <w:bCs/>
          <w:color w:val="000000" w:themeColor="text1"/>
          <w:highlight w:val="none"/>
          <w:shd w:val="clear" w:color="auto" w:fill="auto"/>
          <w:lang w:val="en-US" w:eastAsia="zh-CN"/>
          <w14:textFill>
            <w14:solidFill>
              <w14:schemeClr w14:val="tx1"/>
            </w14:solidFill>
          </w14:textFill>
        </w:rPr>
        <w:t>八、其他需要说明的问题</w:t>
      </w:r>
      <w:bookmarkEnd w:id="124"/>
    </w:p>
    <w:p w14:paraId="2B8DD7C9">
      <w:pPr>
        <w:bidi w:val="0"/>
        <w:rPr>
          <w:rFonts w:hint="eastAsia" w:ascii="宋体" w:hAnsi="宋体" w:eastAsia="宋体" w:cs="宋体"/>
          <w:lang w:val="en-US" w:eastAsia="zh-CN"/>
        </w:rPr>
      </w:pPr>
      <w:r>
        <w:rPr>
          <w:rFonts w:hint="eastAsia" w:ascii="宋体" w:hAnsi="宋体" w:eastAsia="宋体" w:cs="宋体"/>
          <w:lang w:val="en-US" w:eastAsia="zh-CN"/>
        </w:rPr>
        <w:t>无其他需要说明的问题。</w:t>
      </w:r>
    </w:p>
    <w:p w14:paraId="1D150C56">
      <w:pPr>
        <w:bidi w:val="0"/>
        <w:rPr>
          <w:rFonts w:hint="eastAsia" w:ascii="宋体" w:hAnsi="宋体" w:eastAsia="宋体" w:cs="宋体"/>
          <w:lang w:val="en-US" w:eastAsia="zh-CN"/>
        </w:rPr>
      </w:pPr>
    </w:p>
    <w:p w14:paraId="7BD86709">
      <w:pPr>
        <w:ind w:left="0" w:leftChars="0" w:firstLine="0" w:firstLineChars="0"/>
        <w:rPr>
          <w:rFonts w:hint="eastAsia"/>
          <w:color w:val="auto"/>
          <w:sz w:val="28"/>
          <w:szCs w:val="28"/>
          <w:highlight w:val="none"/>
          <w:lang w:val="en-US" w:eastAsia="zh-CN"/>
        </w:rPr>
      </w:pPr>
      <w:r>
        <w:rPr>
          <w:rFonts w:hint="eastAsia"/>
          <w:color w:val="auto"/>
          <w:sz w:val="28"/>
          <w:szCs w:val="28"/>
          <w:highlight w:val="none"/>
          <w:lang w:val="en-US" w:eastAsia="zh-CN"/>
        </w:rPr>
        <w:br w:type="page"/>
      </w:r>
    </w:p>
    <w:p w14:paraId="3D9D0D44">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617AE5C5">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25" w:name="_Toc30098"/>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122"/>
      <w:bookmarkEnd w:id="125"/>
    </w:p>
    <w:tbl>
      <w:tblPr>
        <w:tblStyle w:val="1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49"/>
        <w:gridCol w:w="750"/>
        <w:gridCol w:w="975"/>
        <w:gridCol w:w="1395"/>
        <w:gridCol w:w="1258"/>
        <w:gridCol w:w="985"/>
        <w:gridCol w:w="809"/>
        <w:gridCol w:w="1070"/>
        <w:gridCol w:w="1071"/>
        <w:gridCol w:w="1057"/>
        <w:gridCol w:w="1021"/>
        <w:gridCol w:w="928"/>
        <w:gridCol w:w="1010"/>
        <w:gridCol w:w="1096"/>
      </w:tblGrid>
      <w:tr w14:paraId="5C1BCC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l2br w:val="nil"/>
              <w:tr2bl w:val="nil"/>
            </w:tcBorders>
            <w:shd w:val="clear" w:color="auto" w:fill="auto"/>
            <w:vAlign w:val="center"/>
          </w:tcPr>
          <w:p w14:paraId="295EF7BD">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62760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4C521D9D">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08008F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99" w:type="dxa"/>
            <w:gridSpan w:val="2"/>
            <w:tcBorders>
              <w:top w:val="single" w:color="auto" w:sz="4" w:space="0"/>
              <w:tl2br w:val="nil"/>
              <w:tr2bl w:val="nil"/>
            </w:tcBorders>
            <w:shd w:val="clear" w:color="auto" w:fill="auto"/>
            <w:vAlign w:val="center"/>
          </w:tcPr>
          <w:p w14:paraId="7D246A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75" w:type="dxa"/>
            <w:gridSpan w:val="12"/>
            <w:tcBorders>
              <w:top w:val="single" w:color="auto" w:sz="4" w:space="0"/>
              <w:tl2br w:val="nil"/>
              <w:tr2bl w:val="nil"/>
            </w:tcBorders>
            <w:shd w:val="clear" w:color="auto" w:fill="auto"/>
            <w:vAlign w:val="center"/>
          </w:tcPr>
          <w:p w14:paraId="546CB4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2022年阳光食品建设项目</w:t>
            </w:r>
          </w:p>
        </w:tc>
      </w:tr>
      <w:tr w14:paraId="06E390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99" w:type="dxa"/>
            <w:gridSpan w:val="2"/>
            <w:tcBorders>
              <w:tl2br w:val="nil"/>
              <w:tr2bl w:val="nil"/>
            </w:tcBorders>
            <w:shd w:val="clear" w:color="auto" w:fill="auto"/>
            <w:vAlign w:val="center"/>
          </w:tcPr>
          <w:p w14:paraId="235CDF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422" w:type="dxa"/>
            <w:gridSpan w:val="5"/>
            <w:tcBorders>
              <w:tl2br w:val="nil"/>
              <w:tr2bl w:val="nil"/>
            </w:tcBorders>
            <w:shd w:val="clear" w:color="auto" w:fill="auto"/>
            <w:vAlign w:val="center"/>
          </w:tcPr>
          <w:p w14:paraId="230913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阜康市市场监督管理局</w:t>
            </w:r>
          </w:p>
        </w:tc>
        <w:tc>
          <w:tcPr>
            <w:tcW w:w="2141" w:type="dxa"/>
            <w:gridSpan w:val="2"/>
            <w:tcBorders>
              <w:tl2br w:val="nil"/>
              <w:tr2bl w:val="nil"/>
            </w:tcBorders>
            <w:shd w:val="clear" w:color="auto" w:fill="auto"/>
            <w:vAlign w:val="center"/>
          </w:tcPr>
          <w:p w14:paraId="105765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112" w:type="dxa"/>
            <w:gridSpan w:val="5"/>
            <w:tcBorders>
              <w:tl2br w:val="nil"/>
              <w:tr2bl w:val="nil"/>
            </w:tcBorders>
            <w:shd w:val="clear" w:color="auto" w:fill="auto"/>
            <w:vAlign w:val="center"/>
          </w:tcPr>
          <w:p w14:paraId="3C62FB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阜康市市场监督管理局</w:t>
            </w:r>
          </w:p>
        </w:tc>
      </w:tr>
      <w:tr w14:paraId="78B2A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499" w:type="dxa"/>
            <w:gridSpan w:val="2"/>
            <w:vMerge w:val="restart"/>
            <w:tcBorders>
              <w:tl2br w:val="nil"/>
              <w:tr2bl w:val="nil"/>
            </w:tcBorders>
            <w:shd w:val="clear" w:color="auto" w:fill="auto"/>
            <w:vAlign w:val="center"/>
          </w:tcPr>
          <w:p w14:paraId="27CC12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370" w:type="dxa"/>
            <w:gridSpan w:val="2"/>
            <w:tcBorders>
              <w:tl2br w:val="nil"/>
              <w:tr2bl w:val="nil"/>
            </w:tcBorders>
            <w:shd w:val="clear" w:color="auto" w:fill="auto"/>
            <w:vAlign w:val="center"/>
          </w:tcPr>
          <w:p w14:paraId="7A338A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58" w:type="dxa"/>
            <w:tcBorders>
              <w:tl2br w:val="nil"/>
              <w:tr2bl w:val="nil"/>
            </w:tcBorders>
            <w:shd w:val="clear" w:color="auto" w:fill="auto"/>
            <w:vAlign w:val="center"/>
          </w:tcPr>
          <w:p w14:paraId="0EE6B5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94" w:type="dxa"/>
            <w:gridSpan w:val="2"/>
            <w:tcBorders>
              <w:tl2br w:val="nil"/>
              <w:tr2bl w:val="nil"/>
            </w:tcBorders>
            <w:shd w:val="clear" w:color="auto" w:fill="auto"/>
            <w:vAlign w:val="center"/>
          </w:tcPr>
          <w:p w14:paraId="65634D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141" w:type="dxa"/>
            <w:gridSpan w:val="2"/>
            <w:tcBorders>
              <w:tl2br w:val="nil"/>
              <w:tr2bl w:val="nil"/>
            </w:tcBorders>
            <w:shd w:val="clear" w:color="auto" w:fill="auto"/>
            <w:vAlign w:val="center"/>
          </w:tcPr>
          <w:p w14:paraId="7760A8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78" w:type="dxa"/>
            <w:gridSpan w:val="2"/>
            <w:tcBorders>
              <w:tl2br w:val="nil"/>
              <w:tr2bl w:val="nil"/>
            </w:tcBorders>
            <w:shd w:val="clear" w:color="auto" w:fill="auto"/>
            <w:vAlign w:val="center"/>
          </w:tcPr>
          <w:p w14:paraId="198034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938" w:type="dxa"/>
            <w:gridSpan w:val="2"/>
            <w:tcBorders>
              <w:tl2br w:val="nil"/>
              <w:tr2bl w:val="nil"/>
            </w:tcBorders>
            <w:shd w:val="clear" w:color="auto" w:fill="auto"/>
            <w:vAlign w:val="center"/>
          </w:tcPr>
          <w:p w14:paraId="386278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96" w:type="dxa"/>
            <w:tcBorders>
              <w:tl2br w:val="nil"/>
              <w:tr2bl w:val="nil"/>
            </w:tcBorders>
            <w:shd w:val="clear" w:color="auto" w:fill="auto"/>
            <w:vAlign w:val="center"/>
          </w:tcPr>
          <w:p w14:paraId="358136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3F6D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1499" w:type="dxa"/>
            <w:gridSpan w:val="2"/>
            <w:vMerge w:val="continue"/>
            <w:tcBorders>
              <w:tl2br w:val="nil"/>
              <w:tr2bl w:val="nil"/>
            </w:tcBorders>
            <w:shd w:val="clear" w:color="auto" w:fill="auto"/>
            <w:vAlign w:val="center"/>
          </w:tcPr>
          <w:p w14:paraId="2C0EFBB1">
            <w:pPr>
              <w:jc w:val="center"/>
              <w:rPr>
                <w:rFonts w:hint="eastAsia" w:ascii="宋体" w:hAnsi="宋体" w:eastAsia="宋体" w:cs="宋体"/>
                <w:i w:val="0"/>
                <w:iCs w:val="0"/>
                <w:color w:val="000000"/>
                <w:sz w:val="20"/>
                <w:szCs w:val="20"/>
                <w:u w:val="none"/>
              </w:rPr>
            </w:pPr>
          </w:p>
        </w:tc>
        <w:tc>
          <w:tcPr>
            <w:tcW w:w="2370" w:type="dxa"/>
            <w:gridSpan w:val="2"/>
            <w:tcBorders>
              <w:tl2br w:val="nil"/>
              <w:tr2bl w:val="nil"/>
            </w:tcBorders>
            <w:shd w:val="clear" w:color="auto" w:fill="auto"/>
            <w:vAlign w:val="center"/>
          </w:tcPr>
          <w:p w14:paraId="74DD70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58" w:type="dxa"/>
            <w:tcBorders>
              <w:tl2br w:val="nil"/>
              <w:tr2bl w:val="nil"/>
            </w:tcBorders>
            <w:shd w:val="clear" w:color="auto" w:fill="auto"/>
            <w:vAlign w:val="center"/>
          </w:tcPr>
          <w:p w14:paraId="208503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8.77 </w:t>
            </w:r>
          </w:p>
        </w:tc>
        <w:tc>
          <w:tcPr>
            <w:tcW w:w="1794" w:type="dxa"/>
            <w:gridSpan w:val="2"/>
            <w:tcBorders>
              <w:tl2br w:val="nil"/>
              <w:tr2bl w:val="nil"/>
            </w:tcBorders>
            <w:shd w:val="clear" w:color="auto" w:fill="auto"/>
            <w:vAlign w:val="center"/>
          </w:tcPr>
          <w:p w14:paraId="626D37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8.77 </w:t>
            </w:r>
          </w:p>
        </w:tc>
        <w:tc>
          <w:tcPr>
            <w:tcW w:w="2141" w:type="dxa"/>
            <w:gridSpan w:val="2"/>
            <w:tcBorders>
              <w:tl2br w:val="nil"/>
              <w:tr2bl w:val="nil"/>
            </w:tcBorders>
            <w:shd w:val="clear" w:color="auto" w:fill="auto"/>
            <w:vAlign w:val="center"/>
          </w:tcPr>
          <w:p w14:paraId="210161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8.77 </w:t>
            </w:r>
          </w:p>
        </w:tc>
        <w:tc>
          <w:tcPr>
            <w:tcW w:w="2078" w:type="dxa"/>
            <w:gridSpan w:val="2"/>
            <w:tcBorders>
              <w:tl2br w:val="nil"/>
              <w:tr2bl w:val="nil"/>
            </w:tcBorders>
            <w:shd w:val="clear" w:color="auto" w:fill="auto"/>
            <w:vAlign w:val="center"/>
          </w:tcPr>
          <w:p w14:paraId="5AE7CF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38" w:type="dxa"/>
            <w:gridSpan w:val="2"/>
            <w:tcBorders>
              <w:tl2br w:val="nil"/>
              <w:tr2bl w:val="nil"/>
            </w:tcBorders>
            <w:shd w:val="clear" w:color="auto" w:fill="auto"/>
            <w:vAlign w:val="center"/>
          </w:tcPr>
          <w:p w14:paraId="281A2F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096" w:type="dxa"/>
            <w:tcBorders>
              <w:tl2br w:val="nil"/>
              <w:tr2bl w:val="nil"/>
            </w:tcBorders>
            <w:shd w:val="clear" w:color="auto" w:fill="auto"/>
            <w:vAlign w:val="center"/>
          </w:tcPr>
          <w:p w14:paraId="7BC449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161C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1499" w:type="dxa"/>
            <w:gridSpan w:val="2"/>
            <w:vMerge w:val="continue"/>
            <w:tcBorders>
              <w:tl2br w:val="nil"/>
              <w:tr2bl w:val="nil"/>
            </w:tcBorders>
            <w:shd w:val="clear" w:color="auto" w:fill="auto"/>
            <w:vAlign w:val="center"/>
          </w:tcPr>
          <w:p w14:paraId="3706B074">
            <w:pPr>
              <w:jc w:val="center"/>
              <w:rPr>
                <w:rFonts w:hint="eastAsia" w:ascii="宋体" w:hAnsi="宋体" w:eastAsia="宋体" w:cs="宋体"/>
                <w:i w:val="0"/>
                <w:iCs w:val="0"/>
                <w:color w:val="000000"/>
                <w:sz w:val="20"/>
                <w:szCs w:val="20"/>
                <w:u w:val="none"/>
              </w:rPr>
            </w:pPr>
          </w:p>
        </w:tc>
        <w:tc>
          <w:tcPr>
            <w:tcW w:w="2370" w:type="dxa"/>
            <w:gridSpan w:val="2"/>
            <w:tcBorders>
              <w:tl2br w:val="nil"/>
              <w:tr2bl w:val="nil"/>
            </w:tcBorders>
            <w:shd w:val="clear" w:color="auto" w:fill="auto"/>
            <w:vAlign w:val="center"/>
          </w:tcPr>
          <w:p w14:paraId="5143C7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58" w:type="dxa"/>
            <w:tcBorders>
              <w:tl2br w:val="nil"/>
              <w:tr2bl w:val="nil"/>
            </w:tcBorders>
            <w:shd w:val="clear" w:color="auto" w:fill="auto"/>
            <w:vAlign w:val="center"/>
          </w:tcPr>
          <w:p w14:paraId="5364D7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8.77 </w:t>
            </w:r>
          </w:p>
        </w:tc>
        <w:tc>
          <w:tcPr>
            <w:tcW w:w="1794" w:type="dxa"/>
            <w:gridSpan w:val="2"/>
            <w:tcBorders>
              <w:tl2br w:val="nil"/>
              <w:tr2bl w:val="nil"/>
            </w:tcBorders>
            <w:shd w:val="clear" w:color="auto" w:fill="auto"/>
            <w:vAlign w:val="center"/>
          </w:tcPr>
          <w:p w14:paraId="580DFF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8.77 </w:t>
            </w:r>
          </w:p>
        </w:tc>
        <w:tc>
          <w:tcPr>
            <w:tcW w:w="2141" w:type="dxa"/>
            <w:gridSpan w:val="2"/>
            <w:tcBorders>
              <w:tl2br w:val="nil"/>
              <w:tr2bl w:val="nil"/>
            </w:tcBorders>
            <w:shd w:val="clear" w:color="auto" w:fill="auto"/>
            <w:vAlign w:val="center"/>
          </w:tcPr>
          <w:p w14:paraId="4AB287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8.77 </w:t>
            </w:r>
          </w:p>
        </w:tc>
        <w:tc>
          <w:tcPr>
            <w:tcW w:w="2078" w:type="dxa"/>
            <w:gridSpan w:val="2"/>
            <w:tcBorders>
              <w:tl2br w:val="nil"/>
              <w:tr2bl w:val="nil"/>
            </w:tcBorders>
            <w:shd w:val="clear" w:color="auto" w:fill="auto"/>
            <w:vAlign w:val="center"/>
          </w:tcPr>
          <w:p w14:paraId="3D5F40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38" w:type="dxa"/>
            <w:gridSpan w:val="2"/>
            <w:tcBorders>
              <w:tl2br w:val="nil"/>
              <w:tr2bl w:val="nil"/>
            </w:tcBorders>
            <w:shd w:val="clear" w:color="auto" w:fill="auto"/>
            <w:vAlign w:val="center"/>
          </w:tcPr>
          <w:p w14:paraId="66C177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4F99C6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E6489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1499" w:type="dxa"/>
            <w:gridSpan w:val="2"/>
            <w:vMerge w:val="continue"/>
            <w:tcBorders>
              <w:tl2br w:val="nil"/>
              <w:tr2bl w:val="nil"/>
            </w:tcBorders>
            <w:shd w:val="clear" w:color="auto" w:fill="auto"/>
            <w:vAlign w:val="center"/>
          </w:tcPr>
          <w:p w14:paraId="30E8F05B">
            <w:pPr>
              <w:jc w:val="center"/>
              <w:rPr>
                <w:rFonts w:hint="eastAsia" w:ascii="宋体" w:hAnsi="宋体" w:eastAsia="宋体" w:cs="宋体"/>
                <w:i w:val="0"/>
                <w:iCs w:val="0"/>
                <w:color w:val="000000"/>
                <w:sz w:val="20"/>
                <w:szCs w:val="20"/>
                <w:u w:val="none"/>
              </w:rPr>
            </w:pPr>
          </w:p>
        </w:tc>
        <w:tc>
          <w:tcPr>
            <w:tcW w:w="2370" w:type="dxa"/>
            <w:gridSpan w:val="2"/>
            <w:tcBorders>
              <w:tl2br w:val="nil"/>
              <w:tr2bl w:val="nil"/>
            </w:tcBorders>
            <w:shd w:val="clear" w:color="auto" w:fill="auto"/>
            <w:vAlign w:val="center"/>
          </w:tcPr>
          <w:p w14:paraId="5FB425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58" w:type="dxa"/>
            <w:tcBorders>
              <w:tl2br w:val="nil"/>
              <w:tr2bl w:val="nil"/>
            </w:tcBorders>
            <w:shd w:val="clear" w:color="auto" w:fill="auto"/>
            <w:vAlign w:val="center"/>
          </w:tcPr>
          <w:p w14:paraId="3408F0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94" w:type="dxa"/>
            <w:gridSpan w:val="2"/>
            <w:tcBorders>
              <w:tl2br w:val="nil"/>
              <w:tr2bl w:val="nil"/>
            </w:tcBorders>
            <w:shd w:val="clear" w:color="auto" w:fill="auto"/>
            <w:vAlign w:val="center"/>
          </w:tcPr>
          <w:p w14:paraId="566840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41" w:type="dxa"/>
            <w:gridSpan w:val="2"/>
            <w:tcBorders>
              <w:tl2br w:val="nil"/>
              <w:tr2bl w:val="nil"/>
            </w:tcBorders>
            <w:shd w:val="clear" w:color="auto" w:fill="auto"/>
            <w:vAlign w:val="center"/>
          </w:tcPr>
          <w:p w14:paraId="63D62E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78" w:type="dxa"/>
            <w:gridSpan w:val="2"/>
            <w:tcBorders>
              <w:tl2br w:val="nil"/>
              <w:tr2bl w:val="nil"/>
            </w:tcBorders>
            <w:shd w:val="clear" w:color="auto" w:fill="auto"/>
            <w:vAlign w:val="center"/>
          </w:tcPr>
          <w:p w14:paraId="3722D4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38" w:type="dxa"/>
            <w:gridSpan w:val="2"/>
            <w:tcBorders>
              <w:tl2br w:val="nil"/>
              <w:tr2bl w:val="nil"/>
            </w:tcBorders>
            <w:shd w:val="clear" w:color="auto" w:fill="auto"/>
            <w:vAlign w:val="center"/>
          </w:tcPr>
          <w:p w14:paraId="76DF2B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6D55E4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7B06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749" w:type="dxa"/>
            <w:vMerge w:val="restart"/>
            <w:tcBorders>
              <w:tl2br w:val="nil"/>
              <w:tr2bl w:val="nil"/>
            </w:tcBorders>
            <w:shd w:val="clear" w:color="auto" w:fill="auto"/>
            <w:vAlign w:val="center"/>
          </w:tcPr>
          <w:p w14:paraId="6A08AA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313" w:type="dxa"/>
            <w:gridSpan w:val="8"/>
            <w:tcBorders>
              <w:tl2br w:val="nil"/>
              <w:tr2bl w:val="nil"/>
            </w:tcBorders>
            <w:shd w:val="clear" w:color="auto" w:fill="auto"/>
            <w:vAlign w:val="center"/>
          </w:tcPr>
          <w:p w14:paraId="500730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112" w:type="dxa"/>
            <w:gridSpan w:val="5"/>
            <w:tcBorders>
              <w:tl2br w:val="nil"/>
              <w:tr2bl w:val="nil"/>
            </w:tcBorders>
            <w:shd w:val="clear" w:color="auto" w:fill="auto"/>
            <w:vAlign w:val="center"/>
          </w:tcPr>
          <w:p w14:paraId="367384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502B0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20" w:hRule="atLeast"/>
        </w:trPr>
        <w:tc>
          <w:tcPr>
            <w:tcW w:w="749" w:type="dxa"/>
            <w:vMerge w:val="continue"/>
            <w:tcBorders>
              <w:tl2br w:val="nil"/>
              <w:tr2bl w:val="nil"/>
            </w:tcBorders>
            <w:shd w:val="clear" w:color="auto" w:fill="auto"/>
            <w:vAlign w:val="center"/>
          </w:tcPr>
          <w:p w14:paraId="27E4A89E">
            <w:pPr>
              <w:jc w:val="center"/>
              <w:rPr>
                <w:rFonts w:hint="eastAsia" w:ascii="宋体" w:hAnsi="宋体" w:eastAsia="宋体" w:cs="宋体"/>
                <w:i w:val="0"/>
                <w:iCs w:val="0"/>
                <w:color w:val="000000"/>
                <w:sz w:val="20"/>
                <w:szCs w:val="20"/>
                <w:u w:val="none"/>
              </w:rPr>
            </w:pPr>
          </w:p>
        </w:tc>
        <w:tc>
          <w:tcPr>
            <w:tcW w:w="8313" w:type="dxa"/>
            <w:gridSpan w:val="8"/>
            <w:tcBorders>
              <w:tl2br w:val="nil"/>
              <w:tr2bl w:val="nil"/>
            </w:tcBorders>
            <w:shd w:val="clear" w:color="auto" w:fill="auto"/>
            <w:vAlign w:val="center"/>
          </w:tcPr>
          <w:p w14:paraId="4A744F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负责食品生产、流通、餐饮服务的安全监督管理、负责食品安全综合协调，推生产、流通、使用环节的监督管理和质量管理规范的监督实施、负责保健食品、经营的监督管理、负责产品质量安全监督管理、市场经营秩序的规范管理和监督；负责质量管理工作、负责标准化管理工作、负责监督管理计量工作、负责认证认可工作。2022年工作计划 1、新安装企业8家，安装设备14台；2、完成阜康市阳光食品视频云调试上线,上线率达到100%；3、完成阳光食品项目软硬件设备的日常维护工作。达到业务保障能力提升,市场持续监管服务能力提升的效益，群众满意度提高。</w:t>
            </w:r>
          </w:p>
        </w:tc>
        <w:tc>
          <w:tcPr>
            <w:tcW w:w="5112" w:type="dxa"/>
            <w:gridSpan w:val="5"/>
            <w:tcBorders>
              <w:tl2br w:val="nil"/>
              <w:tr2bl w:val="nil"/>
            </w:tcBorders>
            <w:shd w:val="clear" w:color="auto" w:fill="auto"/>
            <w:vAlign w:val="center"/>
          </w:tcPr>
          <w:p w14:paraId="536B0D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完成阳光食品项目软硬件设备的日常维护工作新安装企业8家，安装设备14台,视频云调试上线合格率达到100%,设备维护率98%,项目按时完成,达到业务保障能力提升,市场持续监管服务能力提升的效益。</w:t>
            </w:r>
          </w:p>
        </w:tc>
      </w:tr>
      <w:tr w14:paraId="4235E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49" w:type="dxa"/>
            <w:tcBorders>
              <w:tl2br w:val="nil"/>
              <w:tr2bl w:val="nil"/>
            </w:tcBorders>
            <w:shd w:val="clear" w:color="auto" w:fill="auto"/>
            <w:vAlign w:val="center"/>
          </w:tcPr>
          <w:p w14:paraId="2A9C2136">
            <w:pPr>
              <w:jc w:val="center"/>
              <w:rPr>
                <w:rFonts w:hint="eastAsia" w:ascii="宋体" w:hAnsi="宋体" w:eastAsia="宋体" w:cs="宋体"/>
                <w:i w:val="0"/>
                <w:iCs w:val="0"/>
                <w:color w:val="000000"/>
                <w:sz w:val="20"/>
                <w:szCs w:val="20"/>
                <w:u w:val="none"/>
              </w:rPr>
            </w:pPr>
          </w:p>
        </w:tc>
        <w:tc>
          <w:tcPr>
            <w:tcW w:w="750" w:type="dxa"/>
            <w:tcBorders>
              <w:tl2br w:val="nil"/>
              <w:tr2bl w:val="nil"/>
            </w:tcBorders>
            <w:shd w:val="clear" w:color="auto" w:fill="auto"/>
            <w:vAlign w:val="center"/>
          </w:tcPr>
          <w:p w14:paraId="52D52A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75" w:type="dxa"/>
            <w:tcBorders>
              <w:tl2br w:val="nil"/>
              <w:tr2bl w:val="nil"/>
            </w:tcBorders>
            <w:shd w:val="clear" w:color="auto" w:fill="auto"/>
            <w:vAlign w:val="center"/>
          </w:tcPr>
          <w:p w14:paraId="5DF838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95" w:type="dxa"/>
            <w:tcBorders>
              <w:tl2br w:val="nil"/>
              <w:tr2bl w:val="nil"/>
            </w:tcBorders>
            <w:shd w:val="clear" w:color="auto" w:fill="auto"/>
            <w:vAlign w:val="center"/>
          </w:tcPr>
          <w:p w14:paraId="1F9933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58" w:type="dxa"/>
            <w:tcBorders>
              <w:tl2br w:val="nil"/>
              <w:tr2bl w:val="nil"/>
            </w:tcBorders>
            <w:shd w:val="clear" w:color="auto" w:fill="auto"/>
            <w:vAlign w:val="center"/>
          </w:tcPr>
          <w:p w14:paraId="593E93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85" w:type="dxa"/>
            <w:tcBorders>
              <w:tl2br w:val="nil"/>
              <w:tr2bl w:val="nil"/>
            </w:tcBorders>
            <w:shd w:val="clear" w:color="auto" w:fill="auto"/>
            <w:vAlign w:val="center"/>
          </w:tcPr>
          <w:p w14:paraId="5141FE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09" w:type="dxa"/>
            <w:tcBorders>
              <w:tl2br w:val="nil"/>
              <w:tr2bl w:val="nil"/>
            </w:tcBorders>
            <w:shd w:val="clear" w:color="auto" w:fill="auto"/>
            <w:vAlign w:val="center"/>
          </w:tcPr>
          <w:p w14:paraId="6A6C66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70" w:type="dxa"/>
            <w:tcBorders>
              <w:tl2br w:val="nil"/>
              <w:tr2bl w:val="nil"/>
            </w:tcBorders>
            <w:shd w:val="clear" w:color="auto" w:fill="auto"/>
            <w:vAlign w:val="center"/>
          </w:tcPr>
          <w:p w14:paraId="6A58BA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71" w:type="dxa"/>
            <w:tcBorders>
              <w:tl2br w:val="nil"/>
              <w:tr2bl w:val="nil"/>
            </w:tcBorders>
            <w:shd w:val="clear" w:color="auto" w:fill="auto"/>
            <w:vAlign w:val="center"/>
          </w:tcPr>
          <w:p w14:paraId="34E2B7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57" w:type="dxa"/>
            <w:tcBorders>
              <w:tl2br w:val="nil"/>
              <w:tr2bl w:val="nil"/>
            </w:tcBorders>
            <w:shd w:val="clear" w:color="auto" w:fill="auto"/>
            <w:vAlign w:val="center"/>
          </w:tcPr>
          <w:p w14:paraId="0C5FB3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21" w:type="dxa"/>
            <w:tcBorders>
              <w:tl2br w:val="nil"/>
              <w:tr2bl w:val="nil"/>
            </w:tcBorders>
            <w:shd w:val="clear" w:color="auto" w:fill="auto"/>
            <w:vAlign w:val="center"/>
          </w:tcPr>
          <w:p w14:paraId="18941B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28" w:type="dxa"/>
            <w:tcBorders>
              <w:tl2br w:val="nil"/>
              <w:tr2bl w:val="nil"/>
            </w:tcBorders>
            <w:shd w:val="clear" w:color="auto" w:fill="auto"/>
            <w:vAlign w:val="center"/>
          </w:tcPr>
          <w:p w14:paraId="10E479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10" w:type="dxa"/>
            <w:tcBorders>
              <w:tl2br w:val="nil"/>
              <w:tr2bl w:val="nil"/>
            </w:tcBorders>
            <w:shd w:val="clear" w:color="auto" w:fill="auto"/>
            <w:vAlign w:val="center"/>
          </w:tcPr>
          <w:p w14:paraId="120C45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096" w:type="dxa"/>
            <w:tcBorders>
              <w:tl2br w:val="nil"/>
              <w:tr2bl w:val="nil"/>
            </w:tcBorders>
            <w:shd w:val="clear" w:color="auto" w:fill="auto"/>
            <w:vAlign w:val="center"/>
          </w:tcPr>
          <w:p w14:paraId="5F049042">
            <w:pPr>
              <w:jc w:val="center"/>
              <w:rPr>
                <w:rFonts w:hint="eastAsia" w:ascii="宋体" w:hAnsi="宋体" w:eastAsia="宋体" w:cs="宋体"/>
                <w:i w:val="0"/>
                <w:iCs w:val="0"/>
                <w:color w:val="000000"/>
                <w:sz w:val="20"/>
                <w:szCs w:val="20"/>
                <w:u w:val="none"/>
              </w:rPr>
            </w:pPr>
          </w:p>
        </w:tc>
      </w:tr>
      <w:tr w14:paraId="23B9D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49" w:type="dxa"/>
            <w:vMerge w:val="restart"/>
            <w:tcBorders>
              <w:tl2br w:val="nil"/>
              <w:tr2bl w:val="nil"/>
            </w:tcBorders>
            <w:shd w:val="clear" w:color="auto" w:fill="auto"/>
            <w:vAlign w:val="center"/>
          </w:tcPr>
          <w:p w14:paraId="77F962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50" w:type="dxa"/>
            <w:vMerge w:val="restart"/>
            <w:tcBorders>
              <w:tl2br w:val="nil"/>
              <w:tr2bl w:val="nil"/>
            </w:tcBorders>
            <w:shd w:val="clear" w:color="auto" w:fill="auto"/>
            <w:vAlign w:val="center"/>
          </w:tcPr>
          <w:p w14:paraId="22BC22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75" w:type="dxa"/>
            <w:vMerge w:val="restart"/>
            <w:tcBorders>
              <w:tl2br w:val="nil"/>
              <w:tr2bl w:val="nil"/>
            </w:tcBorders>
            <w:shd w:val="clear" w:color="auto" w:fill="auto"/>
            <w:vAlign w:val="center"/>
          </w:tcPr>
          <w:p w14:paraId="13128B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95" w:type="dxa"/>
            <w:tcBorders>
              <w:tl2br w:val="nil"/>
              <w:tr2bl w:val="nil"/>
            </w:tcBorders>
            <w:shd w:val="clear" w:color="auto" w:fill="auto"/>
            <w:vAlign w:val="center"/>
          </w:tcPr>
          <w:p w14:paraId="6A38AB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新安装企业数量(个)</w:t>
            </w:r>
          </w:p>
        </w:tc>
        <w:tc>
          <w:tcPr>
            <w:tcW w:w="1258" w:type="dxa"/>
            <w:tcBorders>
              <w:tl2br w:val="nil"/>
              <w:tr2bl w:val="nil"/>
            </w:tcBorders>
            <w:shd w:val="clear" w:color="auto" w:fill="auto"/>
            <w:vAlign w:val="center"/>
          </w:tcPr>
          <w:p w14:paraId="271E9C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≥8个</w:t>
            </w:r>
          </w:p>
        </w:tc>
        <w:tc>
          <w:tcPr>
            <w:tcW w:w="985" w:type="dxa"/>
            <w:tcBorders>
              <w:tl2br w:val="nil"/>
              <w:tr2bl w:val="nil"/>
            </w:tcBorders>
            <w:shd w:val="clear" w:color="auto" w:fill="auto"/>
            <w:vAlign w:val="center"/>
          </w:tcPr>
          <w:p w14:paraId="56522F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l2br w:val="nil"/>
              <w:tr2bl w:val="nil"/>
            </w:tcBorders>
            <w:shd w:val="clear" w:color="auto" w:fill="auto"/>
            <w:vAlign w:val="center"/>
          </w:tcPr>
          <w:p w14:paraId="56AC23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5822A5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71" w:type="dxa"/>
            <w:tcBorders>
              <w:tl2br w:val="nil"/>
              <w:tr2bl w:val="nil"/>
            </w:tcBorders>
            <w:shd w:val="clear" w:color="auto" w:fill="auto"/>
            <w:vAlign w:val="center"/>
          </w:tcPr>
          <w:p w14:paraId="7C9BE1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7" w:type="dxa"/>
            <w:tcBorders>
              <w:tl2br w:val="nil"/>
              <w:tr2bl w:val="nil"/>
            </w:tcBorders>
            <w:shd w:val="clear" w:color="auto" w:fill="auto"/>
            <w:vAlign w:val="center"/>
          </w:tcPr>
          <w:p w14:paraId="40F9B1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1" w:type="dxa"/>
            <w:tcBorders>
              <w:tl2br w:val="nil"/>
              <w:tr2bl w:val="nil"/>
            </w:tcBorders>
            <w:shd w:val="clear" w:color="auto" w:fill="auto"/>
            <w:vAlign w:val="center"/>
          </w:tcPr>
          <w:p w14:paraId="26BC3B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8个</w:t>
            </w:r>
          </w:p>
        </w:tc>
        <w:tc>
          <w:tcPr>
            <w:tcW w:w="928" w:type="dxa"/>
            <w:tcBorders>
              <w:tl2br w:val="nil"/>
              <w:tr2bl w:val="nil"/>
            </w:tcBorders>
            <w:shd w:val="clear" w:color="auto" w:fill="auto"/>
            <w:vAlign w:val="center"/>
          </w:tcPr>
          <w:p w14:paraId="11FF32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l2br w:val="nil"/>
              <w:tr2bl w:val="nil"/>
            </w:tcBorders>
            <w:shd w:val="clear" w:color="auto" w:fill="auto"/>
            <w:vAlign w:val="center"/>
          </w:tcPr>
          <w:p w14:paraId="4F67D1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6" w:type="dxa"/>
            <w:tcBorders>
              <w:tl2br w:val="nil"/>
              <w:tr2bl w:val="nil"/>
            </w:tcBorders>
            <w:shd w:val="clear" w:color="auto" w:fill="auto"/>
            <w:vAlign w:val="center"/>
          </w:tcPr>
          <w:p w14:paraId="0D625F4D">
            <w:pPr>
              <w:jc w:val="center"/>
              <w:rPr>
                <w:rFonts w:hint="eastAsia" w:ascii="宋体" w:hAnsi="宋体" w:eastAsia="宋体" w:cs="宋体"/>
                <w:i w:val="0"/>
                <w:iCs w:val="0"/>
                <w:color w:val="000000"/>
                <w:sz w:val="20"/>
                <w:szCs w:val="20"/>
                <w:u w:val="none"/>
              </w:rPr>
            </w:pPr>
          </w:p>
        </w:tc>
      </w:tr>
      <w:tr w14:paraId="572EC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749" w:type="dxa"/>
            <w:vMerge w:val="continue"/>
            <w:tcBorders>
              <w:tl2br w:val="nil"/>
              <w:tr2bl w:val="nil"/>
            </w:tcBorders>
            <w:shd w:val="clear" w:color="auto" w:fill="auto"/>
            <w:vAlign w:val="center"/>
          </w:tcPr>
          <w:p w14:paraId="65A4FF39">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211AB35F">
            <w:pPr>
              <w:jc w:val="center"/>
              <w:rPr>
                <w:rFonts w:hint="eastAsia" w:ascii="宋体" w:hAnsi="宋体" w:eastAsia="宋体" w:cs="宋体"/>
                <w:i w:val="0"/>
                <w:iCs w:val="0"/>
                <w:color w:val="000000"/>
                <w:sz w:val="20"/>
                <w:szCs w:val="20"/>
                <w:u w:val="none"/>
              </w:rPr>
            </w:pPr>
          </w:p>
        </w:tc>
        <w:tc>
          <w:tcPr>
            <w:tcW w:w="975" w:type="dxa"/>
            <w:vMerge w:val="continue"/>
            <w:tcBorders>
              <w:tl2br w:val="nil"/>
              <w:tr2bl w:val="nil"/>
            </w:tcBorders>
            <w:shd w:val="clear" w:color="auto" w:fill="auto"/>
            <w:vAlign w:val="center"/>
          </w:tcPr>
          <w:p w14:paraId="020D6C87">
            <w:pPr>
              <w:jc w:val="center"/>
              <w:rPr>
                <w:rFonts w:hint="eastAsia" w:ascii="宋体" w:hAnsi="宋体" w:eastAsia="宋体" w:cs="宋体"/>
                <w:i w:val="0"/>
                <w:iCs w:val="0"/>
                <w:color w:val="000000"/>
                <w:sz w:val="20"/>
                <w:szCs w:val="20"/>
                <w:u w:val="none"/>
              </w:rPr>
            </w:pPr>
          </w:p>
        </w:tc>
        <w:tc>
          <w:tcPr>
            <w:tcW w:w="1395" w:type="dxa"/>
            <w:tcBorders>
              <w:tl2br w:val="nil"/>
              <w:tr2bl w:val="nil"/>
            </w:tcBorders>
            <w:shd w:val="clear" w:color="auto" w:fill="auto"/>
            <w:vAlign w:val="center"/>
          </w:tcPr>
          <w:p w14:paraId="64E37E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新安装企业设备数量(台)</w:t>
            </w:r>
          </w:p>
        </w:tc>
        <w:tc>
          <w:tcPr>
            <w:tcW w:w="1258" w:type="dxa"/>
            <w:tcBorders>
              <w:tl2br w:val="nil"/>
              <w:tr2bl w:val="nil"/>
            </w:tcBorders>
            <w:shd w:val="clear" w:color="auto" w:fill="auto"/>
            <w:vAlign w:val="center"/>
          </w:tcPr>
          <w:p w14:paraId="36218B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≥14台</w:t>
            </w:r>
          </w:p>
        </w:tc>
        <w:tc>
          <w:tcPr>
            <w:tcW w:w="985" w:type="dxa"/>
            <w:tcBorders>
              <w:tl2br w:val="nil"/>
              <w:tr2bl w:val="nil"/>
            </w:tcBorders>
            <w:shd w:val="clear" w:color="auto" w:fill="auto"/>
            <w:vAlign w:val="center"/>
          </w:tcPr>
          <w:p w14:paraId="235E51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l2br w:val="nil"/>
              <w:tr2bl w:val="nil"/>
            </w:tcBorders>
            <w:shd w:val="clear" w:color="auto" w:fill="auto"/>
            <w:vAlign w:val="center"/>
          </w:tcPr>
          <w:p w14:paraId="669E3B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04D4B9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71" w:type="dxa"/>
            <w:tcBorders>
              <w:tl2br w:val="nil"/>
              <w:tr2bl w:val="nil"/>
            </w:tcBorders>
            <w:shd w:val="clear" w:color="auto" w:fill="auto"/>
            <w:vAlign w:val="center"/>
          </w:tcPr>
          <w:p w14:paraId="24844C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7" w:type="dxa"/>
            <w:tcBorders>
              <w:tl2br w:val="nil"/>
              <w:tr2bl w:val="nil"/>
            </w:tcBorders>
            <w:shd w:val="clear" w:color="auto" w:fill="auto"/>
            <w:vAlign w:val="center"/>
          </w:tcPr>
          <w:p w14:paraId="633AF3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1" w:type="dxa"/>
            <w:tcBorders>
              <w:tl2br w:val="nil"/>
              <w:tr2bl w:val="nil"/>
            </w:tcBorders>
            <w:shd w:val="clear" w:color="auto" w:fill="auto"/>
            <w:vAlign w:val="center"/>
          </w:tcPr>
          <w:p w14:paraId="51E16D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14台</w:t>
            </w:r>
          </w:p>
        </w:tc>
        <w:tc>
          <w:tcPr>
            <w:tcW w:w="928" w:type="dxa"/>
            <w:tcBorders>
              <w:tl2br w:val="nil"/>
              <w:tr2bl w:val="nil"/>
            </w:tcBorders>
            <w:shd w:val="clear" w:color="auto" w:fill="auto"/>
            <w:vAlign w:val="center"/>
          </w:tcPr>
          <w:p w14:paraId="71DC20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l2br w:val="nil"/>
              <w:tr2bl w:val="nil"/>
            </w:tcBorders>
            <w:shd w:val="clear" w:color="auto" w:fill="auto"/>
            <w:vAlign w:val="center"/>
          </w:tcPr>
          <w:p w14:paraId="4AFFE7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6" w:type="dxa"/>
            <w:tcBorders>
              <w:tl2br w:val="nil"/>
              <w:tr2bl w:val="nil"/>
            </w:tcBorders>
            <w:shd w:val="clear" w:color="auto" w:fill="auto"/>
            <w:vAlign w:val="center"/>
          </w:tcPr>
          <w:p w14:paraId="07B2520A">
            <w:pPr>
              <w:jc w:val="center"/>
              <w:rPr>
                <w:rFonts w:hint="eastAsia" w:ascii="宋体" w:hAnsi="宋体" w:eastAsia="宋体" w:cs="宋体"/>
                <w:i w:val="0"/>
                <w:iCs w:val="0"/>
                <w:color w:val="000000"/>
                <w:sz w:val="20"/>
                <w:szCs w:val="20"/>
                <w:u w:val="none"/>
              </w:rPr>
            </w:pPr>
          </w:p>
        </w:tc>
      </w:tr>
      <w:tr w14:paraId="6013C6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0" w:hRule="atLeast"/>
        </w:trPr>
        <w:tc>
          <w:tcPr>
            <w:tcW w:w="749" w:type="dxa"/>
            <w:vMerge w:val="continue"/>
            <w:tcBorders>
              <w:tl2br w:val="nil"/>
              <w:tr2bl w:val="nil"/>
            </w:tcBorders>
            <w:shd w:val="clear" w:color="auto" w:fill="auto"/>
            <w:vAlign w:val="center"/>
          </w:tcPr>
          <w:p w14:paraId="2FDD5EF6">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2D0C6DA4">
            <w:pPr>
              <w:jc w:val="center"/>
              <w:rPr>
                <w:rFonts w:hint="eastAsia" w:ascii="宋体" w:hAnsi="宋体" w:eastAsia="宋体" w:cs="宋体"/>
                <w:i w:val="0"/>
                <w:iCs w:val="0"/>
                <w:color w:val="000000"/>
                <w:sz w:val="20"/>
                <w:szCs w:val="20"/>
                <w:u w:val="none"/>
              </w:rPr>
            </w:pPr>
          </w:p>
        </w:tc>
        <w:tc>
          <w:tcPr>
            <w:tcW w:w="975" w:type="dxa"/>
            <w:vMerge w:val="restart"/>
            <w:tcBorders>
              <w:tl2br w:val="nil"/>
              <w:tr2bl w:val="nil"/>
            </w:tcBorders>
            <w:shd w:val="clear" w:color="auto" w:fill="auto"/>
            <w:vAlign w:val="center"/>
          </w:tcPr>
          <w:p w14:paraId="476F62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95" w:type="dxa"/>
            <w:tcBorders>
              <w:tl2br w:val="nil"/>
              <w:tr2bl w:val="nil"/>
            </w:tcBorders>
            <w:shd w:val="clear" w:color="auto" w:fill="auto"/>
            <w:vAlign w:val="center"/>
          </w:tcPr>
          <w:p w14:paraId="21435D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视频云调试上线合格率（%） </w:t>
            </w:r>
          </w:p>
        </w:tc>
        <w:tc>
          <w:tcPr>
            <w:tcW w:w="1258" w:type="dxa"/>
            <w:tcBorders>
              <w:tl2br w:val="nil"/>
              <w:tr2bl w:val="nil"/>
            </w:tcBorders>
            <w:shd w:val="clear" w:color="auto" w:fill="auto"/>
            <w:vAlign w:val="center"/>
          </w:tcPr>
          <w:p w14:paraId="22C71C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5" w:type="dxa"/>
            <w:tcBorders>
              <w:tl2br w:val="nil"/>
              <w:tr2bl w:val="nil"/>
            </w:tcBorders>
            <w:shd w:val="clear" w:color="auto" w:fill="auto"/>
            <w:vAlign w:val="center"/>
          </w:tcPr>
          <w:p w14:paraId="33CCF1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l2br w:val="nil"/>
              <w:tr2bl w:val="nil"/>
            </w:tcBorders>
            <w:shd w:val="clear" w:color="auto" w:fill="auto"/>
            <w:vAlign w:val="center"/>
          </w:tcPr>
          <w:p w14:paraId="688F02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15E326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71" w:type="dxa"/>
            <w:tcBorders>
              <w:tl2br w:val="nil"/>
              <w:tr2bl w:val="nil"/>
            </w:tcBorders>
            <w:shd w:val="clear" w:color="auto" w:fill="auto"/>
            <w:vAlign w:val="center"/>
          </w:tcPr>
          <w:p w14:paraId="0CC509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7" w:type="dxa"/>
            <w:tcBorders>
              <w:tl2br w:val="nil"/>
              <w:tr2bl w:val="nil"/>
            </w:tcBorders>
            <w:shd w:val="clear" w:color="auto" w:fill="auto"/>
            <w:vAlign w:val="center"/>
          </w:tcPr>
          <w:p w14:paraId="09B812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1" w:type="dxa"/>
            <w:tcBorders>
              <w:tl2br w:val="nil"/>
              <w:tr2bl w:val="nil"/>
            </w:tcBorders>
            <w:shd w:val="clear" w:color="auto" w:fill="auto"/>
            <w:vAlign w:val="center"/>
          </w:tcPr>
          <w:p w14:paraId="2D9586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8" w:type="dxa"/>
            <w:tcBorders>
              <w:tl2br w:val="nil"/>
              <w:tr2bl w:val="nil"/>
            </w:tcBorders>
            <w:shd w:val="clear" w:color="auto" w:fill="auto"/>
            <w:vAlign w:val="center"/>
          </w:tcPr>
          <w:p w14:paraId="6AA3B1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l2br w:val="nil"/>
              <w:tr2bl w:val="nil"/>
            </w:tcBorders>
            <w:shd w:val="clear" w:color="auto" w:fill="auto"/>
            <w:vAlign w:val="center"/>
          </w:tcPr>
          <w:p w14:paraId="230080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96" w:type="dxa"/>
            <w:tcBorders>
              <w:tl2br w:val="nil"/>
              <w:tr2bl w:val="nil"/>
            </w:tcBorders>
            <w:shd w:val="clear" w:color="auto" w:fill="auto"/>
            <w:vAlign w:val="center"/>
          </w:tcPr>
          <w:p w14:paraId="65A11248">
            <w:pPr>
              <w:jc w:val="center"/>
              <w:rPr>
                <w:rFonts w:hint="eastAsia" w:ascii="宋体" w:hAnsi="宋体" w:eastAsia="宋体" w:cs="宋体"/>
                <w:i w:val="0"/>
                <w:iCs w:val="0"/>
                <w:color w:val="000000"/>
                <w:sz w:val="20"/>
                <w:szCs w:val="20"/>
                <w:u w:val="none"/>
              </w:rPr>
            </w:pPr>
          </w:p>
        </w:tc>
      </w:tr>
      <w:tr w14:paraId="40310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749" w:type="dxa"/>
            <w:vMerge w:val="continue"/>
            <w:tcBorders>
              <w:tl2br w:val="nil"/>
              <w:tr2bl w:val="nil"/>
            </w:tcBorders>
            <w:shd w:val="clear" w:color="auto" w:fill="auto"/>
            <w:vAlign w:val="center"/>
          </w:tcPr>
          <w:p w14:paraId="1723247E">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5CA4C89D">
            <w:pPr>
              <w:jc w:val="center"/>
              <w:rPr>
                <w:rFonts w:hint="eastAsia" w:ascii="宋体" w:hAnsi="宋体" w:eastAsia="宋体" w:cs="宋体"/>
                <w:i w:val="0"/>
                <w:iCs w:val="0"/>
                <w:color w:val="000000"/>
                <w:sz w:val="20"/>
                <w:szCs w:val="20"/>
                <w:u w:val="none"/>
              </w:rPr>
            </w:pPr>
          </w:p>
        </w:tc>
        <w:tc>
          <w:tcPr>
            <w:tcW w:w="975" w:type="dxa"/>
            <w:vMerge w:val="continue"/>
            <w:tcBorders>
              <w:tl2br w:val="nil"/>
              <w:tr2bl w:val="nil"/>
            </w:tcBorders>
            <w:shd w:val="clear" w:color="auto" w:fill="auto"/>
            <w:vAlign w:val="center"/>
          </w:tcPr>
          <w:p w14:paraId="6956FBBE">
            <w:pPr>
              <w:jc w:val="center"/>
              <w:rPr>
                <w:rFonts w:hint="eastAsia" w:ascii="宋体" w:hAnsi="宋体" w:eastAsia="宋体" w:cs="宋体"/>
                <w:i w:val="0"/>
                <w:iCs w:val="0"/>
                <w:color w:val="000000"/>
                <w:sz w:val="20"/>
                <w:szCs w:val="20"/>
                <w:u w:val="none"/>
              </w:rPr>
            </w:pPr>
          </w:p>
        </w:tc>
        <w:tc>
          <w:tcPr>
            <w:tcW w:w="1395" w:type="dxa"/>
            <w:tcBorders>
              <w:tl2br w:val="nil"/>
              <w:tr2bl w:val="nil"/>
            </w:tcBorders>
            <w:shd w:val="clear" w:color="auto" w:fill="auto"/>
            <w:vAlign w:val="center"/>
          </w:tcPr>
          <w:p w14:paraId="59F861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设备维护率（%）</w:t>
            </w:r>
          </w:p>
        </w:tc>
        <w:tc>
          <w:tcPr>
            <w:tcW w:w="1258" w:type="dxa"/>
            <w:tcBorders>
              <w:tl2br w:val="nil"/>
              <w:tr2bl w:val="nil"/>
            </w:tcBorders>
            <w:shd w:val="clear" w:color="auto" w:fill="auto"/>
            <w:vAlign w:val="center"/>
          </w:tcPr>
          <w:p w14:paraId="43FDB4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85" w:type="dxa"/>
            <w:tcBorders>
              <w:tl2br w:val="nil"/>
              <w:tr2bl w:val="nil"/>
            </w:tcBorders>
            <w:shd w:val="clear" w:color="auto" w:fill="auto"/>
            <w:vAlign w:val="center"/>
          </w:tcPr>
          <w:p w14:paraId="37ACCD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l2br w:val="nil"/>
              <w:tr2bl w:val="nil"/>
            </w:tcBorders>
            <w:shd w:val="clear" w:color="auto" w:fill="auto"/>
            <w:vAlign w:val="center"/>
          </w:tcPr>
          <w:p w14:paraId="1CE2BA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748935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71" w:type="dxa"/>
            <w:tcBorders>
              <w:tl2br w:val="nil"/>
              <w:tr2bl w:val="nil"/>
            </w:tcBorders>
            <w:shd w:val="clear" w:color="auto" w:fill="auto"/>
            <w:vAlign w:val="center"/>
          </w:tcPr>
          <w:p w14:paraId="785E48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7" w:type="dxa"/>
            <w:tcBorders>
              <w:tl2br w:val="nil"/>
              <w:tr2bl w:val="nil"/>
            </w:tcBorders>
            <w:shd w:val="clear" w:color="auto" w:fill="auto"/>
            <w:vAlign w:val="center"/>
          </w:tcPr>
          <w:p w14:paraId="752187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1" w:type="dxa"/>
            <w:tcBorders>
              <w:tl2br w:val="nil"/>
              <w:tr2bl w:val="nil"/>
            </w:tcBorders>
            <w:shd w:val="clear" w:color="auto" w:fill="auto"/>
            <w:vAlign w:val="center"/>
          </w:tcPr>
          <w:p w14:paraId="6406D7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28" w:type="dxa"/>
            <w:tcBorders>
              <w:tl2br w:val="nil"/>
              <w:tr2bl w:val="nil"/>
            </w:tcBorders>
            <w:shd w:val="clear" w:color="auto" w:fill="auto"/>
            <w:vAlign w:val="center"/>
          </w:tcPr>
          <w:p w14:paraId="15F2FC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l2br w:val="nil"/>
              <w:tr2bl w:val="nil"/>
            </w:tcBorders>
            <w:shd w:val="clear" w:color="auto" w:fill="auto"/>
            <w:vAlign w:val="center"/>
          </w:tcPr>
          <w:p w14:paraId="027A26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96" w:type="dxa"/>
            <w:tcBorders>
              <w:tl2br w:val="nil"/>
              <w:tr2bl w:val="nil"/>
            </w:tcBorders>
            <w:shd w:val="clear" w:color="auto" w:fill="auto"/>
            <w:vAlign w:val="center"/>
          </w:tcPr>
          <w:p w14:paraId="056D0DD2">
            <w:pPr>
              <w:jc w:val="center"/>
              <w:rPr>
                <w:rFonts w:hint="eastAsia" w:ascii="宋体" w:hAnsi="宋体" w:eastAsia="宋体" w:cs="宋体"/>
                <w:i w:val="0"/>
                <w:iCs w:val="0"/>
                <w:color w:val="000000"/>
                <w:sz w:val="20"/>
                <w:szCs w:val="20"/>
                <w:u w:val="none"/>
              </w:rPr>
            </w:pPr>
          </w:p>
        </w:tc>
      </w:tr>
      <w:tr w14:paraId="29D127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749" w:type="dxa"/>
            <w:vMerge w:val="continue"/>
            <w:tcBorders>
              <w:tl2br w:val="nil"/>
              <w:tr2bl w:val="nil"/>
            </w:tcBorders>
            <w:shd w:val="clear" w:color="auto" w:fill="auto"/>
            <w:vAlign w:val="center"/>
          </w:tcPr>
          <w:p w14:paraId="273F4D54">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2C258D24">
            <w:pPr>
              <w:jc w:val="center"/>
              <w:rPr>
                <w:rFonts w:hint="eastAsia" w:ascii="宋体" w:hAnsi="宋体" w:eastAsia="宋体" w:cs="宋体"/>
                <w:i w:val="0"/>
                <w:iCs w:val="0"/>
                <w:color w:val="000000"/>
                <w:sz w:val="20"/>
                <w:szCs w:val="20"/>
                <w:u w:val="none"/>
              </w:rPr>
            </w:pPr>
          </w:p>
        </w:tc>
        <w:tc>
          <w:tcPr>
            <w:tcW w:w="975" w:type="dxa"/>
            <w:tcBorders>
              <w:tl2br w:val="nil"/>
              <w:tr2bl w:val="nil"/>
            </w:tcBorders>
            <w:shd w:val="clear" w:color="auto" w:fill="auto"/>
            <w:vAlign w:val="center"/>
          </w:tcPr>
          <w:p w14:paraId="3C271C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95" w:type="dxa"/>
            <w:tcBorders>
              <w:tl2br w:val="nil"/>
              <w:tr2bl w:val="nil"/>
            </w:tcBorders>
            <w:shd w:val="clear" w:color="auto" w:fill="auto"/>
            <w:vAlign w:val="center"/>
          </w:tcPr>
          <w:p w14:paraId="24E375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项目按时完成率</w:t>
            </w:r>
          </w:p>
        </w:tc>
        <w:tc>
          <w:tcPr>
            <w:tcW w:w="1258" w:type="dxa"/>
            <w:tcBorders>
              <w:tl2br w:val="nil"/>
              <w:tr2bl w:val="nil"/>
            </w:tcBorders>
            <w:shd w:val="clear" w:color="auto" w:fill="auto"/>
            <w:vAlign w:val="center"/>
          </w:tcPr>
          <w:p w14:paraId="36C16C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85" w:type="dxa"/>
            <w:tcBorders>
              <w:tl2br w:val="nil"/>
              <w:tr2bl w:val="nil"/>
            </w:tcBorders>
            <w:shd w:val="clear" w:color="auto" w:fill="auto"/>
            <w:vAlign w:val="center"/>
          </w:tcPr>
          <w:p w14:paraId="10061C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l2br w:val="nil"/>
              <w:tr2bl w:val="nil"/>
            </w:tcBorders>
            <w:shd w:val="clear" w:color="auto" w:fill="auto"/>
            <w:vAlign w:val="center"/>
          </w:tcPr>
          <w:p w14:paraId="6D6946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6F6B98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71" w:type="dxa"/>
            <w:tcBorders>
              <w:tl2br w:val="nil"/>
              <w:tr2bl w:val="nil"/>
            </w:tcBorders>
            <w:shd w:val="clear" w:color="auto" w:fill="auto"/>
            <w:vAlign w:val="center"/>
          </w:tcPr>
          <w:p w14:paraId="3230C7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7" w:type="dxa"/>
            <w:tcBorders>
              <w:tl2br w:val="nil"/>
              <w:tr2bl w:val="nil"/>
            </w:tcBorders>
            <w:shd w:val="clear" w:color="auto" w:fill="auto"/>
            <w:vAlign w:val="center"/>
          </w:tcPr>
          <w:p w14:paraId="030541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21" w:type="dxa"/>
            <w:tcBorders>
              <w:tl2br w:val="nil"/>
              <w:tr2bl w:val="nil"/>
            </w:tcBorders>
            <w:shd w:val="clear" w:color="auto" w:fill="auto"/>
            <w:vAlign w:val="center"/>
          </w:tcPr>
          <w:p w14:paraId="22C08F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8" w:type="dxa"/>
            <w:tcBorders>
              <w:tl2br w:val="nil"/>
              <w:tr2bl w:val="nil"/>
            </w:tcBorders>
            <w:shd w:val="clear" w:color="auto" w:fill="auto"/>
            <w:vAlign w:val="center"/>
          </w:tcPr>
          <w:p w14:paraId="2B77BD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l2br w:val="nil"/>
              <w:tr2bl w:val="nil"/>
            </w:tcBorders>
            <w:shd w:val="clear" w:color="auto" w:fill="auto"/>
            <w:vAlign w:val="center"/>
          </w:tcPr>
          <w:p w14:paraId="3B186A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6" w:type="dxa"/>
            <w:tcBorders>
              <w:tl2br w:val="nil"/>
              <w:tr2bl w:val="nil"/>
            </w:tcBorders>
            <w:shd w:val="clear" w:color="auto" w:fill="auto"/>
            <w:vAlign w:val="center"/>
          </w:tcPr>
          <w:p w14:paraId="2C3F3160">
            <w:pPr>
              <w:jc w:val="center"/>
              <w:rPr>
                <w:rFonts w:hint="eastAsia" w:ascii="宋体" w:hAnsi="宋体" w:eastAsia="宋体" w:cs="宋体"/>
                <w:i w:val="0"/>
                <w:iCs w:val="0"/>
                <w:color w:val="000000"/>
                <w:sz w:val="20"/>
                <w:szCs w:val="20"/>
                <w:u w:val="none"/>
              </w:rPr>
            </w:pPr>
          </w:p>
        </w:tc>
      </w:tr>
      <w:tr w14:paraId="07451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749" w:type="dxa"/>
            <w:vMerge w:val="continue"/>
            <w:tcBorders>
              <w:tl2br w:val="nil"/>
              <w:tr2bl w:val="nil"/>
            </w:tcBorders>
            <w:shd w:val="clear" w:color="auto" w:fill="auto"/>
            <w:vAlign w:val="center"/>
          </w:tcPr>
          <w:p w14:paraId="730A0F55">
            <w:pPr>
              <w:jc w:val="center"/>
              <w:rPr>
                <w:rFonts w:hint="eastAsia" w:ascii="宋体" w:hAnsi="宋体" w:eastAsia="宋体" w:cs="宋体"/>
                <w:i w:val="0"/>
                <w:iCs w:val="0"/>
                <w:color w:val="000000"/>
                <w:sz w:val="20"/>
                <w:szCs w:val="20"/>
                <w:u w:val="none"/>
              </w:rPr>
            </w:pPr>
          </w:p>
        </w:tc>
        <w:tc>
          <w:tcPr>
            <w:tcW w:w="750" w:type="dxa"/>
            <w:vMerge w:val="restart"/>
            <w:tcBorders>
              <w:tl2br w:val="nil"/>
              <w:tr2bl w:val="nil"/>
            </w:tcBorders>
            <w:shd w:val="clear" w:color="auto" w:fill="auto"/>
            <w:vAlign w:val="center"/>
          </w:tcPr>
          <w:p w14:paraId="79E8EB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75" w:type="dxa"/>
            <w:vMerge w:val="restart"/>
            <w:tcBorders>
              <w:tl2br w:val="nil"/>
              <w:tr2bl w:val="nil"/>
            </w:tcBorders>
            <w:shd w:val="clear" w:color="auto" w:fill="auto"/>
            <w:vAlign w:val="center"/>
          </w:tcPr>
          <w:p w14:paraId="2BFD48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95" w:type="dxa"/>
            <w:tcBorders>
              <w:tl2br w:val="nil"/>
              <w:tr2bl w:val="nil"/>
            </w:tcBorders>
            <w:shd w:val="clear" w:color="auto" w:fill="auto"/>
            <w:vAlign w:val="center"/>
          </w:tcPr>
          <w:p w14:paraId="05789D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设备安装成本</w:t>
            </w:r>
          </w:p>
        </w:tc>
        <w:tc>
          <w:tcPr>
            <w:tcW w:w="1258" w:type="dxa"/>
            <w:tcBorders>
              <w:tl2br w:val="nil"/>
              <w:tr2bl w:val="nil"/>
            </w:tcBorders>
            <w:shd w:val="clear" w:color="auto" w:fill="auto"/>
            <w:vAlign w:val="center"/>
          </w:tcPr>
          <w:p w14:paraId="19AB47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≤2.28万元</w:t>
            </w:r>
          </w:p>
        </w:tc>
        <w:tc>
          <w:tcPr>
            <w:tcW w:w="985" w:type="dxa"/>
            <w:tcBorders>
              <w:tl2br w:val="nil"/>
              <w:tr2bl w:val="nil"/>
            </w:tcBorders>
            <w:shd w:val="clear" w:color="auto" w:fill="auto"/>
            <w:vAlign w:val="center"/>
          </w:tcPr>
          <w:p w14:paraId="3BFA40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09" w:type="dxa"/>
            <w:tcBorders>
              <w:tl2br w:val="nil"/>
              <w:tr2bl w:val="nil"/>
            </w:tcBorders>
            <w:shd w:val="clear" w:color="auto" w:fill="auto"/>
            <w:vAlign w:val="center"/>
          </w:tcPr>
          <w:p w14:paraId="3D071F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31739D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71" w:type="dxa"/>
            <w:tcBorders>
              <w:tl2br w:val="nil"/>
              <w:tr2bl w:val="nil"/>
            </w:tcBorders>
            <w:shd w:val="clear" w:color="auto" w:fill="auto"/>
            <w:vAlign w:val="center"/>
          </w:tcPr>
          <w:p w14:paraId="1FD2B4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57" w:type="dxa"/>
            <w:tcBorders>
              <w:tl2br w:val="nil"/>
              <w:tr2bl w:val="nil"/>
            </w:tcBorders>
            <w:shd w:val="clear" w:color="auto" w:fill="auto"/>
            <w:vAlign w:val="center"/>
          </w:tcPr>
          <w:p w14:paraId="451155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21" w:type="dxa"/>
            <w:tcBorders>
              <w:tl2br w:val="nil"/>
              <w:tr2bl w:val="nil"/>
            </w:tcBorders>
            <w:shd w:val="clear" w:color="auto" w:fill="auto"/>
            <w:vAlign w:val="center"/>
          </w:tcPr>
          <w:p w14:paraId="3B6688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2.28万元</w:t>
            </w:r>
          </w:p>
        </w:tc>
        <w:tc>
          <w:tcPr>
            <w:tcW w:w="928" w:type="dxa"/>
            <w:tcBorders>
              <w:tl2br w:val="nil"/>
              <w:tr2bl w:val="nil"/>
            </w:tcBorders>
            <w:shd w:val="clear" w:color="auto" w:fill="auto"/>
            <w:vAlign w:val="center"/>
          </w:tcPr>
          <w:p w14:paraId="27E1D1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l2br w:val="nil"/>
              <w:tr2bl w:val="nil"/>
            </w:tcBorders>
            <w:shd w:val="clear" w:color="auto" w:fill="auto"/>
            <w:vAlign w:val="center"/>
          </w:tcPr>
          <w:p w14:paraId="150140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6" w:type="dxa"/>
            <w:tcBorders>
              <w:tl2br w:val="nil"/>
              <w:tr2bl w:val="nil"/>
            </w:tcBorders>
            <w:shd w:val="clear" w:color="auto" w:fill="auto"/>
            <w:vAlign w:val="center"/>
          </w:tcPr>
          <w:p w14:paraId="799850DD">
            <w:pPr>
              <w:jc w:val="center"/>
              <w:rPr>
                <w:rFonts w:hint="eastAsia" w:ascii="宋体" w:hAnsi="宋体" w:eastAsia="宋体" w:cs="宋体"/>
                <w:i w:val="0"/>
                <w:iCs w:val="0"/>
                <w:color w:val="000000"/>
                <w:sz w:val="20"/>
                <w:szCs w:val="20"/>
                <w:u w:val="none"/>
              </w:rPr>
            </w:pPr>
          </w:p>
        </w:tc>
      </w:tr>
      <w:tr w14:paraId="12913C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49" w:type="dxa"/>
            <w:vMerge w:val="continue"/>
            <w:tcBorders>
              <w:tl2br w:val="nil"/>
              <w:tr2bl w:val="nil"/>
            </w:tcBorders>
            <w:shd w:val="clear" w:color="auto" w:fill="auto"/>
            <w:vAlign w:val="center"/>
          </w:tcPr>
          <w:p w14:paraId="1D262FD2">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7F0B5BD8">
            <w:pPr>
              <w:jc w:val="center"/>
              <w:rPr>
                <w:rFonts w:hint="eastAsia" w:ascii="宋体" w:hAnsi="宋体" w:eastAsia="宋体" w:cs="宋体"/>
                <w:i w:val="0"/>
                <w:iCs w:val="0"/>
                <w:color w:val="000000"/>
                <w:sz w:val="20"/>
                <w:szCs w:val="20"/>
                <w:u w:val="none"/>
              </w:rPr>
            </w:pPr>
          </w:p>
        </w:tc>
        <w:tc>
          <w:tcPr>
            <w:tcW w:w="975" w:type="dxa"/>
            <w:vMerge w:val="continue"/>
            <w:tcBorders>
              <w:tl2br w:val="nil"/>
              <w:tr2bl w:val="nil"/>
            </w:tcBorders>
            <w:shd w:val="clear" w:color="auto" w:fill="auto"/>
            <w:vAlign w:val="center"/>
          </w:tcPr>
          <w:p w14:paraId="1D8B1764">
            <w:pPr>
              <w:jc w:val="center"/>
              <w:rPr>
                <w:rFonts w:hint="eastAsia" w:ascii="宋体" w:hAnsi="宋体" w:eastAsia="宋体" w:cs="宋体"/>
                <w:i w:val="0"/>
                <w:iCs w:val="0"/>
                <w:color w:val="000000"/>
                <w:sz w:val="20"/>
                <w:szCs w:val="20"/>
                <w:u w:val="none"/>
              </w:rPr>
            </w:pPr>
          </w:p>
        </w:tc>
        <w:tc>
          <w:tcPr>
            <w:tcW w:w="1395" w:type="dxa"/>
            <w:tcBorders>
              <w:tl2br w:val="nil"/>
              <w:tr2bl w:val="nil"/>
            </w:tcBorders>
            <w:shd w:val="clear" w:color="auto" w:fill="auto"/>
            <w:vAlign w:val="center"/>
          </w:tcPr>
          <w:p w14:paraId="67C0A8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明厨亮灶服务成本</w:t>
            </w:r>
          </w:p>
        </w:tc>
        <w:tc>
          <w:tcPr>
            <w:tcW w:w="1258" w:type="dxa"/>
            <w:tcBorders>
              <w:tl2br w:val="nil"/>
              <w:tr2bl w:val="nil"/>
            </w:tcBorders>
            <w:shd w:val="clear" w:color="auto" w:fill="auto"/>
            <w:vAlign w:val="center"/>
          </w:tcPr>
          <w:p w14:paraId="4047D8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≤6.49万元</w:t>
            </w:r>
          </w:p>
        </w:tc>
        <w:tc>
          <w:tcPr>
            <w:tcW w:w="985" w:type="dxa"/>
            <w:tcBorders>
              <w:tl2br w:val="nil"/>
              <w:tr2bl w:val="nil"/>
            </w:tcBorders>
            <w:shd w:val="clear" w:color="auto" w:fill="auto"/>
            <w:vAlign w:val="center"/>
          </w:tcPr>
          <w:p w14:paraId="66095B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09" w:type="dxa"/>
            <w:tcBorders>
              <w:tl2br w:val="nil"/>
              <w:tr2bl w:val="nil"/>
            </w:tcBorders>
            <w:shd w:val="clear" w:color="auto" w:fill="auto"/>
            <w:vAlign w:val="center"/>
          </w:tcPr>
          <w:p w14:paraId="6BEAD7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1F6422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71" w:type="dxa"/>
            <w:tcBorders>
              <w:tl2br w:val="nil"/>
              <w:tr2bl w:val="nil"/>
            </w:tcBorders>
            <w:shd w:val="clear" w:color="auto" w:fill="auto"/>
            <w:vAlign w:val="center"/>
          </w:tcPr>
          <w:p w14:paraId="204877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057" w:type="dxa"/>
            <w:tcBorders>
              <w:tl2br w:val="nil"/>
              <w:tr2bl w:val="nil"/>
            </w:tcBorders>
            <w:shd w:val="clear" w:color="auto" w:fill="auto"/>
            <w:vAlign w:val="center"/>
          </w:tcPr>
          <w:p w14:paraId="08B0AF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21" w:type="dxa"/>
            <w:tcBorders>
              <w:tl2br w:val="nil"/>
              <w:tr2bl w:val="nil"/>
            </w:tcBorders>
            <w:shd w:val="clear" w:color="auto" w:fill="auto"/>
            <w:vAlign w:val="center"/>
          </w:tcPr>
          <w:p w14:paraId="4D8A52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6.49万元</w:t>
            </w:r>
          </w:p>
        </w:tc>
        <w:tc>
          <w:tcPr>
            <w:tcW w:w="928" w:type="dxa"/>
            <w:tcBorders>
              <w:tl2br w:val="nil"/>
              <w:tr2bl w:val="nil"/>
            </w:tcBorders>
            <w:shd w:val="clear" w:color="auto" w:fill="auto"/>
            <w:vAlign w:val="center"/>
          </w:tcPr>
          <w:p w14:paraId="79B5EA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l2br w:val="nil"/>
              <w:tr2bl w:val="nil"/>
            </w:tcBorders>
            <w:shd w:val="clear" w:color="auto" w:fill="auto"/>
            <w:vAlign w:val="center"/>
          </w:tcPr>
          <w:p w14:paraId="6C573B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96" w:type="dxa"/>
            <w:tcBorders>
              <w:tl2br w:val="nil"/>
              <w:tr2bl w:val="nil"/>
            </w:tcBorders>
            <w:shd w:val="clear" w:color="auto" w:fill="auto"/>
            <w:vAlign w:val="center"/>
          </w:tcPr>
          <w:p w14:paraId="4DFD68E6">
            <w:pPr>
              <w:jc w:val="center"/>
              <w:rPr>
                <w:rFonts w:hint="eastAsia" w:ascii="宋体" w:hAnsi="宋体" w:eastAsia="宋体" w:cs="宋体"/>
                <w:i w:val="0"/>
                <w:iCs w:val="0"/>
                <w:color w:val="000000"/>
                <w:sz w:val="20"/>
                <w:szCs w:val="20"/>
                <w:u w:val="none"/>
              </w:rPr>
            </w:pPr>
          </w:p>
        </w:tc>
      </w:tr>
      <w:tr w14:paraId="7949E8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749" w:type="dxa"/>
            <w:vMerge w:val="continue"/>
            <w:tcBorders>
              <w:tl2br w:val="nil"/>
              <w:tr2bl w:val="nil"/>
            </w:tcBorders>
            <w:shd w:val="clear" w:color="auto" w:fill="auto"/>
            <w:vAlign w:val="center"/>
          </w:tcPr>
          <w:p w14:paraId="5AD55EB2">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2ED27183">
            <w:pPr>
              <w:jc w:val="center"/>
              <w:rPr>
                <w:rFonts w:hint="eastAsia" w:ascii="宋体" w:hAnsi="宋体" w:eastAsia="宋体" w:cs="宋体"/>
                <w:i w:val="0"/>
                <w:iCs w:val="0"/>
                <w:color w:val="000000"/>
                <w:sz w:val="20"/>
                <w:szCs w:val="20"/>
                <w:u w:val="none"/>
              </w:rPr>
            </w:pPr>
          </w:p>
        </w:tc>
        <w:tc>
          <w:tcPr>
            <w:tcW w:w="975" w:type="dxa"/>
            <w:tcBorders>
              <w:tl2br w:val="nil"/>
              <w:tr2bl w:val="nil"/>
            </w:tcBorders>
            <w:shd w:val="clear" w:color="auto" w:fill="auto"/>
            <w:vAlign w:val="center"/>
          </w:tcPr>
          <w:p w14:paraId="1EAF24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395" w:type="dxa"/>
            <w:tcBorders>
              <w:tl2br w:val="nil"/>
              <w:tr2bl w:val="nil"/>
            </w:tcBorders>
            <w:shd w:val="clear" w:color="auto" w:fill="auto"/>
            <w:vAlign w:val="center"/>
          </w:tcPr>
          <w:p w14:paraId="285E89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8" w:type="dxa"/>
            <w:tcBorders>
              <w:tl2br w:val="nil"/>
              <w:tr2bl w:val="nil"/>
            </w:tcBorders>
            <w:shd w:val="clear" w:color="auto" w:fill="auto"/>
            <w:vAlign w:val="center"/>
          </w:tcPr>
          <w:p w14:paraId="233101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5" w:type="dxa"/>
            <w:tcBorders>
              <w:tl2br w:val="nil"/>
              <w:tr2bl w:val="nil"/>
            </w:tcBorders>
            <w:shd w:val="clear" w:color="auto" w:fill="auto"/>
            <w:vAlign w:val="center"/>
          </w:tcPr>
          <w:p w14:paraId="11D498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09" w:type="dxa"/>
            <w:tcBorders>
              <w:tl2br w:val="nil"/>
              <w:tr2bl w:val="nil"/>
            </w:tcBorders>
            <w:shd w:val="clear" w:color="auto" w:fill="auto"/>
            <w:vAlign w:val="center"/>
          </w:tcPr>
          <w:p w14:paraId="4EE359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1C1CBE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1" w:type="dxa"/>
            <w:tcBorders>
              <w:tl2br w:val="nil"/>
              <w:tr2bl w:val="nil"/>
            </w:tcBorders>
            <w:shd w:val="clear" w:color="auto" w:fill="auto"/>
            <w:vAlign w:val="center"/>
          </w:tcPr>
          <w:p w14:paraId="21EC6D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14:paraId="1F695E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tcBorders>
              <w:tl2br w:val="nil"/>
              <w:tr2bl w:val="nil"/>
            </w:tcBorders>
            <w:shd w:val="clear" w:color="auto" w:fill="auto"/>
            <w:vAlign w:val="center"/>
          </w:tcPr>
          <w:p w14:paraId="56BEBC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8" w:type="dxa"/>
            <w:tcBorders>
              <w:tl2br w:val="nil"/>
              <w:tr2bl w:val="nil"/>
            </w:tcBorders>
            <w:shd w:val="clear" w:color="auto" w:fill="auto"/>
            <w:vAlign w:val="center"/>
          </w:tcPr>
          <w:p w14:paraId="2F977E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tcBorders>
              <w:tl2br w:val="nil"/>
              <w:tr2bl w:val="nil"/>
            </w:tcBorders>
            <w:shd w:val="clear" w:color="auto" w:fill="auto"/>
            <w:vAlign w:val="center"/>
          </w:tcPr>
          <w:p w14:paraId="145DD7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01BBFF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2B8A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49" w:type="dxa"/>
            <w:vMerge w:val="continue"/>
            <w:tcBorders>
              <w:tl2br w:val="nil"/>
              <w:tr2bl w:val="nil"/>
            </w:tcBorders>
            <w:shd w:val="clear" w:color="auto" w:fill="auto"/>
            <w:vAlign w:val="center"/>
          </w:tcPr>
          <w:p w14:paraId="0BD1CFF5">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7FF6ECB4">
            <w:pPr>
              <w:jc w:val="center"/>
              <w:rPr>
                <w:rFonts w:hint="eastAsia" w:ascii="宋体" w:hAnsi="宋体" w:eastAsia="宋体" w:cs="宋体"/>
                <w:i w:val="0"/>
                <w:iCs w:val="0"/>
                <w:color w:val="000000"/>
                <w:sz w:val="20"/>
                <w:szCs w:val="20"/>
                <w:u w:val="none"/>
              </w:rPr>
            </w:pPr>
          </w:p>
        </w:tc>
        <w:tc>
          <w:tcPr>
            <w:tcW w:w="975" w:type="dxa"/>
            <w:tcBorders>
              <w:tl2br w:val="nil"/>
              <w:tr2bl w:val="nil"/>
            </w:tcBorders>
            <w:shd w:val="clear" w:color="auto" w:fill="auto"/>
            <w:vAlign w:val="center"/>
          </w:tcPr>
          <w:p w14:paraId="032EF5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395" w:type="dxa"/>
            <w:tcBorders>
              <w:tl2br w:val="nil"/>
              <w:tr2bl w:val="nil"/>
            </w:tcBorders>
            <w:shd w:val="clear" w:color="auto" w:fill="auto"/>
            <w:vAlign w:val="center"/>
          </w:tcPr>
          <w:p w14:paraId="713FFF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8" w:type="dxa"/>
            <w:tcBorders>
              <w:tl2br w:val="nil"/>
              <w:tr2bl w:val="nil"/>
            </w:tcBorders>
            <w:shd w:val="clear" w:color="auto" w:fill="auto"/>
            <w:vAlign w:val="center"/>
          </w:tcPr>
          <w:p w14:paraId="79E1EA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5" w:type="dxa"/>
            <w:tcBorders>
              <w:tl2br w:val="nil"/>
              <w:tr2bl w:val="nil"/>
            </w:tcBorders>
            <w:shd w:val="clear" w:color="auto" w:fill="auto"/>
            <w:vAlign w:val="center"/>
          </w:tcPr>
          <w:p w14:paraId="600AED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09" w:type="dxa"/>
            <w:tcBorders>
              <w:tl2br w:val="nil"/>
              <w:tr2bl w:val="nil"/>
            </w:tcBorders>
            <w:shd w:val="clear" w:color="auto" w:fill="auto"/>
            <w:vAlign w:val="center"/>
          </w:tcPr>
          <w:p w14:paraId="25F496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4C0C2F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1" w:type="dxa"/>
            <w:tcBorders>
              <w:tl2br w:val="nil"/>
              <w:tr2bl w:val="nil"/>
            </w:tcBorders>
            <w:shd w:val="clear" w:color="auto" w:fill="auto"/>
            <w:vAlign w:val="center"/>
          </w:tcPr>
          <w:p w14:paraId="2EA612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14:paraId="092BB1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tcBorders>
              <w:tl2br w:val="nil"/>
              <w:tr2bl w:val="nil"/>
            </w:tcBorders>
            <w:shd w:val="clear" w:color="auto" w:fill="auto"/>
            <w:vAlign w:val="center"/>
          </w:tcPr>
          <w:p w14:paraId="6B874D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8" w:type="dxa"/>
            <w:tcBorders>
              <w:tl2br w:val="nil"/>
              <w:tr2bl w:val="nil"/>
            </w:tcBorders>
            <w:shd w:val="clear" w:color="auto" w:fill="auto"/>
            <w:vAlign w:val="center"/>
          </w:tcPr>
          <w:p w14:paraId="3EA0D7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tcBorders>
              <w:tl2br w:val="nil"/>
              <w:tr2bl w:val="nil"/>
            </w:tcBorders>
            <w:shd w:val="clear" w:color="auto" w:fill="auto"/>
            <w:vAlign w:val="center"/>
          </w:tcPr>
          <w:p w14:paraId="5F49AE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0D0B70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9FC1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4" w:hRule="atLeast"/>
        </w:trPr>
        <w:tc>
          <w:tcPr>
            <w:tcW w:w="749" w:type="dxa"/>
            <w:vMerge w:val="continue"/>
            <w:tcBorders>
              <w:tl2br w:val="nil"/>
              <w:tr2bl w:val="nil"/>
            </w:tcBorders>
            <w:shd w:val="clear" w:color="auto" w:fill="auto"/>
            <w:vAlign w:val="center"/>
          </w:tcPr>
          <w:p w14:paraId="24056780">
            <w:pPr>
              <w:jc w:val="center"/>
              <w:rPr>
                <w:rFonts w:hint="eastAsia" w:ascii="宋体" w:hAnsi="宋体" w:eastAsia="宋体" w:cs="宋体"/>
                <w:i w:val="0"/>
                <w:iCs w:val="0"/>
                <w:color w:val="000000"/>
                <w:sz w:val="20"/>
                <w:szCs w:val="20"/>
                <w:u w:val="none"/>
              </w:rPr>
            </w:pPr>
          </w:p>
        </w:tc>
        <w:tc>
          <w:tcPr>
            <w:tcW w:w="750" w:type="dxa"/>
            <w:vMerge w:val="restart"/>
            <w:tcBorders>
              <w:tl2br w:val="nil"/>
              <w:tr2bl w:val="nil"/>
            </w:tcBorders>
            <w:shd w:val="clear" w:color="auto" w:fill="auto"/>
            <w:vAlign w:val="center"/>
          </w:tcPr>
          <w:p w14:paraId="00758C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75" w:type="dxa"/>
            <w:tcBorders>
              <w:tl2br w:val="nil"/>
              <w:tr2bl w:val="nil"/>
            </w:tcBorders>
            <w:shd w:val="clear" w:color="auto" w:fill="auto"/>
            <w:vAlign w:val="center"/>
          </w:tcPr>
          <w:p w14:paraId="45551C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395" w:type="dxa"/>
            <w:tcBorders>
              <w:tl2br w:val="nil"/>
              <w:tr2bl w:val="nil"/>
            </w:tcBorders>
            <w:shd w:val="clear" w:color="auto" w:fill="auto"/>
            <w:vAlign w:val="center"/>
          </w:tcPr>
          <w:p w14:paraId="741F4A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8" w:type="dxa"/>
            <w:tcBorders>
              <w:tl2br w:val="nil"/>
              <w:tr2bl w:val="nil"/>
            </w:tcBorders>
            <w:shd w:val="clear" w:color="auto" w:fill="auto"/>
            <w:vAlign w:val="center"/>
          </w:tcPr>
          <w:p w14:paraId="5090BD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5" w:type="dxa"/>
            <w:tcBorders>
              <w:tl2br w:val="nil"/>
              <w:tr2bl w:val="nil"/>
            </w:tcBorders>
            <w:shd w:val="clear" w:color="auto" w:fill="auto"/>
            <w:vAlign w:val="center"/>
          </w:tcPr>
          <w:p w14:paraId="655DDA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09" w:type="dxa"/>
            <w:tcBorders>
              <w:tl2br w:val="nil"/>
              <w:tr2bl w:val="nil"/>
            </w:tcBorders>
            <w:shd w:val="clear" w:color="auto" w:fill="auto"/>
            <w:vAlign w:val="center"/>
          </w:tcPr>
          <w:p w14:paraId="17AB72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7210ED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1" w:type="dxa"/>
            <w:tcBorders>
              <w:tl2br w:val="nil"/>
              <w:tr2bl w:val="nil"/>
            </w:tcBorders>
            <w:shd w:val="clear" w:color="auto" w:fill="auto"/>
            <w:vAlign w:val="center"/>
          </w:tcPr>
          <w:p w14:paraId="035D35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14:paraId="6E3676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tcBorders>
              <w:tl2br w:val="nil"/>
              <w:tr2bl w:val="nil"/>
            </w:tcBorders>
            <w:shd w:val="clear" w:color="auto" w:fill="auto"/>
            <w:vAlign w:val="center"/>
          </w:tcPr>
          <w:p w14:paraId="25CCEC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8" w:type="dxa"/>
            <w:tcBorders>
              <w:tl2br w:val="nil"/>
              <w:tr2bl w:val="nil"/>
            </w:tcBorders>
            <w:shd w:val="clear" w:color="auto" w:fill="auto"/>
            <w:vAlign w:val="center"/>
          </w:tcPr>
          <w:p w14:paraId="7F5927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tcBorders>
              <w:tl2br w:val="nil"/>
              <w:tr2bl w:val="nil"/>
            </w:tcBorders>
            <w:shd w:val="clear" w:color="auto" w:fill="auto"/>
            <w:vAlign w:val="center"/>
          </w:tcPr>
          <w:p w14:paraId="661E12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6D7302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83DC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40" w:hRule="atLeast"/>
        </w:trPr>
        <w:tc>
          <w:tcPr>
            <w:tcW w:w="749" w:type="dxa"/>
            <w:vMerge w:val="continue"/>
            <w:tcBorders>
              <w:tl2br w:val="nil"/>
              <w:tr2bl w:val="nil"/>
            </w:tcBorders>
            <w:shd w:val="clear" w:color="auto" w:fill="auto"/>
            <w:vAlign w:val="center"/>
          </w:tcPr>
          <w:p w14:paraId="167E1126">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40288999">
            <w:pPr>
              <w:jc w:val="center"/>
              <w:rPr>
                <w:rFonts w:hint="eastAsia" w:ascii="宋体" w:hAnsi="宋体" w:eastAsia="宋体" w:cs="宋体"/>
                <w:i w:val="0"/>
                <w:iCs w:val="0"/>
                <w:color w:val="000000"/>
                <w:sz w:val="20"/>
                <w:szCs w:val="20"/>
                <w:u w:val="none"/>
              </w:rPr>
            </w:pPr>
          </w:p>
        </w:tc>
        <w:tc>
          <w:tcPr>
            <w:tcW w:w="975" w:type="dxa"/>
            <w:tcBorders>
              <w:tl2br w:val="nil"/>
              <w:tr2bl w:val="nil"/>
            </w:tcBorders>
            <w:shd w:val="clear" w:color="auto" w:fill="auto"/>
            <w:vAlign w:val="center"/>
          </w:tcPr>
          <w:p w14:paraId="6A27A4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95" w:type="dxa"/>
            <w:tcBorders>
              <w:tl2br w:val="nil"/>
              <w:tr2bl w:val="nil"/>
            </w:tcBorders>
            <w:shd w:val="clear" w:color="auto" w:fill="auto"/>
            <w:vAlign w:val="center"/>
          </w:tcPr>
          <w:p w14:paraId="10D0A0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业务保障能力提升情况</w:t>
            </w:r>
          </w:p>
        </w:tc>
        <w:tc>
          <w:tcPr>
            <w:tcW w:w="1258" w:type="dxa"/>
            <w:tcBorders>
              <w:tl2br w:val="nil"/>
              <w:tr2bl w:val="nil"/>
            </w:tcBorders>
            <w:shd w:val="clear" w:color="auto" w:fill="auto"/>
            <w:vAlign w:val="center"/>
          </w:tcPr>
          <w:p w14:paraId="67CFCD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985" w:type="dxa"/>
            <w:tcBorders>
              <w:tl2br w:val="nil"/>
              <w:tr2bl w:val="nil"/>
            </w:tcBorders>
            <w:shd w:val="clear" w:color="auto" w:fill="auto"/>
            <w:vAlign w:val="center"/>
          </w:tcPr>
          <w:p w14:paraId="513E6E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09" w:type="dxa"/>
            <w:tcBorders>
              <w:tl2br w:val="nil"/>
              <w:tr2bl w:val="nil"/>
            </w:tcBorders>
            <w:shd w:val="clear" w:color="auto" w:fill="auto"/>
            <w:vAlign w:val="center"/>
          </w:tcPr>
          <w:p w14:paraId="4A042A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244430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71" w:type="dxa"/>
            <w:tcBorders>
              <w:tl2br w:val="nil"/>
              <w:tr2bl w:val="nil"/>
            </w:tcBorders>
            <w:shd w:val="clear" w:color="auto" w:fill="auto"/>
            <w:vAlign w:val="center"/>
          </w:tcPr>
          <w:p w14:paraId="47C376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57" w:type="dxa"/>
            <w:tcBorders>
              <w:tl2br w:val="nil"/>
              <w:tr2bl w:val="nil"/>
            </w:tcBorders>
            <w:shd w:val="clear" w:color="auto" w:fill="auto"/>
            <w:vAlign w:val="center"/>
          </w:tcPr>
          <w:p w14:paraId="539E35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21" w:type="dxa"/>
            <w:tcBorders>
              <w:tl2br w:val="nil"/>
              <w:tr2bl w:val="nil"/>
            </w:tcBorders>
            <w:shd w:val="clear" w:color="auto" w:fill="auto"/>
            <w:vAlign w:val="center"/>
          </w:tcPr>
          <w:p w14:paraId="03A51A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8" w:type="dxa"/>
            <w:tcBorders>
              <w:tl2br w:val="nil"/>
              <w:tr2bl w:val="nil"/>
            </w:tcBorders>
            <w:shd w:val="clear" w:color="auto" w:fill="auto"/>
            <w:vAlign w:val="center"/>
          </w:tcPr>
          <w:p w14:paraId="090F55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0" w:type="dxa"/>
            <w:tcBorders>
              <w:tl2br w:val="nil"/>
              <w:tr2bl w:val="nil"/>
            </w:tcBorders>
            <w:shd w:val="clear" w:color="auto" w:fill="auto"/>
            <w:vAlign w:val="center"/>
          </w:tcPr>
          <w:p w14:paraId="3DCBA7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96" w:type="dxa"/>
            <w:tcBorders>
              <w:tl2br w:val="nil"/>
              <w:tr2bl w:val="nil"/>
            </w:tcBorders>
            <w:shd w:val="clear" w:color="auto" w:fill="auto"/>
            <w:vAlign w:val="center"/>
          </w:tcPr>
          <w:p w14:paraId="3163CE96">
            <w:pPr>
              <w:jc w:val="center"/>
              <w:rPr>
                <w:rFonts w:hint="eastAsia" w:ascii="宋体" w:hAnsi="宋体" w:eastAsia="宋体" w:cs="宋体"/>
                <w:i w:val="0"/>
                <w:iCs w:val="0"/>
                <w:color w:val="000000"/>
                <w:sz w:val="20"/>
                <w:szCs w:val="20"/>
                <w:u w:val="none"/>
              </w:rPr>
            </w:pPr>
          </w:p>
        </w:tc>
      </w:tr>
      <w:tr w14:paraId="682CE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6" w:hRule="atLeast"/>
        </w:trPr>
        <w:tc>
          <w:tcPr>
            <w:tcW w:w="749" w:type="dxa"/>
            <w:vMerge w:val="continue"/>
            <w:tcBorders>
              <w:tl2br w:val="nil"/>
              <w:tr2bl w:val="nil"/>
            </w:tcBorders>
            <w:shd w:val="clear" w:color="auto" w:fill="auto"/>
            <w:vAlign w:val="center"/>
          </w:tcPr>
          <w:p w14:paraId="5A7B630C">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0296EFE7">
            <w:pPr>
              <w:jc w:val="center"/>
              <w:rPr>
                <w:rFonts w:hint="eastAsia" w:ascii="宋体" w:hAnsi="宋体" w:eastAsia="宋体" w:cs="宋体"/>
                <w:i w:val="0"/>
                <w:iCs w:val="0"/>
                <w:color w:val="000000"/>
                <w:sz w:val="20"/>
                <w:szCs w:val="20"/>
                <w:u w:val="none"/>
              </w:rPr>
            </w:pPr>
          </w:p>
        </w:tc>
        <w:tc>
          <w:tcPr>
            <w:tcW w:w="975" w:type="dxa"/>
            <w:tcBorders>
              <w:tl2br w:val="nil"/>
              <w:tr2bl w:val="nil"/>
            </w:tcBorders>
            <w:shd w:val="clear" w:color="auto" w:fill="auto"/>
            <w:vAlign w:val="center"/>
          </w:tcPr>
          <w:p w14:paraId="449719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395" w:type="dxa"/>
            <w:tcBorders>
              <w:tl2br w:val="nil"/>
              <w:tr2bl w:val="nil"/>
            </w:tcBorders>
            <w:shd w:val="clear" w:color="auto" w:fill="auto"/>
            <w:vAlign w:val="center"/>
          </w:tcPr>
          <w:p w14:paraId="3E9E8B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8" w:type="dxa"/>
            <w:tcBorders>
              <w:tl2br w:val="nil"/>
              <w:tr2bl w:val="nil"/>
            </w:tcBorders>
            <w:shd w:val="clear" w:color="auto" w:fill="auto"/>
            <w:vAlign w:val="center"/>
          </w:tcPr>
          <w:p w14:paraId="6153FA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5" w:type="dxa"/>
            <w:tcBorders>
              <w:tl2br w:val="nil"/>
              <w:tr2bl w:val="nil"/>
            </w:tcBorders>
            <w:shd w:val="clear" w:color="auto" w:fill="auto"/>
            <w:vAlign w:val="center"/>
          </w:tcPr>
          <w:p w14:paraId="582183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09" w:type="dxa"/>
            <w:tcBorders>
              <w:tl2br w:val="nil"/>
              <w:tr2bl w:val="nil"/>
            </w:tcBorders>
            <w:shd w:val="clear" w:color="auto" w:fill="auto"/>
            <w:vAlign w:val="center"/>
          </w:tcPr>
          <w:p w14:paraId="4BAF22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258363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1" w:type="dxa"/>
            <w:tcBorders>
              <w:tl2br w:val="nil"/>
              <w:tr2bl w:val="nil"/>
            </w:tcBorders>
            <w:shd w:val="clear" w:color="auto" w:fill="auto"/>
            <w:vAlign w:val="center"/>
          </w:tcPr>
          <w:p w14:paraId="6DEB82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14:paraId="11816D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tcBorders>
              <w:tl2br w:val="nil"/>
              <w:tr2bl w:val="nil"/>
            </w:tcBorders>
            <w:shd w:val="clear" w:color="auto" w:fill="auto"/>
            <w:vAlign w:val="center"/>
          </w:tcPr>
          <w:p w14:paraId="775039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8" w:type="dxa"/>
            <w:tcBorders>
              <w:tl2br w:val="nil"/>
              <w:tr2bl w:val="nil"/>
            </w:tcBorders>
            <w:shd w:val="clear" w:color="auto" w:fill="auto"/>
            <w:vAlign w:val="center"/>
          </w:tcPr>
          <w:p w14:paraId="0CCB7B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tcBorders>
              <w:tl2br w:val="nil"/>
              <w:tr2bl w:val="nil"/>
            </w:tcBorders>
            <w:shd w:val="clear" w:color="auto" w:fill="auto"/>
            <w:vAlign w:val="center"/>
          </w:tcPr>
          <w:p w14:paraId="6D19BD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6EE0A9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09B2A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76" w:hRule="atLeast"/>
        </w:trPr>
        <w:tc>
          <w:tcPr>
            <w:tcW w:w="749" w:type="dxa"/>
            <w:vMerge w:val="continue"/>
            <w:tcBorders>
              <w:tl2br w:val="nil"/>
              <w:tr2bl w:val="nil"/>
            </w:tcBorders>
            <w:shd w:val="clear" w:color="auto" w:fill="auto"/>
            <w:vAlign w:val="center"/>
          </w:tcPr>
          <w:p w14:paraId="5E20779F">
            <w:pPr>
              <w:jc w:val="center"/>
              <w:rPr>
                <w:rFonts w:hint="eastAsia" w:ascii="宋体" w:hAnsi="宋体" w:eastAsia="宋体" w:cs="宋体"/>
                <w:i w:val="0"/>
                <w:iCs w:val="0"/>
                <w:color w:val="000000"/>
                <w:sz w:val="20"/>
                <w:szCs w:val="20"/>
                <w:u w:val="none"/>
              </w:rPr>
            </w:pPr>
          </w:p>
        </w:tc>
        <w:tc>
          <w:tcPr>
            <w:tcW w:w="750" w:type="dxa"/>
            <w:tcBorders>
              <w:tl2br w:val="nil"/>
              <w:tr2bl w:val="nil"/>
            </w:tcBorders>
            <w:shd w:val="clear" w:color="auto" w:fill="auto"/>
            <w:vAlign w:val="center"/>
          </w:tcPr>
          <w:p w14:paraId="339314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75" w:type="dxa"/>
            <w:tcBorders>
              <w:tl2br w:val="nil"/>
              <w:tr2bl w:val="nil"/>
            </w:tcBorders>
            <w:shd w:val="clear" w:color="auto" w:fill="auto"/>
            <w:vAlign w:val="center"/>
          </w:tcPr>
          <w:p w14:paraId="134CE2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95" w:type="dxa"/>
            <w:tcBorders>
              <w:tl2br w:val="nil"/>
              <w:tr2bl w:val="nil"/>
            </w:tcBorders>
            <w:shd w:val="clear" w:color="auto" w:fill="auto"/>
            <w:vAlign w:val="center"/>
          </w:tcPr>
          <w:p w14:paraId="0C7449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8" w:type="dxa"/>
            <w:tcBorders>
              <w:tl2br w:val="nil"/>
              <w:tr2bl w:val="nil"/>
            </w:tcBorders>
            <w:shd w:val="clear" w:color="auto" w:fill="auto"/>
            <w:vAlign w:val="center"/>
          </w:tcPr>
          <w:p w14:paraId="71BB1B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85" w:type="dxa"/>
            <w:tcBorders>
              <w:tl2br w:val="nil"/>
              <w:tr2bl w:val="nil"/>
            </w:tcBorders>
            <w:shd w:val="clear" w:color="auto" w:fill="auto"/>
            <w:vAlign w:val="center"/>
          </w:tcPr>
          <w:p w14:paraId="463F38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09" w:type="dxa"/>
            <w:tcBorders>
              <w:tl2br w:val="nil"/>
              <w:tr2bl w:val="nil"/>
            </w:tcBorders>
            <w:shd w:val="clear" w:color="auto" w:fill="auto"/>
            <w:vAlign w:val="center"/>
          </w:tcPr>
          <w:p w14:paraId="49BDEF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0" w:type="dxa"/>
            <w:tcBorders>
              <w:tl2br w:val="nil"/>
              <w:tr2bl w:val="nil"/>
            </w:tcBorders>
            <w:shd w:val="clear" w:color="auto" w:fill="auto"/>
            <w:vAlign w:val="center"/>
          </w:tcPr>
          <w:p w14:paraId="5B8348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1" w:type="dxa"/>
            <w:tcBorders>
              <w:tl2br w:val="nil"/>
              <w:tr2bl w:val="nil"/>
            </w:tcBorders>
            <w:shd w:val="clear" w:color="auto" w:fill="auto"/>
            <w:vAlign w:val="center"/>
          </w:tcPr>
          <w:p w14:paraId="08302D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14:paraId="3A1A8B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1" w:type="dxa"/>
            <w:tcBorders>
              <w:tl2br w:val="nil"/>
              <w:tr2bl w:val="nil"/>
            </w:tcBorders>
            <w:shd w:val="clear" w:color="auto" w:fill="auto"/>
            <w:vAlign w:val="center"/>
          </w:tcPr>
          <w:p w14:paraId="6448F6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8" w:type="dxa"/>
            <w:tcBorders>
              <w:tl2br w:val="nil"/>
              <w:tr2bl w:val="nil"/>
            </w:tcBorders>
            <w:shd w:val="clear" w:color="auto" w:fill="auto"/>
            <w:vAlign w:val="center"/>
          </w:tcPr>
          <w:p w14:paraId="034CE1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0" w:type="dxa"/>
            <w:tcBorders>
              <w:tl2br w:val="nil"/>
              <w:tr2bl w:val="nil"/>
            </w:tcBorders>
            <w:shd w:val="clear" w:color="auto" w:fill="auto"/>
            <w:vAlign w:val="center"/>
          </w:tcPr>
          <w:p w14:paraId="5F9C28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96" w:type="dxa"/>
            <w:tcBorders>
              <w:tl2br w:val="nil"/>
              <w:tr2bl w:val="nil"/>
            </w:tcBorders>
            <w:shd w:val="clear" w:color="auto" w:fill="auto"/>
            <w:vAlign w:val="center"/>
          </w:tcPr>
          <w:p w14:paraId="29C3BC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9FBE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94" w:hRule="atLeast"/>
        </w:trPr>
        <w:tc>
          <w:tcPr>
            <w:tcW w:w="3869" w:type="dxa"/>
            <w:gridSpan w:val="4"/>
            <w:tcBorders>
              <w:tl2br w:val="nil"/>
              <w:tr2bl w:val="nil"/>
            </w:tcBorders>
            <w:shd w:val="clear" w:color="auto" w:fill="auto"/>
            <w:vAlign w:val="center"/>
          </w:tcPr>
          <w:p w14:paraId="4B2EAB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58" w:type="dxa"/>
            <w:tcBorders>
              <w:tl2br w:val="nil"/>
              <w:tr2bl w:val="nil"/>
            </w:tcBorders>
            <w:shd w:val="clear" w:color="auto" w:fill="auto"/>
            <w:vAlign w:val="center"/>
          </w:tcPr>
          <w:p w14:paraId="46D385D9">
            <w:pPr>
              <w:jc w:val="center"/>
              <w:rPr>
                <w:rFonts w:hint="eastAsia" w:ascii="宋体" w:hAnsi="宋体" w:eastAsia="宋体" w:cs="宋体"/>
                <w:i w:val="0"/>
                <w:iCs w:val="0"/>
                <w:color w:val="000000"/>
                <w:sz w:val="20"/>
                <w:szCs w:val="20"/>
                <w:u w:val="none"/>
              </w:rPr>
            </w:pPr>
          </w:p>
        </w:tc>
        <w:tc>
          <w:tcPr>
            <w:tcW w:w="985" w:type="dxa"/>
            <w:tcBorders>
              <w:tl2br w:val="nil"/>
              <w:tr2bl w:val="nil"/>
            </w:tcBorders>
            <w:shd w:val="clear" w:color="auto" w:fill="auto"/>
            <w:vAlign w:val="center"/>
          </w:tcPr>
          <w:p w14:paraId="4B2037F0">
            <w:pPr>
              <w:rPr>
                <w:rFonts w:hint="eastAsia" w:ascii="宋体" w:hAnsi="宋体" w:eastAsia="宋体" w:cs="宋体"/>
                <w:b/>
                <w:bCs/>
                <w:i w:val="0"/>
                <w:iCs w:val="0"/>
                <w:color w:val="000000"/>
                <w:sz w:val="20"/>
                <w:szCs w:val="20"/>
                <w:u w:val="none"/>
              </w:rPr>
            </w:pPr>
          </w:p>
        </w:tc>
        <w:tc>
          <w:tcPr>
            <w:tcW w:w="809" w:type="dxa"/>
            <w:tcBorders>
              <w:tl2br w:val="nil"/>
              <w:tr2bl w:val="nil"/>
            </w:tcBorders>
            <w:shd w:val="clear" w:color="auto" w:fill="auto"/>
            <w:vAlign w:val="center"/>
          </w:tcPr>
          <w:p w14:paraId="13FA1BF8">
            <w:pPr>
              <w:jc w:val="center"/>
              <w:rPr>
                <w:rFonts w:hint="eastAsia" w:ascii="宋体" w:hAnsi="宋体" w:eastAsia="宋体" w:cs="宋体"/>
                <w:i w:val="0"/>
                <w:iCs w:val="0"/>
                <w:color w:val="000000"/>
                <w:sz w:val="20"/>
                <w:szCs w:val="20"/>
                <w:u w:val="none"/>
              </w:rPr>
            </w:pPr>
          </w:p>
        </w:tc>
        <w:tc>
          <w:tcPr>
            <w:tcW w:w="1070" w:type="dxa"/>
            <w:tcBorders>
              <w:tl2br w:val="nil"/>
              <w:tr2bl w:val="nil"/>
            </w:tcBorders>
            <w:shd w:val="clear" w:color="auto" w:fill="auto"/>
            <w:vAlign w:val="center"/>
          </w:tcPr>
          <w:p w14:paraId="3897AE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71" w:type="dxa"/>
            <w:tcBorders>
              <w:tl2br w:val="nil"/>
              <w:tr2bl w:val="nil"/>
            </w:tcBorders>
            <w:shd w:val="clear" w:color="auto" w:fill="auto"/>
            <w:vAlign w:val="center"/>
          </w:tcPr>
          <w:p w14:paraId="47AF84A0">
            <w:pPr>
              <w:jc w:val="center"/>
              <w:rPr>
                <w:rFonts w:hint="eastAsia" w:ascii="宋体" w:hAnsi="宋体" w:eastAsia="宋体" w:cs="宋体"/>
                <w:i w:val="0"/>
                <w:iCs w:val="0"/>
                <w:color w:val="000000"/>
                <w:sz w:val="20"/>
                <w:szCs w:val="20"/>
                <w:u w:val="none"/>
              </w:rPr>
            </w:pPr>
          </w:p>
        </w:tc>
        <w:tc>
          <w:tcPr>
            <w:tcW w:w="1057" w:type="dxa"/>
            <w:tcBorders>
              <w:tl2br w:val="nil"/>
              <w:tr2bl w:val="nil"/>
            </w:tcBorders>
            <w:shd w:val="clear" w:color="auto" w:fill="auto"/>
            <w:vAlign w:val="center"/>
          </w:tcPr>
          <w:p w14:paraId="4CA84BAB">
            <w:pPr>
              <w:rPr>
                <w:rFonts w:hint="eastAsia" w:ascii="宋体" w:hAnsi="宋体" w:eastAsia="宋体" w:cs="宋体"/>
                <w:i w:val="0"/>
                <w:iCs w:val="0"/>
                <w:color w:val="000000"/>
                <w:sz w:val="20"/>
                <w:szCs w:val="20"/>
                <w:u w:val="none"/>
              </w:rPr>
            </w:pPr>
          </w:p>
        </w:tc>
        <w:tc>
          <w:tcPr>
            <w:tcW w:w="1021" w:type="dxa"/>
            <w:tcBorders>
              <w:tl2br w:val="nil"/>
              <w:tr2bl w:val="nil"/>
            </w:tcBorders>
            <w:shd w:val="clear" w:color="auto" w:fill="auto"/>
            <w:vAlign w:val="center"/>
          </w:tcPr>
          <w:p w14:paraId="22E1EA04">
            <w:pPr>
              <w:jc w:val="center"/>
              <w:rPr>
                <w:rFonts w:hint="eastAsia" w:ascii="宋体" w:hAnsi="宋体" w:eastAsia="宋体" w:cs="宋体"/>
                <w:i w:val="0"/>
                <w:iCs w:val="0"/>
                <w:color w:val="000000"/>
                <w:sz w:val="20"/>
                <w:szCs w:val="20"/>
                <w:u w:val="none"/>
              </w:rPr>
            </w:pPr>
          </w:p>
        </w:tc>
        <w:tc>
          <w:tcPr>
            <w:tcW w:w="928" w:type="dxa"/>
            <w:tcBorders>
              <w:tl2br w:val="nil"/>
              <w:tr2bl w:val="nil"/>
            </w:tcBorders>
            <w:shd w:val="clear" w:color="auto" w:fill="auto"/>
            <w:vAlign w:val="center"/>
          </w:tcPr>
          <w:p w14:paraId="4F9449A9">
            <w:pPr>
              <w:jc w:val="center"/>
              <w:rPr>
                <w:rFonts w:hint="eastAsia" w:ascii="宋体" w:hAnsi="宋体" w:eastAsia="宋体" w:cs="宋体"/>
                <w:i w:val="0"/>
                <w:iCs w:val="0"/>
                <w:color w:val="000000"/>
                <w:sz w:val="20"/>
                <w:szCs w:val="20"/>
                <w:u w:val="none"/>
              </w:rPr>
            </w:pPr>
          </w:p>
        </w:tc>
        <w:tc>
          <w:tcPr>
            <w:tcW w:w="1010" w:type="dxa"/>
            <w:tcBorders>
              <w:tl2br w:val="nil"/>
              <w:tr2bl w:val="nil"/>
            </w:tcBorders>
            <w:shd w:val="clear" w:color="auto" w:fill="auto"/>
            <w:vAlign w:val="center"/>
          </w:tcPr>
          <w:p w14:paraId="1D5A43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6" w:type="dxa"/>
            <w:tcBorders>
              <w:tl2br w:val="nil"/>
              <w:tr2bl w:val="nil"/>
            </w:tcBorders>
            <w:shd w:val="clear" w:color="auto" w:fill="auto"/>
            <w:vAlign w:val="center"/>
          </w:tcPr>
          <w:p w14:paraId="33E34CB3">
            <w:pPr>
              <w:jc w:val="center"/>
              <w:rPr>
                <w:rFonts w:hint="eastAsia" w:ascii="宋体" w:hAnsi="宋体" w:eastAsia="宋体" w:cs="宋体"/>
                <w:i w:val="0"/>
                <w:iCs w:val="0"/>
                <w:color w:val="000000"/>
                <w:sz w:val="20"/>
                <w:szCs w:val="20"/>
                <w:u w:val="none"/>
              </w:rPr>
            </w:pPr>
          </w:p>
        </w:tc>
      </w:tr>
    </w:tbl>
    <w:p w14:paraId="4694A91E">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26" w:name="_Toc15067"/>
      <w:bookmarkStart w:id="127" w:name="_Toc2789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126"/>
      <w:bookmarkEnd w:id="127"/>
    </w:p>
    <w:tbl>
      <w:tblPr>
        <w:tblStyle w:val="14"/>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422C9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64080173">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noWrap w:val="0"/>
            <w:vAlign w:val="center"/>
          </w:tcPr>
          <w:p w14:paraId="00745EE0">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shd w:val="clear" w:color="auto" w:fill="auto"/>
            <w:noWrap w:val="0"/>
            <w:vAlign w:val="center"/>
          </w:tcPr>
          <w:p w14:paraId="1BA5EBA7">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shd w:val="clear" w:color="auto" w:fill="auto"/>
            <w:noWrap w:val="0"/>
            <w:vAlign w:val="center"/>
          </w:tcPr>
          <w:p w14:paraId="3DA29430">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shd w:val="clear" w:color="auto" w:fill="auto"/>
            <w:noWrap w:val="0"/>
            <w:vAlign w:val="center"/>
          </w:tcPr>
          <w:p w14:paraId="2076A9B2">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noWrap w:val="0"/>
            <w:vAlign w:val="center"/>
          </w:tcPr>
          <w:p w14:paraId="5A58155C">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noWrap w:val="0"/>
            <w:vAlign w:val="center"/>
          </w:tcPr>
          <w:p w14:paraId="13A89031">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67286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44CBF13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027B0D5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4FC2A188">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noWrap w:val="0"/>
            <w:vAlign w:val="center"/>
          </w:tcPr>
          <w:p w14:paraId="1967796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shd w:val="clear" w:color="auto" w:fill="auto"/>
            <w:noWrap w:val="0"/>
            <w:vAlign w:val="center"/>
          </w:tcPr>
          <w:p w14:paraId="7E22FAD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7BC1E19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shd w:val="clear" w:color="auto" w:fill="auto"/>
            <w:noWrap w:val="0"/>
            <w:vAlign w:val="center"/>
          </w:tcPr>
          <w:p w14:paraId="4283C78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shd w:val="clear" w:color="auto" w:fill="auto"/>
            <w:noWrap w:val="0"/>
            <w:vAlign w:val="center"/>
          </w:tcPr>
          <w:p w14:paraId="7B71DA7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FFCBECF">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063808F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0D8AECA5">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31C569BE">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5AD4920C">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noWrap w:val="0"/>
            <w:vAlign w:val="center"/>
          </w:tcPr>
          <w:p w14:paraId="1395E9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C667D49">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223500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0851CDEA">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0930F0CA">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5007F009">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立项程序</w:t>
            </w:r>
          </w:p>
          <w:p w14:paraId="5064EA97">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规范性</w:t>
            </w:r>
          </w:p>
        </w:tc>
        <w:tc>
          <w:tcPr>
            <w:tcW w:w="2141" w:type="dxa"/>
            <w:shd w:val="clear" w:color="auto" w:fill="auto"/>
            <w:noWrap w:val="0"/>
            <w:vAlign w:val="center"/>
          </w:tcPr>
          <w:p w14:paraId="4DEC84F1">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18C343F1">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63318EAC">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①项目是否按照规定的程序申请设立；</w:t>
            </w:r>
          </w:p>
          <w:p w14:paraId="4DE4D130">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②审批文件、材料是否符合相关要求；</w:t>
            </w:r>
          </w:p>
          <w:p w14:paraId="6B1C3DB7">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15705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3C9DEC3">
            <w:pPr>
              <w:widowControl/>
              <w:spacing w:line="0" w:lineRule="atLeast"/>
              <w:ind w:firstLine="0" w:firstLineChars="0"/>
              <w:jc w:val="left"/>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2.8</w:t>
            </w:r>
          </w:p>
        </w:tc>
      </w:tr>
      <w:tr w14:paraId="309BD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1D726C6E">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auto"/>
            <w:noWrap w:val="0"/>
            <w:vAlign w:val="center"/>
          </w:tcPr>
          <w:p w14:paraId="327BB74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shd w:val="clear" w:color="auto" w:fill="auto"/>
            <w:noWrap w:val="0"/>
            <w:vAlign w:val="center"/>
          </w:tcPr>
          <w:p w14:paraId="1B083FF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1EE0264E">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14:paraId="6B0360C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191E221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009ED0B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24C6E39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4E48B426">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57A9E8DD">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6E41C81F">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noWrap w:val="0"/>
            <w:vAlign w:val="center"/>
          </w:tcPr>
          <w:p w14:paraId="28BACE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44AA2FB">
            <w:pPr>
              <w:widowControl/>
              <w:spacing w:line="0" w:lineRule="atLeast"/>
              <w:ind w:firstLine="0" w:firstLineChars="0"/>
              <w:jc w:val="left"/>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3A62EB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448CEA1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noWrap w:val="0"/>
            <w:vAlign w:val="center"/>
          </w:tcPr>
          <w:p w14:paraId="34EC0066">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shd w:val="clear" w:color="auto" w:fill="auto"/>
            <w:noWrap w:val="0"/>
            <w:vAlign w:val="center"/>
          </w:tcPr>
          <w:p w14:paraId="0781FB5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2A0B50A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shd w:val="clear" w:color="auto" w:fill="auto"/>
            <w:noWrap w:val="0"/>
            <w:vAlign w:val="center"/>
          </w:tcPr>
          <w:p w14:paraId="3A7D27C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shd w:val="clear" w:color="auto" w:fill="auto"/>
            <w:noWrap w:val="0"/>
            <w:vAlign w:val="center"/>
          </w:tcPr>
          <w:p w14:paraId="77452B0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05062F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51AD0B1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0352D83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78FCCD5B">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auto" w:fill="auto"/>
            <w:noWrap w:val="0"/>
            <w:vAlign w:val="center"/>
          </w:tcPr>
          <w:p w14:paraId="2F7DCB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9B03DE9">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7BDCE4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242CA04D">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682C61C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16117824">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noWrap w:val="0"/>
            <w:vAlign w:val="center"/>
          </w:tcPr>
          <w:p w14:paraId="2D168276">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6A12660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shd w:val="clear" w:color="auto" w:fill="auto"/>
            <w:noWrap w:val="0"/>
            <w:vAlign w:val="center"/>
          </w:tcPr>
          <w:p w14:paraId="23A2F61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4B9222A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02D634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28A370B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2AE031A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56A83FA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noWrap w:val="0"/>
            <w:vAlign w:val="center"/>
          </w:tcPr>
          <w:p w14:paraId="43218D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F846F4E">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7E1C9A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322D5075">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194C33A4">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499A5C3B">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3CCF515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shd w:val="clear" w:color="auto" w:fill="auto"/>
            <w:noWrap w:val="0"/>
            <w:vAlign w:val="center"/>
          </w:tcPr>
          <w:p w14:paraId="282BEF4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4EBE361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6C99CC8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344C99F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noWrap w:val="0"/>
            <w:vAlign w:val="center"/>
          </w:tcPr>
          <w:p w14:paraId="327928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222611A">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21DC4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3493CF83">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noWrap w:val="0"/>
            <w:vAlign w:val="center"/>
          </w:tcPr>
          <w:p w14:paraId="61ABD01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noWrap w:val="0"/>
            <w:vAlign w:val="center"/>
          </w:tcPr>
          <w:p w14:paraId="41C6B0B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shd w:val="clear" w:color="auto" w:fill="auto"/>
            <w:noWrap w:val="0"/>
            <w:vAlign w:val="center"/>
          </w:tcPr>
          <w:p w14:paraId="1E07EF3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shd w:val="clear" w:color="auto" w:fill="auto"/>
            <w:noWrap w:val="0"/>
            <w:vAlign w:val="center"/>
          </w:tcPr>
          <w:p w14:paraId="4297CF7D">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44FAD3AA">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2E229B23">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noWrap w:val="0"/>
            <w:vAlign w:val="center"/>
          </w:tcPr>
          <w:p w14:paraId="78D518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EA859D2">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4BE18D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27D8485F">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14:paraId="6A6314FD">
            <w:pPr>
              <w:spacing w:line="0" w:lineRule="atLeast"/>
              <w:ind w:firstLine="0" w:firstLineChars="0"/>
              <w:jc w:val="center"/>
              <w:rPr>
                <w:rFonts w:hint="eastAsia" w:ascii="宋体" w:hAnsi="宋体" w:eastAsia="宋体" w:cs="宋体"/>
                <w:color w:val="000000"/>
                <w:kern w:val="0"/>
                <w:sz w:val="22"/>
                <w:szCs w:val="22"/>
              </w:rPr>
            </w:pPr>
          </w:p>
        </w:tc>
        <w:tc>
          <w:tcPr>
            <w:tcW w:w="820" w:type="dxa"/>
            <w:shd w:val="clear" w:color="auto" w:fill="auto"/>
            <w:noWrap w:val="0"/>
            <w:vAlign w:val="center"/>
          </w:tcPr>
          <w:p w14:paraId="370A2CF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shd w:val="clear" w:color="auto" w:fill="auto"/>
            <w:noWrap w:val="0"/>
            <w:vAlign w:val="center"/>
          </w:tcPr>
          <w:p w14:paraId="6176133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shd w:val="clear" w:color="auto" w:fill="auto"/>
            <w:noWrap w:val="0"/>
            <w:vAlign w:val="center"/>
          </w:tcPr>
          <w:p w14:paraId="5C0C7D7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4A681DF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noWrap w:val="0"/>
            <w:vAlign w:val="center"/>
          </w:tcPr>
          <w:p w14:paraId="0D0371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7AB52C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BE170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08E3CD9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5362D54C">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noWrap w:val="0"/>
            <w:vAlign w:val="center"/>
          </w:tcPr>
          <w:p w14:paraId="0C679F1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shd w:val="clear" w:color="auto" w:fill="auto"/>
            <w:noWrap w:val="0"/>
            <w:vAlign w:val="center"/>
          </w:tcPr>
          <w:p w14:paraId="61605DF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5D86FAE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shd w:val="clear" w:color="auto" w:fill="auto"/>
            <w:noWrap w:val="0"/>
            <w:vAlign w:val="center"/>
          </w:tcPr>
          <w:p w14:paraId="4D0BA85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shd w:val="clear" w:color="auto" w:fill="auto"/>
            <w:noWrap w:val="0"/>
            <w:vAlign w:val="center"/>
          </w:tcPr>
          <w:p w14:paraId="0ABCF36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61E49D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6B0D08D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69AE5DF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79D4202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noWrap w:val="0"/>
            <w:vAlign w:val="center"/>
          </w:tcPr>
          <w:p w14:paraId="3402DE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108D0D2">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DFA93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475CCB1E">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auto"/>
            <w:noWrap w:val="0"/>
            <w:vAlign w:val="center"/>
          </w:tcPr>
          <w:p w14:paraId="1D88E9C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734D173C">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shd w:val="clear" w:color="auto" w:fill="auto"/>
            <w:noWrap w:val="0"/>
            <w:vAlign w:val="center"/>
          </w:tcPr>
          <w:p w14:paraId="01C7433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5EE3489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shd w:val="clear" w:color="auto" w:fill="auto"/>
            <w:noWrap w:val="0"/>
            <w:vAlign w:val="center"/>
          </w:tcPr>
          <w:p w14:paraId="5319343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532086D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3CCD64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74E4F93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noWrap w:val="0"/>
            <w:vAlign w:val="center"/>
          </w:tcPr>
          <w:p w14:paraId="2747ED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8CF30EE">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7CA28F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5E0B385A">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auto"/>
            <w:noWrap w:val="0"/>
            <w:vAlign w:val="center"/>
          </w:tcPr>
          <w:p w14:paraId="67AD806E">
            <w:pPr>
              <w:widowControl/>
              <w:spacing w:line="0" w:lineRule="atLeast"/>
              <w:ind w:firstLine="0" w:firstLineChars="0"/>
              <w:jc w:val="center"/>
              <w:rPr>
                <w:rFonts w:ascii="宋体" w:hAnsi="宋体" w:eastAsia="宋体" w:cs="宋体"/>
                <w:color w:val="000000"/>
                <w:kern w:val="0"/>
                <w:sz w:val="22"/>
                <w:szCs w:val="22"/>
              </w:rPr>
            </w:pPr>
          </w:p>
        </w:tc>
        <w:tc>
          <w:tcPr>
            <w:tcW w:w="820" w:type="dxa"/>
            <w:shd w:val="clear" w:color="auto" w:fill="auto"/>
            <w:noWrap w:val="0"/>
            <w:vAlign w:val="center"/>
          </w:tcPr>
          <w:p w14:paraId="405ABD3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4124ECC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shd w:val="clear" w:color="auto" w:fill="auto"/>
            <w:noWrap w:val="0"/>
            <w:vAlign w:val="center"/>
          </w:tcPr>
          <w:p w14:paraId="30C015E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shd w:val="clear" w:color="auto" w:fill="auto"/>
            <w:noWrap w:val="0"/>
            <w:vAlign w:val="center"/>
          </w:tcPr>
          <w:p w14:paraId="2582B8F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840C508">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1E29AD6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28B1C5C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0B8C36E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noWrap w:val="0"/>
            <w:vAlign w:val="center"/>
          </w:tcPr>
          <w:p w14:paraId="30716E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3671013">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1644E3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214B9F83">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shd w:val="clear" w:color="auto" w:fill="auto"/>
            <w:noWrap w:val="0"/>
            <w:vAlign w:val="center"/>
          </w:tcPr>
          <w:p w14:paraId="5C3E6A0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数量指标</w:t>
            </w:r>
          </w:p>
        </w:tc>
        <w:tc>
          <w:tcPr>
            <w:tcW w:w="820" w:type="dxa"/>
            <w:shd w:val="clear" w:color="auto" w:fill="auto"/>
            <w:noWrap w:val="0"/>
            <w:vAlign w:val="center"/>
          </w:tcPr>
          <w:p w14:paraId="0C6842C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新安装企业数量(个)</w:t>
            </w:r>
          </w:p>
        </w:tc>
        <w:tc>
          <w:tcPr>
            <w:tcW w:w="2141" w:type="dxa"/>
            <w:shd w:val="clear" w:color="auto" w:fill="auto"/>
            <w:noWrap w:val="0"/>
            <w:vAlign w:val="center"/>
          </w:tcPr>
          <w:p w14:paraId="523681C4">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33004590">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4A7D5451">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3B78D38E">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BEDFBD3">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745EFB4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77DA11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14:paraId="19705F72">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shd w:val="clear" w:color="auto" w:fill="auto"/>
            <w:noWrap w:val="0"/>
            <w:vAlign w:val="center"/>
          </w:tcPr>
          <w:p w14:paraId="6D4A03AF">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数量指标</w:t>
            </w:r>
          </w:p>
        </w:tc>
        <w:tc>
          <w:tcPr>
            <w:tcW w:w="820" w:type="dxa"/>
            <w:shd w:val="clear" w:color="auto" w:fill="auto"/>
            <w:noWrap w:val="0"/>
            <w:vAlign w:val="center"/>
          </w:tcPr>
          <w:p w14:paraId="226F3494">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新安装企业设备数量(台)</w:t>
            </w:r>
          </w:p>
        </w:tc>
        <w:tc>
          <w:tcPr>
            <w:tcW w:w="2141" w:type="dxa"/>
            <w:shd w:val="clear" w:color="auto" w:fill="auto"/>
            <w:noWrap w:val="0"/>
            <w:vAlign w:val="center"/>
          </w:tcPr>
          <w:p w14:paraId="15B9D65D">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3190179F">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543EAD45">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394CBC58">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3843B74D">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shd w:val="clear" w:color="auto" w:fill="auto"/>
            <w:noWrap w:val="0"/>
            <w:vAlign w:val="center"/>
          </w:tcPr>
          <w:p w14:paraId="76F68224">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09486E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610F64D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noWrap w:val="0"/>
            <w:vAlign w:val="center"/>
          </w:tcPr>
          <w:p w14:paraId="484554D4">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质量指标</w:t>
            </w:r>
          </w:p>
        </w:tc>
        <w:tc>
          <w:tcPr>
            <w:tcW w:w="820" w:type="dxa"/>
            <w:shd w:val="clear" w:color="auto" w:fill="auto"/>
            <w:noWrap w:val="0"/>
            <w:vAlign w:val="center"/>
          </w:tcPr>
          <w:p w14:paraId="36844EB0">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xml:space="preserve">视频云调试上线合格率（%） </w:t>
            </w:r>
          </w:p>
        </w:tc>
        <w:tc>
          <w:tcPr>
            <w:tcW w:w="2141" w:type="dxa"/>
            <w:shd w:val="clear" w:color="auto" w:fill="auto"/>
            <w:noWrap w:val="0"/>
            <w:vAlign w:val="center"/>
          </w:tcPr>
          <w:p w14:paraId="19FBEEE1">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19C373A6">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14:paraId="46E5E044">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7778055E">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2E11224F">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C6E1C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51FE3628">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6DA23469">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noWrap w:val="0"/>
            <w:vAlign w:val="center"/>
          </w:tcPr>
          <w:p w14:paraId="1DABF137">
            <w:pPr>
              <w:widowControl/>
              <w:tabs>
                <w:tab w:val="left" w:pos="228"/>
              </w:tabs>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cs="宋体"/>
                <w:color w:val="000000"/>
                <w:kern w:val="0"/>
                <w:sz w:val="22"/>
                <w:szCs w:val="22"/>
                <w:highlight w:val="none"/>
                <w:lang w:eastAsia="zh-CN"/>
              </w:rPr>
              <w:tab/>
            </w:r>
            <w:r>
              <w:rPr>
                <w:rFonts w:hint="eastAsia" w:cs="宋体"/>
                <w:color w:val="000000"/>
                <w:kern w:val="0"/>
                <w:sz w:val="22"/>
                <w:szCs w:val="22"/>
                <w:highlight w:val="none"/>
                <w:lang w:eastAsia="zh-CN"/>
              </w:rPr>
              <w:t>设备维护率（%）</w:t>
            </w:r>
          </w:p>
        </w:tc>
        <w:tc>
          <w:tcPr>
            <w:tcW w:w="2141" w:type="dxa"/>
            <w:shd w:val="clear" w:color="auto" w:fill="auto"/>
            <w:noWrap w:val="0"/>
            <w:vAlign w:val="center"/>
          </w:tcPr>
          <w:p w14:paraId="6AF68FC1">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39FFB45A">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14:paraId="5C9C3656">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3D51D6A0">
            <w:pPr>
              <w:widowControl/>
              <w:spacing w:line="0" w:lineRule="atLeast"/>
              <w:ind w:firstLine="0" w:firstLineChars="0"/>
              <w:rPr>
                <w:rFonts w:hint="default"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5A70DC8A">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E754B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4AEE180">
            <w:pPr>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auto"/>
            <w:noWrap w:val="0"/>
            <w:vAlign w:val="center"/>
          </w:tcPr>
          <w:p w14:paraId="620EF5DC">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820" w:type="dxa"/>
            <w:shd w:val="clear" w:color="auto" w:fill="auto"/>
            <w:noWrap w:val="0"/>
            <w:vAlign w:val="center"/>
          </w:tcPr>
          <w:p w14:paraId="4C14F61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项目按时完成率</w:t>
            </w:r>
          </w:p>
        </w:tc>
        <w:tc>
          <w:tcPr>
            <w:tcW w:w="2141" w:type="dxa"/>
            <w:shd w:val="clear" w:color="auto" w:fill="auto"/>
            <w:noWrap w:val="0"/>
            <w:vAlign w:val="center"/>
          </w:tcPr>
          <w:p w14:paraId="1CCBB913">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6E1F9F58">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14:paraId="7FA27DA3">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467613C">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16FFF996">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616B7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1B8BE410">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vMerge w:val="restart"/>
            <w:shd w:val="clear" w:color="auto" w:fill="auto"/>
            <w:noWrap w:val="0"/>
            <w:vAlign w:val="center"/>
          </w:tcPr>
          <w:p w14:paraId="5777FFC4">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经济成本指标</w:t>
            </w:r>
          </w:p>
        </w:tc>
        <w:tc>
          <w:tcPr>
            <w:tcW w:w="820" w:type="dxa"/>
            <w:shd w:val="clear" w:color="auto" w:fill="auto"/>
            <w:noWrap w:val="0"/>
            <w:vAlign w:val="center"/>
          </w:tcPr>
          <w:p w14:paraId="61CE13C7">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设备安装成本</w:t>
            </w:r>
          </w:p>
        </w:tc>
        <w:tc>
          <w:tcPr>
            <w:tcW w:w="2141" w:type="dxa"/>
            <w:shd w:val="clear" w:color="auto" w:fill="auto"/>
            <w:noWrap w:val="0"/>
            <w:vAlign w:val="center"/>
          </w:tcPr>
          <w:p w14:paraId="7D6A361F">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1403C383">
            <w:pPr>
              <w:widowControl/>
              <w:spacing w:line="0" w:lineRule="atLeast"/>
              <w:ind w:firstLine="0" w:firstLineChars="0"/>
              <w:rPr>
                <w:rFonts w:hint="eastAsia" w:ascii="宋体" w:hAnsi="宋体" w:eastAsia="宋体" w:cs="宋体"/>
                <w:color w:val="000000"/>
                <w:kern w:val="0"/>
                <w:sz w:val="22"/>
                <w:szCs w:val="22"/>
                <w:highlight w:val="none"/>
                <w:lang w:eastAsia="zh-CN"/>
              </w:rPr>
            </w:pPr>
          </w:p>
          <w:p w14:paraId="60896684">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5FE91755">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6AEA4BFE">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DEFD9C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6DB20D82">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155F90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60C526B1">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vMerge w:val="continue"/>
            <w:shd w:val="clear" w:color="auto" w:fill="auto"/>
            <w:noWrap w:val="0"/>
            <w:vAlign w:val="center"/>
          </w:tcPr>
          <w:p w14:paraId="7A3D5374">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820" w:type="dxa"/>
            <w:shd w:val="clear" w:color="auto" w:fill="auto"/>
            <w:noWrap w:val="0"/>
            <w:vAlign w:val="center"/>
          </w:tcPr>
          <w:p w14:paraId="1424E6A7">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明厨亮灶服务成本</w:t>
            </w:r>
          </w:p>
        </w:tc>
        <w:tc>
          <w:tcPr>
            <w:tcW w:w="2141" w:type="dxa"/>
            <w:shd w:val="clear" w:color="auto" w:fill="auto"/>
            <w:noWrap w:val="0"/>
            <w:vAlign w:val="center"/>
          </w:tcPr>
          <w:p w14:paraId="6F5A4D1C">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1045236E">
            <w:pPr>
              <w:widowControl/>
              <w:spacing w:line="0" w:lineRule="atLeast"/>
              <w:ind w:firstLine="0" w:firstLineChars="0"/>
              <w:rPr>
                <w:rFonts w:hint="eastAsia" w:ascii="宋体" w:hAnsi="宋体" w:eastAsia="宋体" w:cs="宋体"/>
                <w:color w:val="000000"/>
                <w:kern w:val="0"/>
                <w:sz w:val="22"/>
                <w:szCs w:val="22"/>
                <w:highlight w:val="none"/>
                <w:lang w:eastAsia="zh-CN"/>
              </w:rPr>
            </w:pPr>
          </w:p>
          <w:p w14:paraId="255F8A21">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51CD69D0">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4782ACD5">
            <w:pPr>
              <w:widowControl/>
              <w:spacing w:line="0" w:lineRule="atLeast"/>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6390D8A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c>
          <w:tcPr>
            <w:tcW w:w="769" w:type="dxa"/>
            <w:shd w:val="clear" w:color="auto" w:fill="auto"/>
            <w:noWrap w:val="0"/>
            <w:vAlign w:val="center"/>
          </w:tcPr>
          <w:p w14:paraId="1B3D90D5">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073B1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638874BC">
            <w:pPr>
              <w:widowControl/>
              <w:spacing w:line="0" w:lineRule="atLeast"/>
              <w:ind w:firstLine="0" w:firstLineChars="0"/>
              <w:jc w:val="center"/>
              <w:rPr>
                <w:rFonts w:ascii="宋体" w:hAnsi="宋体" w:eastAsia="宋体" w:cs="宋体"/>
                <w:color w:val="000000"/>
                <w:kern w:val="0"/>
                <w:sz w:val="22"/>
                <w:szCs w:val="22"/>
                <w:highlight w:val="yellow"/>
              </w:rPr>
            </w:pPr>
            <w:r>
              <w:rPr>
                <w:rFonts w:hint="eastAsia" w:ascii="宋体" w:hAnsi="宋体" w:eastAsia="宋体" w:cs="宋体"/>
                <w:color w:val="000000" w:themeColor="text1"/>
                <w:kern w:val="0"/>
                <w:sz w:val="22"/>
                <w:szCs w:val="22"/>
                <w:highlight w:val="none"/>
                <w14:textFill>
                  <w14:solidFill>
                    <w14:schemeClr w14:val="tx1"/>
                  </w14:solidFill>
                </w14:textFill>
              </w:rPr>
              <w:t>效益</w:t>
            </w:r>
            <w:r>
              <w:rPr>
                <w:rFonts w:hint="eastAsia" w:ascii="宋体" w:hAnsi="宋体" w:eastAsia="宋体" w:cs="宋体"/>
                <w:color w:val="000000"/>
                <w:kern w:val="0"/>
                <w:sz w:val="22"/>
                <w:szCs w:val="22"/>
                <w:highlight w:val="none"/>
              </w:rPr>
              <w:t>　</w:t>
            </w:r>
          </w:p>
        </w:tc>
        <w:tc>
          <w:tcPr>
            <w:tcW w:w="727" w:type="dxa"/>
            <w:vMerge w:val="restart"/>
            <w:shd w:val="clear" w:color="auto" w:fill="auto"/>
            <w:noWrap w:val="0"/>
            <w:vAlign w:val="center"/>
          </w:tcPr>
          <w:p w14:paraId="4B370373">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项目效益　</w:t>
            </w:r>
          </w:p>
        </w:tc>
        <w:tc>
          <w:tcPr>
            <w:tcW w:w="820" w:type="dxa"/>
            <w:shd w:val="clear" w:color="auto" w:fill="auto"/>
            <w:noWrap w:val="0"/>
            <w:vAlign w:val="center"/>
          </w:tcPr>
          <w:p w14:paraId="7BDBAAC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社会效益指标</w:t>
            </w:r>
          </w:p>
        </w:tc>
        <w:tc>
          <w:tcPr>
            <w:tcW w:w="2141" w:type="dxa"/>
            <w:shd w:val="clear" w:color="auto" w:fill="auto"/>
            <w:noWrap w:val="0"/>
            <w:vAlign w:val="center"/>
          </w:tcPr>
          <w:p w14:paraId="523264AD">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7821" w:type="dxa"/>
            <w:shd w:val="clear" w:color="auto" w:fill="auto"/>
            <w:noWrap w:val="0"/>
            <w:vAlign w:val="center"/>
          </w:tcPr>
          <w:p w14:paraId="2238D6F1">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ADE2A47">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20</w:t>
            </w:r>
          </w:p>
        </w:tc>
        <w:tc>
          <w:tcPr>
            <w:tcW w:w="769" w:type="dxa"/>
            <w:shd w:val="clear" w:color="auto" w:fill="auto"/>
            <w:noWrap w:val="0"/>
            <w:vAlign w:val="center"/>
          </w:tcPr>
          <w:p w14:paraId="59D9B90E">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20</w:t>
            </w:r>
          </w:p>
        </w:tc>
      </w:tr>
      <w:tr w14:paraId="0FDE52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7630B25C">
            <w:pPr>
              <w:widowControl/>
              <w:spacing w:line="0" w:lineRule="atLeast"/>
              <w:ind w:firstLine="0" w:firstLineChars="0"/>
              <w:jc w:val="center"/>
              <w:rPr>
                <w:rFonts w:ascii="宋体" w:hAnsi="宋体" w:eastAsia="宋体" w:cs="宋体"/>
                <w:color w:val="000000"/>
                <w:kern w:val="0"/>
                <w:sz w:val="22"/>
                <w:szCs w:val="22"/>
                <w:highlight w:val="yellow"/>
              </w:rPr>
            </w:pPr>
          </w:p>
        </w:tc>
        <w:tc>
          <w:tcPr>
            <w:tcW w:w="727" w:type="dxa"/>
            <w:vMerge w:val="continue"/>
            <w:shd w:val="clear" w:color="auto" w:fill="auto"/>
            <w:noWrap w:val="0"/>
            <w:vAlign w:val="center"/>
          </w:tcPr>
          <w:p w14:paraId="46FF6197">
            <w:pPr>
              <w:widowControl/>
              <w:spacing w:line="0" w:lineRule="atLeast"/>
              <w:ind w:firstLine="0" w:firstLineChars="0"/>
              <w:jc w:val="center"/>
              <w:rPr>
                <w:rFonts w:ascii="宋体" w:hAnsi="宋体" w:eastAsia="宋体" w:cs="宋体"/>
                <w:color w:val="000000"/>
                <w:kern w:val="0"/>
                <w:sz w:val="22"/>
                <w:szCs w:val="22"/>
                <w:highlight w:val="none"/>
              </w:rPr>
            </w:pPr>
          </w:p>
        </w:tc>
        <w:tc>
          <w:tcPr>
            <w:tcW w:w="820" w:type="dxa"/>
            <w:shd w:val="clear" w:color="auto" w:fill="auto"/>
            <w:noWrap w:val="0"/>
            <w:vAlign w:val="center"/>
          </w:tcPr>
          <w:p w14:paraId="4744893E">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cs="宋体"/>
                <w:color w:val="000000"/>
                <w:kern w:val="0"/>
                <w:sz w:val="22"/>
                <w:szCs w:val="22"/>
                <w:highlight w:val="none"/>
                <w:lang w:eastAsia="zh-CN"/>
              </w:rPr>
              <w:t>居民</w:t>
            </w:r>
            <w:r>
              <w:rPr>
                <w:rFonts w:hint="eastAsia" w:ascii="宋体" w:hAnsi="宋体" w:eastAsia="宋体" w:cs="宋体"/>
                <w:color w:val="000000"/>
                <w:kern w:val="0"/>
                <w:sz w:val="22"/>
                <w:szCs w:val="22"/>
                <w:highlight w:val="none"/>
              </w:rPr>
              <w:t>满意度</w:t>
            </w:r>
          </w:p>
        </w:tc>
        <w:tc>
          <w:tcPr>
            <w:tcW w:w="2141" w:type="dxa"/>
            <w:shd w:val="clear" w:color="auto" w:fill="auto"/>
            <w:noWrap w:val="0"/>
            <w:vAlign w:val="center"/>
          </w:tcPr>
          <w:p w14:paraId="19C058DA">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7821" w:type="dxa"/>
            <w:shd w:val="clear" w:color="auto" w:fill="auto"/>
            <w:noWrap w:val="0"/>
            <w:vAlign w:val="center"/>
          </w:tcPr>
          <w:p w14:paraId="353E2C0F">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2C2A693D">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c>
          <w:tcPr>
            <w:tcW w:w="769" w:type="dxa"/>
            <w:shd w:val="clear" w:color="auto" w:fill="auto"/>
            <w:noWrap w:val="0"/>
            <w:vAlign w:val="center"/>
          </w:tcPr>
          <w:p w14:paraId="39D7F7E9">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w:t>
            </w:r>
          </w:p>
        </w:tc>
      </w:tr>
      <w:tr w14:paraId="45C0C1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5E6463AA">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821" w:type="dxa"/>
            <w:shd w:val="clear" w:color="auto" w:fill="auto"/>
            <w:noWrap w:val="0"/>
            <w:vAlign w:val="center"/>
          </w:tcPr>
          <w:p w14:paraId="1F4D08D8">
            <w:pPr>
              <w:widowControl/>
              <w:spacing w:line="0" w:lineRule="atLeast"/>
              <w:ind w:firstLine="0" w:firstLineChars="0"/>
              <w:rPr>
                <w:rFonts w:hint="eastAsia" w:ascii="宋体" w:hAnsi="宋体" w:eastAsia="宋体" w:cs="宋体"/>
                <w:color w:val="000000"/>
                <w:kern w:val="0"/>
                <w:sz w:val="22"/>
                <w:szCs w:val="22"/>
              </w:rPr>
            </w:pPr>
          </w:p>
        </w:tc>
        <w:tc>
          <w:tcPr>
            <w:tcW w:w="785" w:type="dxa"/>
            <w:shd w:val="clear" w:color="auto" w:fill="auto"/>
            <w:noWrap w:val="0"/>
            <w:vAlign w:val="center"/>
          </w:tcPr>
          <w:p w14:paraId="0F522C88">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100</w:t>
            </w:r>
          </w:p>
        </w:tc>
        <w:tc>
          <w:tcPr>
            <w:tcW w:w="769" w:type="dxa"/>
            <w:shd w:val="clear" w:color="auto" w:fill="auto"/>
            <w:noWrap w:val="0"/>
            <w:vAlign w:val="center"/>
          </w:tcPr>
          <w:p w14:paraId="502A5582">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99.8</w:t>
            </w:r>
          </w:p>
        </w:tc>
      </w:tr>
    </w:tbl>
    <w:p w14:paraId="229CFEEA">
      <w:pPr>
        <w:spacing w:line="240" w:lineRule="auto"/>
        <w:ind w:firstLine="0" w:firstLineChars="0"/>
        <w:rPr>
          <w:rFonts w:ascii="Times New Roman" w:hAnsi="Times New Roman" w:eastAsia="仿宋_GB2312" w:cs="Times New Roman"/>
          <w:sz w:val="30"/>
          <w:szCs w:val="24"/>
        </w:rPr>
      </w:pPr>
    </w:p>
    <w:p w14:paraId="236FD882">
      <w:pPr>
        <w:rPr>
          <w:rFonts w:hint="default"/>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FE87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218F22">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218F22">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AF1302"/>
    <w:rsid w:val="00E23C81"/>
    <w:rsid w:val="01253350"/>
    <w:rsid w:val="01282E62"/>
    <w:rsid w:val="014029CF"/>
    <w:rsid w:val="01470C4C"/>
    <w:rsid w:val="02200440"/>
    <w:rsid w:val="02284B43"/>
    <w:rsid w:val="025C116B"/>
    <w:rsid w:val="02B015E2"/>
    <w:rsid w:val="02DC08FA"/>
    <w:rsid w:val="033B569D"/>
    <w:rsid w:val="039C3BA0"/>
    <w:rsid w:val="03A845BB"/>
    <w:rsid w:val="03B45AD1"/>
    <w:rsid w:val="043C3E31"/>
    <w:rsid w:val="04590DAC"/>
    <w:rsid w:val="04D12EE4"/>
    <w:rsid w:val="04D63993"/>
    <w:rsid w:val="04EE72A6"/>
    <w:rsid w:val="066F069C"/>
    <w:rsid w:val="077B1AD3"/>
    <w:rsid w:val="07890F4F"/>
    <w:rsid w:val="07F51AEB"/>
    <w:rsid w:val="08892439"/>
    <w:rsid w:val="08E8202A"/>
    <w:rsid w:val="08EB30F3"/>
    <w:rsid w:val="09127543"/>
    <w:rsid w:val="09237408"/>
    <w:rsid w:val="09781BD6"/>
    <w:rsid w:val="09DB4F16"/>
    <w:rsid w:val="09F359DF"/>
    <w:rsid w:val="0A575E65"/>
    <w:rsid w:val="0ACA0AB6"/>
    <w:rsid w:val="0AF92D0E"/>
    <w:rsid w:val="0B4E021A"/>
    <w:rsid w:val="0C032502"/>
    <w:rsid w:val="0C27698C"/>
    <w:rsid w:val="0C522223"/>
    <w:rsid w:val="0C9772B7"/>
    <w:rsid w:val="0CA57A5D"/>
    <w:rsid w:val="0CD67C16"/>
    <w:rsid w:val="0CEE1111"/>
    <w:rsid w:val="0D4452F3"/>
    <w:rsid w:val="0D4959DA"/>
    <w:rsid w:val="0E317059"/>
    <w:rsid w:val="0F1B1009"/>
    <w:rsid w:val="0F5E5042"/>
    <w:rsid w:val="0FE95707"/>
    <w:rsid w:val="10285E8F"/>
    <w:rsid w:val="10510571"/>
    <w:rsid w:val="10787A20"/>
    <w:rsid w:val="108672DE"/>
    <w:rsid w:val="10EC685A"/>
    <w:rsid w:val="11FA6155"/>
    <w:rsid w:val="123B0F20"/>
    <w:rsid w:val="12573F25"/>
    <w:rsid w:val="12920887"/>
    <w:rsid w:val="12CF0947"/>
    <w:rsid w:val="12F1313F"/>
    <w:rsid w:val="136C678E"/>
    <w:rsid w:val="13900351"/>
    <w:rsid w:val="13EB2FF5"/>
    <w:rsid w:val="14915DCE"/>
    <w:rsid w:val="14B12F07"/>
    <w:rsid w:val="14C7770A"/>
    <w:rsid w:val="157D0DAD"/>
    <w:rsid w:val="15A46B04"/>
    <w:rsid w:val="15D56295"/>
    <w:rsid w:val="165825BC"/>
    <w:rsid w:val="16BC5D73"/>
    <w:rsid w:val="176F36D7"/>
    <w:rsid w:val="1795226D"/>
    <w:rsid w:val="17B50B2F"/>
    <w:rsid w:val="17D966C4"/>
    <w:rsid w:val="18456B1E"/>
    <w:rsid w:val="187751FD"/>
    <w:rsid w:val="18D24E71"/>
    <w:rsid w:val="19E21103"/>
    <w:rsid w:val="1A7F2286"/>
    <w:rsid w:val="1ADB711C"/>
    <w:rsid w:val="1BC577D4"/>
    <w:rsid w:val="1C1171C5"/>
    <w:rsid w:val="1D265138"/>
    <w:rsid w:val="1D7B6BCA"/>
    <w:rsid w:val="1DA41A79"/>
    <w:rsid w:val="1DF53469"/>
    <w:rsid w:val="1E157360"/>
    <w:rsid w:val="1E2F24F2"/>
    <w:rsid w:val="1E570563"/>
    <w:rsid w:val="1E58492F"/>
    <w:rsid w:val="1E5B6757"/>
    <w:rsid w:val="1E990AA4"/>
    <w:rsid w:val="1ED10AC6"/>
    <w:rsid w:val="1F46255F"/>
    <w:rsid w:val="1F89225F"/>
    <w:rsid w:val="1F900A1F"/>
    <w:rsid w:val="1FC0575D"/>
    <w:rsid w:val="206132C7"/>
    <w:rsid w:val="20A3249B"/>
    <w:rsid w:val="20A90B21"/>
    <w:rsid w:val="21B00C1D"/>
    <w:rsid w:val="22582DE6"/>
    <w:rsid w:val="23031BEB"/>
    <w:rsid w:val="23917691"/>
    <w:rsid w:val="24010E38"/>
    <w:rsid w:val="244D65B8"/>
    <w:rsid w:val="245E1E24"/>
    <w:rsid w:val="2485597A"/>
    <w:rsid w:val="256E2011"/>
    <w:rsid w:val="25AD5E5D"/>
    <w:rsid w:val="25B53AED"/>
    <w:rsid w:val="25E7320E"/>
    <w:rsid w:val="2732478D"/>
    <w:rsid w:val="27661469"/>
    <w:rsid w:val="27900EAD"/>
    <w:rsid w:val="279B538A"/>
    <w:rsid w:val="286F545C"/>
    <w:rsid w:val="28FE4325"/>
    <w:rsid w:val="29314FBC"/>
    <w:rsid w:val="2A2614BF"/>
    <w:rsid w:val="2AD8728C"/>
    <w:rsid w:val="2B004F19"/>
    <w:rsid w:val="2C0028BD"/>
    <w:rsid w:val="2C024B86"/>
    <w:rsid w:val="2C927671"/>
    <w:rsid w:val="2D7C5CD6"/>
    <w:rsid w:val="2DAD6F72"/>
    <w:rsid w:val="2E483E7E"/>
    <w:rsid w:val="2E674331"/>
    <w:rsid w:val="2E690493"/>
    <w:rsid w:val="2E9854BD"/>
    <w:rsid w:val="2F0D407F"/>
    <w:rsid w:val="2F454B19"/>
    <w:rsid w:val="2F5D0D73"/>
    <w:rsid w:val="30FD19EB"/>
    <w:rsid w:val="310224D9"/>
    <w:rsid w:val="31B4621C"/>
    <w:rsid w:val="31E3230A"/>
    <w:rsid w:val="3203259E"/>
    <w:rsid w:val="330957E0"/>
    <w:rsid w:val="33356F64"/>
    <w:rsid w:val="33944516"/>
    <w:rsid w:val="34B62907"/>
    <w:rsid w:val="35B565D1"/>
    <w:rsid w:val="35E63517"/>
    <w:rsid w:val="35F20D6E"/>
    <w:rsid w:val="3632560E"/>
    <w:rsid w:val="36BD137C"/>
    <w:rsid w:val="36DD557A"/>
    <w:rsid w:val="38107BD1"/>
    <w:rsid w:val="385D37E7"/>
    <w:rsid w:val="38782EDD"/>
    <w:rsid w:val="39316051"/>
    <w:rsid w:val="3ADF316D"/>
    <w:rsid w:val="3B42664A"/>
    <w:rsid w:val="3BB30F9F"/>
    <w:rsid w:val="3C2B6D87"/>
    <w:rsid w:val="3D836A4E"/>
    <w:rsid w:val="3D8B1285"/>
    <w:rsid w:val="3E1B52F1"/>
    <w:rsid w:val="3EA37E97"/>
    <w:rsid w:val="3ED450E0"/>
    <w:rsid w:val="3F0E1401"/>
    <w:rsid w:val="3F5E2485"/>
    <w:rsid w:val="3FBE0BC5"/>
    <w:rsid w:val="4048103A"/>
    <w:rsid w:val="40736643"/>
    <w:rsid w:val="40D043A1"/>
    <w:rsid w:val="40D24A7A"/>
    <w:rsid w:val="41480B2E"/>
    <w:rsid w:val="420E6850"/>
    <w:rsid w:val="4242307D"/>
    <w:rsid w:val="42621029"/>
    <w:rsid w:val="42C811FF"/>
    <w:rsid w:val="43190655"/>
    <w:rsid w:val="434B5EF3"/>
    <w:rsid w:val="435241E2"/>
    <w:rsid w:val="43975C51"/>
    <w:rsid w:val="439E3FA7"/>
    <w:rsid w:val="4437612C"/>
    <w:rsid w:val="44970283"/>
    <w:rsid w:val="44B32266"/>
    <w:rsid w:val="44FC64F4"/>
    <w:rsid w:val="464F5D68"/>
    <w:rsid w:val="467F4585"/>
    <w:rsid w:val="46C14DF6"/>
    <w:rsid w:val="470628CB"/>
    <w:rsid w:val="472D1503"/>
    <w:rsid w:val="47555BD4"/>
    <w:rsid w:val="47E96399"/>
    <w:rsid w:val="48E12B50"/>
    <w:rsid w:val="48EC4110"/>
    <w:rsid w:val="499441BE"/>
    <w:rsid w:val="499A6C1C"/>
    <w:rsid w:val="4A2138F0"/>
    <w:rsid w:val="4A2979E1"/>
    <w:rsid w:val="4A583887"/>
    <w:rsid w:val="4AEB1ABC"/>
    <w:rsid w:val="4B9F6E02"/>
    <w:rsid w:val="4BEB6533"/>
    <w:rsid w:val="4C89637B"/>
    <w:rsid w:val="4E52289A"/>
    <w:rsid w:val="4E6E48A8"/>
    <w:rsid w:val="4EEC036B"/>
    <w:rsid w:val="4F424C39"/>
    <w:rsid w:val="501D2673"/>
    <w:rsid w:val="50C80BF1"/>
    <w:rsid w:val="51852833"/>
    <w:rsid w:val="51910FC4"/>
    <w:rsid w:val="525E4232"/>
    <w:rsid w:val="52F11AC8"/>
    <w:rsid w:val="5345477B"/>
    <w:rsid w:val="53462EAB"/>
    <w:rsid w:val="534F49D9"/>
    <w:rsid w:val="53555F0F"/>
    <w:rsid w:val="535D23D5"/>
    <w:rsid w:val="547A32A8"/>
    <w:rsid w:val="55F8151B"/>
    <w:rsid w:val="56E670D0"/>
    <w:rsid w:val="56F4341A"/>
    <w:rsid w:val="575907F5"/>
    <w:rsid w:val="575A7321"/>
    <w:rsid w:val="5796649D"/>
    <w:rsid w:val="57A67CBB"/>
    <w:rsid w:val="57AC1A1A"/>
    <w:rsid w:val="580C3AB9"/>
    <w:rsid w:val="583C7AE0"/>
    <w:rsid w:val="586C1E9A"/>
    <w:rsid w:val="586E0800"/>
    <w:rsid w:val="58F40FDB"/>
    <w:rsid w:val="58FA7DB6"/>
    <w:rsid w:val="59216F96"/>
    <w:rsid w:val="598C4145"/>
    <w:rsid w:val="59957D1B"/>
    <w:rsid w:val="59D4294E"/>
    <w:rsid w:val="5A4E03B9"/>
    <w:rsid w:val="5B0C778E"/>
    <w:rsid w:val="5B634312"/>
    <w:rsid w:val="5B9D2CCD"/>
    <w:rsid w:val="5B9E71EA"/>
    <w:rsid w:val="5C515082"/>
    <w:rsid w:val="5CD30BF7"/>
    <w:rsid w:val="5E226FBC"/>
    <w:rsid w:val="5E7D7525"/>
    <w:rsid w:val="5E8C5229"/>
    <w:rsid w:val="5FE72BD2"/>
    <w:rsid w:val="5FFE2CFD"/>
    <w:rsid w:val="60120613"/>
    <w:rsid w:val="613B3D2D"/>
    <w:rsid w:val="618D5292"/>
    <w:rsid w:val="622E78FA"/>
    <w:rsid w:val="63343F70"/>
    <w:rsid w:val="6397271B"/>
    <w:rsid w:val="640102A1"/>
    <w:rsid w:val="64296E1C"/>
    <w:rsid w:val="649E64A2"/>
    <w:rsid w:val="65407929"/>
    <w:rsid w:val="65D95929"/>
    <w:rsid w:val="65E5270A"/>
    <w:rsid w:val="663D3C54"/>
    <w:rsid w:val="66862C89"/>
    <w:rsid w:val="66BB486D"/>
    <w:rsid w:val="67375865"/>
    <w:rsid w:val="67394C7D"/>
    <w:rsid w:val="6787315C"/>
    <w:rsid w:val="67A07D7A"/>
    <w:rsid w:val="68126B38"/>
    <w:rsid w:val="68291A1A"/>
    <w:rsid w:val="68352BB8"/>
    <w:rsid w:val="688F42A0"/>
    <w:rsid w:val="68ED5EE2"/>
    <w:rsid w:val="691B1594"/>
    <w:rsid w:val="6938470E"/>
    <w:rsid w:val="693A016B"/>
    <w:rsid w:val="69B61C8D"/>
    <w:rsid w:val="6A17429C"/>
    <w:rsid w:val="6A557802"/>
    <w:rsid w:val="6A567EA3"/>
    <w:rsid w:val="6ABC7DB6"/>
    <w:rsid w:val="6AD2522B"/>
    <w:rsid w:val="6B34156D"/>
    <w:rsid w:val="6B4B4368"/>
    <w:rsid w:val="6B79100E"/>
    <w:rsid w:val="6C666467"/>
    <w:rsid w:val="6C844C00"/>
    <w:rsid w:val="6CC42F7D"/>
    <w:rsid w:val="6D534072"/>
    <w:rsid w:val="6D747CDF"/>
    <w:rsid w:val="6D7B052E"/>
    <w:rsid w:val="6E10212C"/>
    <w:rsid w:val="6E43561A"/>
    <w:rsid w:val="6E557973"/>
    <w:rsid w:val="6E9568DB"/>
    <w:rsid w:val="6E9C74ED"/>
    <w:rsid w:val="6F0D6C22"/>
    <w:rsid w:val="6F383D07"/>
    <w:rsid w:val="6F47657F"/>
    <w:rsid w:val="6F666DD4"/>
    <w:rsid w:val="6F702AD3"/>
    <w:rsid w:val="6FAF23D9"/>
    <w:rsid w:val="70635CF6"/>
    <w:rsid w:val="70670707"/>
    <w:rsid w:val="719D0BF2"/>
    <w:rsid w:val="720E3691"/>
    <w:rsid w:val="724E244C"/>
    <w:rsid w:val="728848F2"/>
    <w:rsid w:val="72DA6946"/>
    <w:rsid w:val="73182420"/>
    <w:rsid w:val="732764B3"/>
    <w:rsid w:val="74026044"/>
    <w:rsid w:val="74512B28"/>
    <w:rsid w:val="74746410"/>
    <w:rsid w:val="74E2704E"/>
    <w:rsid w:val="75C94BA0"/>
    <w:rsid w:val="75E5007C"/>
    <w:rsid w:val="77813724"/>
    <w:rsid w:val="77861774"/>
    <w:rsid w:val="786A16E2"/>
    <w:rsid w:val="78F31435"/>
    <w:rsid w:val="79300B45"/>
    <w:rsid w:val="794D3E18"/>
    <w:rsid w:val="79540BAC"/>
    <w:rsid w:val="79F3729A"/>
    <w:rsid w:val="7A880722"/>
    <w:rsid w:val="7ACB0498"/>
    <w:rsid w:val="7AED0B4D"/>
    <w:rsid w:val="7C1E4487"/>
    <w:rsid w:val="7C215E02"/>
    <w:rsid w:val="7CA52C0F"/>
    <w:rsid w:val="7CF23764"/>
    <w:rsid w:val="7DBF335B"/>
    <w:rsid w:val="7DEB41A6"/>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8"/>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5">
    <w:name w:val="Default Paragraph Font"/>
    <w:autoRedefine/>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toc 3"/>
    <w:basedOn w:val="1"/>
    <w:next w:val="1"/>
    <w:autoRedefine/>
    <w:uiPriority w:val="0"/>
    <w:pPr>
      <w:ind w:left="840" w:leftChars="4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autoRedefine/>
    <w:uiPriority w:val="0"/>
  </w:style>
  <w:style w:type="paragraph" w:styleId="12">
    <w:name w:val="toc 2"/>
    <w:basedOn w:val="1"/>
    <w:next w:val="1"/>
    <w:qFormat/>
    <w:uiPriority w:val="0"/>
    <w:pPr>
      <w:ind w:left="420" w:leftChars="200"/>
    </w:pPr>
  </w:style>
  <w:style w:type="paragraph" w:styleId="13">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6">
    <w:name w:val="Strong"/>
    <w:basedOn w:val="15"/>
    <w:qFormat/>
    <w:uiPriority w:val="0"/>
    <w:rPr>
      <w:b/>
      <w:bCs/>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标题 2 Char"/>
    <w:link w:val="3"/>
    <w:qFormat/>
    <w:uiPriority w:val="0"/>
    <w:rPr>
      <w:rFonts w:ascii="Arial" w:hAnsi="Arial" w:eastAsia="楷体"/>
      <w:b/>
      <w:sz w:val="32"/>
    </w:rPr>
  </w:style>
  <w:style w:type="paragraph" w:customStyle="1" w:styleId="19">
    <w:name w:val="WPSOffice手动目录 1"/>
    <w:qFormat/>
    <w:uiPriority w:val="0"/>
    <w:pPr>
      <w:ind w:leftChars="0"/>
    </w:pPr>
    <w:rPr>
      <w:rFonts w:ascii="Times New Roman" w:hAnsi="Times New Roman" w:eastAsia="宋体" w:cs="Times New Roman"/>
      <w:sz w:val="20"/>
      <w:szCs w:val="20"/>
    </w:rPr>
  </w:style>
  <w:style w:type="paragraph" w:customStyle="1" w:styleId="20">
    <w:name w:val="WPSOffice手动目录 2"/>
    <w:qFormat/>
    <w:uiPriority w:val="0"/>
    <w:pPr>
      <w:ind w:leftChars="200"/>
    </w:pPr>
    <w:rPr>
      <w:rFonts w:ascii="Times New Roman" w:hAnsi="Times New Roman" w:eastAsia="宋体" w:cs="Times New Roman"/>
      <w:sz w:val="20"/>
      <w:szCs w:val="20"/>
    </w:rPr>
  </w:style>
  <w:style w:type="paragraph" w:customStyle="1" w:styleId="21">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8301</Words>
  <Characters>8715</Characters>
  <Lines>0</Lines>
  <Paragraphs>0</Paragraphs>
  <TotalTime>3</TotalTime>
  <ScaleCrop>false</ScaleCrop>
  <LinksUpToDate>false</LinksUpToDate>
  <CharactersWithSpaces>8741</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2024-10-10T08:09:18Z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