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E98774">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0CE4EE13">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0D86631">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357A15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cs="宋体"/>
          <w:b/>
          <w:bCs/>
          <w:color w:val="auto"/>
          <w:sz w:val="40"/>
          <w:szCs w:val="40"/>
          <w:highlight w:val="none"/>
          <w:shd w:val="clear" w:color="auto" w:fill="auto"/>
          <w:lang w:val="en-US" w:eastAsia="zh-CN"/>
        </w:rPr>
      </w:pPr>
      <w:bookmarkStart w:id="0" w:name="_Toc15679"/>
      <w:r>
        <w:rPr>
          <w:rFonts w:hint="eastAsia" w:cs="宋体"/>
          <w:b/>
          <w:bCs/>
          <w:color w:val="auto"/>
          <w:sz w:val="40"/>
          <w:szCs w:val="40"/>
          <w:highlight w:val="none"/>
          <w:shd w:val="clear" w:color="auto" w:fill="auto"/>
          <w:lang w:val="en-US" w:eastAsia="zh-CN"/>
        </w:rPr>
        <w:t>阜康市审计局审计业务经费</w:t>
      </w:r>
    </w:p>
    <w:p w14:paraId="3EDADE0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4EF29501">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1BEAC05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2A591D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3DF09C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2115BD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368F8B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31B48AD">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09C2FE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val="0"/>
          <w:bCs/>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ascii="宋体" w:hAnsi="宋体" w:eastAsia="宋体" w:cs="宋体"/>
          <w:b w:val="0"/>
          <w:bCs/>
          <w:color w:val="auto"/>
          <w:kern w:val="2"/>
          <w:sz w:val="28"/>
          <w:szCs w:val="28"/>
          <w:highlight w:val="none"/>
          <w:shd w:val="clear" w:color="auto" w:fill="auto"/>
          <w:lang w:val="en-US" w:eastAsia="zh-CN"/>
        </w:rPr>
        <w:t>审计业务经费</w:t>
      </w:r>
    </w:p>
    <w:p w14:paraId="16510BE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cs="宋体"/>
          <w:b w:val="0"/>
          <w:bCs/>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val="0"/>
          <w:bCs/>
          <w:color w:val="auto"/>
          <w:kern w:val="2"/>
          <w:sz w:val="28"/>
          <w:szCs w:val="28"/>
          <w:highlight w:val="none"/>
          <w:shd w:val="clear" w:color="auto" w:fill="auto"/>
          <w:lang w:val="en-US" w:eastAsia="zh-CN"/>
        </w:rPr>
        <w:t>阜康市审计局</w:t>
      </w:r>
    </w:p>
    <w:p w14:paraId="5D40BDD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cs="宋体"/>
          <w:b w:val="0"/>
          <w:bCs/>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val="0"/>
          <w:bCs/>
          <w:color w:val="auto"/>
          <w:kern w:val="2"/>
          <w:sz w:val="28"/>
          <w:szCs w:val="28"/>
          <w:highlight w:val="none"/>
          <w:shd w:val="clear" w:color="auto" w:fill="auto"/>
          <w:lang w:val="en-US" w:eastAsia="zh-CN"/>
        </w:rPr>
        <w:t>阜康市审计局</w:t>
      </w:r>
    </w:p>
    <w:p w14:paraId="34D51BD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0" w:firstLineChars="200"/>
        <w:textAlignment w:val="auto"/>
        <w:outlineLvl w:val="9"/>
        <w:rPr>
          <w:rFonts w:hint="eastAsia" w:cs="宋体"/>
          <w:b w:val="0"/>
          <w:bCs/>
          <w:color w:val="auto"/>
          <w:kern w:val="2"/>
          <w:sz w:val="28"/>
          <w:szCs w:val="28"/>
          <w:highlight w:val="none"/>
          <w:shd w:val="clear" w:color="auto" w:fill="auto"/>
          <w:lang w:val="en-US" w:eastAsia="zh-CN"/>
        </w:rPr>
      </w:pPr>
    </w:p>
    <w:p w14:paraId="2249FB2A">
      <w:pPr>
        <w:rPr>
          <w:rFonts w:hint="eastAsia"/>
          <w:color w:val="auto"/>
          <w:highlight w:val="none"/>
          <w:lang w:val="en-US" w:eastAsia="zh-CN"/>
        </w:rPr>
      </w:pPr>
      <w:r>
        <w:rPr>
          <w:rFonts w:hint="eastAsia"/>
          <w:color w:val="auto"/>
          <w:highlight w:val="none"/>
          <w:lang w:val="en-US" w:eastAsia="zh-CN"/>
        </w:rPr>
        <w:br w:type="page"/>
      </w:r>
    </w:p>
    <w:p w14:paraId="07170531">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2B7EEF8C">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24BFB9F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2FA498F1">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CE2FC01">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7B3C925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2AF2D72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C3C05B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5D61CAE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101BAAC4">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8</w:t>
          </w:r>
          <w:r>
            <w:rPr>
              <w:color w:val="auto"/>
              <w:sz w:val="28"/>
              <w:szCs w:val="28"/>
              <w:highlight w:val="none"/>
            </w:rPr>
            <w:fldChar w:fldCharType="end"/>
          </w:r>
          <w:r>
            <w:rPr>
              <w:rFonts w:hint="eastAsia"/>
              <w:color w:val="auto"/>
              <w:sz w:val="28"/>
              <w:szCs w:val="28"/>
              <w:highlight w:val="none"/>
              <w:lang w:val="en-US" w:eastAsia="zh-CN"/>
            </w:rPr>
            <w:fldChar w:fldCharType="end"/>
          </w:r>
        </w:p>
        <w:p w14:paraId="5E78438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004D72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203456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028A30B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7C5E1E3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7285919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4FCA9754">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E41920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8730B6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3B71708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75E91EC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BE475FC">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268208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5C86CB9B">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19DC7BF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36"/>
          <w:szCs w:val="36"/>
          <w:highlight w:val="none"/>
          <w:shd w:val="clear" w:color="auto" w:fill="auto"/>
        </w:rPr>
      </w:pPr>
      <w:bookmarkStart w:id="1" w:name="_Toc1194"/>
      <w:r>
        <w:rPr>
          <w:rFonts w:hint="eastAsia" w:cs="宋体"/>
          <w:b/>
          <w:bCs/>
          <w:color w:val="auto"/>
          <w:sz w:val="40"/>
          <w:szCs w:val="40"/>
          <w:highlight w:val="none"/>
          <w:shd w:val="clear" w:color="auto" w:fill="auto"/>
          <w:lang w:val="en-US" w:eastAsia="zh-CN"/>
        </w:rPr>
        <w:t>阜康市审计局审计业务经费项目</w:t>
      </w:r>
      <w:r>
        <w:rPr>
          <w:rFonts w:hint="eastAsia" w:ascii="宋体" w:hAnsi="宋体" w:eastAsia="宋体" w:cs="宋体"/>
          <w:b/>
          <w:bCs/>
          <w:color w:val="auto"/>
          <w:sz w:val="36"/>
          <w:szCs w:val="36"/>
          <w:highlight w:val="none"/>
          <w:shd w:val="clear" w:color="auto" w:fill="auto"/>
        </w:rPr>
        <w:t>支出绩效评价</w:t>
      </w:r>
    </w:p>
    <w:p w14:paraId="670CB85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sz w:val="36"/>
          <w:szCs w:val="36"/>
          <w:highlight w:val="none"/>
          <w:shd w:val="clear" w:color="auto" w:fill="auto"/>
        </w:rPr>
        <w:t>报告</w:t>
      </w:r>
      <w:bookmarkEnd w:id="1"/>
    </w:p>
    <w:p w14:paraId="5CA4BB67">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73EA985B">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25BD72A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16D176CE">
      <w:pPr>
        <w:bidi w:val="0"/>
        <w:rPr>
          <w:rFonts w:hint="eastAsia"/>
          <w:color w:val="auto"/>
          <w:highlight w:val="none"/>
          <w:lang w:val="en-US" w:eastAsia="zh-CN"/>
        </w:rPr>
      </w:pPr>
      <w:r>
        <w:rPr>
          <w:rFonts w:hint="eastAsia"/>
          <w:color w:val="auto"/>
          <w:highlight w:val="none"/>
          <w:lang w:val="en-US" w:eastAsia="zh-CN"/>
        </w:rPr>
        <w:t>依据</w:t>
      </w:r>
      <w:bookmarkStart w:id="5" w:name="OLE_LINK1"/>
      <w:r>
        <w:rPr>
          <w:rFonts w:hint="eastAsia" w:ascii="宋体" w:hAnsi="宋体" w:eastAsia="宋体" w:cs="宋体"/>
          <w:color w:val="auto"/>
          <w:highlight w:val="none"/>
          <w:shd w:val="clear" w:color="auto" w:fill="auto"/>
          <w:lang w:val="en-US" w:eastAsia="zh-CN"/>
        </w:rPr>
        <w:t>《关于拨付审计经费的通知》阜财经办字</w:t>
      </w:r>
      <w:r>
        <w:rPr>
          <w:rFonts w:hint="eastAsia" w:ascii="方正仿宋_GBK" w:hAnsi="方正仿宋_GBK" w:eastAsia="方正仿宋_GBK" w:cs="方正仿宋_GBK"/>
          <w:color w:val="auto"/>
          <w:highlight w:val="none"/>
          <w:lang w:eastAsia="zh-CN"/>
        </w:rPr>
        <w:t>〔</w:t>
      </w:r>
      <w:r>
        <w:rPr>
          <w:rFonts w:hint="eastAsia"/>
          <w:color w:val="auto"/>
          <w:highlight w:val="none"/>
          <w:lang w:eastAsia="zh-CN"/>
        </w:rPr>
        <w:t>2023</w:t>
      </w:r>
      <w:r>
        <w:rPr>
          <w:rFonts w:hint="eastAsia" w:ascii="方正仿宋_GBK" w:hAnsi="方正仿宋_GBK" w:eastAsia="方正仿宋_GBK" w:cs="方正仿宋_GBK"/>
          <w:color w:val="auto"/>
          <w:highlight w:val="none"/>
          <w:lang w:eastAsia="zh-CN"/>
        </w:rPr>
        <w:t>〕</w:t>
      </w:r>
      <w:r>
        <w:rPr>
          <w:rFonts w:hint="eastAsia" w:ascii="宋体" w:hAnsi="宋体" w:eastAsia="宋体" w:cs="宋体"/>
          <w:color w:val="auto"/>
          <w:highlight w:val="none"/>
          <w:shd w:val="clear" w:color="auto" w:fill="auto"/>
          <w:lang w:val="en-US" w:eastAsia="zh-CN"/>
        </w:rPr>
        <w:t>33号文件</w:t>
      </w:r>
      <w:bookmarkEnd w:id="5"/>
      <w:r>
        <w:rPr>
          <w:rFonts w:hint="eastAsia" w:cs="宋体"/>
          <w:color w:val="auto"/>
          <w:highlight w:val="none"/>
          <w:shd w:val="clear" w:color="auto" w:fill="auto"/>
          <w:lang w:val="en-US" w:eastAsia="zh-CN"/>
        </w:rPr>
        <w:t>精神，拨付阜康市审计局审计经费，用于保障审计业务开展。</w:t>
      </w:r>
      <w:r>
        <w:rPr>
          <w:rFonts w:hint="eastAsia" w:ascii="宋体" w:hAnsi="宋体" w:eastAsia="宋体" w:cs="宋体"/>
          <w:color w:val="auto"/>
          <w:highlight w:val="none"/>
          <w:shd w:val="clear" w:color="auto" w:fill="auto"/>
          <w:lang w:val="en-US" w:eastAsia="zh-CN"/>
        </w:rPr>
        <w:t>政府投资项目审计工作由我局委托社会中介机构开展竣工</w:t>
      </w:r>
      <w:r>
        <w:rPr>
          <w:rFonts w:hint="default" w:ascii="宋体" w:hAnsi="宋体" w:eastAsia="宋体" w:cs="宋体"/>
          <w:color w:val="auto"/>
          <w:highlight w:val="none"/>
          <w:shd w:val="clear" w:color="auto" w:fill="auto"/>
          <w:lang w:val="en-US" w:eastAsia="zh-CN"/>
        </w:rPr>
        <w:t>决算</w:t>
      </w:r>
      <w:r>
        <w:rPr>
          <w:rFonts w:hint="eastAsia" w:ascii="宋体" w:hAnsi="宋体" w:eastAsia="宋体" w:cs="宋体"/>
          <w:color w:val="auto"/>
          <w:highlight w:val="none"/>
          <w:shd w:val="clear" w:color="auto" w:fill="auto"/>
          <w:lang w:val="en-US" w:eastAsia="zh-CN"/>
        </w:rPr>
        <w:t>、工程造价管理等具体审计项目</w:t>
      </w:r>
      <w:r>
        <w:rPr>
          <w:rFonts w:hint="default" w:ascii="宋体" w:hAnsi="宋体" w:eastAsia="宋体"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目前社会中介机构已在规定时限内完成审计工作，政府投资保障广大人民的经济利益，促进了社会的经济发展。</w:t>
      </w:r>
    </w:p>
    <w:p w14:paraId="62D62FCD">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6"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6"/>
    </w:p>
    <w:p w14:paraId="312507ED">
      <w:pPr>
        <w:pageBreakBefore w:val="0"/>
        <w:kinsoku/>
        <w:wordWrap/>
        <w:overflowPunct/>
        <w:topLinePunct w:val="0"/>
        <w:autoSpaceDE/>
        <w:autoSpaceDN/>
        <w:bidi w:val="0"/>
        <w:adjustRightInd/>
        <w:spacing w:line="560" w:lineRule="exact"/>
        <w:ind w:firstLine="560"/>
        <w:textAlignment w:val="auto"/>
        <w:rPr>
          <w:rFonts w:hint="eastAsia" w:ascii="宋体" w:hAnsi="宋体" w:eastAsia="宋体" w:cs="宋体"/>
          <w:color w:val="auto"/>
          <w:highlight w:val="none"/>
          <w:shd w:val="clear" w:color="auto" w:fill="auto"/>
          <w:lang w:eastAsia="zh-CN"/>
        </w:rPr>
      </w:pPr>
      <w:bookmarkStart w:id="7"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7"/>
      <w:r>
        <w:rPr>
          <w:rFonts w:hint="eastAsia" w:ascii="宋体" w:hAnsi="宋体" w:eastAsia="宋体" w:cs="宋体"/>
          <w:color w:val="auto"/>
          <w:highlight w:val="none"/>
          <w:shd w:val="clear" w:color="auto" w:fill="auto"/>
          <w:lang w:val="en-US" w:eastAsia="zh-CN"/>
        </w:rPr>
        <w:t>该项目主要是</w:t>
      </w:r>
      <w:r>
        <w:rPr>
          <w:rFonts w:hint="eastAsia" w:cs="宋体"/>
          <w:color w:val="auto"/>
          <w:highlight w:val="none"/>
          <w:shd w:val="clear" w:color="auto" w:fill="auto"/>
          <w:lang w:val="en-US" w:eastAsia="zh-CN"/>
        </w:rPr>
        <w:t>支付</w:t>
      </w:r>
      <w:r>
        <w:rPr>
          <w:rFonts w:hint="eastAsia" w:ascii="宋体" w:hAnsi="宋体" w:eastAsia="宋体" w:cs="宋体"/>
          <w:color w:val="auto"/>
          <w:highlight w:val="none"/>
          <w:shd w:val="clear" w:color="auto" w:fill="auto"/>
          <w:lang w:val="en-US" w:eastAsia="zh-CN"/>
        </w:rPr>
        <w:t>竣工结算审计项目</w:t>
      </w:r>
      <w:r>
        <w:rPr>
          <w:rFonts w:hint="eastAsia" w:cs="宋体"/>
          <w:color w:val="auto"/>
          <w:highlight w:val="none"/>
          <w:shd w:val="clear" w:color="auto" w:fill="auto"/>
          <w:lang w:val="en-US" w:eastAsia="zh-CN"/>
        </w:rPr>
        <w:t>资金</w:t>
      </w:r>
      <w:r>
        <w:rPr>
          <w:rFonts w:hint="eastAsia" w:ascii="宋体" w:hAnsi="宋体" w:eastAsia="宋体" w:cs="宋体"/>
          <w:color w:val="auto"/>
          <w:highlight w:val="none"/>
          <w:shd w:val="clear" w:color="auto" w:fill="auto"/>
          <w:lang w:val="en-US" w:eastAsia="zh-CN"/>
        </w:rPr>
        <w:t>。本项目于2023年1月开始实施，截止2023年12月已全部完成，通过本项目的实施，达到节约政府投资的效益。</w:t>
      </w:r>
    </w:p>
    <w:p w14:paraId="1A568A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27</w:t>
      </w:r>
      <w:r>
        <w:rPr>
          <w:rFonts w:hint="eastAsia" w:ascii="宋体" w:hAnsi="宋体" w:eastAsia="宋体" w:cs="宋体"/>
          <w:color w:val="auto"/>
          <w:highlight w:val="none"/>
          <w:shd w:val="clear" w:color="auto" w:fill="auto"/>
          <w:lang w:val="en-US" w:eastAsia="zh-CN"/>
        </w:rPr>
        <w:t>日经《关于拨付审计经费的通知》阜财经办字</w:t>
      </w:r>
      <w:r>
        <w:rPr>
          <w:rFonts w:hint="eastAsia" w:ascii="方正仿宋_GBK" w:hAnsi="方正仿宋_GBK" w:eastAsia="方正仿宋_GBK" w:cs="方正仿宋_GBK"/>
          <w:color w:val="auto"/>
          <w:highlight w:val="none"/>
          <w:lang w:eastAsia="zh-CN"/>
        </w:rPr>
        <w:t>〔</w:t>
      </w:r>
      <w:r>
        <w:rPr>
          <w:rFonts w:hint="eastAsia"/>
          <w:color w:val="auto"/>
          <w:highlight w:val="none"/>
          <w:lang w:eastAsia="zh-CN"/>
        </w:rPr>
        <w:t>2023</w:t>
      </w:r>
      <w:r>
        <w:rPr>
          <w:rFonts w:hint="eastAsia" w:ascii="方正仿宋_GBK" w:hAnsi="方正仿宋_GBK" w:eastAsia="方正仿宋_GBK" w:cs="方正仿宋_GBK"/>
          <w:color w:val="auto"/>
          <w:highlight w:val="none"/>
          <w:lang w:eastAsia="zh-CN"/>
        </w:rPr>
        <w:t>〕</w:t>
      </w:r>
      <w:r>
        <w:rPr>
          <w:rFonts w:hint="eastAsia" w:ascii="宋体" w:hAnsi="宋体" w:eastAsia="宋体" w:cs="宋体"/>
          <w:color w:val="auto"/>
          <w:highlight w:val="none"/>
          <w:shd w:val="clear" w:color="auto" w:fill="auto"/>
          <w:lang w:val="en-US" w:eastAsia="zh-CN"/>
        </w:rPr>
        <w:t>33号文件批复，经</w:t>
      </w:r>
      <w:r>
        <w:rPr>
          <w:rFonts w:hint="eastAsia" w:cs="宋体"/>
          <w:color w:val="auto"/>
          <w:highlight w:val="none"/>
          <w:shd w:val="clear" w:color="auto" w:fill="auto"/>
          <w:lang w:val="en-US" w:eastAsia="zh-CN"/>
        </w:rPr>
        <w:t>局党组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马金娟</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高龙</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项目负责人为李蔚,</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黎国艺</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杨倩</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黎国艺</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杨倩</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韩灵妙</w:t>
      </w:r>
      <w:r>
        <w:rPr>
          <w:rFonts w:hint="eastAsia" w:ascii="宋体" w:hAnsi="宋体" w:eastAsia="宋体" w:cs="宋体"/>
          <w:color w:val="auto"/>
          <w:highlight w:val="none"/>
          <w:shd w:val="clear" w:color="auto" w:fill="auto"/>
          <w:lang w:val="en-US" w:eastAsia="zh-CN"/>
        </w:rPr>
        <w:t>负责资金拨付工作。</w:t>
      </w:r>
      <w:r>
        <w:rPr>
          <w:rFonts w:hint="eastAsia" w:cs="宋体"/>
          <w:color w:val="auto"/>
          <w:highlight w:val="none"/>
          <w:shd w:val="clear" w:color="auto" w:fill="auto"/>
          <w:lang w:val="en-US" w:eastAsia="zh-CN"/>
        </w:rPr>
        <w:t>本项目于2023年1月开始实施，截止2023年12月已全部完成，通过本项目的实施，有效提高了审计干部的业务水平和审计质量。2023年开展</w:t>
      </w:r>
      <w:r>
        <w:rPr>
          <w:rFonts w:hint="eastAsia" w:ascii="宋体" w:hAnsi="宋体" w:eastAsia="宋体" w:cs="宋体"/>
          <w:color w:val="auto"/>
          <w:highlight w:val="none"/>
          <w:shd w:val="clear" w:color="auto" w:fill="auto"/>
          <w:lang w:val="en-US" w:eastAsia="zh-CN"/>
        </w:rPr>
        <w:t>6个竣工结算审计项目</w:t>
      </w:r>
      <w:r>
        <w:rPr>
          <w:rFonts w:hint="eastAsia" w:cs="宋体"/>
          <w:color w:val="auto"/>
          <w:highlight w:val="none"/>
          <w:shd w:val="clear" w:color="auto" w:fill="auto"/>
          <w:lang w:val="en-US" w:eastAsia="zh-CN"/>
        </w:rPr>
        <w:t>的资金支付</w:t>
      </w:r>
      <w:r>
        <w:rPr>
          <w:rFonts w:hint="eastAsia" w:ascii="宋体" w:hAnsi="宋体" w:eastAsia="宋体" w:cs="宋体"/>
          <w:color w:val="auto"/>
          <w:highlight w:val="none"/>
          <w:shd w:val="clear" w:color="auto" w:fill="auto"/>
          <w:lang w:val="en-US" w:eastAsia="zh-CN"/>
        </w:rPr>
        <w:t>，开展全过程跟踪审计项目</w:t>
      </w:r>
      <w:r>
        <w:rPr>
          <w:rFonts w:hint="eastAsia" w:cs="宋体"/>
          <w:color w:val="auto"/>
          <w:highlight w:val="none"/>
          <w:shd w:val="clear" w:color="auto" w:fill="auto"/>
          <w:lang w:val="en-US" w:eastAsia="zh-CN"/>
        </w:rPr>
        <w:t>资金支付</w:t>
      </w:r>
      <w:r>
        <w:rPr>
          <w:rFonts w:hint="eastAsia" w:ascii="宋体" w:hAnsi="宋体" w:eastAsia="宋体" w:cs="宋体"/>
          <w:color w:val="auto"/>
          <w:highlight w:val="none"/>
          <w:shd w:val="clear" w:color="auto" w:fill="auto"/>
          <w:lang w:val="en-US" w:eastAsia="zh-CN"/>
        </w:rPr>
        <w:t>8个，审计项目监督覆盖率100%，项目按节点完成，达到节约政府投资的效益，项目开展及时率100%，审计费支付小微企业金额9.1万元，节约基本建设投资资金695万元，达到节约政府投资的效益。</w:t>
      </w:r>
    </w:p>
    <w:p w14:paraId="5D4DD6DB">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8" w:name="_Toc1858"/>
      <w:r>
        <w:rPr>
          <w:rFonts w:hint="eastAsia" w:ascii="宋体" w:hAnsi="宋体" w:eastAsia="宋体" w:cs="宋体"/>
          <w:color w:val="auto"/>
          <w:highlight w:val="none"/>
          <w:shd w:val="clear" w:color="auto" w:fill="auto"/>
          <w:lang w:val="en-US" w:eastAsia="zh-CN"/>
        </w:rPr>
        <w:t>3.资金投入和使用情况</w:t>
      </w:r>
      <w:bookmarkEnd w:id="8"/>
    </w:p>
    <w:p w14:paraId="05AFDE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1FC3D1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阜康市审计局审计业务经费项目</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17.87</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金17.87</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17.87</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3FC221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07C1B02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截至2023年12月31日，阜康市审计局审计业务经费项目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17.87</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审计业务等方面。</w:t>
      </w:r>
    </w:p>
    <w:p w14:paraId="32DF8852">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9" w:name="_Toc2879"/>
      <w:r>
        <w:rPr>
          <w:rFonts w:hint="eastAsia" w:ascii="宋体" w:hAnsi="宋体" w:eastAsia="宋体" w:cs="宋体"/>
          <w:color w:val="auto"/>
          <w:highlight w:val="none"/>
          <w:shd w:val="clear" w:color="auto" w:fill="auto"/>
        </w:rPr>
        <w:t>项目绩效目标</w:t>
      </w:r>
      <w:bookmarkEnd w:id="9"/>
    </w:p>
    <w:p w14:paraId="05743A85">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10047"/>
      <w:r>
        <w:rPr>
          <w:rFonts w:hint="eastAsia" w:ascii="宋体" w:hAnsi="宋体" w:eastAsia="宋体" w:cs="宋体"/>
          <w:color w:val="auto"/>
          <w:highlight w:val="none"/>
          <w:shd w:val="clear" w:color="auto" w:fill="auto"/>
          <w:lang w:val="en-US" w:eastAsia="zh-CN"/>
        </w:rPr>
        <w:t>1.总体目标</w:t>
      </w:r>
      <w:bookmarkEnd w:id="10"/>
    </w:p>
    <w:p w14:paraId="0476730B">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阜康市审计局审计业务经费项目绩效总体目标为：对本级预算执行情况和其他财政收支、经济责任、社会保障资金和环境保护资金、对市重点建设项目的资金来源、使用情况和投资效益以及基本建设项目的预算执行情况和决算进行审计监督。组织实施内部审计工作的指导与监督；对社会审计的审计业务完成情况进行监督。预期开展工程结算审计项目6个，开展全过程跟踪审计项目8个，审计项目监督覆盖率达到100%，项目完成时限2023年12月31日，项目开展及时率达到100%，节约基本建设投资资金达到695万元，预期达到提高被审计单位经济管理水平的效益。</w:t>
      </w:r>
    </w:p>
    <w:p w14:paraId="0E2A032A">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1" w:name="_Toc4487"/>
      <w:r>
        <w:rPr>
          <w:rFonts w:hint="eastAsia" w:ascii="宋体" w:hAnsi="宋体" w:eastAsia="宋体" w:cs="宋体"/>
          <w:color w:val="auto"/>
          <w:highlight w:val="none"/>
          <w:shd w:val="clear" w:color="auto" w:fill="auto"/>
          <w:lang w:val="en-US" w:eastAsia="zh-CN"/>
        </w:rPr>
        <w:t>2.阶段性目标</w:t>
      </w:r>
      <w:bookmarkEnd w:id="11"/>
    </w:p>
    <w:p w14:paraId="762CDD4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66992F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2C5D2D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2D970FC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支付开展工程结算审计项目资金个数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6</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支付开展全过程跟踪审计项目资金个数</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为8；</w:t>
      </w:r>
    </w:p>
    <w:p w14:paraId="249808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1FE461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审计项目监督覆盖率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91C84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00673F3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支付项目资金及时率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；“项目开展及时率”指标，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2D6272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2C1F5773">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本项目不涉及成本指标。</w:t>
      </w:r>
    </w:p>
    <w:p w14:paraId="326052F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5770566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10BC36A4">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节约基本建设投资资金</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695万</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提高被审计单位经济管理水平</w:t>
      </w:r>
      <w:r>
        <w:rPr>
          <w:rFonts w:hint="eastAsia" w:cs="宋体"/>
          <w:color w:val="auto"/>
          <w:highlight w:val="none"/>
          <w:shd w:val="clear" w:color="auto" w:fill="auto"/>
          <w:lang w:val="en-US" w:eastAsia="zh-CN"/>
        </w:rPr>
        <w:t>”指标，预期目标值</w:t>
      </w:r>
      <w:r>
        <w:rPr>
          <w:rFonts w:hint="eastAsia" w:ascii="宋体" w:hAnsi="宋体" w:eastAsia="宋体" w:cs="宋体"/>
          <w:color w:val="auto"/>
          <w:highlight w:val="none"/>
          <w:shd w:val="clear" w:color="auto" w:fill="auto"/>
          <w:lang w:val="en-US" w:eastAsia="zh-CN"/>
        </w:rPr>
        <w:t>为提高；</w:t>
      </w:r>
    </w:p>
    <w:p w14:paraId="50C3F5C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066B0D40">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社会效益指标。</w:t>
      </w:r>
    </w:p>
    <w:p w14:paraId="6B4FFA2A">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4399CE35">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社会效益指标。</w:t>
      </w:r>
    </w:p>
    <w:p w14:paraId="54CDADE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56A2594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p>
    <w:p w14:paraId="7554201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544BB6A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满意度指标。</w:t>
      </w:r>
    </w:p>
    <w:p w14:paraId="0B2E27F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2" w:name="_Toc2549"/>
      <w:r>
        <w:rPr>
          <w:rFonts w:hint="eastAsia" w:ascii="宋体" w:hAnsi="宋体" w:eastAsia="宋体" w:cs="宋体"/>
          <w:b/>
          <w:bCs/>
          <w:color w:val="auto"/>
          <w:highlight w:val="none"/>
          <w:shd w:val="clear" w:color="auto" w:fill="auto"/>
        </w:rPr>
        <w:t>二、绩效评价工作开展情况</w:t>
      </w:r>
      <w:bookmarkEnd w:id="12"/>
    </w:p>
    <w:p w14:paraId="6499BDAF">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3" w:name="_Toc480473081"/>
      <w:bookmarkStart w:id="14" w:name="_Toc5462343"/>
      <w:bookmarkStart w:id="15" w:name="_Toc21664"/>
      <w:bookmarkStart w:id="16" w:name="_Toc5258"/>
      <w:bookmarkStart w:id="17" w:name="_Toc22922"/>
      <w:bookmarkStart w:id="18" w:name="_Toc26632"/>
      <w:bookmarkStart w:id="19" w:name="_Toc22169_WPSOffice_Level2"/>
      <w:bookmarkStart w:id="20" w:name="_Toc12868"/>
      <w:bookmarkStart w:id="21" w:name="_Toc21778"/>
      <w:r>
        <w:rPr>
          <w:rFonts w:hint="eastAsia" w:ascii="宋体" w:hAnsi="宋体" w:eastAsia="宋体" w:cs="宋体"/>
          <w:color w:val="auto"/>
          <w:sz w:val="32"/>
          <w:szCs w:val="32"/>
          <w:highlight w:val="none"/>
          <w:shd w:val="clear" w:color="auto" w:fill="auto"/>
          <w:lang w:eastAsia="zh-CN"/>
        </w:rPr>
        <w:t>绩效评价的目的</w:t>
      </w:r>
      <w:bookmarkEnd w:id="13"/>
      <w:bookmarkEnd w:id="14"/>
      <w:bookmarkEnd w:id="15"/>
      <w:bookmarkEnd w:id="16"/>
      <w:bookmarkEnd w:id="17"/>
      <w:bookmarkEnd w:id="18"/>
      <w:bookmarkEnd w:id="19"/>
      <w:bookmarkEnd w:id="20"/>
      <w:r>
        <w:rPr>
          <w:rFonts w:hint="eastAsia" w:ascii="宋体" w:hAnsi="宋体" w:eastAsia="宋体" w:cs="宋体"/>
          <w:color w:val="auto"/>
          <w:sz w:val="32"/>
          <w:szCs w:val="32"/>
          <w:highlight w:val="none"/>
          <w:shd w:val="clear" w:color="auto" w:fill="auto"/>
          <w:lang w:eastAsia="zh-CN"/>
        </w:rPr>
        <w:t>、对象和范围</w:t>
      </w:r>
      <w:bookmarkEnd w:id="21"/>
    </w:p>
    <w:p w14:paraId="10A7695F">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2"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2"/>
    </w:p>
    <w:p w14:paraId="1E06308A">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7168AAB4">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3" w:name="_Toc30609"/>
      <w:r>
        <w:rPr>
          <w:rFonts w:hint="eastAsia" w:ascii="宋体" w:hAnsi="宋体" w:eastAsia="宋体" w:cs="宋体"/>
          <w:color w:val="auto"/>
          <w:highlight w:val="none"/>
          <w:shd w:val="clear" w:color="auto" w:fill="auto"/>
          <w:lang w:val="en-US" w:eastAsia="zh-CN"/>
        </w:rPr>
        <w:t>2.绩效评价的对象和范围</w:t>
      </w:r>
      <w:bookmarkEnd w:id="23"/>
    </w:p>
    <w:p w14:paraId="04E22F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阜康市审计局审计业务经费</w:t>
      </w:r>
      <w:r>
        <w:rPr>
          <w:rFonts w:hint="eastAsia" w:ascii="宋体" w:hAnsi="宋体" w:eastAsia="宋体" w:cs="宋体"/>
          <w:color w:val="auto"/>
          <w:highlight w:val="none"/>
          <w:shd w:val="clear" w:color="auto" w:fill="auto"/>
          <w:lang w:val="en-US" w:eastAsia="zh-CN"/>
        </w:rPr>
        <w:t>项目开展部门绩效评价。</w:t>
      </w:r>
    </w:p>
    <w:p w14:paraId="4ED623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33F652EE">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4"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4"/>
    </w:p>
    <w:p w14:paraId="301F35D9">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5"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5"/>
    </w:p>
    <w:p w14:paraId="02020D2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阜康市审计局审计业务经费</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2969905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0BB0F1B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7D208FD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03993D8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4070F85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7F483CA5">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6" w:name="_Toc26131"/>
      <w:bookmarkStart w:id="27" w:name="_Toc1913"/>
      <w:bookmarkStart w:id="28" w:name="_Toc428278230"/>
      <w:bookmarkStart w:id="29" w:name="_Toc419984722"/>
      <w:bookmarkStart w:id="30"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6"/>
      <w:bookmarkEnd w:id="27"/>
      <w:bookmarkEnd w:id="28"/>
      <w:bookmarkEnd w:id="29"/>
      <w:r>
        <w:rPr>
          <w:rFonts w:hint="eastAsia" w:ascii="宋体" w:hAnsi="宋体" w:eastAsia="宋体" w:cs="宋体"/>
          <w:color w:val="auto"/>
          <w:highlight w:val="none"/>
          <w:shd w:val="clear" w:color="auto" w:fill="auto"/>
          <w:lang w:val="en-US" w:eastAsia="zh-CN"/>
        </w:rPr>
        <w:t>标准</w:t>
      </w:r>
      <w:bookmarkEnd w:id="30"/>
    </w:p>
    <w:p w14:paraId="328BE5A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3572635A">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18CA05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7F9229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5F9147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4DEB00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5C235D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06DE6D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5F674E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0A604D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40F122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6FF977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24D5E2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4B4AF18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2B51F40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118740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29B94DD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62F3F58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2B1730D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7B7C0BC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78B1F3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35EC392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99679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14AE52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3222FF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4425E7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7635EE1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94BFDA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2983091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78A9682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46D4F5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1CD36F0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3890AC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7FE20C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160268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67205B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3693DFC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FBC8BE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29B390C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122EB01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2461B8F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57BC838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76B3FF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DA4BC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27D55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48489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039410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1585A0D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57D3EE0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8965B2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69960B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6C0469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4ADD7D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01E73CB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0F9D0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36B0C0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5A1CC3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4EB645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1074951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BB74BD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0FBD0B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6EBD32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0573F31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5137A9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6CC4E4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9F9C7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1916C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2D65C7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5A1525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1A30F4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5E353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3A58D2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5EC150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6C6F4A1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15C89B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6299DB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00BD41E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64798C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51A4EE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4F64C34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10B71A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2CDFADD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A0BE5D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2AD93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1C8C93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28D49BA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358DCAD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500264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2968D5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774A9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48C7D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727746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7FC73A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2F9082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A590A9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0D27E8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0B8B40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70AEB9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69AFB5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355EDCD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55095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711EAA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7ABF23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02409A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199EAC6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5D094F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37F375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6473A9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982B9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A441B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5639E7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7B3F72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25D36C8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529F4B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F122E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1B76CC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550BEBC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57D43B9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4D0A0C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28C8B4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1A7550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3554B0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60DA59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12B3129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1A39426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0177B87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26A7C0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8FFD6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7F6CA2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57195E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5E5027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400E28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3734BD4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027C7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3A80395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B3EDAA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105D57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0C02EAC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3F66DD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766DC4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1DF3F4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6E1718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37BC27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237B5B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5B71C89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16F5ECE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29677CF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78F44DD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048A3B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0A66D9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34D083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73A109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06F3B1A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0B93970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5CCDB9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11B971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96B76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F6DA7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611D02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32E6A60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65F9AB54">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1"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1"/>
    </w:p>
    <w:p w14:paraId="7F83AFB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与实施情况进行比较，以及采取抽样调查等方式进行评判的方法对</w:t>
      </w:r>
      <w:r>
        <w:rPr>
          <w:rFonts w:hint="eastAsia" w:cs="宋体"/>
          <w:color w:val="auto"/>
          <w:highlight w:val="none"/>
          <w:shd w:val="clear" w:color="auto" w:fill="auto"/>
          <w:lang w:val="en-US" w:eastAsia="zh-CN"/>
        </w:rPr>
        <w:t>阜康市审计局审计业务经费</w:t>
      </w:r>
      <w:r>
        <w:rPr>
          <w:rFonts w:hint="eastAsia" w:ascii="宋体" w:hAnsi="宋体" w:eastAsia="宋体" w:cs="宋体"/>
          <w:color w:val="auto"/>
          <w:highlight w:val="none"/>
          <w:shd w:val="clear" w:color="auto" w:fill="auto"/>
          <w:lang w:val="en-US" w:eastAsia="zh-CN"/>
        </w:rPr>
        <w:t>项目进行评价。</w:t>
      </w:r>
    </w:p>
    <w:p w14:paraId="3590B85F">
      <w:pPr>
        <w:pStyle w:val="5"/>
        <w:rPr>
          <w:rFonts w:hint="default" w:ascii="宋体" w:hAnsi="宋体" w:eastAsia="宋体" w:cs="宋体"/>
          <w:color w:val="auto"/>
          <w:highlight w:val="none"/>
          <w:shd w:val="clear" w:color="auto" w:fill="auto"/>
          <w:lang w:val="en-US" w:eastAsia="zh-CN"/>
        </w:rPr>
      </w:pPr>
      <w:bookmarkStart w:id="32" w:name="_Toc25391"/>
      <w:r>
        <w:rPr>
          <w:rFonts w:hint="eastAsia" w:ascii="宋体" w:hAnsi="宋体" w:eastAsia="宋体" w:cs="宋体"/>
          <w:color w:val="auto"/>
          <w:highlight w:val="none"/>
          <w:shd w:val="clear" w:color="auto" w:fill="auto"/>
          <w:lang w:val="en-US" w:eastAsia="zh-CN"/>
        </w:rPr>
        <w:t>4.评价标准</w:t>
      </w:r>
      <w:bookmarkEnd w:id="32"/>
    </w:p>
    <w:p w14:paraId="584059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4CC5CB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357A24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47DE73B7">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42B08873">
      <w:pPr>
        <w:pStyle w:val="5"/>
        <w:outlineLvl w:val="1"/>
        <w:rPr>
          <w:rFonts w:hint="default" w:ascii="宋体" w:hAnsi="宋体" w:eastAsia="宋体" w:cs="宋体"/>
          <w:color w:val="auto"/>
          <w:highlight w:val="none"/>
          <w:shd w:val="clear" w:color="auto" w:fill="auto"/>
          <w:lang w:val="en-US" w:eastAsia="zh-CN"/>
        </w:rPr>
      </w:pPr>
      <w:bookmarkStart w:id="33" w:name="_Toc1070"/>
      <w:r>
        <w:rPr>
          <w:rFonts w:hint="eastAsia" w:ascii="宋体" w:hAnsi="宋体" w:eastAsia="宋体" w:cs="宋体"/>
          <w:color w:val="auto"/>
          <w:highlight w:val="none"/>
          <w:shd w:val="clear" w:color="auto" w:fill="auto"/>
          <w:lang w:val="en-US" w:eastAsia="zh-CN"/>
        </w:rPr>
        <w:t>（三）绩效评价工作过程</w:t>
      </w:r>
      <w:bookmarkEnd w:id="33"/>
    </w:p>
    <w:p w14:paraId="67AE5A5D">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4" w:name="_Toc12862"/>
      <w:r>
        <w:rPr>
          <w:rFonts w:hint="eastAsia" w:ascii="宋体" w:hAnsi="宋体" w:eastAsia="宋体" w:cs="宋体"/>
          <w:color w:val="auto"/>
          <w:highlight w:val="none"/>
          <w:shd w:val="clear" w:color="auto" w:fill="auto"/>
          <w:lang w:val="en-US" w:eastAsia="zh-CN"/>
        </w:rPr>
        <w:t>1.前期准备</w:t>
      </w:r>
      <w:bookmarkEnd w:id="34"/>
    </w:p>
    <w:p w14:paraId="39C8E5A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6AFE873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33C6E2F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5"/>
    </w:p>
    <w:p w14:paraId="56234A6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阜康市审计局审计业务经费项目实施内容、目标信息、预算信息以及其他的一些项目基本信息，有了初步了解，为制定绩效评价工作方案做好准备。</w:t>
      </w:r>
      <w:bookmarkEnd w:id="36"/>
    </w:p>
    <w:p w14:paraId="552E7C7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7"/>
    </w:p>
    <w:p w14:paraId="5087CB8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8"/>
    </w:p>
    <w:p w14:paraId="59C492C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9"/>
    </w:p>
    <w:p w14:paraId="397D611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40"/>
    </w:p>
    <w:p w14:paraId="2F356D0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1"/>
    </w:p>
    <w:p w14:paraId="072BFF7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2"/>
    </w:p>
    <w:p w14:paraId="12C6501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3"/>
    </w:p>
    <w:p w14:paraId="6D2FA3F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4"/>
    </w:p>
    <w:p w14:paraId="7146932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5"/>
    </w:p>
    <w:p w14:paraId="44F988B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6"/>
    </w:p>
    <w:p w14:paraId="2B345501">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7"/>
    </w:p>
    <w:p w14:paraId="4147A99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8"/>
    </w:p>
    <w:p w14:paraId="284BC0E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9"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9"/>
    </w:p>
    <w:p w14:paraId="2489099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50"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50"/>
    </w:p>
    <w:p w14:paraId="3F0D2D9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1"/>
    </w:p>
    <w:p w14:paraId="5673D293">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2"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2"/>
    </w:p>
    <w:p w14:paraId="75DD7E4D">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3"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3"/>
    </w:p>
    <w:p w14:paraId="53F829D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4"/>
    </w:p>
    <w:p w14:paraId="37C4847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5"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5"/>
    </w:p>
    <w:p w14:paraId="4D9EAA8A">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6"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6"/>
    </w:p>
    <w:p w14:paraId="21D6FC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阜康市审计局审计业务经费</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优秀</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5CE50906">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42B057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仿宋_GB2312" w:hAnsi="仿宋_GB2312" w:eastAsia="仿宋_GB2312" w:cs="仿宋_GB2312"/>
                <w:b/>
                <w:bCs/>
                <w:color w:val="auto"/>
                <w:kern w:val="0"/>
                <w:highlight w:val="none"/>
              </w:rPr>
              <w:t>表3-1：</w:t>
            </w:r>
            <w:r>
              <w:rPr>
                <w:rFonts w:hint="eastAsia" w:ascii="仿宋_GB2312" w:hAnsi="仿宋_GB2312" w:eastAsia="仿宋_GB2312" w:cs="仿宋_GB2312"/>
                <w:b w:val="0"/>
                <w:bCs/>
                <w:color w:val="auto"/>
                <w:kern w:val="2"/>
                <w:sz w:val="28"/>
                <w:szCs w:val="28"/>
                <w:highlight w:val="none"/>
                <w:lang w:val="en-US" w:eastAsia="zh-CN" w:bidi="ar-SA"/>
              </w:rPr>
              <w:t>2023年审计业务经费</w:t>
            </w:r>
            <w:r>
              <w:rPr>
                <w:rFonts w:hint="eastAsia" w:ascii="仿宋_GB2312" w:hAnsi="仿宋_GB2312" w:eastAsia="仿宋_GB2312" w:cs="仿宋_GB2312"/>
                <w:b w:val="0"/>
                <w:bCs w:val="0"/>
                <w:color w:val="auto"/>
                <w:kern w:val="0"/>
                <w:highlight w:val="none"/>
              </w:rPr>
              <w:t>项目得分表</w:t>
            </w:r>
          </w:p>
        </w:tc>
      </w:tr>
      <w:tr w14:paraId="346A2E2D">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2009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1E2B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088C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D2C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434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EAB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4BCB662C">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31F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97C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6361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02D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DE32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DEE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7C095B53">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D84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A53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03B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D08F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B8A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761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p>
        </w:tc>
      </w:tr>
      <w:tr w14:paraId="3E55E056">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61BE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C7E7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33CA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039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25CE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62C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r>
    </w:tbl>
    <w:p w14:paraId="5F8A0C77">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7" w:name="_Toc9421"/>
      <w:r>
        <w:rPr>
          <w:rFonts w:hint="eastAsia" w:ascii="宋体" w:hAnsi="宋体" w:eastAsia="宋体" w:cs="宋体"/>
          <w:b/>
          <w:bCs/>
          <w:color w:val="auto"/>
          <w:highlight w:val="none"/>
          <w:shd w:val="clear" w:color="auto" w:fill="auto"/>
          <w:lang w:val="en-US" w:eastAsia="zh-CN"/>
        </w:rPr>
        <w:t>四、绩效评价指标分析</w:t>
      </w:r>
      <w:bookmarkEnd w:id="57"/>
    </w:p>
    <w:p w14:paraId="68D6357A">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8" w:name="_Toc15355"/>
      <w:r>
        <w:rPr>
          <w:rFonts w:hint="eastAsia" w:ascii="宋体" w:hAnsi="宋体" w:eastAsia="宋体" w:cs="宋体"/>
          <w:color w:val="auto"/>
          <w:highlight w:val="none"/>
          <w:shd w:val="clear" w:color="auto" w:fill="auto"/>
        </w:rPr>
        <w:t>（一）项目决策情况</w:t>
      </w:r>
      <w:bookmarkEnd w:id="58"/>
    </w:p>
    <w:p w14:paraId="3D427F7C">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420B9933">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251DB3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14:paraId="7355F6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14:paraId="14D7E9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14:paraId="4A1DE3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14:paraId="7BEF7C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14:paraId="5373E0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14:paraId="00C036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14:paraId="3F411C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40A8C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14:paraId="31B1CB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14:paraId="14EC20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14:paraId="7E4AAA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14:paraId="4EB276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2AC8CB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14:paraId="3E5223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50EEE0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2A5E8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008AD1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5AFBF3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5039FC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586C3A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7C3130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14:paraId="7B27A7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0029D3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7C0A1A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763103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166656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652863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14:paraId="34A049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14:paraId="5588D8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14:paraId="38C1EE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60590E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E5C78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165AE0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452DA1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1277B1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0E6204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423678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14:paraId="3B29E5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14:paraId="419431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3CF57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67F6CE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6E127F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14:paraId="5BF074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14:paraId="5A949C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14:paraId="45179B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14:paraId="596D7C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14:paraId="57F837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DCFDE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14:paraId="2D1DDD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14:paraId="58E5B0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14:paraId="156651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14:paraId="16F7D3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14:paraId="03804B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14:paraId="091761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14:paraId="152559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30534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14:paraId="78E6E2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14:paraId="792CCF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14:paraId="1B56F5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14:paraId="40FE0E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14:paraId="3330CE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0F30D61F">
      <w:pPr>
        <w:bidi w:val="0"/>
        <w:outlineLvl w:val="2"/>
        <w:rPr>
          <w:rFonts w:hint="default"/>
          <w:b/>
          <w:bCs/>
          <w:color w:val="auto"/>
          <w:highlight w:val="none"/>
          <w:lang w:val="en-US" w:eastAsia="zh-CN"/>
        </w:rPr>
      </w:pPr>
      <w:bookmarkStart w:id="59" w:name="_Toc13522"/>
      <w:r>
        <w:rPr>
          <w:rFonts w:hint="eastAsia"/>
          <w:b/>
          <w:bCs/>
          <w:color w:val="auto"/>
          <w:highlight w:val="none"/>
          <w:lang w:val="en-US" w:eastAsia="zh-CN"/>
        </w:rPr>
        <w:t>1.立项依据充分性</w:t>
      </w:r>
      <w:bookmarkEnd w:id="59"/>
    </w:p>
    <w:p w14:paraId="1A4D9042">
      <w:pPr>
        <w:bidi w:val="0"/>
        <w:rPr>
          <w:rFonts w:hint="eastAsia"/>
          <w:color w:val="auto"/>
          <w:highlight w:val="none"/>
          <w:lang w:eastAsia="zh-CN"/>
        </w:rPr>
      </w:pPr>
      <w:r>
        <w:rPr>
          <w:rFonts w:hint="eastAsia"/>
          <w:color w:val="auto"/>
          <w:highlight w:val="none"/>
          <w:lang w:eastAsia="zh-CN"/>
        </w:rPr>
        <w:t>①项目立项符合</w:t>
      </w:r>
      <w:r>
        <w:rPr>
          <w:rFonts w:hint="eastAsia" w:ascii="宋体" w:hAnsi="宋体" w:eastAsia="宋体" w:cs="宋体"/>
          <w:color w:val="auto"/>
          <w:highlight w:val="none"/>
          <w:lang w:eastAsia="zh-CN"/>
        </w:rPr>
        <w:t>国家法律法规、国民经济发展规划和</w:t>
      </w:r>
      <w:r>
        <w:rPr>
          <w:rFonts w:hint="eastAsia"/>
          <w:color w:val="auto"/>
          <w:highlight w:val="none"/>
          <w:lang w:eastAsia="zh-CN"/>
        </w:rPr>
        <w:t>《关于拨付审计经费的通知》阜财经办字</w:t>
      </w:r>
      <w:r>
        <w:rPr>
          <w:rFonts w:hint="eastAsia" w:ascii="方正仿宋_GBK" w:hAnsi="方正仿宋_GBK" w:eastAsia="方正仿宋_GBK" w:cs="方正仿宋_GBK"/>
          <w:color w:val="auto"/>
          <w:highlight w:val="none"/>
          <w:lang w:eastAsia="zh-CN"/>
        </w:rPr>
        <w:t>〔</w:t>
      </w:r>
      <w:r>
        <w:rPr>
          <w:rFonts w:hint="eastAsia"/>
          <w:color w:val="auto"/>
          <w:highlight w:val="none"/>
          <w:lang w:eastAsia="zh-CN"/>
        </w:rPr>
        <w:t>2023</w:t>
      </w:r>
      <w:r>
        <w:rPr>
          <w:rFonts w:hint="eastAsia" w:ascii="方正仿宋_GBK" w:hAnsi="方正仿宋_GBK" w:eastAsia="方正仿宋_GBK" w:cs="方正仿宋_GBK"/>
          <w:color w:val="auto"/>
          <w:highlight w:val="none"/>
          <w:lang w:eastAsia="zh-CN"/>
        </w:rPr>
        <w:t>〕</w:t>
      </w:r>
      <w:r>
        <w:rPr>
          <w:rFonts w:hint="eastAsia"/>
          <w:color w:val="auto"/>
          <w:highlight w:val="none"/>
          <w:lang w:eastAsia="zh-CN"/>
        </w:rPr>
        <w:t>33号</w:t>
      </w:r>
      <w:r>
        <w:rPr>
          <w:rFonts w:hint="eastAsia"/>
          <w:color w:val="auto"/>
          <w:highlight w:val="none"/>
          <w:lang w:val="en-US" w:eastAsia="zh-CN"/>
        </w:rPr>
        <w:t>文件要求</w:t>
      </w:r>
      <w:r>
        <w:rPr>
          <w:rFonts w:hint="eastAsia"/>
          <w:color w:val="auto"/>
          <w:highlight w:val="none"/>
          <w:lang w:eastAsia="zh-CN"/>
        </w:rPr>
        <w:t>；</w:t>
      </w:r>
    </w:p>
    <w:p w14:paraId="18CF0ABA">
      <w:pPr>
        <w:bidi w:val="0"/>
        <w:rPr>
          <w:rFonts w:hint="eastAsia"/>
          <w:color w:val="auto"/>
          <w:highlight w:val="none"/>
          <w:lang w:eastAsia="zh-CN"/>
        </w:rPr>
      </w:pPr>
      <w:r>
        <w:rPr>
          <w:rFonts w:hint="eastAsia"/>
          <w:color w:val="auto"/>
          <w:highlight w:val="none"/>
          <w:lang w:eastAsia="zh-CN"/>
        </w:rPr>
        <w:t>②项目立项符合</w:t>
      </w:r>
      <w:r>
        <w:rPr>
          <w:rFonts w:hint="eastAsia"/>
          <w:color w:val="auto"/>
          <w:highlight w:val="none"/>
          <w:lang w:val="en-US" w:eastAsia="zh-CN"/>
        </w:rPr>
        <w:t>审计行业发展规划和</w:t>
      </w:r>
      <w:r>
        <w:rPr>
          <w:rFonts w:hint="eastAsia"/>
          <w:color w:val="auto"/>
          <w:highlight w:val="none"/>
          <w:lang w:eastAsia="zh-CN"/>
        </w:rPr>
        <w:t>《关于拨付审计经费的通知》阜财经办字</w:t>
      </w:r>
      <w:r>
        <w:rPr>
          <w:rFonts w:hint="eastAsia" w:ascii="方正仿宋_GBK" w:hAnsi="方正仿宋_GBK" w:eastAsia="方正仿宋_GBK" w:cs="方正仿宋_GBK"/>
          <w:color w:val="auto"/>
          <w:highlight w:val="none"/>
          <w:lang w:eastAsia="zh-CN"/>
        </w:rPr>
        <w:t>〔</w:t>
      </w:r>
      <w:r>
        <w:rPr>
          <w:rFonts w:hint="eastAsia"/>
          <w:color w:val="auto"/>
          <w:highlight w:val="none"/>
          <w:lang w:eastAsia="zh-CN"/>
        </w:rPr>
        <w:t>2023</w:t>
      </w:r>
      <w:r>
        <w:rPr>
          <w:rFonts w:hint="eastAsia" w:ascii="方正仿宋_GBK" w:hAnsi="方正仿宋_GBK" w:eastAsia="方正仿宋_GBK" w:cs="方正仿宋_GBK"/>
          <w:color w:val="auto"/>
          <w:highlight w:val="none"/>
          <w:lang w:eastAsia="zh-CN"/>
        </w:rPr>
        <w:t>〕</w:t>
      </w:r>
      <w:r>
        <w:rPr>
          <w:rFonts w:hint="eastAsia"/>
          <w:color w:val="auto"/>
          <w:highlight w:val="none"/>
          <w:lang w:eastAsia="zh-CN"/>
        </w:rPr>
        <w:t>33号</w:t>
      </w:r>
      <w:r>
        <w:rPr>
          <w:rFonts w:hint="eastAsia"/>
          <w:color w:val="auto"/>
          <w:highlight w:val="none"/>
          <w:lang w:val="en-US" w:eastAsia="zh-CN"/>
        </w:rPr>
        <w:t>文件精神</w:t>
      </w:r>
      <w:r>
        <w:rPr>
          <w:rFonts w:hint="eastAsia"/>
          <w:color w:val="auto"/>
          <w:highlight w:val="none"/>
          <w:lang w:eastAsia="zh-CN"/>
        </w:rPr>
        <w:t>；</w:t>
      </w:r>
    </w:p>
    <w:p w14:paraId="4742F88E">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审计局审计监督职责</w:t>
      </w:r>
      <w:r>
        <w:rPr>
          <w:rFonts w:hint="eastAsia"/>
          <w:color w:val="auto"/>
          <w:highlight w:val="none"/>
          <w:lang w:eastAsia="zh-CN"/>
        </w:rPr>
        <w:t>相符，属于部门履职所需；</w:t>
      </w:r>
    </w:p>
    <w:p w14:paraId="1E717495">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360ADF49">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4657758C">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489B9243">
      <w:pPr>
        <w:bidi w:val="0"/>
        <w:outlineLvl w:val="2"/>
        <w:rPr>
          <w:rFonts w:hint="default"/>
          <w:b/>
          <w:bCs/>
          <w:color w:val="auto"/>
          <w:highlight w:val="none"/>
          <w:lang w:val="en-US" w:eastAsia="zh-CN"/>
        </w:rPr>
      </w:pPr>
      <w:bookmarkStart w:id="60" w:name="_Toc21976"/>
      <w:r>
        <w:rPr>
          <w:rFonts w:hint="eastAsia"/>
          <w:b/>
          <w:bCs/>
          <w:color w:val="auto"/>
          <w:highlight w:val="none"/>
          <w:lang w:val="en-US" w:eastAsia="zh-CN"/>
        </w:rPr>
        <w:t>2.立项程序规范性</w:t>
      </w:r>
      <w:bookmarkEnd w:id="60"/>
    </w:p>
    <w:p w14:paraId="61B4B380">
      <w:pPr>
        <w:bidi w:val="0"/>
        <w:rPr>
          <w:rFonts w:hint="eastAsia"/>
          <w:color w:val="auto"/>
          <w:highlight w:val="none"/>
          <w:lang w:eastAsia="zh-CN"/>
        </w:rPr>
      </w:pPr>
      <w:r>
        <w:rPr>
          <w:rFonts w:hint="eastAsia"/>
          <w:color w:val="auto"/>
          <w:highlight w:val="none"/>
          <w:lang w:eastAsia="zh-CN"/>
        </w:rPr>
        <w:t>①项目按照规定的程序申请设立；</w:t>
      </w:r>
    </w:p>
    <w:p w14:paraId="65ECD140">
      <w:pPr>
        <w:bidi w:val="0"/>
        <w:rPr>
          <w:rFonts w:hint="eastAsia"/>
          <w:color w:val="auto"/>
          <w:highlight w:val="none"/>
          <w:lang w:eastAsia="zh-CN"/>
        </w:rPr>
      </w:pPr>
      <w:r>
        <w:rPr>
          <w:rFonts w:hint="eastAsia"/>
          <w:color w:val="auto"/>
          <w:highlight w:val="none"/>
          <w:lang w:eastAsia="zh-CN"/>
        </w:rPr>
        <w:t>②审批文件、材料符合相关要求；</w:t>
      </w:r>
    </w:p>
    <w:p w14:paraId="70CBC46E">
      <w:pPr>
        <w:bidi w:val="0"/>
        <w:rPr>
          <w:rFonts w:hint="eastAsia"/>
          <w:color w:val="auto"/>
          <w:highlight w:val="none"/>
        </w:rPr>
      </w:pPr>
      <w:r>
        <w:rPr>
          <w:rFonts w:hint="eastAsia"/>
          <w:color w:val="auto"/>
          <w:highlight w:val="none"/>
          <w:lang w:eastAsia="zh-CN"/>
        </w:rPr>
        <w:t>③事前经过党组会进行</w:t>
      </w:r>
      <w:r>
        <w:rPr>
          <w:rFonts w:hint="eastAsia"/>
          <w:color w:val="auto"/>
          <w:highlight w:val="none"/>
        </w:rPr>
        <w:t>集体决策、</w:t>
      </w:r>
      <w:r>
        <w:rPr>
          <w:rFonts w:hint="eastAsia"/>
          <w:color w:val="auto"/>
          <w:highlight w:val="none"/>
          <w:lang w:eastAsia="zh-CN"/>
        </w:rPr>
        <w:t>绩效评估</w:t>
      </w:r>
      <w:r>
        <w:rPr>
          <w:rFonts w:hint="eastAsia"/>
          <w:color w:val="auto"/>
          <w:highlight w:val="none"/>
        </w:rPr>
        <w:t>。</w:t>
      </w:r>
    </w:p>
    <w:p w14:paraId="5EB65887">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74504969">
      <w:pPr>
        <w:bidi w:val="0"/>
        <w:outlineLvl w:val="2"/>
        <w:rPr>
          <w:rFonts w:hint="default"/>
          <w:b/>
          <w:bCs/>
          <w:color w:val="auto"/>
          <w:highlight w:val="none"/>
          <w:lang w:val="en-US" w:eastAsia="zh-CN"/>
        </w:rPr>
      </w:pPr>
      <w:bookmarkStart w:id="61" w:name="_Toc15382"/>
      <w:r>
        <w:rPr>
          <w:rFonts w:hint="eastAsia"/>
          <w:b/>
          <w:bCs/>
          <w:color w:val="auto"/>
          <w:highlight w:val="none"/>
          <w:lang w:val="en-US" w:eastAsia="zh-CN"/>
        </w:rPr>
        <w:t>3.绩效目标合理性</w:t>
      </w:r>
      <w:bookmarkEnd w:id="61"/>
    </w:p>
    <w:p w14:paraId="1FAD9111">
      <w:pPr>
        <w:bidi w:val="0"/>
        <w:rPr>
          <w:rFonts w:hint="eastAsia"/>
          <w:color w:val="auto"/>
          <w:highlight w:val="none"/>
          <w:lang w:eastAsia="zh-CN"/>
        </w:rPr>
      </w:pPr>
      <w:r>
        <w:rPr>
          <w:rFonts w:hint="eastAsia"/>
          <w:color w:val="auto"/>
          <w:highlight w:val="none"/>
          <w:lang w:eastAsia="zh-CN"/>
        </w:rPr>
        <w:t>①项目有绩效目标；</w:t>
      </w:r>
    </w:p>
    <w:p w14:paraId="04CCBC8A">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7706F60C">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47470391">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080F2422">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A5A9594">
      <w:pPr>
        <w:bidi w:val="0"/>
        <w:outlineLvl w:val="2"/>
        <w:rPr>
          <w:rFonts w:hint="default"/>
          <w:b/>
          <w:bCs/>
          <w:color w:val="auto"/>
          <w:highlight w:val="none"/>
          <w:lang w:val="en-US" w:eastAsia="zh-CN"/>
        </w:rPr>
      </w:pPr>
      <w:bookmarkStart w:id="62" w:name="_Toc10650"/>
      <w:r>
        <w:rPr>
          <w:rFonts w:hint="eastAsia"/>
          <w:b/>
          <w:bCs/>
          <w:color w:val="auto"/>
          <w:highlight w:val="none"/>
          <w:lang w:val="en-US" w:eastAsia="zh-CN"/>
        </w:rPr>
        <w:t>4.绩效指标明确性</w:t>
      </w:r>
      <w:bookmarkEnd w:id="62"/>
    </w:p>
    <w:p w14:paraId="3BF6409D">
      <w:pPr>
        <w:bidi w:val="0"/>
        <w:rPr>
          <w:rFonts w:hint="eastAsia"/>
          <w:color w:val="auto"/>
          <w:highlight w:val="none"/>
          <w:lang w:eastAsia="zh-CN"/>
        </w:rPr>
      </w:pPr>
      <w:r>
        <w:rPr>
          <w:rFonts w:hint="eastAsia"/>
          <w:color w:val="auto"/>
          <w:highlight w:val="none"/>
          <w:lang w:eastAsia="zh-CN"/>
        </w:rPr>
        <w:t>①将项目绩效目标细化分解为</w:t>
      </w:r>
      <w:r>
        <w:rPr>
          <w:rFonts w:hint="eastAsia"/>
          <w:color w:val="auto"/>
          <w:highlight w:val="none"/>
          <w:lang w:val="en-US" w:eastAsia="zh-CN"/>
        </w:rPr>
        <w:t>4个二级指标，7个三级指标</w:t>
      </w:r>
      <w:r>
        <w:rPr>
          <w:rFonts w:hint="eastAsia"/>
          <w:color w:val="auto"/>
          <w:highlight w:val="none"/>
          <w:lang w:eastAsia="zh-CN"/>
        </w:rPr>
        <w:t>具体的绩效指标；</w:t>
      </w:r>
    </w:p>
    <w:p w14:paraId="5E56885F">
      <w:pPr>
        <w:bidi w:val="0"/>
        <w:rPr>
          <w:rFonts w:hint="eastAsia"/>
          <w:color w:val="auto"/>
          <w:highlight w:val="none"/>
          <w:lang w:eastAsia="zh-CN"/>
        </w:rPr>
      </w:pPr>
      <w:r>
        <w:rPr>
          <w:rFonts w:hint="eastAsia"/>
          <w:color w:val="auto"/>
          <w:highlight w:val="none"/>
          <w:lang w:eastAsia="zh-CN"/>
        </w:rPr>
        <w:t>②通过</w:t>
      </w:r>
      <w:r>
        <w:rPr>
          <w:rFonts w:hint="eastAsia"/>
          <w:color w:val="auto"/>
          <w:highlight w:val="none"/>
          <w:lang w:val="en-US" w:eastAsia="zh-CN"/>
        </w:rPr>
        <w:t>设置6个量化指标和7个三级指标，量化率为86%</w:t>
      </w:r>
      <w:r>
        <w:rPr>
          <w:rFonts w:hint="eastAsia"/>
          <w:color w:val="auto"/>
          <w:highlight w:val="none"/>
          <w:lang w:eastAsia="zh-CN"/>
        </w:rPr>
        <w:t>予以体现；</w:t>
      </w:r>
    </w:p>
    <w:p w14:paraId="4C010558">
      <w:pPr>
        <w:bidi w:val="0"/>
        <w:rPr>
          <w:rFonts w:hint="eastAsia"/>
          <w:color w:val="auto"/>
          <w:highlight w:val="none"/>
          <w:lang w:eastAsia="zh-CN"/>
        </w:rPr>
      </w:pPr>
      <w:r>
        <w:rPr>
          <w:rFonts w:hint="eastAsia"/>
          <w:color w:val="auto"/>
          <w:highlight w:val="none"/>
          <w:lang w:eastAsia="zh-CN"/>
        </w:rPr>
        <w:t>③与项目目标任务数或计划数相对应。</w:t>
      </w:r>
    </w:p>
    <w:p w14:paraId="726261AA">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029F093">
      <w:pPr>
        <w:bidi w:val="0"/>
        <w:outlineLvl w:val="2"/>
        <w:rPr>
          <w:rFonts w:hint="default"/>
          <w:b/>
          <w:bCs/>
          <w:color w:val="auto"/>
          <w:highlight w:val="none"/>
          <w:lang w:val="en-US" w:eastAsia="zh-CN"/>
        </w:rPr>
      </w:pPr>
      <w:bookmarkStart w:id="63" w:name="_Toc19401"/>
      <w:r>
        <w:rPr>
          <w:rFonts w:hint="eastAsia"/>
          <w:b/>
          <w:bCs/>
          <w:color w:val="auto"/>
          <w:highlight w:val="none"/>
          <w:lang w:val="en-US" w:eastAsia="zh-CN"/>
        </w:rPr>
        <w:t>5.预算编制科学性</w:t>
      </w:r>
      <w:bookmarkEnd w:id="63"/>
    </w:p>
    <w:p w14:paraId="65BAD301">
      <w:pPr>
        <w:bidi w:val="0"/>
        <w:rPr>
          <w:rFonts w:hint="eastAsia"/>
          <w:color w:val="auto"/>
          <w:highlight w:val="none"/>
          <w:lang w:eastAsia="zh-CN"/>
        </w:rPr>
      </w:pPr>
      <w:r>
        <w:rPr>
          <w:rFonts w:hint="eastAsia"/>
          <w:color w:val="auto"/>
          <w:highlight w:val="none"/>
          <w:lang w:eastAsia="zh-CN"/>
        </w:rPr>
        <w:t>①预算编制经过科学论证；</w:t>
      </w:r>
    </w:p>
    <w:p w14:paraId="68B9965F">
      <w:pPr>
        <w:bidi w:val="0"/>
        <w:rPr>
          <w:rFonts w:hint="eastAsia"/>
          <w:color w:val="auto"/>
          <w:highlight w:val="none"/>
          <w:lang w:eastAsia="zh-CN"/>
        </w:rPr>
      </w:pPr>
      <w:r>
        <w:rPr>
          <w:rFonts w:hint="eastAsia"/>
          <w:color w:val="auto"/>
          <w:highlight w:val="none"/>
          <w:lang w:eastAsia="zh-CN"/>
        </w:rPr>
        <w:t>②预算内容与项目内容匹配；</w:t>
      </w:r>
    </w:p>
    <w:p w14:paraId="00F295E0">
      <w:pPr>
        <w:bidi w:val="0"/>
        <w:rPr>
          <w:rFonts w:hint="eastAsia"/>
          <w:color w:val="auto"/>
          <w:highlight w:val="none"/>
          <w:lang w:eastAsia="zh-CN"/>
        </w:rPr>
      </w:pPr>
      <w:r>
        <w:rPr>
          <w:rFonts w:hint="eastAsia"/>
          <w:color w:val="auto"/>
          <w:highlight w:val="none"/>
          <w:lang w:eastAsia="zh-CN"/>
        </w:rPr>
        <w:t>③预算额度测算依据充分，按照标准编制；</w:t>
      </w:r>
    </w:p>
    <w:p w14:paraId="2AF85E86">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6B331E7A">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1C3E9981">
      <w:pPr>
        <w:bidi w:val="0"/>
        <w:outlineLvl w:val="2"/>
        <w:rPr>
          <w:rFonts w:hint="default"/>
          <w:b/>
          <w:bCs/>
          <w:color w:val="auto"/>
          <w:highlight w:val="none"/>
          <w:lang w:val="en-US" w:eastAsia="zh-CN"/>
        </w:rPr>
      </w:pPr>
      <w:bookmarkStart w:id="64" w:name="_Toc697"/>
      <w:r>
        <w:rPr>
          <w:rFonts w:hint="eastAsia"/>
          <w:b/>
          <w:bCs/>
          <w:color w:val="auto"/>
          <w:highlight w:val="none"/>
          <w:lang w:val="en-US" w:eastAsia="zh-CN"/>
        </w:rPr>
        <w:t>6.资金分配合理性</w:t>
      </w:r>
      <w:bookmarkEnd w:id="64"/>
    </w:p>
    <w:p w14:paraId="4ACBE152">
      <w:pPr>
        <w:bidi w:val="0"/>
        <w:rPr>
          <w:rFonts w:hint="eastAsia"/>
          <w:color w:val="auto"/>
          <w:highlight w:val="none"/>
          <w:lang w:eastAsia="zh-CN"/>
        </w:rPr>
      </w:pPr>
      <w:r>
        <w:rPr>
          <w:rFonts w:hint="eastAsia"/>
          <w:color w:val="auto"/>
          <w:highlight w:val="none"/>
          <w:lang w:eastAsia="zh-CN"/>
        </w:rPr>
        <w:t>①预算资金分配依据充分；</w:t>
      </w:r>
    </w:p>
    <w:p w14:paraId="6D819597">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1801193D">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466C5855">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5"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5"/>
    </w:p>
    <w:p w14:paraId="533530F8">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15</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3C1CF72">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6927535A">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93FC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801B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1343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1307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896B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8112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9440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80485AB">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04F2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BAF2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74E7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975A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6766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1AEB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4B9C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15171A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7637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D29C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937A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AFB5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A165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5AB2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68E8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AA8E5EC">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A71E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0D6E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DD8D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59E5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4D99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D14E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82DD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24811B3">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F2C2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F173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5D98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A1D1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6F63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7CB8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8741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2E0DD11">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E2B0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7D90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17EF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8003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9F70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FDBD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5EE2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D139A73">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D714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5D9D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115F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7E39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15C8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1E97F8A9">
      <w:pPr>
        <w:bidi w:val="0"/>
        <w:outlineLvl w:val="2"/>
        <w:rPr>
          <w:rFonts w:hint="default"/>
          <w:b/>
          <w:bCs/>
          <w:color w:val="auto"/>
          <w:highlight w:val="none"/>
          <w:lang w:val="en-US" w:eastAsia="zh-CN"/>
        </w:rPr>
      </w:pPr>
      <w:bookmarkStart w:id="66" w:name="_Toc3886"/>
      <w:r>
        <w:rPr>
          <w:rFonts w:hint="eastAsia"/>
          <w:b/>
          <w:bCs/>
          <w:color w:val="auto"/>
          <w:highlight w:val="none"/>
          <w:lang w:val="en-US" w:eastAsia="zh-CN"/>
        </w:rPr>
        <w:t>1.资金到位率</w:t>
      </w:r>
      <w:bookmarkEnd w:id="66"/>
    </w:p>
    <w:p w14:paraId="2C7C80E7">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17.87万元</w:t>
      </w:r>
      <w:r>
        <w:rPr>
          <w:rFonts w:hint="eastAsia"/>
          <w:color w:val="auto"/>
          <w:highlight w:val="none"/>
          <w:lang w:eastAsia="zh-CN"/>
        </w:rPr>
        <w:t>/</w:t>
      </w:r>
      <w:r>
        <w:rPr>
          <w:rFonts w:hint="eastAsia"/>
          <w:color w:val="auto"/>
          <w:highlight w:val="none"/>
          <w:lang w:val="en-US" w:eastAsia="zh-CN"/>
        </w:rPr>
        <w:t>17.87万元</w:t>
      </w:r>
      <w:r>
        <w:rPr>
          <w:rFonts w:hint="eastAsia"/>
          <w:color w:val="auto"/>
          <w:highlight w:val="none"/>
          <w:lang w:eastAsia="zh-CN"/>
        </w:rPr>
        <w:t>）×100%</w:t>
      </w:r>
      <w:r>
        <w:rPr>
          <w:rFonts w:hint="eastAsia"/>
          <w:color w:val="auto"/>
          <w:highlight w:val="none"/>
          <w:lang w:val="en-US" w:eastAsia="zh-CN"/>
        </w:rPr>
        <w:t>=</w:t>
      </w:r>
      <w:r>
        <w:rPr>
          <w:rFonts w:hint="eastAsia"/>
          <w:color w:val="auto"/>
          <w:highlight w:val="none"/>
          <w:lang w:eastAsia="zh-CN"/>
        </w:rPr>
        <w:t>100%。</w:t>
      </w:r>
    </w:p>
    <w:p w14:paraId="4B9AABD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0ADF8708">
      <w:pPr>
        <w:bidi w:val="0"/>
        <w:outlineLvl w:val="2"/>
        <w:rPr>
          <w:rFonts w:hint="default"/>
          <w:b/>
          <w:bCs/>
          <w:color w:val="auto"/>
          <w:highlight w:val="none"/>
          <w:lang w:val="en-US" w:eastAsia="zh-CN"/>
        </w:rPr>
      </w:pPr>
      <w:bookmarkStart w:id="67" w:name="_Toc9705"/>
      <w:r>
        <w:rPr>
          <w:rFonts w:hint="eastAsia"/>
          <w:b/>
          <w:bCs/>
          <w:color w:val="auto"/>
          <w:highlight w:val="none"/>
          <w:lang w:val="en-US" w:eastAsia="zh-CN"/>
        </w:rPr>
        <w:t>2.预算执行率</w:t>
      </w:r>
      <w:bookmarkEnd w:id="67"/>
    </w:p>
    <w:p w14:paraId="36A47FCE">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（17.87万元/17.87万元）</w:t>
      </w:r>
      <w:r>
        <w:rPr>
          <w:rFonts w:hint="eastAsia"/>
          <w:color w:val="auto"/>
          <w:highlight w:val="none"/>
          <w:lang w:eastAsia="zh-CN"/>
        </w:rPr>
        <w:t>×100%</w:t>
      </w:r>
      <w:r>
        <w:rPr>
          <w:rFonts w:hint="eastAsia"/>
          <w:color w:val="auto"/>
          <w:highlight w:val="none"/>
          <w:lang w:val="en-US" w:eastAsia="zh-CN"/>
        </w:rPr>
        <w:t>=</w:t>
      </w:r>
      <w:r>
        <w:rPr>
          <w:rFonts w:hint="eastAsia"/>
          <w:color w:val="auto"/>
          <w:highlight w:val="none"/>
          <w:lang w:eastAsia="zh-CN"/>
        </w:rPr>
        <w:t>100%。</w:t>
      </w:r>
    </w:p>
    <w:p w14:paraId="6F11B391">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AEDBE9F">
      <w:pPr>
        <w:bidi w:val="0"/>
        <w:outlineLvl w:val="2"/>
        <w:rPr>
          <w:rFonts w:hint="default"/>
          <w:b/>
          <w:bCs/>
          <w:color w:val="auto"/>
          <w:highlight w:val="none"/>
          <w:lang w:val="en-US" w:eastAsia="zh-CN"/>
        </w:rPr>
      </w:pPr>
      <w:bookmarkStart w:id="68" w:name="_Toc18691"/>
      <w:r>
        <w:rPr>
          <w:rFonts w:hint="eastAsia"/>
          <w:b/>
          <w:bCs/>
          <w:color w:val="auto"/>
          <w:highlight w:val="none"/>
          <w:lang w:val="en-US" w:eastAsia="zh-CN"/>
        </w:rPr>
        <w:t>3.资金使用合规性</w:t>
      </w:r>
      <w:bookmarkEnd w:id="68"/>
    </w:p>
    <w:p w14:paraId="4362A2D9">
      <w:pPr>
        <w:bidi w:val="0"/>
        <w:rPr>
          <w:rFonts w:hint="eastAsia"/>
          <w:color w:val="auto"/>
          <w:highlight w:val="none"/>
          <w:lang w:eastAsia="zh-CN"/>
        </w:rPr>
      </w:pPr>
      <w:r>
        <w:rPr>
          <w:rFonts w:hint="eastAsia"/>
          <w:color w:val="auto"/>
          <w:highlight w:val="none"/>
          <w:lang w:eastAsia="zh-CN"/>
        </w:rPr>
        <w:t>①符合国家《财务预算管理制度》《项目管理制度》《财务管理制度》《预决算管理制度》及有关专项资金管理办法的规定；</w:t>
      </w:r>
    </w:p>
    <w:p w14:paraId="64A60AC6">
      <w:pPr>
        <w:bidi w:val="0"/>
        <w:rPr>
          <w:rFonts w:hint="eastAsia"/>
          <w:color w:val="auto"/>
          <w:highlight w:val="none"/>
          <w:lang w:eastAsia="zh-CN"/>
        </w:rPr>
      </w:pPr>
      <w:r>
        <w:rPr>
          <w:rFonts w:hint="eastAsia"/>
          <w:color w:val="auto"/>
          <w:highlight w:val="none"/>
          <w:lang w:eastAsia="zh-CN"/>
        </w:rPr>
        <w:t>②资金的拨付有完整的审批程序和手续；</w:t>
      </w:r>
    </w:p>
    <w:p w14:paraId="6B8323F6">
      <w:pPr>
        <w:bidi w:val="0"/>
        <w:rPr>
          <w:rFonts w:hint="eastAsia"/>
          <w:color w:val="auto"/>
          <w:highlight w:val="none"/>
          <w:lang w:eastAsia="zh-CN"/>
        </w:rPr>
      </w:pPr>
      <w:r>
        <w:rPr>
          <w:rFonts w:hint="eastAsia"/>
          <w:color w:val="auto"/>
          <w:highlight w:val="none"/>
          <w:lang w:eastAsia="zh-CN"/>
        </w:rPr>
        <w:t>③符合项目预算批复或合同规定的用途；</w:t>
      </w:r>
    </w:p>
    <w:p w14:paraId="35F8C5DB">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24FFB199">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75AC9A5">
      <w:pPr>
        <w:numPr>
          <w:ilvl w:val="0"/>
          <w:numId w:val="0"/>
        </w:numPr>
        <w:bidi w:val="0"/>
        <w:ind w:firstLine="562" w:firstLineChars="200"/>
        <w:rPr>
          <w:rFonts w:hint="eastAsia"/>
          <w:b/>
          <w:bCs/>
          <w:color w:val="auto"/>
          <w:highlight w:val="none"/>
          <w:lang w:val="en-US" w:eastAsia="zh-CN"/>
        </w:rPr>
      </w:pPr>
      <w:r>
        <w:rPr>
          <w:rFonts w:hint="eastAsia"/>
          <w:b/>
          <w:bCs/>
          <w:color w:val="auto"/>
          <w:highlight w:val="none"/>
          <w:lang w:val="en-US" w:eastAsia="zh-CN"/>
        </w:rPr>
        <w:t>4.管理制度健全性</w:t>
      </w:r>
    </w:p>
    <w:p w14:paraId="4570B713">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①已制定或具有相应的《阜康市审计局预算业务管理制度》《阜康市审计局收支业务管理制度》；</w:t>
      </w:r>
    </w:p>
    <w:p w14:paraId="2F73C884">
      <w:pPr>
        <w:bidi w:val="0"/>
        <w:rPr>
          <w:rFonts w:hint="eastAsia"/>
          <w:color w:val="auto"/>
          <w:highlight w:val="none"/>
          <w:lang w:eastAsia="zh-CN"/>
        </w:rPr>
      </w:pPr>
      <w:r>
        <w:rPr>
          <w:rFonts w:hint="eastAsia"/>
          <w:color w:val="auto"/>
          <w:highlight w:val="none"/>
          <w:lang w:eastAsia="zh-CN"/>
        </w:rPr>
        <w:t>②财务和业务管理制度合法、合规、完整。</w:t>
      </w:r>
    </w:p>
    <w:p w14:paraId="28FB16B0">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9FD629A">
      <w:pPr>
        <w:bidi w:val="0"/>
        <w:ind w:left="1403" w:leftChars="200" w:hanging="843" w:hangingChars="300"/>
        <w:outlineLvl w:val="2"/>
        <w:rPr>
          <w:rFonts w:hint="eastAsia"/>
          <w:b/>
          <w:bCs/>
          <w:color w:val="auto"/>
          <w:highlight w:val="none"/>
          <w:lang w:val="en-US" w:eastAsia="zh-CN"/>
        </w:rPr>
      </w:pPr>
      <w:bookmarkStart w:id="69" w:name="_Toc31684"/>
      <w:r>
        <w:rPr>
          <w:rFonts w:hint="eastAsia"/>
          <w:b/>
          <w:bCs/>
          <w:color w:val="auto"/>
          <w:highlight w:val="none"/>
          <w:lang w:val="en-US" w:eastAsia="zh-CN"/>
        </w:rPr>
        <w:t>5.制度执行有效性</w:t>
      </w:r>
      <w:bookmarkEnd w:id="69"/>
    </w:p>
    <w:p w14:paraId="574DF008">
      <w:pPr>
        <w:bidi w:val="0"/>
        <w:rPr>
          <w:rFonts w:hint="eastAsia"/>
          <w:color w:val="auto"/>
          <w:highlight w:val="none"/>
          <w:lang w:eastAsia="zh-CN"/>
        </w:rPr>
      </w:pPr>
      <w:r>
        <w:rPr>
          <w:rFonts w:hint="eastAsia"/>
          <w:color w:val="auto"/>
          <w:highlight w:val="none"/>
          <w:lang w:eastAsia="zh-CN"/>
        </w:rPr>
        <w:t>①遵守《阜康市审计局预算业务管理制度》《阜康市审计局收支业务管理制度》相关法律法规和相关管理规定；</w:t>
      </w:r>
    </w:p>
    <w:p w14:paraId="6FF9C55C">
      <w:pPr>
        <w:pStyle w:val="2"/>
        <w:rPr>
          <w:rFonts w:hint="eastAsia"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②项目调整及支出调整手续完备</w:t>
      </w:r>
      <w:r>
        <w:rPr>
          <w:rFonts w:hint="eastAsia" w:ascii="宋体" w:hAnsi="宋体" w:cs="宋体"/>
          <w:b w:val="0"/>
          <w:bCs w:val="0"/>
          <w:color w:val="auto"/>
          <w:kern w:val="2"/>
          <w:sz w:val="28"/>
          <w:szCs w:val="28"/>
          <w:highlight w:val="none"/>
          <w:lang w:val="en-US" w:eastAsia="zh-CN" w:bidi="ar-SA"/>
        </w:rPr>
        <w:t>。</w:t>
      </w:r>
    </w:p>
    <w:p w14:paraId="6A465061">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6152397">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0"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70"/>
    </w:p>
    <w:p w14:paraId="1A8B435F">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49A022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7832" w:type="dxa"/>
        <w:tblInd w:w="0" w:type="dxa"/>
        <w:shd w:val="clear" w:color="auto" w:fill="auto"/>
        <w:tblLayout w:type="fixed"/>
        <w:tblCellMar>
          <w:top w:w="0" w:type="dxa"/>
          <w:left w:w="0" w:type="dxa"/>
          <w:bottom w:w="0" w:type="dxa"/>
          <w:right w:w="0" w:type="dxa"/>
        </w:tblCellMar>
      </w:tblPr>
      <w:tblGrid>
        <w:gridCol w:w="606"/>
        <w:gridCol w:w="887"/>
        <w:gridCol w:w="2526"/>
        <w:gridCol w:w="1373"/>
        <w:gridCol w:w="533"/>
        <w:gridCol w:w="1304"/>
        <w:gridCol w:w="603"/>
      </w:tblGrid>
      <w:tr w14:paraId="643AA793">
        <w:tblPrEx>
          <w:tblCellMar>
            <w:top w:w="0" w:type="dxa"/>
            <w:left w:w="0" w:type="dxa"/>
            <w:bottom w:w="0" w:type="dxa"/>
            <w:right w:w="0" w:type="dxa"/>
          </w:tblCellMar>
        </w:tblPrEx>
        <w:trPr>
          <w:trHeight w:val="750" w:hRule="atLeast"/>
        </w:trPr>
        <w:tc>
          <w:tcPr>
            <w:tcW w:w="6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2F9E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268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191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9D86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40D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E937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8B4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5FA09FC2">
        <w:tblPrEx>
          <w:shd w:val="clear" w:color="auto" w:fill="auto"/>
          <w:tblCellMar>
            <w:top w:w="0" w:type="dxa"/>
            <w:left w:w="0" w:type="dxa"/>
            <w:bottom w:w="0" w:type="dxa"/>
            <w:right w:w="0" w:type="dxa"/>
          </w:tblCellMar>
        </w:tblPrEx>
        <w:trPr>
          <w:trHeight w:val="415" w:hRule="atLeast"/>
        </w:trPr>
        <w:tc>
          <w:tcPr>
            <w:tcW w:w="606"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EF659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887"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CB604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DC7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支付开展工程结算审计项目资金个数</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E356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6个</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ADCC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583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6个</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475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BDEE57F">
        <w:tblPrEx>
          <w:shd w:val="clear" w:color="auto" w:fill="auto"/>
          <w:tblCellMar>
            <w:top w:w="0" w:type="dxa"/>
            <w:left w:w="0" w:type="dxa"/>
            <w:bottom w:w="0" w:type="dxa"/>
            <w:right w:w="0" w:type="dxa"/>
          </w:tblCellMar>
        </w:tblPrEx>
        <w:trPr>
          <w:trHeight w:val="415" w:hRule="atLeast"/>
        </w:trPr>
        <w:tc>
          <w:tcPr>
            <w:tcW w:w="60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C6D6E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7"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443A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BF0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支付开展全过程跟踪审计项目资金个数</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387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8个</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8B3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B38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8个</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B2DEC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AB0B088">
        <w:tblPrEx>
          <w:shd w:val="clear" w:color="auto" w:fill="auto"/>
          <w:tblCellMar>
            <w:top w:w="0" w:type="dxa"/>
            <w:left w:w="0" w:type="dxa"/>
            <w:bottom w:w="0" w:type="dxa"/>
            <w:right w:w="0" w:type="dxa"/>
          </w:tblCellMar>
        </w:tblPrEx>
        <w:trPr>
          <w:trHeight w:val="390" w:hRule="atLeast"/>
        </w:trPr>
        <w:tc>
          <w:tcPr>
            <w:tcW w:w="60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5977A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223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611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审计项目监督覆盖率</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AB8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FBE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6B1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790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40234111">
        <w:tblPrEx>
          <w:shd w:val="clear" w:color="auto" w:fill="auto"/>
          <w:tblCellMar>
            <w:top w:w="0" w:type="dxa"/>
            <w:left w:w="0" w:type="dxa"/>
            <w:bottom w:w="0" w:type="dxa"/>
            <w:right w:w="0" w:type="dxa"/>
          </w:tblCellMar>
        </w:tblPrEx>
        <w:trPr>
          <w:trHeight w:val="410" w:hRule="atLeast"/>
        </w:trPr>
        <w:tc>
          <w:tcPr>
            <w:tcW w:w="60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606C1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7"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9035A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E12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支付项目资金及时率</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EA3A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35E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BA3A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7943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C33FD88">
        <w:tblPrEx>
          <w:shd w:val="clear" w:color="auto" w:fill="auto"/>
          <w:tblCellMar>
            <w:top w:w="0" w:type="dxa"/>
            <w:left w:w="0" w:type="dxa"/>
            <w:bottom w:w="0" w:type="dxa"/>
            <w:right w:w="0" w:type="dxa"/>
          </w:tblCellMar>
        </w:tblPrEx>
        <w:trPr>
          <w:trHeight w:val="410" w:hRule="atLeast"/>
        </w:trPr>
        <w:tc>
          <w:tcPr>
            <w:tcW w:w="60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11F5D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7"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ED5F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D104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项目开展及时率</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4C3C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E0C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8B8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CD05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FDC47F4">
        <w:tblPrEx>
          <w:shd w:val="clear" w:color="auto" w:fill="auto"/>
          <w:tblCellMar>
            <w:top w:w="0" w:type="dxa"/>
            <w:left w:w="0" w:type="dxa"/>
            <w:bottom w:w="0" w:type="dxa"/>
            <w:right w:w="0" w:type="dxa"/>
          </w:tblCellMar>
        </w:tblPrEx>
        <w:trPr>
          <w:trHeight w:val="428" w:hRule="atLeast"/>
        </w:trPr>
        <w:tc>
          <w:tcPr>
            <w:tcW w:w="606"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8581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9173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5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C19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审计监督工作费用</w:t>
            </w:r>
          </w:p>
        </w:tc>
        <w:tc>
          <w:tcPr>
            <w:tcW w:w="13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C549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≦17.87万元</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4846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15A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17.87万元</w:t>
            </w: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F1A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2D915BF">
        <w:tblPrEx>
          <w:shd w:val="clear" w:color="auto" w:fill="auto"/>
          <w:tblCellMar>
            <w:top w:w="0" w:type="dxa"/>
            <w:left w:w="0" w:type="dxa"/>
            <w:bottom w:w="0" w:type="dxa"/>
            <w:right w:w="0" w:type="dxa"/>
          </w:tblCellMar>
        </w:tblPrEx>
        <w:trPr>
          <w:trHeight w:val="403" w:hRule="atLeast"/>
        </w:trPr>
        <w:tc>
          <w:tcPr>
            <w:tcW w:w="53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2884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484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DFDA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42C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6D391BAC">
      <w:pPr>
        <w:bidi w:val="0"/>
        <w:rPr>
          <w:rFonts w:hint="default"/>
          <w:b/>
          <w:bCs/>
          <w:color w:val="auto"/>
          <w:highlight w:val="none"/>
          <w:lang w:val="en-US" w:eastAsia="zh-CN"/>
        </w:rPr>
      </w:pPr>
      <w:bookmarkStart w:id="71" w:name="_Toc11067"/>
      <w:r>
        <w:rPr>
          <w:rFonts w:hint="eastAsia"/>
          <w:b/>
          <w:bCs/>
          <w:color w:val="auto"/>
          <w:highlight w:val="none"/>
          <w:lang w:val="en-US" w:eastAsia="zh-CN"/>
        </w:rPr>
        <w:t>1.项目完成数量</w:t>
      </w:r>
      <w:bookmarkEnd w:id="71"/>
    </w:p>
    <w:p w14:paraId="7B58BCAF">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支付开展工程结算审计项目资金个数</w:t>
      </w:r>
      <w:r>
        <w:rPr>
          <w:rFonts w:hint="eastAsia"/>
          <w:color w:val="auto"/>
          <w:highlight w:val="none"/>
          <w:lang w:eastAsia="zh-CN"/>
        </w:rPr>
        <w:t>”</w:t>
      </w:r>
      <w:r>
        <w:rPr>
          <w:rFonts w:hint="eastAsia"/>
          <w:color w:val="auto"/>
          <w:highlight w:val="none"/>
          <w:lang w:val="en-US" w:eastAsia="zh-CN"/>
        </w:rPr>
        <w:t>指标，预期目标值为6个，实际完成为6个。实际完成率=（6/6）×100%=100%。</w:t>
      </w:r>
    </w:p>
    <w:p w14:paraId="61431828">
      <w:pPr>
        <w:bidi w:val="0"/>
        <w:rPr>
          <w:rFonts w:hint="default"/>
          <w:color w:val="auto"/>
          <w:highlight w:val="none"/>
          <w:lang w:val="en-US" w:eastAsia="zh-CN"/>
        </w:rPr>
      </w:pPr>
      <w:r>
        <w:rPr>
          <w:rFonts w:hint="eastAsia"/>
          <w:color w:val="auto"/>
          <w:highlight w:val="none"/>
          <w:lang w:eastAsia="zh-CN"/>
        </w:rPr>
        <w:t>“</w:t>
      </w:r>
      <w:r>
        <w:rPr>
          <w:rFonts w:hint="eastAsia"/>
          <w:color w:val="auto"/>
          <w:highlight w:val="none"/>
          <w:lang w:val="en-US" w:eastAsia="zh-CN"/>
        </w:rPr>
        <w:t>支付开展全过程跟踪审计项目资金个数</w:t>
      </w:r>
      <w:r>
        <w:rPr>
          <w:rFonts w:hint="eastAsia"/>
          <w:color w:val="auto"/>
          <w:highlight w:val="none"/>
          <w:lang w:eastAsia="zh-CN"/>
        </w:rPr>
        <w:t>”</w:t>
      </w:r>
      <w:r>
        <w:rPr>
          <w:rFonts w:hint="eastAsia"/>
          <w:color w:val="auto"/>
          <w:highlight w:val="none"/>
          <w:lang w:val="en-US" w:eastAsia="zh-CN"/>
        </w:rPr>
        <w:t>指标，预期目标值为8个，实际完成为8个。实际完成率=（8/8）×100%=100%。</w:t>
      </w:r>
    </w:p>
    <w:p w14:paraId="1378C600">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0C32E05D">
      <w:pPr>
        <w:bidi w:val="0"/>
        <w:outlineLvl w:val="2"/>
        <w:rPr>
          <w:rFonts w:hint="default"/>
          <w:b/>
          <w:bCs/>
          <w:color w:val="auto"/>
          <w:highlight w:val="none"/>
          <w:lang w:val="en-US" w:eastAsia="zh-CN"/>
        </w:rPr>
      </w:pPr>
      <w:bookmarkStart w:id="72" w:name="_Toc31739"/>
      <w:r>
        <w:rPr>
          <w:rFonts w:hint="eastAsia"/>
          <w:b/>
          <w:bCs/>
          <w:color w:val="auto"/>
          <w:highlight w:val="none"/>
          <w:lang w:val="en-US" w:eastAsia="zh-CN"/>
        </w:rPr>
        <w:t>2.项目完成质量</w:t>
      </w:r>
      <w:bookmarkEnd w:id="72"/>
    </w:p>
    <w:p w14:paraId="5C350D3A">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质量</w:t>
      </w:r>
      <w:r>
        <w:rPr>
          <w:rFonts w:hint="eastAsia"/>
          <w:color w:val="auto"/>
          <w:highlight w:val="none"/>
          <w:lang w:eastAsia="zh-CN"/>
        </w:rPr>
        <w:t>”</w:t>
      </w:r>
      <w:r>
        <w:rPr>
          <w:rFonts w:hint="eastAsia"/>
          <w:color w:val="auto"/>
          <w:highlight w:val="none"/>
          <w:lang w:val="en-US" w:eastAsia="zh-CN"/>
        </w:rPr>
        <w:t>指标，预期目标值为100%，实际完成为100%。</w:t>
      </w:r>
    </w:p>
    <w:p w14:paraId="1ED52549">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2EFCDF3">
      <w:pPr>
        <w:bidi w:val="0"/>
        <w:outlineLvl w:val="2"/>
        <w:rPr>
          <w:rFonts w:hint="default"/>
          <w:b/>
          <w:bCs/>
          <w:color w:val="auto"/>
          <w:highlight w:val="none"/>
          <w:lang w:val="en-US" w:eastAsia="zh-CN"/>
        </w:rPr>
      </w:pPr>
      <w:bookmarkStart w:id="73" w:name="_Toc18307"/>
      <w:r>
        <w:rPr>
          <w:rFonts w:hint="eastAsia"/>
          <w:b/>
          <w:bCs/>
          <w:color w:val="auto"/>
          <w:highlight w:val="none"/>
          <w:lang w:val="en-US" w:eastAsia="zh-CN"/>
        </w:rPr>
        <w:t>3.项目完成时效</w:t>
      </w:r>
      <w:bookmarkEnd w:id="73"/>
    </w:p>
    <w:p w14:paraId="0CB3D567">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支付项目资金及时率</w:t>
      </w:r>
      <w:r>
        <w:rPr>
          <w:rFonts w:hint="eastAsia"/>
          <w:color w:val="auto"/>
          <w:highlight w:val="none"/>
          <w:lang w:eastAsia="zh-CN"/>
        </w:rPr>
        <w:t>”</w:t>
      </w:r>
      <w:r>
        <w:rPr>
          <w:rFonts w:hint="eastAsia"/>
          <w:color w:val="auto"/>
          <w:highlight w:val="none"/>
          <w:lang w:val="en-US" w:eastAsia="zh-CN"/>
        </w:rPr>
        <w:t>指标，预期目标值为100%，实际完成为100%。</w:t>
      </w:r>
    </w:p>
    <w:p w14:paraId="7E67D7E9">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项目开展及时率</w:t>
      </w:r>
      <w:r>
        <w:rPr>
          <w:rFonts w:hint="eastAsia"/>
          <w:color w:val="auto"/>
          <w:highlight w:val="none"/>
          <w:lang w:eastAsia="zh-CN"/>
        </w:rPr>
        <w:t>”</w:t>
      </w:r>
      <w:r>
        <w:rPr>
          <w:rFonts w:hint="eastAsia"/>
          <w:color w:val="auto"/>
          <w:highlight w:val="none"/>
          <w:lang w:val="en-US" w:eastAsia="zh-CN"/>
        </w:rPr>
        <w:t>指标，预期目标值为100%，实际完成为100%。</w:t>
      </w:r>
    </w:p>
    <w:p w14:paraId="2FDAEA09">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3E42C93C">
      <w:pPr>
        <w:bidi w:val="0"/>
        <w:outlineLvl w:val="2"/>
        <w:rPr>
          <w:rFonts w:hint="default"/>
          <w:b/>
          <w:bCs/>
          <w:color w:val="auto"/>
          <w:highlight w:val="none"/>
          <w:lang w:val="en-US" w:eastAsia="zh-CN"/>
        </w:rPr>
      </w:pPr>
      <w:bookmarkStart w:id="74" w:name="_Toc32765"/>
      <w:r>
        <w:rPr>
          <w:rFonts w:hint="eastAsia"/>
          <w:b/>
          <w:bCs/>
          <w:color w:val="auto"/>
          <w:highlight w:val="none"/>
          <w:lang w:val="en-US" w:eastAsia="zh-CN"/>
        </w:rPr>
        <w:t>4.项目完成成本</w:t>
      </w:r>
      <w:bookmarkEnd w:id="74"/>
    </w:p>
    <w:p w14:paraId="0423FB1F">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审计监督工作费用</w:t>
      </w:r>
      <w:r>
        <w:rPr>
          <w:rFonts w:hint="eastAsia"/>
          <w:color w:val="auto"/>
          <w:highlight w:val="none"/>
          <w:lang w:eastAsia="zh-CN"/>
        </w:rPr>
        <w:t>”</w:t>
      </w:r>
      <w:r>
        <w:rPr>
          <w:rFonts w:hint="eastAsia"/>
          <w:color w:val="auto"/>
          <w:highlight w:val="none"/>
          <w:lang w:val="en-US" w:eastAsia="zh-CN"/>
        </w:rPr>
        <w:t>指标，预期目标值为17.87，实际完成为17.87。实际完成率=（17.87万元/17.871万元）×100%=100%。</w:t>
      </w:r>
    </w:p>
    <w:p w14:paraId="23C43F65">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C3B64B7">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5"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5"/>
    </w:p>
    <w:p w14:paraId="76B9CC16">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578A79A">
      <w:pPr>
        <w:pageBreakBefore w:val="0"/>
        <w:widowControl w:val="0"/>
        <w:kinsoku/>
        <w:wordWrap/>
        <w:overflowPunct/>
        <w:topLinePunct w:val="0"/>
        <w:autoSpaceDE/>
        <w:autoSpaceDN/>
        <w:bidi w:val="0"/>
        <w:adjustRightInd/>
        <w:spacing w:line="360" w:lineRule="auto"/>
        <w:ind w:firstLine="560"/>
        <w:jc w:val="center"/>
        <w:textAlignment w:val="auto"/>
        <w:rPr>
          <w:rFonts w:hint="default" w:ascii="宋体" w:hAnsi="宋体" w:eastAsia="宋体" w:cs="宋体"/>
          <w:color w:val="auto"/>
          <w:kern w:val="2"/>
          <w:highlight w:val="none"/>
          <w:u w:color="000000"/>
          <w:shd w:val="clear" w:color="auto" w:fill="auto"/>
          <w:lang w:val="en-US" w:eastAsia="zh-TW"/>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03B4C9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816" w:hRule="atLeast"/>
          <w:jc w:val="center"/>
        </w:trPr>
        <w:tc>
          <w:tcPr>
            <w:tcW w:w="685" w:type="dxa"/>
            <w:tcBorders>
              <w:tl2br w:val="nil"/>
              <w:tr2bl w:val="nil"/>
            </w:tcBorders>
            <w:shd w:val="clear" w:color="auto" w:fill="auto"/>
            <w:tcMar>
              <w:top w:w="15" w:type="dxa"/>
              <w:left w:w="15" w:type="dxa"/>
              <w:right w:w="15" w:type="dxa"/>
            </w:tcMar>
            <w:vAlign w:val="center"/>
          </w:tcPr>
          <w:p w14:paraId="0C1777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4259B8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l2br w:val="nil"/>
              <w:tr2bl w:val="nil"/>
            </w:tcBorders>
            <w:shd w:val="clear" w:color="auto" w:fill="auto"/>
            <w:tcMar>
              <w:top w:w="15" w:type="dxa"/>
              <w:left w:w="15" w:type="dxa"/>
              <w:right w:w="15" w:type="dxa"/>
            </w:tcMar>
            <w:vAlign w:val="center"/>
          </w:tcPr>
          <w:p w14:paraId="63775D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l2br w:val="nil"/>
              <w:tr2bl w:val="nil"/>
            </w:tcBorders>
            <w:shd w:val="clear" w:color="auto" w:fill="auto"/>
            <w:tcMar>
              <w:top w:w="15" w:type="dxa"/>
              <w:left w:w="15" w:type="dxa"/>
              <w:right w:w="15" w:type="dxa"/>
            </w:tcMar>
            <w:vAlign w:val="center"/>
          </w:tcPr>
          <w:p w14:paraId="17AD6C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l2br w:val="nil"/>
              <w:tr2bl w:val="nil"/>
            </w:tcBorders>
            <w:shd w:val="clear" w:color="auto" w:fill="auto"/>
            <w:tcMar>
              <w:top w:w="15" w:type="dxa"/>
              <w:left w:w="15" w:type="dxa"/>
              <w:right w:w="15" w:type="dxa"/>
            </w:tcMar>
            <w:vAlign w:val="center"/>
          </w:tcPr>
          <w:p w14:paraId="0AECE0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0E6022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l2br w:val="nil"/>
              <w:tr2bl w:val="nil"/>
            </w:tcBorders>
            <w:shd w:val="clear" w:color="auto" w:fill="auto"/>
            <w:tcMar>
              <w:top w:w="15" w:type="dxa"/>
              <w:left w:w="15" w:type="dxa"/>
              <w:right w:w="15" w:type="dxa"/>
            </w:tcMar>
            <w:vAlign w:val="center"/>
          </w:tcPr>
          <w:p w14:paraId="49CC5B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50C02B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l2br w:val="nil"/>
              <w:tr2bl w:val="nil"/>
            </w:tcBorders>
            <w:shd w:val="clear" w:color="auto" w:fill="auto"/>
            <w:tcMar>
              <w:top w:w="15" w:type="dxa"/>
              <w:left w:w="15" w:type="dxa"/>
              <w:right w:w="15" w:type="dxa"/>
            </w:tcMar>
            <w:vAlign w:val="center"/>
          </w:tcPr>
          <w:p w14:paraId="3E1878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7E83C6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l2br w:val="nil"/>
              <w:tr2bl w:val="nil"/>
            </w:tcBorders>
            <w:shd w:val="clear" w:color="auto" w:fill="auto"/>
            <w:tcMar>
              <w:top w:w="15" w:type="dxa"/>
              <w:left w:w="15" w:type="dxa"/>
              <w:right w:w="15" w:type="dxa"/>
            </w:tcMar>
            <w:vAlign w:val="center"/>
          </w:tcPr>
          <w:p w14:paraId="519051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0E9E14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6A4C7C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36" w:hRule="atLeast"/>
          <w:jc w:val="center"/>
        </w:trPr>
        <w:tc>
          <w:tcPr>
            <w:tcW w:w="685" w:type="dxa"/>
            <w:vMerge w:val="restart"/>
            <w:tcBorders>
              <w:tl2br w:val="nil"/>
              <w:tr2bl w:val="nil"/>
            </w:tcBorders>
            <w:shd w:val="clear" w:color="auto" w:fill="auto"/>
            <w:tcMar>
              <w:top w:w="15" w:type="dxa"/>
              <w:left w:w="15" w:type="dxa"/>
              <w:right w:w="15" w:type="dxa"/>
            </w:tcMar>
            <w:vAlign w:val="center"/>
          </w:tcPr>
          <w:p w14:paraId="50AD2E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vMerge w:val="restart"/>
            <w:tcBorders>
              <w:tl2br w:val="nil"/>
              <w:tr2bl w:val="nil"/>
            </w:tcBorders>
            <w:shd w:val="clear" w:color="auto" w:fill="auto"/>
            <w:tcMar>
              <w:top w:w="15" w:type="dxa"/>
              <w:left w:w="15" w:type="dxa"/>
              <w:right w:w="15" w:type="dxa"/>
            </w:tcMar>
            <w:vAlign w:val="center"/>
          </w:tcPr>
          <w:p w14:paraId="7DC501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l2br w:val="nil"/>
              <w:tr2bl w:val="nil"/>
            </w:tcBorders>
            <w:shd w:val="clear" w:color="auto" w:fill="auto"/>
            <w:tcMar>
              <w:top w:w="15" w:type="dxa"/>
              <w:left w:w="15" w:type="dxa"/>
              <w:right w:w="15" w:type="dxa"/>
            </w:tcMar>
            <w:vAlign w:val="center"/>
          </w:tcPr>
          <w:p w14:paraId="0E4187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节约基本建设投资资金</w:t>
            </w:r>
          </w:p>
        </w:tc>
        <w:tc>
          <w:tcPr>
            <w:tcW w:w="870" w:type="dxa"/>
            <w:tcBorders>
              <w:tl2br w:val="nil"/>
              <w:tr2bl w:val="nil"/>
            </w:tcBorders>
            <w:shd w:val="clear" w:color="auto" w:fill="auto"/>
            <w:tcMar>
              <w:top w:w="15" w:type="dxa"/>
              <w:left w:w="15" w:type="dxa"/>
              <w:right w:w="15" w:type="dxa"/>
            </w:tcMar>
            <w:vAlign w:val="center"/>
          </w:tcPr>
          <w:p w14:paraId="520DAF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≥695万</w:t>
            </w:r>
          </w:p>
        </w:tc>
        <w:tc>
          <w:tcPr>
            <w:tcW w:w="645" w:type="dxa"/>
            <w:tcBorders>
              <w:tl2br w:val="nil"/>
              <w:tr2bl w:val="nil"/>
            </w:tcBorders>
            <w:shd w:val="clear" w:color="auto" w:fill="auto"/>
            <w:tcMar>
              <w:top w:w="15" w:type="dxa"/>
              <w:left w:w="15" w:type="dxa"/>
              <w:right w:w="15" w:type="dxa"/>
            </w:tcMar>
            <w:vAlign w:val="center"/>
          </w:tcPr>
          <w:p w14:paraId="5536A8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l2br w:val="nil"/>
              <w:tr2bl w:val="nil"/>
            </w:tcBorders>
            <w:shd w:val="clear" w:color="auto" w:fill="auto"/>
            <w:tcMar>
              <w:top w:w="15" w:type="dxa"/>
              <w:left w:w="15" w:type="dxa"/>
              <w:right w:w="15" w:type="dxa"/>
            </w:tcMar>
            <w:vAlign w:val="center"/>
          </w:tcPr>
          <w:p w14:paraId="0A5F49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695万</w:t>
            </w:r>
          </w:p>
        </w:tc>
        <w:tc>
          <w:tcPr>
            <w:tcW w:w="653" w:type="dxa"/>
            <w:tcBorders>
              <w:tl2br w:val="nil"/>
              <w:tr2bl w:val="nil"/>
            </w:tcBorders>
            <w:shd w:val="clear" w:color="auto" w:fill="auto"/>
            <w:tcMar>
              <w:top w:w="15" w:type="dxa"/>
              <w:left w:w="15" w:type="dxa"/>
              <w:right w:w="15" w:type="dxa"/>
            </w:tcMar>
            <w:vAlign w:val="center"/>
          </w:tcPr>
          <w:p w14:paraId="0E3B7E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73894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jc w:val="center"/>
        </w:trPr>
        <w:tc>
          <w:tcPr>
            <w:tcW w:w="685" w:type="dxa"/>
            <w:vMerge w:val="continue"/>
            <w:tcBorders>
              <w:tl2br w:val="nil"/>
              <w:tr2bl w:val="nil"/>
            </w:tcBorders>
            <w:shd w:val="clear" w:color="auto" w:fill="auto"/>
            <w:tcMar>
              <w:top w:w="15" w:type="dxa"/>
              <w:left w:w="15" w:type="dxa"/>
              <w:right w:w="15" w:type="dxa"/>
            </w:tcMar>
            <w:vAlign w:val="center"/>
          </w:tcPr>
          <w:p w14:paraId="2EC0C1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tl2br w:val="nil"/>
              <w:tr2bl w:val="nil"/>
            </w:tcBorders>
            <w:shd w:val="clear" w:color="auto" w:fill="auto"/>
            <w:tcMar>
              <w:top w:w="15" w:type="dxa"/>
              <w:left w:w="15" w:type="dxa"/>
              <w:right w:w="15" w:type="dxa"/>
            </w:tcMar>
            <w:vAlign w:val="center"/>
          </w:tcPr>
          <w:p w14:paraId="64BB99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l2br w:val="nil"/>
              <w:tr2bl w:val="nil"/>
            </w:tcBorders>
            <w:shd w:val="clear" w:color="auto" w:fill="auto"/>
            <w:tcMar>
              <w:top w:w="15" w:type="dxa"/>
              <w:left w:w="15" w:type="dxa"/>
              <w:right w:w="15" w:type="dxa"/>
            </w:tcMar>
            <w:vAlign w:val="center"/>
          </w:tcPr>
          <w:p w14:paraId="1D118E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提高被审计单位经济管理水平</w:t>
            </w:r>
          </w:p>
        </w:tc>
        <w:tc>
          <w:tcPr>
            <w:tcW w:w="870" w:type="dxa"/>
            <w:tcBorders>
              <w:tl2br w:val="nil"/>
              <w:tr2bl w:val="nil"/>
            </w:tcBorders>
            <w:shd w:val="clear" w:color="auto" w:fill="auto"/>
            <w:tcMar>
              <w:top w:w="15" w:type="dxa"/>
              <w:left w:w="15" w:type="dxa"/>
              <w:right w:w="15" w:type="dxa"/>
            </w:tcMar>
            <w:vAlign w:val="center"/>
          </w:tcPr>
          <w:p w14:paraId="3F9F9A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提高</w:t>
            </w:r>
          </w:p>
        </w:tc>
        <w:tc>
          <w:tcPr>
            <w:tcW w:w="645" w:type="dxa"/>
            <w:tcBorders>
              <w:tl2br w:val="nil"/>
              <w:tr2bl w:val="nil"/>
            </w:tcBorders>
            <w:shd w:val="clear" w:color="auto" w:fill="auto"/>
            <w:tcMar>
              <w:top w:w="15" w:type="dxa"/>
              <w:left w:w="15" w:type="dxa"/>
              <w:right w:w="15" w:type="dxa"/>
            </w:tcMar>
            <w:vAlign w:val="center"/>
          </w:tcPr>
          <w:p w14:paraId="244C22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l2br w:val="nil"/>
              <w:tr2bl w:val="nil"/>
            </w:tcBorders>
            <w:shd w:val="clear" w:color="auto" w:fill="auto"/>
            <w:tcMar>
              <w:top w:w="15" w:type="dxa"/>
              <w:left w:w="15" w:type="dxa"/>
              <w:right w:w="15" w:type="dxa"/>
            </w:tcMar>
            <w:vAlign w:val="center"/>
          </w:tcPr>
          <w:p w14:paraId="1F47A2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l2br w:val="nil"/>
              <w:tr2bl w:val="nil"/>
            </w:tcBorders>
            <w:shd w:val="clear" w:color="auto" w:fill="auto"/>
            <w:tcMar>
              <w:top w:w="15" w:type="dxa"/>
              <w:left w:w="15" w:type="dxa"/>
              <w:right w:w="15" w:type="dxa"/>
            </w:tcMar>
            <w:vAlign w:val="center"/>
          </w:tcPr>
          <w:p w14:paraId="68671A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50C34C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jc w:val="center"/>
        </w:trPr>
        <w:tc>
          <w:tcPr>
            <w:tcW w:w="685" w:type="dxa"/>
            <w:vMerge w:val="continue"/>
            <w:tcBorders>
              <w:tl2br w:val="nil"/>
              <w:tr2bl w:val="nil"/>
            </w:tcBorders>
            <w:shd w:val="clear" w:color="auto" w:fill="auto"/>
            <w:tcMar>
              <w:top w:w="15" w:type="dxa"/>
              <w:left w:w="15" w:type="dxa"/>
              <w:right w:w="15" w:type="dxa"/>
            </w:tcMar>
            <w:vAlign w:val="center"/>
          </w:tcPr>
          <w:p w14:paraId="5461D5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l2br w:val="nil"/>
              <w:tr2bl w:val="nil"/>
            </w:tcBorders>
            <w:shd w:val="clear" w:color="auto" w:fill="auto"/>
            <w:tcMar>
              <w:top w:w="15" w:type="dxa"/>
              <w:left w:w="15" w:type="dxa"/>
              <w:right w:w="15" w:type="dxa"/>
            </w:tcMar>
            <w:vAlign w:val="center"/>
          </w:tcPr>
          <w:p w14:paraId="49EED0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l2br w:val="nil"/>
              <w:tr2bl w:val="nil"/>
            </w:tcBorders>
            <w:shd w:val="clear" w:color="auto" w:fill="auto"/>
            <w:tcMar>
              <w:top w:w="15" w:type="dxa"/>
              <w:left w:w="15" w:type="dxa"/>
              <w:right w:w="15" w:type="dxa"/>
            </w:tcMar>
            <w:vAlign w:val="center"/>
          </w:tcPr>
          <w:p w14:paraId="004C46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l2br w:val="nil"/>
              <w:tr2bl w:val="nil"/>
            </w:tcBorders>
            <w:shd w:val="clear" w:color="auto" w:fill="auto"/>
            <w:tcMar>
              <w:top w:w="15" w:type="dxa"/>
              <w:left w:w="15" w:type="dxa"/>
              <w:right w:w="15" w:type="dxa"/>
            </w:tcMar>
            <w:vAlign w:val="center"/>
          </w:tcPr>
          <w:p w14:paraId="05F495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l2br w:val="nil"/>
              <w:tr2bl w:val="nil"/>
            </w:tcBorders>
            <w:shd w:val="clear" w:color="auto" w:fill="auto"/>
            <w:tcMar>
              <w:top w:w="15" w:type="dxa"/>
              <w:left w:w="15" w:type="dxa"/>
              <w:right w:w="15" w:type="dxa"/>
            </w:tcMar>
            <w:vAlign w:val="center"/>
          </w:tcPr>
          <w:p w14:paraId="5544E1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l2br w:val="nil"/>
              <w:tr2bl w:val="nil"/>
            </w:tcBorders>
            <w:shd w:val="clear" w:color="auto" w:fill="auto"/>
            <w:tcMar>
              <w:top w:w="15" w:type="dxa"/>
              <w:left w:w="15" w:type="dxa"/>
              <w:right w:w="15" w:type="dxa"/>
            </w:tcMar>
            <w:vAlign w:val="center"/>
          </w:tcPr>
          <w:p w14:paraId="7D1A26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l2br w:val="nil"/>
              <w:tr2bl w:val="nil"/>
            </w:tcBorders>
            <w:shd w:val="clear" w:color="auto" w:fill="auto"/>
            <w:tcMar>
              <w:top w:w="15" w:type="dxa"/>
              <w:left w:w="15" w:type="dxa"/>
              <w:right w:w="15" w:type="dxa"/>
            </w:tcMar>
            <w:vAlign w:val="center"/>
          </w:tcPr>
          <w:p w14:paraId="0F9C5A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5C1029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tcBorders>
              <w:tl2br w:val="nil"/>
              <w:tr2bl w:val="nil"/>
            </w:tcBorders>
            <w:shd w:val="clear" w:color="auto" w:fill="auto"/>
            <w:tcMar>
              <w:top w:w="15" w:type="dxa"/>
              <w:left w:w="15" w:type="dxa"/>
              <w:right w:w="15" w:type="dxa"/>
            </w:tcMar>
            <w:vAlign w:val="center"/>
          </w:tcPr>
          <w:p w14:paraId="723AD8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l2br w:val="nil"/>
              <w:tr2bl w:val="nil"/>
            </w:tcBorders>
            <w:shd w:val="clear" w:color="auto" w:fill="auto"/>
            <w:tcMar>
              <w:top w:w="15" w:type="dxa"/>
              <w:left w:w="15" w:type="dxa"/>
              <w:right w:w="15" w:type="dxa"/>
            </w:tcMar>
            <w:vAlign w:val="center"/>
          </w:tcPr>
          <w:p w14:paraId="6ECDE6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l2br w:val="nil"/>
              <w:tr2bl w:val="nil"/>
            </w:tcBorders>
            <w:shd w:val="clear" w:color="auto" w:fill="auto"/>
            <w:tcMar>
              <w:top w:w="15" w:type="dxa"/>
              <w:left w:w="15" w:type="dxa"/>
              <w:right w:w="15" w:type="dxa"/>
            </w:tcMar>
            <w:vAlign w:val="center"/>
          </w:tcPr>
          <w:p w14:paraId="591D14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l2br w:val="nil"/>
              <w:tr2bl w:val="nil"/>
            </w:tcBorders>
            <w:shd w:val="clear" w:color="auto" w:fill="auto"/>
            <w:tcMar>
              <w:top w:w="15" w:type="dxa"/>
              <w:left w:w="15" w:type="dxa"/>
              <w:right w:w="15" w:type="dxa"/>
            </w:tcMar>
            <w:vAlign w:val="center"/>
          </w:tcPr>
          <w:p w14:paraId="2821EF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l2br w:val="nil"/>
              <w:tr2bl w:val="nil"/>
            </w:tcBorders>
            <w:shd w:val="clear" w:color="auto" w:fill="auto"/>
            <w:tcMar>
              <w:top w:w="15" w:type="dxa"/>
              <w:left w:w="15" w:type="dxa"/>
              <w:right w:w="15" w:type="dxa"/>
            </w:tcMar>
            <w:vAlign w:val="center"/>
          </w:tcPr>
          <w:p w14:paraId="5A1B63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l2br w:val="nil"/>
              <w:tr2bl w:val="nil"/>
            </w:tcBorders>
            <w:shd w:val="clear" w:color="auto" w:fill="auto"/>
            <w:tcMar>
              <w:top w:w="15" w:type="dxa"/>
              <w:left w:w="15" w:type="dxa"/>
              <w:right w:w="15" w:type="dxa"/>
            </w:tcMar>
            <w:vAlign w:val="center"/>
          </w:tcPr>
          <w:p w14:paraId="7D4E42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l2br w:val="nil"/>
              <w:tr2bl w:val="nil"/>
            </w:tcBorders>
            <w:shd w:val="clear" w:color="auto" w:fill="auto"/>
            <w:tcMar>
              <w:top w:w="15" w:type="dxa"/>
              <w:left w:w="15" w:type="dxa"/>
              <w:right w:w="15" w:type="dxa"/>
            </w:tcMar>
            <w:vAlign w:val="center"/>
          </w:tcPr>
          <w:p w14:paraId="6BFC67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0374A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jc w:val="center"/>
        </w:trPr>
        <w:tc>
          <w:tcPr>
            <w:tcW w:w="685" w:type="dxa"/>
            <w:vMerge w:val="continue"/>
            <w:tcBorders>
              <w:tl2br w:val="nil"/>
              <w:tr2bl w:val="nil"/>
            </w:tcBorders>
            <w:shd w:val="clear" w:color="auto" w:fill="auto"/>
            <w:tcMar>
              <w:top w:w="15" w:type="dxa"/>
              <w:left w:w="15" w:type="dxa"/>
              <w:right w:w="15" w:type="dxa"/>
            </w:tcMar>
            <w:vAlign w:val="center"/>
          </w:tcPr>
          <w:p w14:paraId="134B17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l2br w:val="nil"/>
              <w:tr2bl w:val="nil"/>
            </w:tcBorders>
            <w:shd w:val="clear" w:color="auto" w:fill="auto"/>
            <w:tcMar>
              <w:top w:w="15" w:type="dxa"/>
              <w:left w:w="15" w:type="dxa"/>
              <w:right w:w="15" w:type="dxa"/>
            </w:tcMar>
            <w:vAlign w:val="center"/>
          </w:tcPr>
          <w:p w14:paraId="75D1C9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l2br w:val="nil"/>
              <w:tr2bl w:val="nil"/>
            </w:tcBorders>
            <w:shd w:val="clear" w:color="auto" w:fill="auto"/>
            <w:tcMar>
              <w:top w:w="15" w:type="dxa"/>
              <w:left w:w="15" w:type="dxa"/>
              <w:right w:w="15" w:type="dxa"/>
            </w:tcMar>
            <w:vAlign w:val="center"/>
          </w:tcPr>
          <w:p w14:paraId="5A35FA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l2br w:val="nil"/>
              <w:tr2bl w:val="nil"/>
            </w:tcBorders>
            <w:shd w:val="clear" w:color="auto" w:fill="auto"/>
            <w:tcMar>
              <w:top w:w="15" w:type="dxa"/>
              <w:left w:w="15" w:type="dxa"/>
              <w:right w:w="15" w:type="dxa"/>
            </w:tcMar>
            <w:vAlign w:val="center"/>
          </w:tcPr>
          <w:p w14:paraId="6B7C37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l2br w:val="nil"/>
              <w:tr2bl w:val="nil"/>
            </w:tcBorders>
            <w:shd w:val="clear" w:color="auto" w:fill="auto"/>
            <w:tcMar>
              <w:top w:w="15" w:type="dxa"/>
              <w:left w:w="15" w:type="dxa"/>
              <w:right w:w="15" w:type="dxa"/>
            </w:tcMar>
            <w:vAlign w:val="center"/>
          </w:tcPr>
          <w:p w14:paraId="58499A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l2br w:val="nil"/>
              <w:tr2bl w:val="nil"/>
            </w:tcBorders>
            <w:shd w:val="clear" w:color="auto" w:fill="auto"/>
            <w:tcMar>
              <w:top w:w="15" w:type="dxa"/>
              <w:left w:w="15" w:type="dxa"/>
              <w:right w:w="15" w:type="dxa"/>
            </w:tcMar>
            <w:vAlign w:val="center"/>
          </w:tcPr>
          <w:p w14:paraId="2F809A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l2br w:val="nil"/>
              <w:tr2bl w:val="nil"/>
            </w:tcBorders>
            <w:shd w:val="clear" w:color="auto" w:fill="auto"/>
            <w:tcMar>
              <w:top w:w="15" w:type="dxa"/>
              <w:left w:w="15" w:type="dxa"/>
              <w:right w:w="15" w:type="dxa"/>
            </w:tcMar>
            <w:vAlign w:val="center"/>
          </w:tcPr>
          <w:p w14:paraId="577B38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5DBC13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tcBorders>
              <w:tl2br w:val="nil"/>
              <w:tr2bl w:val="nil"/>
            </w:tcBorders>
            <w:shd w:val="clear" w:color="auto" w:fill="auto"/>
            <w:tcMar>
              <w:top w:w="15" w:type="dxa"/>
              <w:left w:w="15" w:type="dxa"/>
              <w:right w:w="15" w:type="dxa"/>
            </w:tcMar>
            <w:vAlign w:val="center"/>
          </w:tcPr>
          <w:p w14:paraId="727F9F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l2br w:val="nil"/>
              <w:tr2bl w:val="nil"/>
            </w:tcBorders>
            <w:shd w:val="clear" w:color="auto" w:fill="auto"/>
            <w:tcMar>
              <w:top w:w="15" w:type="dxa"/>
              <w:left w:w="15" w:type="dxa"/>
              <w:right w:w="15" w:type="dxa"/>
            </w:tcMar>
            <w:vAlign w:val="center"/>
          </w:tcPr>
          <w:p w14:paraId="55706C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满意度指标</w:t>
            </w:r>
          </w:p>
        </w:tc>
        <w:tc>
          <w:tcPr>
            <w:tcW w:w="2744" w:type="dxa"/>
            <w:tcBorders>
              <w:tl2br w:val="nil"/>
              <w:tr2bl w:val="nil"/>
            </w:tcBorders>
            <w:shd w:val="clear" w:color="auto" w:fill="auto"/>
            <w:tcMar>
              <w:top w:w="15" w:type="dxa"/>
              <w:left w:w="15" w:type="dxa"/>
              <w:right w:w="15" w:type="dxa"/>
            </w:tcMar>
            <w:vAlign w:val="center"/>
          </w:tcPr>
          <w:p w14:paraId="429F74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社会中介机构满意度</w:t>
            </w:r>
          </w:p>
        </w:tc>
        <w:tc>
          <w:tcPr>
            <w:tcW w:w="870" w:type="dxa"/>
            <w:tcBorders>
              <w:tl2br w:val="nil"/>
              <w:tr2bl w:val="nil"/>
            </w:tcBorders>
            <w:shd w:val="clear" w:color="auto" w:fill="auto"/>
            <w:tcMar>
              <w:top w:w="15" w:type="dxa"/>
              <w:left w:w="15" w:type="dxa"/>
              <w:right w:w="15" w:type="dxa"/>
            </w:tcMar>
            <w:vAlign w:val="center"/>
          </w:tcPr>
          <w:p w14:paraId="768317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tcBorders>
              <w:tl2br w:val="nil"/>
              <w:tr2bl w:val="nil"/>
            </w:tcBorders>
            <w:shd w:val="clear" w:color="auto" w:fill="auto"/>
            <w:tcMar>
              <w:top w:w="15" w:type="dxa"/>
              <w:left w:w="15" w:type="dxa"/>
              <w:right w:w="15" w:type="dxa"/>
            </w:tcMar>
            <w:vAlign w:val="center"/>
          </w:tcPr>
          <w:p w14:paraId="5C27B2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l2br w:val="nil"/>
              <w:tr2bl w:val="nil"/>
            </w:tcBorders>
            <w:shd w:val="clear" w:color="auto" w:fill="auto"/>
            <w:tcMar>
              <w:top w:w="15" w:type="dxa"/>
              <w:left w:w="15" w:type="dxa"/>
              <w:right w:w="15" w:type="dxa"/>
            </w:tcMar>
            <w:vAlign w:val="center"/>
          </w:tcPr>
          <w:p w14:paraId="7F1BF5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53" w:type="dxa"/>
            <w:tcBorders>
              <w:tl2br w:val="nil"/>
              <w:tr2bl w:val="nil"/>
            </w:tcBorders>
            <w:shd w:val="clear" w:color="auto" w:fill="auto"/>
            <w:tcMar>
              <w:top w:w="15" w:type="dxa"/>
              <w:left w:w="15" w:type="dxa"/>
              <w:right w:w="15" w:type="dxa"/>
            </w:tcMar>
            <w:vAlign w:val="center"/>
          </w:tcPr>
          <w:p w14:paraId="2E883D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7C1554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469" w:hRule="atLeast"/>
          <w:jc w:val="center"/>
        </w:trPr>
        <w:tc>
          <w:tcPr>
            <w:tcW w:w="6024" w:type="dxa"/>
            <w:gridSpan w:val="4"/>
            <w:tcBorders>
              <w:tl2br w:val="nil"/>
              <w:tr2bl w:val="nil"/>
            </w:tcBorders>
            <w:shd w:val="clear" w:color="auto" w:fill="auto"/>
            <w:tcMar>
              <w:top w:w="15" w:type="dxa"/>
              <w:left w:w="15" w:type="dxa"/>
              <w:right w:w="15" w:type="dxa"/>
            </w:tcMar>
            <w:vAlign w:val="center"/>
          </w:tcPr>
          <w:p w14:paraId="02923C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l2br w:val="nil"/>
              <w:tr2bl w:val="nil"/>
            </w:tcBorders>
            <w:shd w:val="clear" w:color="auto" w:fill="auto"/>
            <w:tcMar>
              <w:top w:w="15" w:type="dxa"/>
              <w:left w:w="15" w:type="dxa"/>
              <w:right w:w="15" w:type="dxa"/>
            </w:tcMar>
            <w:vAlign w:val="center"/>
          </w:tcPr>
          <w:p w14:paraId="230B2B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l2br w:val="nil"/>
              <w:tr2bl w:val="nil"/>
            </w:tcBorders>
            <w:shd w:val="clear" w:color="auto" w:fill="auto"/>
            <w:tcMar>
              <w:top w:w="15" w:type="dxa"/>
              <w:left w:w="15" w:type="dxa"/>
              <w:right w:w="15" w:type="dxa"/>
            </w:tcMar>
            <w:vAlign w:val="center"/>
          </w:tcPr>
          <w:p w14:paraId="129503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l2br w:val="nil"/>
              <w:tr2bl w:val="nil"/>
            </w:tcBorders>
            <w:shd w:val="clear" w:color="auto" w:fill="auto"/>
            <w:tcMar>
              <w:top w:w="15" w:type="dxa"/>
              <w:left w:w="15" w:type="dxa"/>
              <w:right w:w="15" w:type="dxa"/>
            </w:tcMar>
            <w:vAlign w:val="center"/>
          </w:tcPr>
          <w:p w14:paraId="6B2CD0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61D0B1D3">
      <w:pPr>
        <w:bidi w:val="0"/>
        <w:outlineLvl w:val="2"/>
        <w:rPr>
          <w:rFonts w:hint="default"/>
          <w:b/>
          <w:bCs/>
          <w:color w:val="auto"/>
          <w:highlight w:val="none"/>
          <w:lang w:val="en-US" w:eastAsia="zh-CN"/>
        </w:rPr>
      </w:pPr>
      <w:bookmarkStart w:id="76" w:name="_Toc8010"/>
      <w:r>
        <w:rPr>
          <w:rFonts w:hint="eastAsia"/>
          <w:b/>
          <w:bCs/>
          <w:color w:val="auto"/>
          <w:highlight w:val="none"/>
          <w:lang w:val="en-US" w:eastAsia="zh-CN"/>
        </w:rPr>
        <w:t>1.经济效益指标</w:t>
      </w:r>
      <w:bookmarkEnd w:id="76"/>
    </w:p>
    <w:p w14:paraId="7522DFEB">
      <w:pPr>
        <w:bidi w:val="0"/>
        <w:rPr>
          <w:rFonts w:hint="eastAsia"/>
          <w:color w:val="auto"/>
          <w:highlight w:val="none"/>
          <w:lang w:val="en-US" w:eastAsia="zh-CN"/>
        </w:rPr>
      </w:pPr>
      <w:r>
        <w:rPr>
          <w:rFonts w:hint="eastAsia"/>
          <w:color w:val="auto"/>
          <w:highlight w:val="none"/>
          <w:lang w:eastAsia="zh-CN"/>
        </w:rPr>
        <w:t>“</w:t>
      </w:r>
      <w:r>
        <w:rPr>
          <w:rFonts w:hint="default"/>
          <w:color w:val="auto"/>
          <w:highlight w:val="none"/>
          <w:lang w:val="en-US" w:eastAsia="zh-CN"/>
        </w:rPr>
        <w:t>节约基本建设投资资金</w:t>
      </w:r>
      <w:r>
        <w:rPr>
          <w:rFonts w:hint="eastAsia"/>
          <w:color w:val="auto"/>
          <w:highlight w:val="none"/>
          <w:lang w:eastAsia="zh-CN"/>
        </w:rPr>
        <w:t>”</w:t>
      </w:r>
      <w:r>
        <w:rPr>
          <w:rFonts w:hint="eastAsia"/>
          <w:color w:val="auto"/>
          <w:highlight w:val="none"/>
          <w:lang w:val="en-US" w:eastAsia="zh-CN"/>
        </w:rPr>
        <w:t>指标，预期目标值为</w:t>
      </w:r>
      <w:r>
        <w:rPr>
          <w:rFonts w:hint="default"/>
          <w:color w:val="auto"/>
          <w:highlight w:val="none"/>
          <w:lang w:val="en-US" w:eastAsia="zh-CN"/>
        </w:rPr>
        <w:t>≥695万</w:t>
      </w:r>
      <w:r>
        <w:rPr>
          <w:rFonts w:hint="eastAsia"/>
          <w:color w:val="auto"/>
          <w:highlight w:val="none"/>
          <w:lang w:val="en-US" w:eastAsia="zh-CN"/>
        </w:rPr>
        <w:t>，实际完成为</w:t>
      </w:r>
      <w:r>
        <w:rPr>
          <w:rFonts w:hint="default"/>
          <w:color w:val="auto"/>
          <w:highlight w:val="none"/>
          <w:lang w:val="en-US" w:eastAsia="zh-CN"/>
        </w:rPr>
        <w:t>695万</w:t>
      </w:r>
      <w:r>
        <w:rPr>
          <w:rFonts w:hint="eastAsia"/>
          <w:color w:val="auto"/>
          <w:highlight w:val="none"/>
          <w:lang w:val="en-US" w:eastAsia="zh-CN"/>
        </w:rPr>
        <w:t>。</w:t>
      </w:r>
    </w:p>
    <w:p w14:paraId="59E4BE2A">
      <w:pPr>
        <w:bidi w:val="0"/>
        <w:rPr>
          <w:rFonts w:hint="default"/>
          <w:color w:val="auto"/>
          <w:highlight w:val="none"/>
          <w:lang w:val="en-US" w:eastAsia="zh-CN"/>
        </w:rPr>
      </w:pPr>
      <w:r>
        <w:rPr>
          <w:rFonts w:hint="default"/>
          <w:color w:val="auto"/>
          <w:highlight w:val="none"/>
          <w:lang w:val="en-US" w:eastAsia="zh-CN"/>
        </w:rPr>
        <w:t>“提高被审计单位经济管理水平”</w:t>
      </w:r>
      <w:r>
        <w:rPr>
          <w:rFonts w:hint="eastAsia"/>
          <w:color w:val="auto"/>
          <w:highlight w:val="none"/>
          <w:lang w:val="en-US" w:eastAsia="zh-CN"/>
        </w:rPr>
        <w:t>指标，预期目标值为提高，实际完成为提高。</w:t>
      </w:r>
    </w:p>
    <w:p w14:paraId="36A5C82F">
      <w:pPr>
        <w:pageBreakBefore w:val="0"/>
        <w:kinsoku/>
        <w:wordWrap/>
        <w:overflowPunct/>
        <w:topLinePunct w:val="0"/>
        <w:autoSpaceDE/>
        <w:autoSpaceDN/>
        <w:bidi w:val="0"/>
        <w:adjustRightInd/>
        <w:spacing w:line="560" w:lineRule="exact"/>
        <w:ind w:firstLine="560"/>
        <w:textAlignment w:val="auto"/>
        <w:rPr>
          <w:rFonts w:hint="eastAsia"/>
          <w:b w:val="0"/>
          <w:bCs w:val="0"/>
          <w:color w:val="auto"/>
          <w:highlight w:val="none"/>
          <w:lang w:val="en-US" w:eastAsia="zh-CN"/>
        </w:rPr>
      </w:pPr>
      <w:r>
        <w:rPr>
          <w:rFonts w:hint="eastAsia"/>
          <w:b w:val="0"/>
          <w:bCs w:val="0"/>
          <w:color w:val="auto"/>
          <w:highlight w:val="none"/>
          <w:lang w:val="en-US" w:eastAsia="zh-CN"/>
        </w:rPr>
        <w:t>通过项目的实施，支付审计中介服务费695万，提高了被审计单位的经济管理水平，提高了审计干部的业务水平和工作效率。</w:t>
      </w:r>
    </w:p>
    <w:p w14:paraId="5DE7BD02">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14:paraId="623B259A">
      <w:pPr>
        <w:bidi w:val="0"/>
        <w:outlineLvl w:val="2"/>
        <w:rPr>
          <w:rFonts w:hint="eastAsia"/>
          <w:b/>
          <w:bCs/>
          <w:color w:val="auto"/>
          <w:highlight w:val="none"/>
          <w:lang w:val="en-US" w:eastAsia="zh-CN"/>
        </w:rPr>
      </w:pPr>
      <w:bookmarkStart w:id="77" w:name="_Toc27006"/>
      <w:r>
        <w:rPr>
          <w:rFonts w:hint="eastAsia"/>
          <w:b/>
          <w:bCs/>
          <w:color w:val="auto"/>
          <w:highlight w:val="none"/>
          <w:lang w:val="en-US" w:eastAsia="zh-CN"/>
        </w:rPr>
        <w:t>2.社会效益指标</w:t>
      </w:r>
      <w:bookmarkEnd w:id="77"/>
    </w:p>
    <w:p w14:paraId="1682DE75">
      <w:pPr>
        <w:bidi w:val="0"/>
        <w:rPr>
          <w:rFonts w:hint="eastAsia"/>
          <w:color w:val="auto"/>
          <w:highlight w:val="none"/>
          <w:lang w:val="en-US" w:eastAsia="zh-CN"/>
        </w:rPr>
      </w:pPr>
      <w:r>
        <w:rPr>
          <w:rFonts w:hint="eastAsia"/>
          <w:color w:val="auto"/>
          <w:highlight w:val="none"/>
          <w:lang w:val="en-US" w:eastAsia="zh-CN"/>
        </w:rPr>
        <w:t>此项目不涉及</w:t>
      </w:r>
      <w:r>
        <w:rPr>
          <w:rFonts w:hint="eastAsia"/>
          <w:color w:val="auto"/>
          <w:highlight w:val="none"/>
          <w:lang w:eastAsia="zh-CN"/>
        </w:rPr>
        <w:t>“</w:t>
      </w:r>
      <w:r>
        <w:rPr>
          <w:rFonts w:hint="eastAsia"/>
          <w:color w:val="auto"/>
          <w:highlight w:val="none"/>
          <w:lang w:val="en-US" w:eastAsia="zh-CN"/>
        </w:rPr>
        <w:t>社会效益</w:t>
      </w:r>
      <w:r>
        <w:rPr>
          <w:rFonts w:hint="eastAsia"/>
          <w:color w:val="auto"/>
          <w:highlight w:val="none"/>
          <w:lang w:eastAsia="zh-CN"/>
        </w:rPr>
        <w:t>”</w:t>
      </w:r>
      <w:r>
        <w:rPr>
          <w:rFonts w:hint="eastAsia"/>
          <w:color w:val="auto"/>
          <w:highlight w:val="none"/>
          <w:lang w:val="en-US" w:eastAsia="zh-CN"/>
        </w:rPr>
        <w:t>指标。</w:t>
      </w:r>
    </w:p>
    <w:p w14:paraId="346C91D7">
      <w:pPr>
        <w:bidi w:val="0"/>
        <w:outlineLvl w:val="2"/>
        <w:rPr>
          <w:rFonts w:hint="eastAsia"/>
          <w:color w:val="auto"/>
          <w:highlight w:val="none"/>
          <w:lang w:val="en-US" w:eastAsia="zh-CN"/>
        </w:rPr>
      </w:pPr>
      <w:bookmarkStart w:id="78" w:name="_Toc23106"/>
      <w:r>
        <w:rPr>
          <w:rFonts w:hint="eastAsia"/>
          <w:b/>
          <w:bCs/>
          <w:color w:val="auto"/>
          <w:highlight w:val="none"/>
          <w:lang w:val="en-US" w:eastAsia="zh-CN"/>
        </w:rPr>
        <w:t>3.生态效益指标</w:t>
      </w:r>
      <w:bookmarkEnd w:id="78"/>
    </w:p>
    <w:p w14:paraId="69104881">
      <w:pPr>
        <w:bidi w:val="0"/>
        <w:rPr>
          <w:rFonts w:hint="eastAsia"/>
          <w:color w:val="auto"/>
          <w:highlight w:val="none"/>
          <w:lang w:val="en-US" w:eastAsia="zh-CN"/>
        </w:rPr>
      </w:pPr>
      <w:r>
        <w:rPr>
          <w:rFonts w:hint="eastAsia"/>
          <w:color w:val="auto"/>
          <w:highlight w:val="none"/>
          <w:lang w:val="en-US" w:eastAsia="zh-CN"/>
        </w:rPr>
        <w:t>此项目不涉及</w:t>
      </w:r>
      <w:r>
        <w:rPr>
          <w:rFonts w:hint="eastAsia"/>
          <w:color w:val="auto"/>
          <w:highlight w:val="none"/>
          <w:lang w:eastAsia="zh-CN"/>
        </w:rPr>
        <w:t>“</w:t>
      </w:r>
      <w:r>
        <w:rPr>
          <w:rFonts w:hint="eastAsia"/>
          <w:color w:val="auto"/>
          <w:highlight w:val="none"/>
          <w:lang w:val="en-US" w:eastAsia="zh-CN"/>
        </w:rPr>
        <w:t>生态效益</w:t>
      </w:r>
      <w:r>
        <w:rPr>
          <w:rFonts w:hint="eastAsia"/>
          <w:color w:val="auto"/>
          <w:highlight w:val="none"/>
          <w:lang w:eastAsia="zh-CN"/>
        </w:rPr>
        <w:t>”</w:t>
      </w:r>
      <w:r>
        <w:rPr>
          <w:rFonts w:hint="eastAsia"/>
          <w:color w:val="auto"/>
          <w:highlight w:val="none"/>
          <w:lang w:val="en-US" w:eastAsia="zh-CN"/>
        </w:rPr>
        <w:t>指标。</w:t>
      </w:r>
    </w:p>
    <w:p w14:paraId="0017E9C7">
      <w:pPr>
        <w:bidi w:val="0"/>
        <w:outlineLvl w:val="2"/>
        <w:rPr>
          <w:rFonts w:hint="eastAsia"/>
          <w:b/>
          <w:bCs/>
          <w:color w:val="auto"/>
          <w:highlight w:val="none"/>
          <w:lang w:val="en-US" w:eastAsia="zh-CN"/>
        </w:rPr>
      </w:pPr>
      <w:bookmarkStart w:id="79" w:name="_Toc3271"/>
      <w:r>
        <w:rPr>
          <w:rFonts w:hint="eastAsia"/>
          <w:b/>
          <w:bCs/>
          <w:color w:val="auto"/>
          <w:highlight w:val="none"/>
          <w:lang w:val="en-US" w:eastAsia="zh-CN"/>
        </w:rPr>
        <w:t>4.满意度指标</w:t>
      </w:r>
      <w:bookmarkEnd w:id="79"/>
    </w:p>
    <w:p w14:paraId="41300902">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社会中介机构满意度</w:t>
      </w:r>
      <w:r>
        <w:rPr>
          <w:rFonts w:hint="eastAsia"/>
          <w:color w:val="auto"/>
          <w:highlight w:val="none"/>
          <w:lang w:eastAsia="zh-CN"/>
        </w:rPr>
        <w:t>”</w:t>
      </w:r>
      <w:r>
        <w:rPr>
          <w:rFonts w:hint="eastAsia"/>
          <w:color w:val="auto"/>
          <w:highlight w:val="none"/>
          <w:lang w:val="en-US" w:eastAsia="zh-CN"/>
        </w:rPr>
        <w:t>指标，预期目标值为≥90%，实际完成为90%。</w:t>
      </w:r>
    </w:p>
    <w:p w14:paraId="12F1B94E">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0BFA151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19962"/>
      <w:r>
        <w:rPr>
          <w:rFonts w:hint="eastAsia" w:ascii="宋体" w:hAnsi="宋体" w:eastAsia="宋体" w:cs="宋体"/>
          <w:b/>
          <w:bCs/>
          <w:color w:val="auto"/>
          <w:highlight w:val="none"/>
          <w:shd w:val="clear" w:color="auto" w:fill="auto"/>
          <w:lang w:val="en-US" w:eastAsia="zh-CN"/>
        </w:rPr>
        <w:t>五、预算执行进度与指标偏差</w:t>
      </w:r>
      <w:bookmarkEnd w:id="80"/>
    </w:p>
    <w:p w14:paraId="59F96E55">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w:t>
      </w:r>
      <w:r>
        <w:rPr>
          <w:rFonts w:hint="eastAsia" w:cs="仿宋_GB2312"/>
          <w:color w:val="auto"/>
          <w:sz w:val="28"/>
          <w:szCs w:val="28"/>
          <w:highlight w:val="none"/>
          <w:lang w:val="en-US" w:eastAsia="zh-CN"/>
        </w:rPr>
        <w:t>金总额为17.87万元，全年执行数为17.87万元，预算执行率为100%，总体完成率为100</w:t>
      </w:r>
      <w:r>
        <w:rPr>
          <w:rFonts w:hint="eastAsia" w:cs="仿宋_GB2312"/>
          <w:color w:val="auto"/>
          <w:sz w:val="28"/>
          <w:szCs w:val="28"/>
          <w:highlight w:val="none"/>
          <w:lang w:val="zh-TW" w:eastAsia="zh-TW"/>
        </w:rPr>
        <w:t>%。</w:t>
      </w:r>
      <w:r>
        <w:rPr>
          <w:rFonts w:hint="eastAsia" w:cs="仿宋_GB2312"/>
          <w:color w:val="auto"/>
          <w:sz w:val="28"/>
          <w:szCs w:val="28"/>
          <w:highlight w:val="none"/>
          <w:lang w:val="en-US" w:eastAsia="zh-CN"/>
        </w:rPr>
        <w:t>预算执行率与总体完成率之间的偏差为0%，无偏差。</w:t>
      </w:r>
    </w:p>
    <w:p w14:paraId="5780BDB9">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1"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1"/>
    </w:p>
    <w:p w14:paraId="4C54CA91">
      <w:pPr>
        <w:numPr>
          <w:ilvl w:val="0"/>
          <w:numId w:val="0"/>
        </w:numPr>
        <w:bidi w:val="0"/>
        <w:ind w:left="560" w:leftChars="0"/>
        <w:outlineLvl w:val="1"/>
        <w:rPr>
          <w:rFonts w:hint="eastAsia"/>
          <w:b/>
          <w:bCs/>
          <w:color w:val="auto"/>
          <w:highlight w:val="none"/>
          <w:lang w:eastAsia="zh-CN"/>
        </w:rPr>
      </w:pPr>
      <w:bookmarkStart w:id="82" w:name="_Toc13160"/>
      <w:bookmarkStart w:id="83" w:name="_Toc28290"/>
      <w:bookmarkStart w:id="84"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2"/>
    </w:p>
    <w:p w14:paraId="7FFA6363">
      <w:pPr>
        <w:bidi w:val="0"/>
        <w:rPr>
          <w:rFonts w:hint="eastAsia"/>
          <w:color w:val="auto"/>
          <w:highlight w:val="none"/>
          <w:lang w:eastAsia="zh-CN"/>
        </w:rPr>
      </w:pPr>
      <w:r>
        <w:rPr>
          <w:rFonts w:hint="eastAsia" w:cs="宋体"/>
          <w:color w:val="auto"/>
          <w:highlight w:val="none"/>
          <w:shd w:val="clear" w:color="auto" w:fill="auto"/>
          <w:lang w:val="en-US" w:eastAsia="zh-CN"/>
        </w:rPr>
        <w:t>阜康市审计局审计业务经费项目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17.87</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17.87</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3FFFB0B1">
      <w:pPr>
        <w:pageBreakBefore w:val="0"/>
        <w:kinsoku/>
        <w:wordWrap/>
        <w:overflowPunct/>
        <w:topLinePunct w:val="0"/>
        <w:autoSpaceDE/>
        <w:autoSpaceDN/>
        <w:bidi w:val="0"/>
        <w:adjustRightInd/>
        <w:spacing w:line="560" w:lineRule="exact"/>
        <w:ind w:firstLine="560"/>
        <w:textAlignment w:val="auto"/>
        <w:rPr>
          <w:rFonts w:hint="eastAsia"/>
          <w:color w:val="auto"/>
          <w:highlight w:val="none"/>
          <w:lang w:eastAsia="zh-CN"/>
        </w:rPr>
      </w:pPr>
      <w:r>
        <w:rPr>
          <w:rFonts w:hint="eastAsia" w:cs="宋体"/>
          <w:color w:val="auto"/>
          <w:highlight w:val="none"/>
          <w:shd w:val="clear" w:color="auto" w:fill="auto"/>
          <w:lang w:val="en-US" w:eastAsia="zh-CN"/>
        </w:rPr>
        <w:t>阜康市审计局</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在经费使用方面，严格执行经费使用管理制度，厉行节约，专款专用，对每笔经费使用情况建立监督机制，确保经费使用合理合规。</w:t>
      </w:r>
    </w:p>
    <w:bookmarkEnd w:id="83"/>
    <w:bookmarkEnd w:id="84"/>
    <w:p w14:paraId="1A06B652">
      <w:pPr>
        <w:numPr>
          <w:ilvl w:val="0"/>
          <w:numId w:val="2"/>
        </w:numPr>
        <w:bidi w:val="0"/>
        <w:ind w:left="0" w:leftChars="0" w:firstLine="562" w:firstLineChars="200"/>
        <w:outlineLvl w:val="1"/>
        <w:rPr>
          <w:rFonts w:hint="eastAsia"/>
          <w:b/>
          <w:bCs/>
          <w:color w:val="auto"/>
          <w:highlight w:val="none"/>
        </w:rPr>
      </w:pPr>
      <w:bookmarkStart w:id="85" w:name="_Toc9582"/>
      <w:r>
        <w:rPr>
          <w:rFonts w:hint="eastAsia"/>
          <w:b/>
          <w:bCs/>
          <w:color w:val="auto"/>
          <w:highlight w:val="none"/>
        </w:rPr>
        <w:t>存在的问题及原因分析</w:t>
      </w:r>
      <w:bookmarkEnd w:id="85"/>
    </w:p>
    <w:p w14:paraId="22F266AF">
      <w:pPr>
        <w:pageBreakBefore w:val="0"/>
        <w:kinsoku/>
        <w:wordWrap/>
        <w:overflowPunct/>
        <w:topLinePunct w:val="0"/>
        <w:autoSpaceDE/>
        <w:autoSpaceDN/>
        <w:bidi w:val="0"/>
        <w:adjustRightInd/>
        <w:spacing w:line="560" w:lineRule="exact"/>
        <w:ind w:firstLine="560"/>
        <w:textAlignment w:val="auto"/>
        <w:rPr>
          <w:rFonts w:hint="eastAsia"/>
          <w:color w:val="auto"/>
          <w:highlight w:val="none"/>
          <w:lang w:eastAsia="zh-CN"/>
        </w:rPr>
      </w:pPr>
      <w:r>
        <w:rPr>
          <w:rFonts w:hint="eastAsia"/>
          <w:color w:val="auto"/>
          <w:highlight w:val="none"/>
          <w:lang w:eastAsia="zh-CN"/>
        </w:rPr>
        <w:t>1.绩效预算认识不够充分，绩效理念有待进一步强化</w:t>
      </w:r>
    </w:p>
    <w:p w14:paraId="4A42D187">
      <w:pPr>
        <w:pageBreakBefore w:val="0"/>
        <w:kinsoku/>
        <w:wordWrap/>
        <w:overflowPunct/>
        <w:topLinePunct w:val="0"/>
        <w:autoSpaceDE/>
        <w:autoSpaceDN/>
        <w:bidi w:val="0"/>
        <w:adjustRightInd/>
        <w:spacing w:line="560" w:lineRule="exact"/>
        <w:ind w:firstLine="560"/>
        <w:textAlignment w:val="auto"/>
        <w:rPr>
          <w:rFonts w:hint="eastAsia"/>
          <w:color w:val="auto"/>
          <w:highlight w:val="none"/>
          <w:lang w:eastAsia="zh-CN"/>
        </w:rPr>
      </w:pPr>
      <w:r>
        <w:rPr>
          <w:rFonts w:hint="eastAsia"/>
          <w:color w:val="auto"/>
          <w:highlight w:val="none"/>
          <w:lang w:eastAsia="zh-CN"/>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045DA467">
      <w:pPr>
        <w:pageBreakBefore w:val="0"/>
        <w:kinsoku/>
        <w:wordWrap/>
        <w:overflowPunct/>
        <w:topLinePunct w:val="0"/>
        <w:autoSpaceDE/>
        <w:autoSpaceDN/>
        <w:bidi w:val="0"/>
        <w:adjustRightInd/>
        <w:spacing w:line="560" w:lineRule="exact"/>
        <w:ind w:firstLine="560"/>
        <w:textAlignment w:val="auto"/>
        <w:rPr>
          <w:rFonts w:hint="eastAsia"/>
          <w:color w:val="auto"/>
          <w:highlight w:val="none"/>
          <w:lang w:eastAsia="zh-CN"/>
        </w:rPr>
      </w:pPr>
      <w:r>
        <w:rPr>
          <w:rFonts w:hint="eastAsia"/>
          <w:color w:val="auto"/>
          <w:highlight w:val="none"/>
          <w:lang w:val="en-US" w:eastAsia="zh-CN"/>
        </w:rPr>
        <w:t>2</w:t>
      </w:r>
      <w:r>
        <w:rPr>
          <w:rFonts w:hint="eastAsia"/>
          <w:color w:val="auto"/>
          <w:highlight w:val="none"/>
          <w:lang w:eastAsia="zh-CN"/>
        </w:rPr>
        <w:t>.项目支出绩效评价存在局限，客观性有待加强</w:t>
      </w:r>
    </w:p>
    <w:p w14:paraId="33628C8A">
      <w:pPr>
        <w:pageBreakBefore w:val="0"/>
        <w:kinsoku/>
        <w:wordWrap/>
        <w:overflowPunct/>
        <w:topLinePunct w:val="0"/>
        <w:autoSpaceDE/>
        <w:autoSpaceDN/>
        <w:bidi w:val="0"/>
        <w:adjustRightInd/>
        <w:spacing w:line="560" w:lineRule="exact"/>
        <w:ind w:firstLine="560"/>
        <w:textAlignment w:val="auto"/>
        <w:rPr>
          <w:rFonts w:hint="eastAsia"/>
          <w:color w:val="auto"/>
          <w:highlight w:val="none"/>
          <w:lang w:eastAsia="zh-CN"/>
        </w:rPr>
      </w:pPr>
      <w:r>
        <w:rPr>
          <w:rFonts w:hint="eastAsia"/>
          <w:color w:val="auto"/>
          <w:highlight w:val="none"/>
          <w:lang w:eastAsia="zh-CN"/>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6E2AC84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5230"/>
      <w:r>
        <w:rPr>
          <w:rFonts w:hint="eastAsia" w:ascii="宋体" w:hAnsi="宋体" w:eastAsia="宋体" w:cs="宋体"/>
          <w:b/>
          <w:bCs/>
          <w:color w:val="auto"/>
          <w:highlight w:val="none"/>
          <w:shd w:val="clear" w:color="auto" w:fill="auto"/>
          <w:lang w:val="en-US" w:eastAsia="zh-CN"/>
        </w:rPr>
        <w:t>七、有关建议</w:t>
      </w:r>
      <w:bookmarkEnd w:id="86"/>
    </w:p>
    <w:p w14:paraId="3D672AA7">
      <w:pPr>
        <w:pageBreakBefore w:val="0"/>
        <w:kinsoku/>
        <w:wordWrap/>
        <w:overflowPunct/>
        <w:topLinePunct w:val="0"/>
        <w:autoSpaceDE/>
        <w:autoSpaceDN/>
        <w:bidi w:val="0"/>
        <w:adjustRightInd/>
        <w:spacing w:line="560" w:lineRule="exact"/>
        <w:ind w:firstLine="560"/>
        <w:textAlignment w:val="auto"/>
        <w:rPr>
          <w:rFonts w:hint="eastAsia"/>
          <w:color w:val="auto"/>
          <w:highlight w:val="none"/>
          <w:lang w:eastAsia="zh-CN"/>
        </w:rPr>
      </w:pPr>
      <w:bookmarkStart w:id="87" w:name="_Toc15618"/>
      <w:r>
        <w:rPr>
          <w:rFonts w:hint="eastAsia"/>
          <w:color w:val="auto"/>
          <w:highlight w:val="none"/>
          <w:lang w:eastAsia="zh-CN"/>
        </w:rPr>
        <w:t>（</w:t>
      </w:r>
      <w:r>
        <w:rPr>
          <w:rFonts w:hint="eastAsia"/>
          <w:color w:val="auto"/>
          <w:highlight w:val="none"/>
          <w:lang w:val="en-US" w:eastAsia="zh-CN"/>
        </w:rPr>
        <w:t>一</w:t>
      </w:r>
      <w:r>
        <w:rPr>
          <w:rFonts w:hint="eastAsia"/>
          <w:color w:val="auto"/>
          <w:highlight w:val="none"/>
          <w:lang w:eastAsia="zh-CN"/>
        </w:rPr>
        <w:t>）加强培训，提高相关人员工作水平</w:t>
      </w:r>
    </w:p>
    <w:p w14:paraId="5BF1BE92">
      <w:pPr>
        <w:pageBreakBefore w:val="0"/>
        <w:kinsoku/>
        <w:wordWrap/>
        <w:overflowPunct/>
        <w:topLinePunct w:val="0"/>
        <w:autoSpaceDE/>
        <w:autoSpaceDN/>
        <w:bidi w:val="0"/>
        <w:adjustRightInd/>
        <w:spacing w:line="560" w:lineRule="exact"/>
        <w:ind w:firstLine="560"/>
        <w:textAlignment w:val="auto"/>
        <w:rPr>
          <w:rFonts w:hint="eastAsia"/>
          <w:color w:val="auto"/>
          <w:highlight w:val="none"/>
          <w:lang w:eastAsia="zh-CN"/>
        </w:rPr>
      </w:pPr>
      <w:r>
        <w:rPr>
          <w:rFonts w:hint="eastAsia"/>
          <w:color w:val="auto"/>
          <w:highlight w:val="none"/>
          <w:lang w:eastAsia="zh-CN"/>
        </w:rPr>
        <w:t>采取多种培训形式对单位财务人员、业务科室人员进行集中培训，进一步树牢绩效观念，提高本单位工作人员的绩效管理能力和工作水平，为预算绩效管理相关工作的顺利开展提供保障。</w:t>
      </w:r>
    </w:p>
    <w:p w14:paraId="7CF26079">
      <w:pPr>
        <w:pageBreakBefore w:val="0"/>
        <w:kinsoku/>
        <w:wordWrap/>
        <w:overflowPunct/>
        <w:topLinePunct w:val="0"/>
        <w:autoSpaceDE/>
        <w:autoSpaceDN/>
        <w:bidi w:val="0"/>
        <w:adjustRightInd/>
        <w:spacing w:line="560" w:lineRule="exact"/>
        <w:ind w:firstLine="560"/>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二</w:t>
      </w:r>
      <w:r>
        <w:rPr>
          <w:rFonts w:hint="eastAsia"/>
          <w:color w:val="auto"/>
          <w:highlight w:val="none"/>
          <w:lang w:eastAsia="zh-CN"/>
        </w:rPr>
        <w:t>）高度重视，加强领导</w:t>
      </w:r>
    </w:p>
    <w:p w14:paraId="283653E9">
      <w:pPr>
        <w:pageBreakBefore w:val="0"/>
        <w:kinsoku/>
        <w:wordWrap/>
        <w:overflowPunct/>
        <w:topLinePunct w:val="0"/>
        <w:autoSpaceDE/>
        <w:autoSpaceDN/>
        <w:bidi w:val="0"/>
        <w:adjustRightInd/>
        <w:spacing w:line="560" w:lineRule="exact"/>
        <w:ind w:firstLine="560"/>
        <w:textAlignment w:val="auto"/>
        <w:rPr>
          <w:rFonts w:hint="eastAsia"/>
          <w:color w:val="auto"/>
          <w:highlight w:val="none"/>
          <w:lang w:val="en-US" w:eastAsia="zh-CN"/>
        </w:rPr>
      </w:pPr>
      <w:r>
        <w:rPr>
          <w:rFonts w:hint="eastAsia"/>
          <w:color w:val="auto"/>
          <w:highlight w:val="none"/>
          <w:lang w:eastAsia="zh-CN"/>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1A81B4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7"/>
    </w:p>
    <w:p w14:paraId="7C36DB79">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4DF97E64">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6F2E81B2">
      <w:pPr>
        <w:ind w:left="0" w:leftChars="0" w:firstLine="0" w:firstLineChars="0"/>
        <w:rPr>
          <w:rFonts w:hint="eastAsia" w:ascii="宋体" w:hAnsi="宋体" w:eastAsia="宋体" w:cs="宋体"/>
          <w:b/>
          <w:bCs/>
          <w:color w:val="auto"/>
          <w:highlight w:val="none"/>
          <w:shd w:val="clear" w:color="auto" w:fill="auto"/>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bookmarkStart w:id="88" w:name="_Toc11349"/>
    </w:p>
    <w:p w14:paraId="75E4E9C0">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仿宋_GB2312" w:hAnsi="仿宋_GB2312" w:eastAsia="仿宋_GB2312" w:cs="仿宋_GB2312"/>
          <w:b/>
          <w:bCs/>
          <w:color w:val="auto"/>
          <w:kern w:val="0"/>
          <w:sz w:val="32"/>
          <w:szCs w:val="32"/>
          <w:highlight w:val="none"/>
        </w:rPr>
      </w:pPr>
      <w:r>
        <w:rPr>
          <w:rFonts w:hint="eastAsia" w:ascii="宋体" w:hAnsi="宋体" w:eastAsia="宋体" w:cs="宋体"/>
          <w:b/>
          <w:bCs/>
          <w:color w:val="auto"/>
          <w:highlight w:val="none"/>
          <w:shd w:val="clear" w:color="auto" w:fill="auto"/>
          <w:lang w:val="en-US" w:eastAsia="zh-CN"/>
        </w:rPr>
        <w:t>附件一、</w:t>
      </w:r>
      <w:bookmarkEnd w:id="88"/>
      <w:r>
        <w:rPr>
          <w:rFonts w:hint="eastAsia" w:ascii="仿宋_GB2312" w:hAnsi="仿宋_GB2312" w:eastAsia="仿宋_GB2312" w:cs="仿宋_GB2312"/>
          <w:b/>
          <w:bCs/>
          <w:color w:val="auto"/>
          <w:kern w:val="0"/>
          <w:sz w:val="32"/>
          <w:szCs w:val="32"/>
          <w:highlight w:val="none"/>
        </w:rPr>
        <w:t>项目支出绩效自评表</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52"/>
        <w:gridCol w:w="750"/>
        <w:gridCol w:w="866"/>
        <w:gridCol w:w="1130"/>
        <w:gridCol w:w="1019"/>
        <w:gridCol w:w="798"/>
        <w:gridCol w:w="799"/>
        <w:gridCol w:w="865"/>
        <w:gridCol w:w="866"/>
        <w:gridCol w:w="967"/>
        <w:gridCol w:w="925"/>
        <w:gridCol w:w="1024"/>
        <w:gridCol w:w="1026"/>
        <w:gridCol w:w="2387"/>
      </w:tblGrid>
      <w:tr w14:paraId="7077E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14:paraId="34A90CFB">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1ACA9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14:paraId="5C47FEF6">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45A2BE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02" w:type="dxa"/>
            <w:gridSpan w:val="2"/>
            <w:tcBorders>
              <w:tl2br w:val="nil"/>
              <w:tr2bl w:val="nil"/>
            </w:tcBorders>
            <w:shd w:val="clear" w:color="auto" w:fill="auto"/>
            <w:vAlign w:val="center"/>
          </w:tcPr>
          <w:p w14:paraId="04CDA58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72" w:type="dxa"/>
            <w:gridSpan w:val="12"/>
            <w:tcBorders>
              <w:tl2br w:val="nil"/>
              <w:tr2bl w:val="nil"/>
            </w:tcBorders>
            <w:shd w:val="clear" w:color="auto" w:fill="auto"/>
            <w:vAlign w:val="center"/>
          </w:tcPr>
          <w:p w14:paraId="52B326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审计业务经费</w:t>
            </w:r>
          </w:p>
        </w:tc>
      </w:tr>
      <w:tr w14:paraId="4E2FE3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80" w:hRule="atLeast"/>
        </w:trPr>
        <w:tc>
          <w:tcPr>
            <w:tcW w:w="1502" w:type="dxa"/>
            <w:gridSpan w:val="2"/>
            <w:tcBorders>
              <w:tl2br w:val="nil"/>
              <w:tr2bl w:val="nil"/>
            </w:tcBorders>
            <w:shd w:val="clear" w:color="auto" w:fill="auto"/>
            <w:vAlign w:val="center"/>
          </w:tcPr>
          <w:p w14:paraId="58E827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4612" w:type="dxa"/>
            <w:gridSpan w:val="5"/>
            <w:tcBorders>
              <w:tl2br w:val="nil"/>
              <w:tr2bl w:val="nil"/>
            </w:tcBorders>
            <w:shd w:val="clear" w:color="auto" w:fill="auto"/>
            <w:vAlign w:val="center"/>
          </w:tcPr>
          <w:p w14:paraId="7CA60B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阜康市审计局</w:t>
            </w:r>
          </w:p>
        </w:tc>
        <w:tc>
          <w:tcPr>
            <w:tcW w:w="1731" w:type="dxa"/>
            <w:gridSpan w:val="2"/>
            <w:tcBorders>
              <w:tl2br w:val="nil"/>
              <w:tr2bl w:val="nil"/>
            </w:tcBorders>
            <w:shd w:val="clear" w:color="auto" w:fill="auto"/>
            <w:vAlign w:val="center"/>
          </w:tcPr>
          <w:p w14:paraId="7D465496">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实施单位</w:t>
            </w:r>
          </w:p>
        </w:tc>
        <w:tc>
          <w:tcPr>
            <w:tcW w:w="6329" w:type="dxa"/>
            <w:gridSpan w:val="5"/>
            <w:tcBorders>
              <w:tl2br w:val="nil"/>
              <w:tr2bl w:val="nil"/>
            </w:tcBorders>
            <w:shd w:val="clear" w:color="auto" w:fill="auto"/>
            <w:vAlign w:val="center"/>
          </w:tcPr>
          <w:p w14:paraId="569CE2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bookmarkStart w:id="90" w:name="_GoBack"/>
            <w:r>
              <w:rPr>
                <w:rFonts w:hint="eastAsia" w:ascii="宋体" w:hAnsi="宋体" w:eastAsia="宋体" w:cs="宋体"/>
                <w:i w:val="0"/>
                <w:iCs w:val="0"/>
                <w:color w:val="000000"/>
                <w:kern w:val="0"/>
                <w:sz w:val="20"/>
                <w:szCs w:val="20"/>
                <w:u w:val="none"/>
                <w:lang w:val="en-US" w:eastAsia="zh-CN" w:bidi="ar"/>
              </w:rPr>
              <w:t>阜康市审计局</w:t>
            </w:r>
            <w:bookmarkEnd w:id="90"/>
          </w:p>
        </w:tc>
      </w:tr>
      <w:tr w14:paraId="09B003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02" w:type="dxa"/>
            <w:gridSpan w:val="2"/>
            <w:vMerge w:val="restart"/>
            <w:tcBorders>
              <w:tl2br w:val="nil"/>
              <w:tr2bl w:val="nil"/>
            </w:tcBorders>
            <w:shd w:val="clear" w:color="auto" w:fill="auto"/>
            <w:vAlign w:val="center"/>
          </w:tcPr>
          <w:p w14:paraId="75889F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996" w:type="dxa"/>
            <w:gridSpan w:val="2"/>
            <w:tcBorders>
              <w:tl2br w:val="nil"/>
              <w:tr2bl w:val="nil"/>
            </w:tcBorders>
            <w:shd w:val="clear" w:color="auto" w:fill="auto"/>
            <w:vAlign w:val="center"/>
          </w:tcPr>
          <w:p w14:paraId="61098F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19" w:type="dxa"/>
            <w:tcBorders>
              <w:tl2br w:val="nil"/>
              <w:tr2bl w:val="nil"/>
            </w:tcBorders>
            <w:shd w:val="clear" w:color="auto" w:fill="auto"/>
            <w:vAlign w:val="center"/>
          </w:tcPr>
          <w:p w14:paraId="0E5F96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597" w:type="dxa"/>
            <w:gridSpan w:val="2"/>
            <w:tcBorders>
              <w:tl2br w:val="nil"/>
              <w:tr2bl w:val="nil"/>
            </w:tcBorders>
            <w:shd w:val="clear" w:color="auto" w:fill="auto"/>
            <w:vAlign w:val="center"/>
          </w:tcPr>
          <w:p w14:paraId="0F67625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全年预算数</w:t>
            </w:r>
          </w:p>
        </w:tc>
        <w:tc>
          <w:tcPr>
            <w:tcW w:w="1731" w:type="dxa"/>
            <w:gridSpan w:val="2"/>
            <w:tcBorders>
              <w:tl2br w:val="nil"/>
              <w:tr2bl w:val="nil"/>
            </w:tcBorders>
            <w:shd w:val="clear" w:color="auto" w:fill="auto"/>
            <w:vAlign w:val="center"/>
          </w:tcPr>
          <w:p w14:paraId="1BB925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892" w:type="dxa"/>
            <w:gridSpan w:val="2"/>
            <w:tcBorders>
              <w:tl2br w:val="nil"/>
              <w:tr2bl w:val="nil"/>
            </w:tcBorders>
            <w:shd w:val="clear" w:color="auto" w:fill="auto"/>
            <w:vAlign w:val="center"/>
          </w:tcPr>
          <w:p w14:paraId="439602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050" w:type="dxa"/>
            <w:gridSpan w:val="2"/>
            <w:tcBorders>
              <w:tl2br w:val="nil"/>
              <w:tr2bl w:val="nil"/>
            </w:tcBorders>
            <w:shd w:val="clear" w:color="auto" w:fill="auto"/>
            <w:vAlign w:val="center"/>
          </w:tcPr>
          <w:p w14:paraId="093400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387" w:type="dxa"/>
            <w:tcBorders>
              <w:tl2br w:val="nil"/>
              <w:tr2bl w:val="nil"/>
            </w:tcBorders>
            <w:shd w:val="clear" w:color="auto" w:fill="auto"/>
            <w:vAlign w:val="center"/>
          </w:tcPr>
          <w:p w14:paraId="7A3107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69A72F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1502" w:type="dxa"/>
            <w:gridSpan w:val="2"/>
            <w:vMerge w:val="continue"/>
            <w:tcBorders>
              <w:tl2br w:val="nil"/>
              <w:tr2bl w:val="nil"/>
            </w:tcBorders>
            <w:shd w:val="clear" w:color="auto" w:fill="auto"/>
            <w:vAlign w:val="center"/>
          </w:tcPr>
          <w:p w14:paraId="1F0CA599">
            <w:pPr>
              <w:jc w:val="center"/>
              <w:rPr>
                <w:rFonts w:hint="eastAsia" w:ascii="宋体" w:hAnsi="宋体" w:eastAsia="宋体" w:cs="宋体"/>
                <w:i w:val="0"/>
                <w:iCs w:val="0"/>
                <w:color w:val="000000"/>
                <w:sz w:val="20"/>
                <w:szCs w:val="20"/>
                <w:u w:val="none"/>
              </w:rPr>
            </w:pPr>
          </w:p>
        </w:tc>
        <w:tc>
          <w:tcPr>
            <w:tcW w:w="1996" w:type="dxa"/>
            <w:gridSpan w:val="2"/>
            <w:tcBorders>
              <w:tl2br w:val="nil"/>
              <w:tr2bl w:val="nil"/>
            </w:tcBorders>
            <w:shd w:val="clear" w:color="auto" w:fill="auto"/>
            <w:vAlign w:val="center"/>
          </w:tcPr>
          <w:p w14:paraId="3E3F0D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19" w:type="dxa"/>
            <w:tcBorders>
              <w:tl2br w:val="nil"/>
              <w:tr2bl w:val="nil"/>
            </w:tcBorders>
            <w:shd w:val="clear" w:color="auto" w:fill="auto"/>
            <w:vAlign w:val="center"/>
          </w:tcPr>
          <w:p w14:paraId="0A690D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17.87 </w:t>
            </w:r>
          </w:p>
        </w:tc>
        <w:tc>
          <w:tcPr>
            <w:tcW w:w="1597" w:type="dxa"/>
            <w:gridSpan w:val="2"/>
            <w:tcBorders>
              <w:tl2br w:val="nil"/>
              <w:tr2bl w:val="nil"/>
            </w:tcBorders>
            <w:shd w:val="clear" w:color="auto" w:fill="auto"/>
            <w:vAlign w:val="center"/>
          </w:tcPr>
          <w:p w14:paraId="727FA34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17.87 </w:t>
            </w:r>
          </w:p>
        </w:tc>
        <w:tc>
          <w:tcPr>
            <w:tcW w:w="1731" w:type="dxa"/>
            <w:gridSpan w:val="2"/>
            <w:tcBorders>
              <w:tl2br w:val="nil"/>
              <w:tr2bl w:val="nil"/>
            </w:tcBorders>
            <w:shd w:val="clear" w:color="auto" w:fill="auto"/>
            <w:vAlign w:val="center"/>
          </w:tcPr>
          <w:p w14:paraId="268029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17.87 </w:t>
            </w:r>
          </w:p>
        </w:tc>
        <w:tc>
          <w:tcPr>
            <w:tcW w:w="1892" w:type="dxa"/>
            <w:gridSpan w:val="2"/>
            <w:tcBorders>
              <w:tl2br w:val="nil"/>
              <w:tr2bl w:val="nil"/>
            </w:tcBorders>
            <w:shd w:val="clear" w:color="auto" w:fill="auto"/>
            <w:vAlign w:val="center"/>
          </w:tcPr>
          <w:p w14:paraId="161593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50" w:type="dxa"/>
            <w:gridSpan w:val="2"/>
            <w:tcBorders>
              <w:tl2br w:val="nil"/>
              <w:tr2bl w:val="nil"/>
            </w:tcBorders>
            <w:shd w:val="clear" w:color="auto" w:fill="auto"/>
            <w:vAlign w:val="center"/>
          </w:tcPr>
          <w:p w14:paraId="244793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2387" w:type="dxa"/>
            <w:tcBorders>
              <w:tl2br w:val="nil"/>
              <w:tr2bl w:val="nil"/>
            </w:tcBorders>
            <w:shd w:val="clear" w:color="auto" w:fill="auto"/>
            <w:vAlign w:val="center"/>
          </w:tcPr>
          <w:p w14:paraId="272B13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7D3DBA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0" w:hRule="atLeast"/>
        </w:trPr>
        <w:tc>
          <w:tcPr>
            <w:tcW w:w="1502" w:type="dxa"/>
            <w:gridSpan w:val="2"/>
            <w:vMerge w:val="continue"/>
            <w:tcBorders>
              <w:tl2br w:val="nil"/>
              <w:tr2bl w:val="nil"/>
            </w:tcBorders>
            <w:shd w:val="clear" w:color="auto" w:fill="auto"/>
            <w:vAlign w:val="center"/>
          </w:tcPr>
          <w:p w14:paraId="5F42492F">
            <w:pPr>
              <w:jc w:val="center"/>
              <w:rPr>
                <w:rFonts w:hint="eastAsia" w:ascii="宋体" w:hAnsi="宋体" w:eastAsia="宋体" w:cs="宋体"/>
                <w:i w:val="0"/>
                <w:iCs w:val="0"/>
                <w:color w:val="000000"/>
                <w:sz w:val="20"/>
                <w:szCs w:val="20"/>
                <w:u w:val="none"/>
              </w:rPr>
            </w:pPr>
          </w:p>
        </w:tc>
        <w:tc>
          <w:tcPr>
            <w:tcW w:w="1996" w:type="dxa"/>
            <w:gridSpan w:val="2"/>
            <w:tcBorders>
              <w:tl2br w:val="nil"/>
              <w:tr2bl w:val="nil"/>
            </w:tcBorders>
            <w:shd w:val="clear" w:color="auto" w:fill="auto"/>
            <w:vAlign w:val="center"/>
          </w:tcPr>
          <w:p w14:paraId="32250C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19" w:type="dxa"/>
            <w:tcBorders>
              <w:tl2br w:val="nil"/>
              <w:tr2bl w:val="nil"/>
            </w:tcBorders>
            <w:shd w:val="clear" w:color="auto" w:fill="auto"/>
            <w:vAlign w:val="center"/>
          </w:tcPr>
          <w:p w14:paraId="5EFD979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17.87 </w:t>
            </w:r>
          </w:p>
        </w:tc>
        <w:tc>
          <w:tcPr>
            <w:tcW w:w="1597" w:type="dxa"/>
            <w:gridSpan w:val="2"/>
            <w:tcBorders>
              <w:tl2br w:val="nil"/>
              <w:tr2bl w:val="nil"/>
            </w:tcBorders>
            <w:shd w:val="clear" w:color="auto" w:fill="auto"/>
            <w:vAlign w:val="center"/>
          </w:tcPr>
          <w:p w14:paraId="53F00BA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17.87 </w:t>
            </w:r>
          </w:p>
        </w:tc>
        <w:tc>
          <w:tcPr>
            <w:tcW w:w="1731" w:type="dxa"/>
            <w:gridSpan w:val="2"/>
            <w:tcBorders>
              <w:tl2br w:val="nil"/>
              <w:tr2bl w:val="nil"/>
            </w:tcBorders>
            <w:shd w:val="clear" w:color="auto" w:fill="auto"/>
            <w:vAlign w:val="center"/>
          </w:tcPr>
          <w:p w14:paraId="792B28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17.87 </w:t>
            </w:r>
          </w:p>
        </w:tc>
        <w:tc>
          <w:tcPr>
            <w:tcW w:w="1892" w:type="dxa"/>
            <w:gridSpan w:val="2"/>
            <w:tcBorders>
              <w:tl2br w:val="nil"/>
              <w:tr2bl w:val="nil"/>
            </w:tcBorders>
            <w:shd w:val="clear" w:color="auto" w:fill="auto"/>
            <w:vAlign w:val="center"/>
          </w:tcPr>
          <w:p w14:paraId="15F431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50" w:type="dxa"/>
            <w:gridSpan w:val="2"/>
            <w:tcBorders>
              <w:tl2br w:val="nil"/>
              <w:tr2bl w:val="nil"/>
            </w:tcBorders>
            <w:shd w:val="clear" w:color="auto" w:fill="auto"/>
            <w:vAlign w:val="center"/>
          </w:tcPr>
          <w:p w14:paraId="025FA7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87" w:type="dxa"/>
            <w:tcBorders>
              <w:tl2br w:val="nil"/>
              <w:tr2bl w:val="nil"/>
            </w:tcBorders>
            <w:shd w:val="clear" w:color="auto" w:fill="auto"/>
            <w:vAlign w:val="center"/>
          </w:tcPr>
          <w:p w14:paraId="06A18C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A3BD6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502" w:type="dxa"/>
            <w:gridSpan w:val="2"/>
            <w:vMerge w:val="continue"/>
            <w:tcBorders>
              <w:tl2br w:val="nil"/>
              <w:tr2bl w:val="nil"/>
            </w:tcBorders>
            <w:shd w:val="clear" w:color="auto" w:fill="auto"/>
            <w:vAlign w:val="center"/>
          </w:tcPr>
          <w:p w14:paraId="18EB33D6">
            <w:pPr>
              <w:jc w:val="center"/>
              <w:rPr>
                <w:rFonts w:hint="eastAsia" w:ascii="宋体" w:hAnsi="宋体" w:eastAsia="宋体" w:cs="宋体"/>
                <w:i w:val="0"/>
                <w:iCs w:val="0"/>
                <w:color w:val="000000"/>
                <w:sz w:val="20"/>
                <w:szCs w:val="20"/>
                <w:u w:val="none"/>
              </w:rPr>
            </w:pPr>
          </w:p>
        </w:tc>
        <w:tc>
          <w:tcPr>
            <w:tcW w:w="1996" w:type="dxa"/>
            <w:gridSpan w:val="2"/>
            <w:tcBorders>
              <w:tl2br w:val="nil"/>
              <w:tr2bl w:val="nil"/>
            </w:tcBorders>
            <w:shd w:val="clear" w:color="auto" w:fill="auto"/>
            <w:vAlign w:val="center"/>
          </w:tcPr>
          <w:p w14:paraId="411678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19" w:type="dxa"/>
            <w:tcBorders>
              <w:tl2br w:val="nil"/>
              <w:tr2bl w:val="nil"/>
            </w:tcBorders>
            <w:shd w:val="clear" w:color="auto" w:fill="auto"/>
            <w:vAlign w:val="center"/>
          </w:tcPr>
          <w:p w14:paraId="79CCA4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597" w:type="dxa"/>
            <w:gridSpan w:val="2"/>
            <w:tcBorders>
              <w:tl2br w:val="nil"/>
              <w:tr2bl w:val="nil"/>
            </w:tcBorders>
            <w:shd w:val="clear" w:color="auto" w:fill="auto"/>
            <w:vAlign w:val="center"/>
          </w:tcPr>
          <w:p w14:paraId="626C092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1731" w:type="dxa"/>
            <w:gridSpan w:val="2"/>
            <w:tcBorders>
              <w:tl2br w:val="nil"/>
              <w:tr2bl w:val="nil"/>
            </w:tcBorders>
            <w:shd w:val="clear" w:color="auto" w:fill="auto"/>
            <w:vAlign w:val="center"/>
          </w:tcPr>
          <w:p w14:paraId="2FC42F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92" w:type="dxa"/>
            <w:gridSpan w:val="2"/>
            <w:tcBorders>
              <w:tl2br w:val="nil"/>
              <w:tr2bl w:val="nil"/>
            </w:tcBorders>
            <w:shd w:val="clear" w:color="auto" w:fill="auto"/>
            <w:vAlign w:val="center"/>
          </w:tcPr>
          <w:p w14:paraId="6C1167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50" w:type="dxa"/>
            <w:gridSpan w:val="2"/>
            <w:tcBorders>
              <w:tl2br w:val="nil"/>
              <w:tr2bl w:val="nil"/>
            </w:tcBorders>
            <w:shd w:val="clear" w:color="auto" w:fill="auto"/>
            <w:vAlign w:val="center"/>
          </w:tcPr>
          <w:p w14:paraId="289000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87" w:type="dxa"/>
            <w:tcBorders>
              <w:tl2br w:val="nil"/>
              <w:tr2bl w:val="nil"/>
            </w:tcBorders>
            <w:shd w:val="clear" w:color="auto" w:fill="auto"/>
            <w:vAlign w:val="center"/>
          </w:tcPr>
          <w:p w14:paraId="6F474F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5C867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60" w:hRule="atLeast"/>
        </w:trPr>
        <w:tc>
          <w:tcPr>
            <w:tcW w:w="752" w:type="dxa"/>
            <w:vMerge w:val="restart"/>
            <w:tcBorders>
              <w:tl2br w:val="nil"/>
              <w:tr2bl w:val="nil"/>
            </w:tcBorders>
            <w:shd w:val="clear" w:color="auto" w:fill="auto"/>
            <w:vAlign w:val="center"/>
          </w:tcPr>
          <w:p w14:paraId="32C522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093" w:type="dxa"/>
            <w:gridSpan w:val="8"/>
            <w:tcBorders>
              <w:tl2br w:val="nil"/>
              <w:tr2bl w:val="nil"/>
            </w:tcBorders>
            <w:shd w:val="clear" w:color="auto" w:fill="auto"/>
            <w:vAlign w:val="center"/>
          </w:tcPr>
          <w:p w14:paraId="75506B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6329" w:type="dxa"/>
            <w:gridSpan w:val="5"/>
            <w:tcBorders>
              <w:tl2br w:val="nil"/>
              <w:tr2bl w:val="nil"/>
            </w:tcBorders>
            <w:shd w:val="clear" w:color="auto" w:fill="auto"/>
            <w:vAlign w:val="center"/>
          </w:tcPr>
          <w:p w14:paraId="1C69C7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5CE32F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0" w:hRule="atLeast"/>
        </w:trPr>
        <w:tc>
          <w:tcPr>
            <w:tcW w:w="752" w:type="dxa"/>
            <w:vMerge w:val="continue"/>
            <w:tcBorders>
              <w:tl2br w:val="nil"/>
              <w:tr2bl w:val="nil"/>
            </w:tcBorders>
            <w:shd w:val="clear" w:color="auto" w:fill="auto"/>
            <w:vAlign w:val="center"/>
          </w:tcPr>
          <w:p w14:paraId="00F75FF3">
            <w:pPr>
              <w:jc w:val="center"/>
              <w:rPr>
                <w:rFonts w:hint="eastAsia" w:ascii="宋体" w:hAnsi="宋体" w:eastAsia="宋体" w:cs="宋体"/>
                <w:i w:val="0"/>
                <w:iCs w:val="0"/>
                <w:color w:val="000000"/>
                <w:sz w:val="20"/>
                <w:szCs w:val="20"/>
                <w:u w:val="none"/>
              </w:rPr>
            </w:pPr>
          </w:p>
        </w:tc>
        <w:tc>
          <w:tcPr>
            <w:tcW w:w="7093" w:type="dxa"/>
            <w:gridSpan w:val="8"/>
            <w:tcBorders>
              <w:tl2br w:val="nil"/>
              <w:tr2bl w:val="nil"/>
            </w:tcBorders>
            <w:shd w:val="clear" w:color="auto" w:fill="auto"/>
            <w:vAlign w:val="center"/>
          </w:tcPr>
          <w:p w14:paraId="283D35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本级预算执行情况和其他财政收支、经济责任、社会保障资金和环境保护资金、对市重点建设项目的资金来源、使用情况和投资效益以及基本建设项目的预算执行情况和决算进行审计监督。组织实施内部审计工作的指导与监督；对社会审计的审计业务完成情况进行监督。预期开展工程结算审计项目6个，开展全过程跟踪审计项目8个，审计项目监督覆盖率达到100%，项目完成时限2023年12月31日，项目开展及时率达到100%，节约基本建设投资资金达到695万元，预期达到提高被审计单位经济管理水平的效益。</w:t>
            </w:r>
          </w:p>
        </w:tc>
        <w:tc>
          <w:tcPr>
            <w:tcW w:w="6329" w:type="dxa"/>
            <w:gridSpan w:val="5"/>
            <w:tcBorders>
              <w:tl2br w:val="nil"/>
              <w:tr2bl w:val="nil"/>
            </w:tcBorders>
            <w:shd w:val="clear" w:color="auto" w:fill="auto"/>
            <w:vAlign w:val="center"/>
          </w:tcPr>
          <w:p w14:paraId="2BD1D1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单位完成6个竣工结算审计项目，开展全过程跟踪审计项目8个，审计项目监督覆盖率100%，项目按节点完成，达到节约政府投资的效益，项目开展及时率100%，审计费支付小微企业金额9.1万元，节约基本建设投资资金695万元，达到节约政府投资的效益。</w:t>
            </w:r>
          </w:p>
        </w:tc>
      </w:tr>
      <w:tr w14:paraId="70CAD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00" w:hRule="atLeast"/>
        </w:trPr>
        <w:tc>
          <w:tcPr>
            <w:tcW w:w="752" w:type="dxa"/>
            <w:tcBorders>
              <w:tl2br w:val="nil"/>
              <w:tr2bl w:val="nil"/>
            </w:tcBorders>
            <w:shd w:val="clear" w:color="auto" w:fill="auto"/>
            <w:vAlign w:val="center"/>
          </w:tcPr>
          <w:p w14:paraId="28C6B050">
            <w:pPr>
              <w:jc w:val="center"/>
              <w:rPr>
                <w:rFonts w:hint="eastAsia" w:ascii="宋体" w:hAnsi="宋体" w:eastAsia="宋体" w:cs="宋体"/>
                <w:i w:val="0"/>
                <w:iCs w:val="0"/>
                <w:color w:val="000000"/>
                <w:sz w:val="20"/>
                <w:szCs w:val="20"/>
                <w:u w:val="none"/>
              </w:rPr>
            </w:pPr>
          </w:p>
        </w:tc>
        <w:tc>
          <w:tcPr>
            <w:tcW w:w="750" w:type="dxa"/>
            <w:tcBorders>
              <w:tl2br w:val="nil"/>
              <w:tr2bl w:val="nil"/>
            </w:tcBorders>
            <w:shd w:val="clear" w:color="auto" w:fill="auto"/>
            <w:vAlign w:val="center"/>
          </w:tcPr>
          <w:p w14:paraId="30FBB2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866" w:type="dxa"/>
            <w:tcBorders>
              <w:tl2br w:val="nil"/>
              <w:tr2bl w:val="nil"/>
            </w:tcBorders>
            <w:shd w:val="clear" w:color="auto" w:fill="auto"/>
            <w:vAlign w:val="center"/>
          </w:tcPr>
          <w:p w14:paraId="4C2878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130" w:type="dxa"/>
            <w:tcBorders>
              <w:tl2br w:val="nil"/>
              <w:tr2bl w:val="nil"/>
            </w:tcBorders>
            <w:shd w:val="clear" w:color="auto" w:fill="auto"/>
            <w:vAlign w:val="center"/>
          </w:tcPr>
          <w:p w14:paraId="11D896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19" w:type="dxa"/>
            <w:tcBorders>
              <w:tl2br w:val="nil"/>
              <w:tr2bl w:val="nil"/>
            </w:tcBorders>
            <w:shd w:val="clear" w:color="auto" w:fill="auto"/>
            <w:vAlign w:val="center"/>
          </w:tcPr>
          <w:p w14:paraId="3EB4E7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798" w:type="dxa"/>
            <w:tcBorders>
              <w:tl2br w:val="nil"/>
              <w:tr2bl w:val="nil"/>
            </w:tcBorders>
            <w:shd w:val="clear" w:color="auto" w:fill="auto"/>
            <w:vAlign w:val="center"/>
          </w:tcPr>
          <w:p w14:paraId="0FAE779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指标值设置依据</w:t>
            </w:r>
          </w:p>
        </w:tc>
        <w:tc>
          <w:tcPr>
            <w:tcW w:w="799" w:type="dxa"/>
            <w:tcBorders>
              <w:tl2br w:val="nil"/>
              <w:tr2bl w:val="nil"/>
            </w:tcBorders>
            <w:shd w:val="clear" w:color="auto" w:fill="auto"/>
            <w:vAlign w:val="center"/>
          </w:tcPr>
          <w:p w14:paraId="03CA63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65" w:type="dxa"/>
            <w:tcBorders>
              <w:tl2br w:val="nil"/>
              <w:tr2bl w:val="nil"/>
            </w:tcBorders>
            <w:shd w:val="clear" w:color="auto" w:fill="auto"/>
            <w:vAlign w:val="center"/>
          </w:tcPr>
          <w:p w14:paraId="407C44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866" w:type="dxa"/>
            <w:tcBorders>
              <w:tl2br w:val="nil"/>
              <w:tr2bl w:val="nil"/>
            </w:tcBorders>
            <w:shd w:val="clear" w:color="auto" w:fill="auto"/>
            <w:vAlign w:val="center"/>
          </w:tcPr>
          <w:p w14:paraId="748533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67" w:type="dxa"/>
            <w:tcBorders>
              <w:tl2br w:val="nil"/>
              <w:tr2bl w:val="nil"/>
            </w:tcBorders>
            <w:shd w:val="clear" w:color="auto" w:fill="auto"/>
            <w:vAlign w:val="center"/>
          </w:tcPr>
          <w:p w14:paraId="2A6D7A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925" w:type="dxa"/>
            <w:tcBorders>
              <w:tl2br w:val="nil"/>
              <w:tr2bl w:val="nil"/>
            </w:tcBorders>
            <w:shd w:val="clear" w:color="auto" w:fill="auto"/>
            <w:vAlign w:val="center"/>
          </w:tcPr>
          <w:p w14:paraId="04BA83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024" w:type="dxa"/>
            <w:tcBorders>
              <w:tl2br w:val="nil"/>
              <w:tr2bl w:val="nil"/>
            </w:tcBorders>
            <w:shd w:val="clear" w:color="auto" w:fill="auto"/>
            <w:vAlign w:val="center"/>
          </w:tcPr>
          <w:p w14:paraId="79686D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26" w:type="dxa"/>
            <w:tcBorders>
              <w:tl2br w:val="nil"/>
              <w:tr2bl w:val="nil"/>
            </w:tcBorders>
            <w:shd w:val="clear" w:color="auto" w:fill="auto"/>
            <w:vAlign w:val="center"/>
          </w:tcPr>
          <w:p w14:paraId="55AC6F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2387" w:type="dxa"/>
            <w:tcBorders>
              <w:tl2br w:val="nil"/>
              <w:tr2bl w:val="nil"/>
            </w:tcBorders>
            <w:shd w:val="clear" w:color="auto" w:fill="auto"/>
            <w:vAlign w:val="center"/>
          </w:tcPr>
          <w:p w14:paraId="47D6E6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3E1DD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60" w:hRule="atLeast"/>
        </w:trPr>
        <w:tc>
          <w:tcPr>
            <w:tcW w:w="752" w:type="dxa"/>
            <w:vMerge w:val="restart"/>
            <w:tcBorders>
              <w:tl2br w:val="nil"/>
              <w:tr2bl w:val="nil"/>
            </w:tcBorders>
            <w:shd w:val="clear" w:color="auto" w:fill="auto"/>
            <w:vAlign w:val="center"/>
          </w:tcPr>
          <w:p w14:paraId="4E0F01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50" w:type="dxa"/>
            <w:vMerge w:val="restart"/>
            <w:tcBorders>
              <w:tl2br w:val="nil"/>
              <w:tr2bl w:val="nil"/>
            </w:tcBorders>
            <w:shd w:val="clear" w:color="auto" w:fill="auto"/>
            <w:vAlign w:val="center"/>
          </w:tcPr>
          <w:p w14:paraId="6D3A76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866" w:type="dxa"/>
            <w:vMerge w:val="restart"/>
            <w:tcBorders>
              <w:tl2br w:val="nil"/>
              <w:tr2bl w:val="nil"/>
            </w:tcBorders>
            <w:shd w:val="clear" w:color="auto" w:fill="auto"/>
            <w:vAlign w:val="center"/>
          </w:tcPr>
          <w:p w14:paraId="0B9A7D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130" w:type="dxa"/>
            <w:tcBorders>
              <w:tl2br w:val="nil"/>
              <w:tr2bl w:val="nil"/>
            </w:tcBorders>
            <w:shd w:val="clear" w:color="auto" w:fill="auto"/>
            <w:vAlign w:val="center"/>
          </w:tcPr>
          <w:p w14:paraId="173CB29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支付开展工程结算审计项目资金个数</w:t>
            </w:r>
          </w:p>
        </w:tc>
        <w:tc>
          <w:tcPr>
            <w:tcW w:w="1019" w:type="dxa"/>
            <w:tcBorders>
              <w:tl2br w:val="nil"/>
              <w:tr2bl w:val="nil"/>
            </w:tcBorders>
            <w:shd w:val="clear" w:color="auto" w:fill="auto"/>
            <w:vAlign w:val="center"/>
          </w:tcPr>
          <w:p w14:paraId="19EB89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6个</w:t>
            </w:r>
          </w:p>
        </w:tc>
        <w:tc>
          <w:tcPr>
            <w:tcW w:w="798" w:type="dxa"/>
            <w:tcBorders>
              <w:tl2br w:val="nil"/>
              <w:tr2bl w:val="nil"/>
            </w:tcBorders>
            <w:shd w:val="clear" w:color="auto" w:fill="auto"/>
            <w:vAlign w:val="center"/>
          </w:tcPr>
          <w:p w14:paraId="3A066E1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l2br w:val="nil"/>
              <w:tr2bl w:val="nil"/>
            </w:tcBorders>
            <w:shd w:val="clear" w:color="auto" w:fill="auto"/>
            <w:vAlign w:val="center"/>
          </w:tcPr>
          <w:p w14:paraId="445C38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5" w:type="dxa"/>
            <w:tcBorders>
              <w:tl2br w:val="nil"/>
              <w:tr2bl w:val="nil"/>
            </w:tcBorders>
            <w:shd w:val="clear" w:color="auto" w:fill="auto"/>
            <w:vAlign w:val="center"/>
          </w:tcPr>
          <w:p w14:paraId="2E34C0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66" w:type="dxa"/>
            <w:tcBorders>
              <w:tl2br w:val="nil"/>
              <w:tr2bl w:val="nil"/>
            </w:tcBorders>
            <w:shd w:val="clear" w:color="auto" w:fill="auto"/>
            <w:vAlign w:val="center"/>
          </w:tcPr>
          <w:p w14:paraId="46D4EC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67" w:type="dxa"/>
            <w:tcBorders>
              <w:tl2br w:val="nil"/>
              <w:tr2bl w:val="nil"/>
            </w:tcBorders>
            <w:shd w:val="clear" w:color="auto" w:fill="auto"/>
            <w:vAlign w:val="center"/>
          </w:tcPr>
          <w:p w14:paraId="2683F5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25" w:type="dxa"/>
            <w:tcBorders>
              <w:tl2br w:val="nil"/>
              <w:tr2bl w:val="nil"/>
            </w:tcBorders>
            <w:shd w:val="clear" w:color="auto" w:fill="auto"/>
            <w:vAlign w:val="center"/>
          </w:tcPr>
          <w:p w14:paraId="1C2E99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24" w:type="dxa"/>
            <w:tcBorders>
              <w:tl2br w:val="nil"/>
              <w:tr2bl w:val="nil"/>
            </w:tcBorders>
            <w:shd w:val="clear" w:color="auto" w:fill="auto"/>
            <w:vAlign w:val="center"/>
          </w:tcPr>
          <w:p w14:paraId="20C00D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6" w:type="dxa"/>
            <w:tcBorders>
              <w:tl2br w:val="nil"/>
              <w:tr2bl w:val="nil"/>
            </w:tcBorders>
            <w:shd w:val="clear" w:color="auto" w:fill="auto"/>
            <w:vAlign w:val="center"/>
          </w:tcPr>
          <w:p w14:paraId="2509AE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387" w:type="dxa"/>
            <w:tcBorders>
              <w:tl2br w:val="nil"/>
              <w:tr2bl w:val="nil"/>
            </w:tcBorders>
            <w:shd w:val="clear" w:color="auto" w:fill="auto"/>
            <w:vAlign w:val="center"/>
          </w:tcPr>
          <w:p w14:paraId="149BDD6A">
            <w:pPr>
              <w:jc w:val="center"/>
              <w:rPr>
                <w:rFonts w:hint="eastAsia" w:ascii="宋体" w:hAnsi="宋体" w:eastAsia="宋体" w:cs="宋体"/>
                <w:i w:val="0"/>
                <w:iCs w:val="0"/>
                <w:color w:val="000000"/>
                <w:sz w:val="20"/>
                <w:szCs w:val="20"/>
                <w:u w:val="none"/>
              </w:rPr>
            </w:pPr>
          </w:p>
        </w:tc>
      </w:tr>
      <w:tr w14:paraId="04AA05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00" w:hRule="atLeast"/>
        </w:trPr>
        <w:tc>
          <w:tcPr>
            <w:tcW w:w="752" w:type="dxa"/>
            <w:vMerge w:val="continue"/>
            <w:tcBorders>
              <w:tl2br w:val="nil"/>
              <w:tr2bl w:val="nil"/>
            </w:tcBorders>
            <w:shd w:val="clear" w:color="auto" w:fill="auto"/>
            <w:vAlign w:val="center"/>
          </w:tcPr>
          <w:p w14:paraId="284B0163">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7AFB58CC">
            <w:pPr>
              <w:jc w:val="center"/>
              <w:rPr>
                <w:rFonts w:hint="eastAsia" w:ascii="宋体" w:hAnsi="宋体" w:eastAsia="宋体" w:cs="宋体"/>
                <w:i w:val="0"/>
                <w:iCs w:val="0"/>
                <w:color w:val="000000"/>
                <w:sz w:val="20"/>
                <w:szCs w:val="20"/>
                <w:u w:val="none"/>
              </w:rPr>
            </w:pPr>
          </w:p>
        </w:tc>
        <w:tc>
          <w:tcPr>
            <w:tcW w:w="866" w:type="dxa"/>
            <w:vMerge w:val="continue"/>
            <w:tcBorders>
              <w:tl2br w:val="nil"/>
              <w:tr2bl w:val="nil"/>
            </w:tcBorders>
            <w:shd w:val="clear" w:color="auto" w:fill="auto"/>
            <w:vAlign w:val="center"/>
          </w:tcPr>
          <w:p w14:paraId="2C26C99A">
            <w:pPr>
              <w:jc w:val="center"/>
              <w:rPr>
                <w:rFonts w:hint="eastAsia" w:ascii="宋体" w:hAnsi="宋体" w:eastAsia="宋体" w:cs="宋体"/>
                <w:i w:val="0"/>
                <w:iCs w:val="0"/>
                <w:color w:val="000000"/>
                <w:sz w:val="20"/>
                <w:szCs w:val="20"/>
                <w:u w:val="none"/>
              </w:rPr>
            </w:pPr>
          </w:p>
        </w:tc>
        <w:tc>
          <w:tcPr>
            <w:tcW w:w="1130" w:type="dxa"/>
            <w:tcBorders>
              <w:tl2br w:val="nil"/>
              <w:tr2bl w:val="nil"/>
            </w:tcBorders>
            <w:shd w:val="clear" w:color="auto" w:fill="auto"/>
            <w:vAlign w:val="center"/>
          </w:tcPr>
          <w:p w14:paraId="1118EE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支付开展全过程跟踪审计项目资金个数</w:t>
            </w:r>
          </w:p>
        </w:tc>
        <w:tc>
          <w:tcPr>
            <w:tcW w:w="1019" w:type="dxa"/>
            <w:tcBorders>
              <w:tl2br w:val="nil"/>
              <w:tr2bl w:val="nil"/>
            </w:tcBorders>
            <w:shd w:val="clear" w:color="auto" w:fill="auto"/>
            <w:vAlign w:val="center"/>
          </w:tcPr>
          <w:p w14:paraId="5E4E39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8个</w:t>
            </w:r>
          </w:p>
        </w:tc>
        <w:tc>
          <w:tcPr>
            <w:tcW w:w="798" w:type="dxa"/>
            <w:tcBorders>
              <w:tl2br w:val="nil"/>
              <w:tr2bl w:val="nil"/>
            </w:tcBorders>
            <w:shd w:val="clear" w:color="auto" w:fill="auto"/>
            <w:vAlign w:val="center"/>
          </w:tcPr>
          <w:p w14:paraId="04541D1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l2br w:val="nil"/>
              <w:tr2bl w:val="nil"/>
            </w:tcBorders>
            <w:shd w:val="clear" w:color="auto" w:fill="auto"/>
            <w:vAlign w:val="center"/>
          </w:tcPr>
          <w:p w14:paraId="607C0B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5" w:type="dxa"/>
            <w:tcBorders>
              <w:tl2br w:val="nil"/>
              <w:tr2bl w:val="nil"/>
            </w:tcBorders>
            <w:shd w:val="clear" w:color="auto" w:fill="auto"/>
            <w:vAlign w:val="center"/>
          </w:tcPr>
          <w:p w14:paraId="66FD2D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66" w:type="dxa"/>
            <w:tcBorders>
              <w:tl2br w:val="nil"/>
              <w:tr2bl w:val="nil"/>
            </w:tcBorders>
            <w:shd w:val="clear" w:color="auto" w:fill="auto"/>
            <w:vAlign w:val="center"/>
          </w:tcPr>
          <w:p w14:paraId="01676A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67" w:type="dxa"/>
            <w:tcBorders>
              <w:tl2br w:val="nil"/>
              <w:tr2bl w:val="nil"/>
            </w:tcBorders>
            <w:shd w:val="clear" w:color="auto" w:fill="auto"/>
            <w:vAlign w:val="center"/>
          </w:tcPr>
          <w:p w14:paraId="3AA6DD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25" w:type="dxa"/>
            <w:tcBorders>
              <w:tl2br w:val="nil"/>
              <w:tr2bl w:val="nil"/>
            </w:tcBorders>
            <w:shd w:val="clear" w:color="auto" w:fill="auto"/>
            <w:vAlign w:val="center"/>
          </w:tcPr>
          <w:p w14:paraId="7C754A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24" w:type="dxa"/>
            <w:tcBorders>
              <w:tl2br w:val="nil"/>
              <w:tr2bl w:val="nil"/>
            </w:tcBorders>
            <w:shd w:val="clear" w:color="auto" w:fill="auto"/>
            <w:vAlign w:val="center"/>
          </w:tcPr>
          <w:p w14:paraId="0125AF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6" w:type="dxa"/>
            <w:tcBorders>
              <w:tl2br w:val="nil"/>
              <w:tr2bl w:val="nil"/>
            </w:tcBorders>
            <w:shd w:val="clear" w:color="auto" w:fill="auto"/>
            <w:vAlign w:val="center"/>
          </w:tcPr>
          <w:p w14:paraId="6A06C5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387" w:type="dxa"/>
            <w:tcBorders>
              <w:tl2br w:val="nil"/>
              <w:tr2bl w:val="nil"/>
            </w:tcBorders>
            <w:shd w:val="clear" w:color="auto" w:fill="auto"/>
            <w:vAlign w:val="center"/>
          </w:tcPr>
          <w:p w14:paraId="43FD2392">
            <w:pPr>
              <w:jc w:val="center"/>
              <w:rPr>
                <w:rFonts w:hint="eastAsia" w:ascii="宋体" w:hAnsi="宋体" w:eastAsia="宋体" w:cs="宋体"/>
                <w:i w:val="0"/>
                <w:iCs w:val="0"/>
                <w:color w:val="000000"/>
                <w:sz w:val="20"/>
                <w:szCs w:val="20"/>
                <w:u w:val="none"/>
              </w:rPr>
            </w:pPr>
          </w:p>
        </w:tc>
      </w:tr>
      <w:tr w14:paraId="1BBBDD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752" w:type="dxa"/>
            <w:vMerge w:val="continue"/>
            <w:tcBorders>
              <w:tl2br w:val="nil"/>
              <w:tr2bl w:val="nil"/>
            </w:tcBorders>
            <w:shd w:val="clear" w:color="auto" w:fill="auto"/>
            <w:vAlign w:val="center"/>
          </w:tcPr>
          <w:p w14:paraId="484FB301">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5601300B">
            <w:pPr>
              <w:jc w:val="center"/>
              <w:rPr>
                <w:rFonts w:hint="eastAsia" w:ascii="宋体" w:hAnsi="宋体" w:eastAsia="宋体" w:cs="宋体"/>
                <w:i w:val="0"/>
                <w:iCs w:val="0"/>
                <w:color w:val="000000"/>
                <w:sz w:val="20"/>
                <w:szCs w:val="20"/>
                <w:u w:val="none"/>
              </w:rPr>
            </w:pPr>
          </w:p>
        </w:tc>
        <w:tc>
          <w:tcPr>
            <w:tcW w:w="866" w:type="dxa"/>
            <w:tcBorders>
              <w:tl2br w:val="nil"/>
              <w:tr2bl w:val="nil"/>
            </w:tcBorders>
            <w:shd w:val="clear" w:color="auto" w:fill="auto"/>
            <w:vAlign w:val="center"/>
          </w:tcPr>
          <w:p w14:paraId="39E696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130" w:type="dxa"/>
            <w:tcBorders>
              <w:tl2br w:val="nil"/>
              <w:tr2bl w:val="nil"/>
            </w:tcBorders>
            <w:shd w:val="clear" w:color="auto" w:fill="auto"/>
            <w:vAlign w:val="center"/>
          </w:tcPr>
          <w:p w14:paraId="0F7253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审计项目监督覆盖率</w:t>
            </w:r>
          </w:p>
        </w:tc>
        <w:tc>
          <w:tcPr>
            <w:tcW w:w="1019" w:type="dxa"/>
            <w:tcBorders>
              <w:tl2br w:val="nil"/>
              <w:tr2bl w:val="nil"/>
            </w:tcBorders>
            <w:shd w:val="clear" w:color="auto" w:fill="auto"/>
            <w:vAlign w:val="center"/>
          </w:tcPr>
          <w:p w14:paraId="4EB4C24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98" w:type="dxa"/>
            <w:tcBorders>
              <w:tl2br w:val="nil"/>
              <w:tr2bl w:val="nil"/>
            </w:tcBorders>
            <w:shd w:val="clear" w:color="auto" w:fill="auto"/>
            <w:vAlign w:val="center"/>
          </w:tcPr>
          <w:p w14:paraId="129568D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l2br w:val="nil"/>
              <w:tr2bl w:val="nil"/>
            </w:tcBorders>
            <w:shd w:val="clear" w:color="auto" w:fill="auto"/>
            <w:vAlign w:val="center"/>
          </w:tcPr>
          <w:p w14:paraId="23A745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5" w:type="dxa"/>
            <w:tcBorders>
              <w:tl2br w:val="nil"/>
              <w:tr2bl w:val="nil"/>
            </w:tcBorders>
            <w:shd w:val="clear" w:color="auto" w:fill="auto"/>
            <w:vAlign w:val="center"/>
          </w:tcPr>
          <w:p w14:paraId="01AFC8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66" w:type="dxa"/>
            <w:tcBorders>
              <w:tl2br w:val="nil"/>
              <w:tr2bl w:val="nil"/>
            </w:tcBorders>
            <w:shd w:val="clear" w:color="auto" w:fill="auto"/>
            <w:vAlign w:val="center"/>
          </w:tcPr>
          <w:p w14:paraId="1A130E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67" w:type="dxa"/>
            <w:tcBorders>
              <w:tl2br w:val="nil"/>
              <w:tr2bl w:val="nil"/>
            </w:tcBorders>
            <w:shd w:val="clear" w:color="auto" w:fill="auto"/>
            <w:vAlign w:val="center"/>
          </w:tcPr>
          <w:p w14:paraId="6EB6F8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25" w:type="dxa"/>
            <w:tcBorders>
              <w:tl2br w:val="nil"/>
              <w:tr2bl w:val="nil"/>
            </w:tcBorders>
            <w:shd w:val="clear" w:color="auto" w:fill="auto"/>
            <w:vAlign w:val="center"/>
          </w:tcPr>
          <w:p w14:paraId="456E12D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4" w:type="dxa"/>
            <w:tcBorders>
              <w:tl2br w:val="nil"/>
              <w:tr2bl w:val="nil"/>
            </w:tcBorders>
            <w:shd w:val="clear" w:color="auto" w:fill="auto"/>
            <w:vAlign w:val="center"/>
          </w:tcPr>
          <w:p w14:paraId="75EA3C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6" w:type="dxa"/>
            <w:tcBorders>
              <w:tl2br w:val="nil"/>
              <w:tr2bl w:val="nil"/>
            </w:tcBorders>
            <w:shd w:val="clear" w:color="auto" w:fill="auto"/>
            <w:vAlign w:val="center"/>
          </w:tcPr>
          <w:p w14:paraId="047786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387" w:type="dxa"/>
            <w:tcBorders>
              <w:tl2br w:val="nil"/>
              <w:tr2bl w:val="nil"/>
            </w:tcBorders>
            <w:shd w:val="clear" w:color="auto" w:fill="auto"/>
            <w:vAlign w:val="center"/>
          </w:tcPr>
          <w:p w14:paraId="3B0C7215">
            <w:pPr>
              <w:jc w:val="center"/>
              <w:rPr>
                <w:rFonts w:hint="eastAsia" w:ascii="宋体" w:hAnsi="宋体" w:eastAsia="宋体" w:cs="宋体"/>
                <w:i w:val="0"/>
                <w:iCs w:val="0"/>
                <w:color w:val="000000"/>
                <w:sz w:val="20"/>
                <w:szCs w:val="20"/>
                <w:u w:val="none"/>
              </w:rPr>
            </w:pPr>
          </w:p>
        </w:tc>
      </w:tr>
      <w:tr w14:paraId="141DE1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752" w:type="dxa"/>
            <w:vMerge w:val="continue"/>
            <w:tcBorders>
              <w:tl2br w:val="nil"/>
              <w:tr2bl w:val="nil"/>
            </w:tcBorders>
            <w:shd w:val="clear" w:color="auto" w:fill="auto"/>
            <w:vAlign w:val="center"/>
          </w:tcPr>
          <w:p w14:paraId="15B9F25F">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6C9A2E14">
            <w:pPr>
              <w:jc w:val="center"/>
              <w:rPr>
                <w:rFonts w:hint="eastAsia" w:ascii="宋体" w:hAnsi="宋体" w:eastAsia="宋体" w:cs="宋体"/>
                <w:i w:val="0"/>
                <w:iCs w:val="0"/>
                <w:color w:val="000000"/>
                <w:sz w:val="20"/>
                <w:szCs w:val="20"/>
                <w:u w:val="none"/>
              </w:rPr>
            </w:pPr>
          </w:p>
        </w:tc>
        <w:tc>
          <w:tcPr>
            <w:tcW w:w="866" w:type="dxa"/>
            <w:vMerge w:val="restart"/>
            <w:tcBorders>
              <w:tl2br w:val="nil"/>
              <w:tr2bl w:val="nil"/>
            </w:tcBorders>
            <w:shd w:val="clear" w:color="auto" w:fill="auto"/>
            <w:vAlign w:val="center"/>
          </w:tcPr>
          <w:p w14:paraId="346F5C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130" w:type="dxa"/>
            <w:tcBorders>
              <w:tl2br w:val="nil"/>
              <w:tr2bl w:val="nil"/>
            </w:tcBorders>
            <w:shd w:val="clear" w:color="auto" w:fill="auto"/>
            <w:vAlign w:val="center"/>
          </w:tcPr>
          <w:p w14:paraId="17F047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支付项目资金及时率</w:t>
            </w:r>
          </w:p>
        </w:tc>
        <w:tc>
          <w:tcPr>
            <w:tcW w:w="1019" w:type="dxa"/>
            <w:tcBorders>
              <w:tl2br w:val="nil"/>
              <w:tr2bl w:val="nil"/>
            </w:tcBorders>
            <w:shd w:val="clear" w:color="auto" w:fill="auto"/>
            <w:vAlign w:val="center"/>
          </w:tcPr>
          <w:p w14:paraId="30CEA3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98" w:type="dxa"/>
            <w:tcBorders>
              <w:tl2br w:val="nil"/>
              <w:tr2bl w:val="nil"/>
            </w:tcBorders>
            <w:shd w:val="clear" w:color="auto" w:fill="auto"/>
            <w:vAlign w:val="center"/>
          </w:tcPr>
          <w:p w14:paraId="43431FE9">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l2br w:val="nil"/>
              <w:tr2bl w:val="nil"/>
            </w:tcBorders>
            <w:shd w:val="clear" w:color="auto" w:fill="auto"/>
            <w:vAlign w:val="center"/>
          </w:tcPr>
          <w:p w14:paraId="273C19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5" w:type="dxa"/>
            <w:tcBorders>
              <w:tl2br w:val="nil"/>
              <w:tr2bl w:val="nil"/>
            </w:tcBorders>
            <w:shd w:val="clear" w:color="auto" w:fill="auto"/>
            <w:vAlign w:val="center"/>
          </w:tcPr>
          <w:p w14:paraId="42EC68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66" w:type="dxa"/>
            <w:tcBorders>
              <w:tl2br w:val="nil"/>
              <w:tr2bl w:val="nil"/>
            </w:tcBorders>
            <w:shd w:val="clear" w:color="auto" w:fill="auto"/>
            <w:vAlign w:val="center"/>
          </w:tcPr>
          <w:p w14:paraId="5F87AA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67" w:type="dxa"/>
            <w:tcBorders>
              <w:tl2br w:val="nil"/>
              <w:tr2bl w:val="nil"/>
            </w:tcBorders>
            <w:shd w:val="clear" w:color="auto" w:fill="auto"/>
            <w:vAlign w:val="center"/>
          </w:tcPr>
          <w:p w14:paraId="224E25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25" w:type="dxa"/>
            <w:tcBorders>
              <w:tl2br w:val="nil"/>
              <w:tr2bl w:val="nil"/>
            </w:tcBorders>
            <w:shd w:val="clear" w:color="auto" w:fill="auto"/>
            <w:vAlign w:val="center"/>
          </w:tcPr>
          <w:p w14:paraId="25F491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4" w:type="dxa"/>
            <w:tcBorders>
              <w:tl2br w:val="nil"/>
              <w:tr2bl w:val="nil"/>
            </w:tcBorders>
            <w:shd w:val="clear" w:color="auto" w:fill="auto"/>
            <w:vAlign w:val="center"/>
          </w:tcPr>
          <w:p w14:paraId="69478B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6" w:type="dxa"/>
            <w:tcBorders>
              <w:tl2br w:val="nil"/>
              <w:tr2bl w:val="nil"/>
            </w:tcBorders>
            <w:shd w:val="clear" w:color="auto" w:fill="auto"/>
            <w:vAlign w:val="center"/>
          </w:tcPr>
          <w:p w14:paraId="1B5A3F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387" w:type="dxa"/>
            <w:tcBorders>
              <w:tl2br w:val="nil"/>
              <w:tr2bl w:val="nil"/>
            </w:tcBorders>
            <w:shd w:val="clear" w:color="auto" w:fill="auto"/>
            <w:vAlign w:val="center"/>
          </w:tcPr>
          <w:p w14:paraId="7D54D1D5">
            <w:pPr>
              <w:jc w:val="center"/>
              <w:rPr>
                <w:rFonts w:hint="eastAsia" w:ascii="宋体" w:hAnsi="宋体" w:eastAsia="宋体" w:cs="宋体"/>
                <w:i w:val="0"/>
                <w:iCs w:val="0"/>
                <w:color w:val="000000"/>
                <w:sz w:val="20"/>
                <w:szCs w:val="20"/>
                <w:u w:val="none"/>
              </w:rPr>
            </w:pPr>
          </w:p>
        </w:tc>
      </w:tr>
      <w:tr w14:paraId="71B343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752" w:type="dxa"/>
            <w:vMerge w:val="continue"/>
            <w:tcBorders>
              <w:tl2br w:val="nil"/>
              <w:tr2bl w:val="nil"/>
            </w:tcBorders>
            <w:shd w:val="clear" w:color="auto" w:fill="auto"/>
            <w:vAlign w:val="center"/>
          </w:tcPr>
          <w:p w14:paraId="1322B1E1">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05BC77CE">
            <w:pPr>
              <w:jc w:val="center"/>
              <w:rPr>
                <w:rFonts w:hint="eastAsia" w:ascii="宋体" w:hAnsi="宋体" w:eastAsia="宋体" w:cs="宋体"/>
                <w:i w:val="0"/>
                <w:iCs w:val="0"/>
                <w:color w:val="000000"/>
                <w:sz w:val="20"/>
                <w:szCs w:val="20"/>
                <w:u w:val="none"/>
              </w:rPr>
            </w:pPr>
          </w:p>
        </w:tc>
        <w:tc>
          <w:tcPr>
            <w:tcW w:w="866" w:type="dxa"/>
            <w:vMerge w:val="continue"/>
            <w:tcBorders>
              <w:tl2br w:val="nil"/>
              <w:tr2bl w:val="nil"/>
            </w:tcBorders>
            <w:shd w:val="clear" w:color="auto" w:fill="auto"/>
            <w:vAlign w:val="center"/>
          </w:tcPr>
          <w:p w14:paraId="431B4CB0">
            <w:pPr>
              <w:jc w:val="center"/>
              <w:rPr>
                <w:rFonts w:hint="eastAsia" w:ascii="宋体" w:hAnsi="宋体" w:eastAsia="宋体" w:cs="宋体"/>
                <w:i w:val="0"/>
                <w:iCs w:val="0"/>
                <w:color w:val="000000"/>
                <w:sz w:val="20"/>
                <w:szCs w:val="20"/>
                <w:u w:val="none"/>
              </w:rPr>
            </w:pPr>
          </w:p>
        </w:tc>
        <w:tc>
          <w:tcPr>
            <w:tcW w:w="1130" w:type="dxa"/>
            <w:tcBorders>
              <w:tl2br w:val="nil"/>
              <w:tr2bl w:val="nil"/>
            </w:tcBorders>
            <w:shd w:val="clear" w:color="auto" w:fill="auto"/>
            <w:vAlign w:val="center"/>
          </w:tcPr>
          <w:p w14:paraId="4B6F82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项目开展及时率</w:t>
            </w:r>
          </w:p>
        </w:tc>
        <w:tc>
          <w:tcPr>
            <w:tcW w:w="1019" w:type="dxa"/>
            <w:tcBorders>
              <w:tl2br w:val="nil"/>
              <w:tr2bl w:val="nil"/>
            </w:tcBorders>
            <w:shd w:val="clear" w:color="auto" w:fill="auto"/>
            <w:vAlign w:val="center"/>
          </w:tcPr>
          <w:p w14:paraId="0C2B3B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98" w:type="dxa"/>
            <w:tcBorders>
              <w:tl2br w:val="nil"/>
              <w:tr2bl w:val="nil"/>
            </w:tcBorders>
            <w:shd w:val="clear" w:color="auto" w:fill="auto"/>
            <w:vAlign w:val="center"/>
          </w:tcPr>
          <w:p w14:paraId="64C7978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l2br w:val="nil"/>
              <w:tr2bl w:val="nil"/>
            </w:tcBorders>
            <w:shd w:val="clear" w:color="auto" w:fill="auto"/>
            <w:vAlign w:val="center"/>
          </w:tcPr>
          <w:p w14:paraId="1F0300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5" w:type="dxa"/>
            <w:tcBorders>
              <w:tl2br w:val="nil"/>
              <w:tr2bl w:val="nil"/>
            </w:tcBorders>
            <w:shd w:val="clear" w:color="auto" w:fill="auto"/>
            <w:vAlign w:val="center"/>
          </w:tcPr>
          <w:p w14:paraId="2632F5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866" w:type="dxa"/>
            <w:tcBorders>
              <w:tl2br w:val="nil"/>
              <w:tr2bl w:val="nil"/>
            </w:tcBorders>
            <w:shd w:val="clear" w:color="auto" w:fill="auto"/>
            <w:vAlign w:val="center"/>
          </w:tcPr>
          <w:p w14:paraId="6059A6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67" w:type="dxa"/>
            <w:tcBorders>
              <w:tl2br w:val="nil"/>
              <w:tr2bl w:val="nil"/>
            </w:tcBorders>
            <w:shd w:val="clear" w:color="auto" w:fill="auto"/>
            <w:vAlign w:val="center"/>
          </w:tcPr>
          <w:p w14:paraId="0C7833D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25" w:type="dxa"/>
            <w:tcBorders>
              <w:tl2br w:val="nil"/>
              <w:tr2bl w:val="nil"/>
            </w:tcBorders>
            <w:shd w:val="clear" w:color="auto" w:fill="auto"/>
            <w:vAlign w:val="center"/>
          </w:tcPr>
          <w:p w14:paraId="3C2427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4" w:type="dxa"/>
            <w:tcBorders>
              <w:tl2br w:val="nil"/>
              <w:tr2bl w:val="nil"/>
            </w:tcBorders>
            <w:shd w:val="clear" w:color="auto" w:fill="auto"/>
            <w:vAlign w:val="center"/>
          </w:tcPr>
          <w:p w14:paraId="795819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6" w:type="dxa"/>
            <w:tcBorders>
              <w:tl2br w:val="nil"/>
              <w:tr2bl w:val="nil"/>
            </w:tcBorders>
            <w:shd w:val="clear" w:color="auto" w:fill="auto"/>
            <w:vAlign w:val="center"/>
          </w:tcPr>
          <w:p w14:paraId="168CA1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387" w:type="dxa"/>
            <w:tcBorders>
              <w:tl2br w:val="nil"/>
              <w:tr2bl w:val="nil"/>
            </w:tcBorders>
            <w:shd w:val="clear" w:color="auto" w:fill="auto"/>
            <w:vAlign w:val="center"/>
          </w:tcPr>
          <w:p w14:paraId="6D6CC93E">
            <w:pPr>
              <w:jc w:val="center"/>
              <w:rPr>
                <w:rFonts w:hint="eastAsia" w:ascii="宋体" w:hAnsi="宋体" w:eastAsia="宋体" w:cs="宋体"/>
                <w:b/>
                <w:bCs/>
                <w:i w:val="0"/>
                <w:iCs w:val="0"/>
                <w:color w:val="000000"/>
                <w:sz w:val="20"/>
                <w:szCs w:val="20"/>
                <w:u w:val="none"/>
              </w:rPr>
            </w:pPr>
          </w:p>
        </w:tc>
      </w:tr>
      <w:tr w14:paraId="207D27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752" w:type="dxa"/>
            <w:vMerge w:val="continue"/>
            <w:tcBorders>
              <w:tl2br w:val="nil"/>
              <w:tr2bl w:val="nil"/>
            </w:tcBorders>
            <w:shd w:val="clear" w:color="auto" w:fill="auto"/>
            <w:vAlign w:val="center"/>
          </w:tcPr>
          <w:p w14:paraId="68B1C7AF">
            <w:pPr>
              <w:jc w:val="center"/>
              <w:rPr>
                <w:rFonts w:hint="eastAsia" w:ascii="宋体" w:hAnsi="宋体" w:eastAsia="宋体" w:cs="宋体"/>
                <w:i w:val="0"/>
                <w:iCs w:val="0"/>
                <w:color w:val="000000"/>
                <w:sz w:val="20"/>
                <w:szCs w:val="20"/>
                <w:u w:val="none"/>
              </w:rPr>
            </w:pPr>
          </w:p>
        </w:tc>
        <w:tc>
          <w:tcPr>
            <w:tcW w:w="750" w:type="dxa"/>
            <w:vMerge w:val="restart"/>
            <w:tcBorders>
              <w:tl2br w:val="nil"/>
              <w:tr2bl w:val="nil"/>
            </w:tcBorders>
            <w:shd w:val="clear" w:color="auto" w:fill="auto"/>
            <w:vAlign w:val="center"/>
          </w:tcPr>
          <w:p w14:paraId="318E98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866" w:type="dxa"/>
            <w:tcBorders>
              <w:tl2br w:val="nil"/>
              <w:tr2bl w:val="nil"/>
            </w:tcBorders>
            <w:shd w:val="clear" w:color="auto" w:fill="auto"/>
            <w:vAlign w:val="center"/>
          </w:tcPr>
          <w:p w14:paraId="78D8B3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130" w:type="dxa"/>
            <w:tcBorders>
              <w:tl2br w:val="nil"/>
              <w:tr2bl w:val="nil"/>
            </w:tcBorders>
            <w:shd w:val="clear" w:color="auto" w:fill="auto"/>
            <w:vAlign w:val="center"/>
          </w:tcPr>
          <w:p w14:paraId="42EFEE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tcBorders>
              <w:tl2br w:val="nil"/>
              <w:tr2bl w:val="nil"/>
            </w:tcBorders>
            <w:shd w:val="clear" w:color="auto" w:fill="auto"/>
            <w:vAlign w:val="center"/>
          </w:tcPr>
          <w:p w14:paraId="0BEB0D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8" w:type="dxa"/>
            <w:tcBorders>
              <w:tl2br w:val="nil"/>
              <w:tr2bl w:val="nil"/>
            </w:tcBorders>
            <w:shd w:val="clear" w:color="auto" w:fill="auto"/>
            <w:vAlign w:val="center"/>
          </w:tcPr>
          <w:p w14:paraId="6731AED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799" w:type="dxa"/>
            <w:tcBorders>
              <w:tl2br w:val="nil"/>
              <w:tr2bl w:val="nil"/>
            </w:tcBorders>
            <w:shd w:val="clear" w:color="auto" w:fill="auto"/>
            <w:vAlign w:val="center"/>
          </w:tcPr>
          <w:p w14:paraId="7972AB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5" w:type="dxa"/>
            <w:tcBorders>
              <w:tl2br w:val="nil"/>
              <w:tr2bl w:val="nil"/>
            </w:tcBorders>
            <w:shd w:val="clear" w:color="auto" w:fill="auto"/>
            <w:vAlign w:val="center"/>
          </w:tcPr>
          <w:p w14:paraId="4EA1DC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6" w:type="dxa"/>
            <w:tcBorders>
              <w:tl2br w:val="nil"/>
              <w:tr2bl w:val="nil"/>
            </w:tcBorders>
            <w:shd w:val="clear" w:color="auto" w:fill="auto"/>
            <w:vAlign w:val="center"/>
          </w:tcPr>
          <w:p w14:paraId="73BBAD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7" w:type="dxa"/>
            <w:tcBorders>
              <w:tl2br w:val="nil"/>
              <w:tr2bl w:val="nil"/>
            </w:tcBorders>
            <w:shd w:val="clear" w:color="auto" w:fill="auto"/>
            <w:vAlign w:val="center"/>
          </w:tcPr>
          <w:p w14:paraId="54BA55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tcBorders>
              <w:tl2br w:val="nil"/>
              <w:tr2bl w:val="nil"/>
            </w:tcBorders>
            <w:shd w:val="clear" w:color="auto" w:fill="auto"/>
            <w:vAlign w:val="center"/>
          </w:tcPr>
          <w:p w14:paraId="3CB959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4" w:type="dxa"/>
            <w:tcBorders>
              <w:tl2br w:val="nil"/>
              <w:tr2bl w:val="nil"/>
            </w:tcBorders>
            <w:shd w:val="clear" w:color="auto" w:fill="auto"/>
            <w:vAlign w:val="center"/>
          </w:tcPr>
          <w:p w14:paraId="78BCFD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6" w:type="dxa"/>
            <w:tcBorders>
              <w:tl2br w:val="nil"/>
              <w:tr2bl w:val="nil"/>
            </w:tcBorders>
            <w:shd w:val="clear" w:color="auto" w:fill="auto"/>
            <w:vAlign w:val="center"/>
          </w:tcPr>
          <w:p w14:paraId="51B59C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87" w:type="dxa"/>
            <w:tcBorders>
              <w:tl2br w:val="nil"/>
              <w:tr2bl w:val="nil"/>
            </w:tcBorders>
            <w:shd w:val="clear" w:color="auto" w:fill="auto"/>
            <w:vAlign w:val="center"/>
          </w:tcPr>
          <w:p w14:paraId="090FAB6C">
            <w:pPr>
              <w:jc w:val="center"/>
              <w:rPr>
                <w:rFonts w:hint="eastAsia" w:ascii="宋体" w:hAnsi="宋体" w:eastAsia="宋体" w:cs="宋体"/>
                <w:i w:val="0"/>
                <w:iCs w:val="0"/>
                <w:color w:val="000000"/>
                <w:sz w:val="20"/>
                <w:szCs w:val="20"/>
                <w:u w:val="none"/>
              </w:rPr>
            </w:pPr>
          </w:p>
        </w:tc>
      </w:tr>
      <w:tr w14:paraId="14910E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752" w:type="dxa"/>
            <w:vMerge w:val="continue"/>
            <w:tcBorders>
              <w:tl2br w:val="nil"/>
              <w:tr2bl w:val="nil"/>
            </w:tcBorders>
            <w:shd w:val="clear" w:color="auto" w:fill="auto"/>
            <w:vAlign w:val="center"/>
          </w:tcPr>
          <w:p w14:paraId="5341C7C9">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081C0C95">
            <w:pPr>
              <w:jc w:val="center"/>
              <w:rPr>
                <w:rFonts w:hint="eastAsia" w:ascii="宋体" w:hAnsi="宋体" w:eastAsia="宋体" w:cs="宋体"/>
                <w:i w:val="0"/>
                <w:iCs w:val="0"/>
                <w:color w:val="000000"/>
                <w:sz w:val="20"/>
                <w:szCs w:val="20"/>
                <w:u w:val="none"/>
              </w:rPr>
            </w:pPr>
          </w:p>
        </w:tc>
        <w:tc>
          <w:tcPr>
            <w:tcW w:w="866" w:type="dxa"/>
            <w:tcBorders>
              <w:tl2br w:val="nil"/>
              <w:tr2bl w:val="nil"/>
            </w:tcBorders>
            <w:shd w:val="clear" w:color="auto" w:fill="auto"/>
            <w:vAlign w:val="center"/>
          </w:tcPr>
          <w:p w14:paraId="6EBAB6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130" w:type="dxa"/>
            <w:tcBorders>
              <w:tl2br w:val="nil"/>
              <w:tr2bl w:val="nil"/>
            </w:tcBorders>
            <w:shd w:val="clear" w:color="auto" w:fill="auto"/>
            <w:vAlign w:val="center"/>
          </w:tcPr>
          <w:p w14:paraId="1DBDA4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tcBorders>
              <w:tl2br w:val="nil"/>
              <w:tr2bl w:val="nil"/>
            </w:tcBorders>
            <w:shd w:val="clear" w:color="auto" w:fill="auto"/>
            <w:vAlign w:val="center"/>
          </w:tcPr>
          <w:p w14:paraId="79E9C2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8" w:type="dxa"/>
            <w:tcBorders>
              <w:tl2br w:val="nil"/>
              <w:tr2bl w:val="nil"/>
            </w:tcBorders>
            <w:shd w:val="clear" w:color="auto" w:fill="auto"/>
            <w:vAlign w:val="center"/>
          </w:tcPr>
          <w:p w14:paraId="25F7979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799" w:type="dxa"/>
            <w:tcBorders>
              <w:tl2br w:val="nil"/>
              <w:tr2bl w:val="nil"/>
            </w:tcBorders>
            <w:shd w:val="clear" w:color="auto" w:fill="auto"/>
            <w:vAlign w:val="center"/>
          </w:tcPr>
          <w:p w14:paraId="45D5E4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5" w:type="dxa"/>
            <w:tcBorders>
              <w:tl2br w:val="nil"/>
              <w:tr2bl w:val="nil"/>
            </w:tcBorders>
            <w:shd w:val="clear" w:color="auto" w:fill="auto"/>
            <w:vAlign w:val="center"/>
          </w:tcPr>
          <w:p w14:paraId="4CCA5B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6" w:type="dxa"/>
            <w:tcBorders>
              <w:tl2br w:val="nil"/>
              <w:tr2bl w:val="nil"/>
            </w:tcBorders>
            <w:shd w:val="clear" w:color="auto" w:fill="auto"/>
            <w:vAlign w:val="center"/>
          </w:tcPr>
          <w:p w14:paraId="1E27AB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7" w:type="dxa"/>
            <w:tcBorders>
              <w:tl2br w:val="nil"/>
              <w:tr2bl w:val="nil"/>
            </w:tcBorders>
            <w:shd w:val="clear" w:color="auto" w:fill="auto"/>
            <w:vAlign w:val="center"/>
          </w:tcPr>
          <w:p w14:paraId="07268A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tcBorders>
              <w:tl2br w:val="nil"/>
              <w:tr2bl w:val="nil"/>
            </w:tcBorders>
            <w:shd w:val="clear" w:color="auto" w:fill="auto"/>
            <w:vAlign w:val="center"/>
          </w:tcPr>
          <w:p w14:paraId="69A3C6F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4" w:type="dxa"/>
            <w:tcBorders>
              <w:tl2br w:val="nil"/>
              <w:tr2bl w:val="nil"/>
            </w:tcBorders>
            <w:shd w:val="clear" w:color="auto" w:fill="auto"/>
            <w:vAlign w:val="center"/>
          </w:tcPr>
          <w:p w14:paraId="3462D5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6" w:type="dxa"/>
            <w:tcBorders>
              <w:tl2br w:val="nil"/>
              <w:tr2bl w:val="nil"/>
            </w:tcBorders>
            <w:shd w:val="clear" w:color="auto" w:fill="auto"/>
            <w:vAlign w:val="center"/>
          </w:tcPr>
          <w:p w14:paraId="675A03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87" w:type="dxa"/>
            <w:tcBorders>
              <w:tl2br w:val="nil"/>
              <w:tr2bl w:val="nil"/>
            </w:tcBorders>
            <w:shd w:val="clear" w:color="auto" w:fill="auto"/>
            <w:vAlign w:val="center"/>
          </w:tcPr>
          <w:p w14:paraId="5DA36735">
            <w:pPr>
              <w:jc w:val="center"/>
              <w:rPr>
                <w:rFonts w:hint="eastAsia" w:ascii="宋体" w:hAnsi="宋体" w:eastAsia="宋体" w:cs="宋体"/>
                <w:i w:val="0"/>
                <w:iCs w:val="0"/>
                <w:color w:val="000000"/>
                <w:sz w:val="20"/>
                <w:szCs w:val="20"/>
                <w:u w:val="none"/>
              </w:rPr>
            </w:pPr>
          </w:p>
        </w:tc>
      </w:tr>
      <w:tr w14:paraId="4D47CD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752" w:type="dxa"/>
            <w:vMerge w:val="continue"/>
            <w:tcBorders>
              <w:tl2br w:val="nil"/>
              <w:tr2bl w:val="nil"/>
            </w:tcBorders>
            <w:shd w:val="clear" w:color="auto" w:fill="auto"/>
            <w:vAlign w:val="center"/>
          </w:tcPr>
          <w:p w14:paraId="252540D5">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42729BB6">
            <w:pPr>
              <w:jc w:val="center"/>
              <w:rPr>
                <w:rFonts w:hint="eastAsia" w:ascii="宋体" w:hAnsi="宋体" w:eastAsia="宋体" w:cs="宋体"/>
                <w:i w:val="0"/>
                <w:iCs w:val="0"/>
                <w:color w:val="000000"/>
                <w:sz w:val="20"/>
                <w:szCs w:val="20"/>
                <w:u w:val="none"/>
              </w:rPr>
            </w:pPr>
          </w:p>
        </w:tc>
        <w:tc>
          <w:tcPr>
            <w:tcW w:w="866" w:type="dxa"/>
            <w:tcBorders>
              <w:tl2br w:val="nil"/>
              <w:tr2bl w:val="nil"/>
            </w:tcBorders>
            <w:shd w:val="clear" w:color="auto" w:fill="auto"/>
            <w:vAlign w:val="center"/>
          </w:tcPr>
          <w:p w14:paraId="0808FD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130" w:type="dxa"/>
            <w:tcBorders>
              <w:tl2br w:val="nil"/>
              <w:tr2bl w:val="nil"/>
            </w:tcBorders>
            <w:shd w:val="clear" w:color="auto" w:fill="auto"/>
            <w:vAlign w:val="center"/>
          </w:tcPr>
          <w:p w14:paraId="01B932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tcBorders>
              <w:tl2br w:val="nil"/>
              <w:tr2bl w:val="nil"/>
            </w:tcBorders>
            <w:shd w:val="clear" w:color="auto" w:fill="auto"/>
            <w:vAlign w:val="center"/>
          </w:tcPr>
          <w:p w14:paraId="54C63B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8" w:type="dxa"/>
            <w:tcBorders>
              <w:tl2br w:val="nil"/>
              <w:tr2bl w:val="nil"/>
            </w:tcBorders>
            <w:shd w:val="clear" w:color="auto" w:fill="auto"/>
            <w:vAlign w:val="center"/>
          </w:tcPr>
          <w:p w14:paraId="5C4DD8B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799" w:type="dxa"/>
            <w:tcBorders>
              <w:tl2br w:val="nil"/>
              <w:tr2bl w:val="nil"/>
            </w:tcBorders>
            <w:shd w:val="clear" w:color="auto" w:fill="auto"/>
            <w:vAlign w:val="center"/>
          </w:tcPr>
          <w:p w14:paraId="4D469C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5" w:type="dxa"/>
            <w:tcBorders>
              <w:tl2br w:val="nil"/>
              <w:tr2bl w:val="nil"/>
            </w:tcBorders>
            <w:shd w:val="clear" w:color="auto" w:fill="auto"/>
            <w:vAlign w:val="center"/>
          </w:tcPr>
          <w:p w14:paraId="439BE7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6" w:type="dxa"/>
            <w:tcBorders>
              <w:tl2br w:val="nil"/>
              <w:tr2bl w:val="nil"/>
            </w:tcBorders>
            <w:shd w:val="clear" w:color="auto" w:fill="auto"/>
            <w:vAlign w:val="center"/>
          </w:tcPr>
          <w:p w14:paraId="4CD6D6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7" w:type="dxa"/>
            <w:tcBorders>
              <w:tl2br w:val="nil"/>
              <w:tr2bl w:val="nil"/>
            </w:tcBorders>
            <w:shd w:val="clear" w:color="auto" w:fill="auto"/>
            <w:vAlign w:val="center"/>
          </w:tcPr>
          <w:p w14:paraId="667D29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tcBorders>
              <w:tl2br w:val="nil"/>
              <w:tr2bl w:val="nil"/>
            </w:tcBorders>
            <w:shd w:val="clear" w:color="auto" w:fill="auto"/>
            <w:vAlign w:val="center"/>
          </w:tcPr>
          <w:p w14:paraId="037636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4" w:type="dxa"/>
            <w:tcBorders>
              <w:tl2br w:val="nil"/>
              <w:tr2bl w:val="nil"/>
            </w:tcBorders>
            <w:shd w:val="clear" w:color="auto" w:fill="auto"/>
            <w:vAlign w:val="center"/>
          </w:tcPr>
          <w:p w14:paraId="2DC37C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6" w:type="dxa"/>
            <w:tcBorders>
              <w:tl2br w:val="nil"/>
              <w:tr2bl w:val="nil"/>
            </w:tcBorders>
            <w:shd w:val="clear" w:color="auto" w:fill="auto"/>
            <w:vAlign w:val="center"/>
          </w:tcPr>
          <w:p w14:paraId="7281C0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87" w:type="dxa"/>
            <w:tcBorders>
              <w:tl2br w:val="nil"/>
              <w:tr2bl w:val="nil"/>
            </w:tcBorders>
            <w:shd w:val="clear" w:color="auto" w:fill="auto"/>
            <w:vAlign w:val="center"/>
          </w:tcPr>
          <w:p w14:paraId="17321BAC">
            <w:pPr>
              <w:jc w:val="center"/>
              <w:rPr>
                <w:rFonts w:hint="eastAsia" w:ascii="宋体" w:hAnsi="宋体" w:eastAsia="宋体" w:cs="宋体"/>
                <w:i w:val="0"/>
                <w:iCs w:val="0"/>
                <w:color w:val="000000"/>
                <w:sz w:val="20"/>
                <w:szCs w:val="20"/>
                <w:u w:val="none"/>
              </w:rPr>
            </w:pPr>
          </w:p>
        </w:tc>
      </w:tr>
      <w:tr w14:paraId="1BD1D0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752" w:type="dxa"/>
            <w:vMerge w:val="continue"/>
            <w:tcBorders>
              <w:tl2br w:val="nil"/>
              <w:tr2bl w:val="nil"/>
            </w:tcBorders>
            <w:shd w:val="clear" w:color="auto" w:fill="auto"/>
            <w:vAlign w:val="center"/>
          </w:tcPr>
          <w:p w14:paraId="360FB3C1">
            <w:pPr>
              <w:jc w:val="center"/>
              <w:rPr>
                <w:rFonts w:hint="eastAsia" w:ascii="宋体" w:hAnsi="宋体" w:eastAsia="宋体" w:cs="宋体"/>
                <w:i w:val="0"/>
                <w:iCs w:val="0"/>
                <w:color w:val="000000"/>
                <w:sz w:val="20"/>
                <w:szCs w:val="20"/>
                <w:u w:val="none"/>
              </w:rPr>
            </w:pPr>
          </w:p>
        </w:tc>
        <w:tc>
          <w:tcPr>
            <w:tcW w:w="750" w:type="dxa"/>
            <w:vMerge w:val="restart"/>
            <w:tcBorders>
              <w:tl2br w:val="nil"/>
              <w:tr2bl w:val="nil"/>
            </w:tcBorders>
            <w:shd w:val="clear" w:color="auto" w:fill="auto"/>
            <w:vAlign w:val="center"/>
          </w:tcPr>
          <w:p w14:paraId="5F1AAC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866" w:type="dxa"/>
            <w:vMerge w:val="restart"/>
            <w:tcBorders>
              <w:tl2br w:val="nil"/>
              <w:tr2bl w:val="nil"/>
            </w:tcBorders>
            <w:shd w:val="clear" w:color="auto" w:fill="auto"/>
            <w:vAlign w:val="center"/>
          </w:tcPr>
          <w:p w14:paraId="5C24D4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130" w:type="dxa"/>
            <w:tcBorders>
              <w:tl2br w:val="nil"/>
              <w:tr2bl w:val="nil"/>
            </w:tcBorders>
            <w:shd w:val="clear" w:color="auto" w:fill="auto"/>
            <w:vAlign w:val="center"/>
          </w:tcPr>
          <w:p w14:paraId="4A31CA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节约基本建设投资资金</w:t>
            </w:r>
          </w:p>
        </w:tc>
        <w:tc>
          <w:tcPr>
            <w:tcW w:w="1019" w:type="dxa"/>
            <w:tcBorders>
              <w:tl2br w:val="nil"/>
              <w:tr2bl w:val="nil"/>
            </w:tcBorders>
            <w:shd w:val="clear" w:color="auto" w:fill="auto"/>
            <w:vAlign w:val="center"/>
          </w:tcPr>
          <w:p w14:paraId="02FDD0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≥695万</w:t>
            </w:r>
          </w:p>
        </w:tc>
        <w:tc>
          <w:tcPr>
            <w:tcW w:w="798" w:type="dxa"/>
            <w:tcBorders>
              <w:tl2br w:val="nil"/>
              <w:tr2bl w:val="nil"/>
            </w:tcBorders>
            <w:shd w:val="clear" w:color="auto" w:fill="auto"/>
            <w:vAlign w:val="center"/>
          </w:tcPr>
          <w:p w14:paraId="07D5182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l2br w:val="nil"/>
              <w:tr2bl w:val="nil"/>
            </w:tcBorders>
            <w:shd w:val="clear" w:color="auto" w:fill="auto"/>
            <w:vAlign w:val="center"/>
          </w:tcPr>
          <w:p w14:paraId="2DF276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5" w:type="dxa"/>
            <w:tcBorders>
              <w:tl2br w:val="nil"/>
              <w:tr2bl w:val="nil"/>
            </w:tcBorders>
            <w:shd w:val="clear" w:color="auto" w:fill="auto"/>
            <w:vAlign w:val="center"/>
          </w:tcPr>
          <w:p w14:paraId="257763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66" w:type="dxa"/>
            <w:tcBorders>
              <w:tl2br w:val="nil"/>
              <w:tr2bl w:val="nil"/>
            </w:tcBorders>
            <w:shd w:val="clear" w:color="auto" w:fill="auto"/>
            <w:vAlign w:val="center"/>
          </w:tcPr>
          <w:p w14:paraId="218CFE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67" w:type="dxa"/>
            <w:tcBorders>
              <w:tl2br w:val="nil"/>
              <w:tr2bl w:val="nil"/>
            </w:tcBorders>
            <w:shd w:val="clear" w:color="auto" w:fill="auto"/>
            <w:vAlign w:val="center"/>
          </w:tcPr>
          <w:p w14:paraId="181F44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25" w:type="dxa"/>
            <w:tcBorders>
              <w:tl2br w:val="nil"/>
              <w:tr2bl w:val="nil"/>
            </w:tcBorders>
            <w:shd w:val="clear" w:color="auto" w:fill="auto"/>
            <w:vAlign w:val="center"/>
          </w:tcPr>
          <w:p w14:paraId="5C5077D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695.59万</w:t>
            </w:r>
          </w:p>
        </w:tc>
        <w:tc>
          <w:tcPr>
            <w:tcW w:w="1024" w:type="dxa"/>
            <w:tcBorders>
              <w:tl2br w:val="nil"/>
              <w:tr2bl w:val="nil"/>
            </w:tcBorders>
            <w:shd w:val="clear" w:color="auto" w:fill="auto"/>
            <w:vAlign w:val="center"/>
          </w:tcPr>
          <w:p w14:paraId="244DD3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6" w:type="dxa"/>
            <w:tcBorders>
              <w:tl2br w:val="nil"/>
              <w:tr2bl w:val="nil"/>
            </w:tcBorders>
            <w:shd w:val="clear" w:color="auto" w:fill="auto"/>
            <w:vAlign w:val="center"/>
          </w:tcPr>
          <w:p w14:paraId="62A880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387" w:type="dxa"/>
            <w:tcBorders>
              <w:tl2br w:val="nil"/>
              <w:tr2bl w:val="nil"/>
            </w:tcBorders>
            <w:shd w:val="clear" w:color="auto" w:fill="auto"/>
            <w:vAlign w:val="center"/>
          </w:tcPr>
          <w:p w14:paraId="49032579">
            <w:pPr>
              <w:jc w:val="center"/>
              <w:rPr>
                <w:rFonts w:hint="eastAsia" w:ascii="宋体" w:hAnsi="宋体" w:eastAsia="宋体" w:cs="宋体"/>
                <w:i w:val="0"/>
                <w:iCs w:val="0"/>
                <w:color w:val="000000"/>
                <w:sz w:val="20"/>
                <w:szCs w:val="20"/>
                <w:u w:val="none"/>
              </w:rPr>
            </w:pPr>
          </w:p>
        </w:tc>
      </w:tr>
      <w:tr w14:paraId="24B13A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752" w:type="dxa"/>
            <w:vMerge w:val="continue"/>
            <w:tcBorders>
              <w:tl2br w:val="nil"/>
              <w:tr2bl w:val="nil"/>
            </w:tcBorders>
            <w:shd w:val="clear" w:color="auto" w:fill="auto"/>
            <w:vAlign w:val="center"/>
          </w:tcPr>
          <w:p w14:paraId="027AAFB3">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0E37202B">
            <w:pPr>
              <w:jc w:val="center"/>
              <w:rPr>
                <w:rFonts w:hint="eastAsia" w:ascii="宋体" w:hAnsi="宋体" w:eastAsia="宋体" w:cs="宋体"/>
                <w:i w:val="0"/>
                <w:iCs w:val="0"/>
                <w:color w:val="000000"/>
                <w:sz w:val="20"/>
                <w:szCs w:val="20"/>
                <w:u w:val="none"/>
              </w:rPr>
            </w:pPr>
          </w:p>
        </w:tc>
        <w:tc>
          <w:tcPr>
            <w:tcW w:w="866" w:type="dxa"/>
            <w:vMerge w:val="continue"/>
            <w:tcBorders>
              <w:tl2br w:val="nil"/>
              <w:tr2bl w:val="nil"/>
            </w:tcBorders>
            <w:shd w:val="clear" w:color="auto" w:fill="auto"/>
            <w:vAlign w:val="center"/>
          </w:tcPr>
          <w:p w14:paraId="521C4FA0">
            <w:pPr>
              <w:jc w:val="center"/>
              <w:rPr>
                <w:rFonts w:hint="eastAsia" w:ascii="宋体" w:hAnsi="宋体" w:eastAsia="宋体" w:cs="宋体"/>
                <w:i w:val="0"/>
                <w:iCs w:val="0"/>
                <w:color w:val="000000"/>
                <w:sz w:val="20"/>
                <w:szCs w:val="20"/>
                <w:u w:val="none"/>
              </w:rPr>
            </w:pPr>
          </w:p>
        </w:tc>
        <w:tc>
          <w:tcPr>
            <w:tcW w:w="1130" w:type="dxa"/>
            <w:tcBorders>
              <w:tl2br w:val="nil"/>
              <w:tr2bl w:val="nil"/>
            </w:tcBorders>
            <w:shd w:val="clear" w:color="auto" w:fill="auto"/>
            <w:vAlign w:val="center"/>
          </w:tcPr>
          <w:p w14:paraId="3E6308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提高被审计单位经济管理水平</w:t>
            </w:r>
          </w:p>
        </w:tc>
        <w:tc>
          <w:tcPr>
            <w:tcW w:w="1019" w:type="dxa"/>
            <w:tcBorders>
              <w:tl2br w:val="nil"/>
              <w:tr2bl w:val="nil"/>
            </w:tcBorders>
            <w:shd w:val="clear" w:color="auto" w:fill="auto"/>
            <w:vAlign w:val="center"/>
          </w:tcPr>
          <w:p w14:paraId="13312E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c>
          <w:tcPr>
            <w:tcW w:w="798" w:type="dxa"/>
            <w:tcBorders>
              <w:tl2br w:val="nil"/>
              <w:tr2bl w:val="nil"/>
            </w:tcBorders>
            <w:shd w:val="clear" w:color="auto" w:fill="auto"/>
            <w:vAlign w:val="center"/>
          </w:tcPr>
          <w:p w14:paraId="188A59E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计划标准</w:t>
            </w:r>
          </w:p>
        </w:tc>
        <w:tc>
          <w:tcPr>
            <w:tcW w:w="799" w:type="dxa"/>
            <w:tcBorders>
              <w:tl2br w:val="nil"/>
              <w:tr2bl w:val="nil"/>
            </w:tcBorders>
            <w:shd w:val="clear" w:color="auto" w:fill="auto"/>
            <w:vAlign w:val="center"/>
          </w:tcPr>
          <w:p w14:paraId="357559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5" w:type="dxa"/>
            <w:tcBorders>
              <w:tl2br w:val="nil"/>
              <w:tr2bl w:val="nil"/>
            </w:tcBorders>
            <w:shd w:val="clear" w:color="auto" w:fill="auto"/>
            <w:vAlign w:val="center"/>
          </w:tcPr>
          <w:p w14:paraId="1E67B3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866" w:type="dxa"/>
            <w:tcBorders>
              <w:tl2br w:val="nil"/>
              <w:tr2bl w:val="nil"/>
            </w:tcBorders>
            <w:shd w:val="clear" w:color="auto" w:fill="auto"/>
            <w:vAlign w:val="center"/>
          </w:tcPr>
          <w:p w14:paraId="1FB58F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67" w:type="dxa"/>
            <w:tcBorders>
              <w:tl2br w:val="nil"/>
              <w:tr2bl w:val="nil"/>
            </w:tcBorders>
            <w:shd w:val="clear" w:color="auto" w:fill="auto"/>
            <w:vAlign w:val="center"/>
          </w:tcPr>
          <w:p w14:paraId="50DA12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925" w:type="dxa"/>
            <w:tcBorders>
              <w:tl2br w:val="nil"/>
              <w:tr2bl w:val="nil"/>
            </w:tcBorders>
            <w:shd w:val="clear" w:color="auto" w:fill="auto"/>
            <w:vAlign w:val="center"/>
          </w:tcPr>
          <w:p w14:paraId="2FBA18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c>
          <w:tcPr>
            <w:tcW w:w="1024" w:type="dxa"/>
            <w:tcBorders>
              <w:tl2br w:val="nil"/>
              <w:tr2bl w:val="nil"/>
            </w:tcBorders>
            <w:shd w:val="clear" w:color="auto" w:fill="auto"/>
            <w:vAlign w:val="center"/>
          </w:tcPr>
          <w:p w14:paraId="44097E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26" w:type="dxa"/>
            <w:tcBorders>
              <w:tl2br w:val="nil"/>
              <w:tr2bl w:val="nil"/>
            </w:tcBorders>
            <w:shd w:val="clear" w:color="auto" w:fill="auto"/>
            <w:vAlign w:val="center"/>
          </w:tcPr>
          <w:p w14:paraId="3E4EEF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387" w:type="dxa"/>
            <w:tcBorders>
              <w:tl2br w:val="nil"/>
              <w:tr2bl w:val="nil"/>
            </w:tcBorders>
            <w:shd w:val="clear" w:color="auto" w:fill="auto"/>
            <w:vAlign w:val="center"/>
          </w:tcPr>
          <w:p w14:paraId="51AA824B">
            <w:pPr>
              <w:jc w:val="center"/>
              <w:rPr>
                <w:rFonts w:hint="eastAsia" w:ascii="宋体" w:hAnsi="宋体" w:eastAsia="宋体" w:cs="宋体"/>
                <w:i w:val="0"/>
                <w:iCs w:val="0"/>
                <w:color w:val="000000"/>
                <w:sz w:val="20"/>
                <w:szCs w:val="20"/>
                <w:u w:val="none"/>
              </w:rPr>
            </w:pPr>
          </w:p>
        </w:tc>
      </w:tr>
      <w:tr w14:paraId="5102C4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752" w:type="dxa"/>
            <w:vMerge w:val="continue"/>
            <w:tcBorders>
              <w:tl2br w:val="nil"/>
              <w:tr2bl w:val="nil"/>
            </w:tcBorders>
            <w:shd w:val="clear" w:color="auto" w:fill="auto"/>
            <w:vAlign w:val="center"/>
          </w:tcPr>
          <w:p w14:paraId="07C905DA">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50C0B5D6">
            <w:pPr>
              <w:jc w:val="center"/>
              <w:rPr>
                <w:rFonts w:hint="eastAsia" w:ascii="宋体" w:hAnsi="宋体" w:eastAsia="宋体" w:cs="宋体"/>
                <w:i w:val="0"/>
                <w:iCs w:val="0"/>
                <w:color w:val="000000"/>
                <w:sz w:val="20"/>
                <w:szCs w:val="20"/>
                <w:u w:val="none"/>
              </w:rPr>
            </w:pPr>
          </w:p>
        </w:tc>
        <w:tc>
          <w:tcPr>
            <w:tcW w:w="866" w:type="dxa"/>
            <w:tcBorders>
              <w:tl2br w:val="nil"/>
              <w:tr2bl w:val="nil"/>
            </w:tcBorders>
            <w:shd w:val="clear" w:color="auto" w:fill="auto"/>
            <w:noWrap/>
            <w:vAlign w:val="center"/>
          </w:tcPr>
          <w:p w14:paraId="6368DF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130" w:type="dxa"/>
            <w:tcBorders>
              <w:tl2br w:val="nil"/>
              <w:tr2bl w:val="nil"/>
            </w:tcBorders>
            <w:shd w:val="clear" w:color="auto" w:fill="auto"/>
            <w:vAlign w:val="center"/>
          </w:tcPr>
          <w:p w14:paraId="35CAF1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tcBorders>
              <w:tl2br w:val="nil"/>
              <w:tr2bl w:val="nil"/>
            </w:tcBorders>
            <w:shd w:val="clear" w:color="auto" w:fill="auto"/>
            <w:vAlign w:val="center"/>
          </w:tcPr>
          <w:p w14:paraId="5F4F60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8" w:type="dxa"/>
            <w:tcBorders>
              <w:tl2br w:val="nil"/>
              <w:tr2bl w:val="nil"/>
            </w:tcBorders>
            <w:shd w:val="clear" w:color="auto" w:fill="auto"/>
            <w:vAlign w:val="center"/>
          </w:tcPr>
          <w:p w14:paraId="3A569E6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799" w:type="dxa"/>
            <w:tcBorders>
              <w:tl2br w:val="nil"/>
              <w:tr2bl w:val="nil"/>
            </w:tcBorders>
            <w:shd w:val="clear" w:color="auto" w:fill="auto"/>
            <w:vAlign w:val="center"/>
          </w:tcPr>
          <w:p w14:paraId="4DE014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5" w:type="dxa"/>
            <w:tcBorders>
              <w:tl2br w:val="nil"/>
              <w:tr2bl w:val="nil"/>
            </w:tcBorders>
            <w:shd w:val="clear" w:color="auto" w:fill="auto"/>
            <w:vAlign w:val="center"/>
          </w:tcPr>
          <w:p w14:paraId="5B0D54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6" w:type="dxa"/>
            <w:tcBorders>
              <w:tl2br w:val="nil"/>
              <w:tr2bl w:val="nil"/>
            </w:tcBorders>
            <w:shd w:val="clear" w:color="auto" w:fill="auto"/>
            <w:vAlign w:val="center"/>
          </w:tcPr>
          <w:p w14:paraId="50780A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7" w:type="dxa"/>
            <w:tcBorders>
              <w:tl2br w:val="nil"/>
              <w:tr2bl w:val="nil"/>
            </w:tcBorders>
            <w:shd w:val="clear" w:color="auto" w:fill="auto"/>
            <w:vAlign w:val="center"/>
          </w:tcPr>
          <w:p w14:paraId="3F9CC7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tcBorders>
              <w:tl2br w:val="nil"/>
              <w:tr2bl w:val="nil"/>
            </w:tcBorders>
            <w:shd w:val="clear" w:color="auto" w:fill="auto"/>
            <w:vAlign w:val="center"/>
          </w:tcPr>
          <w:p w14:paraId="264769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4" w:type="dxa"/>
            <w:tcBorders>
              <w:tl2br w:val="nil"/>
              <w:tr2bl w:val="nil"/>
            </w:tcBorders>
            <w:shd w:val="clear" w:color="auto" w:fill="auto"/>
            <w:vAlign w:val="center"/>
          </w:tcPr>
          <w:p w14:paraId="0B28CD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6" w:type="dxa"/>
            <w:tcBorders>
              <w:tl2br w:val="nil"/>
              <w:tr2bl w:val="nil"/>
            </w:tcBorders>
            <w:shd w:val="clear" w:color="auto" w:fill="auto"/>
            <w:vAlign w:val="center"/>
          </w:tcPr>
          <w:p w14:paraId="2E3EC3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87" w:type="dxa"/>
            <w:tcBorders>
              <w:tl2br w:val="nil"/>
              <w:tr2bl w:val="nil"/>
            </w:tcBorders>
            <w:shd w:val="clear" w:color="auto" w:fill="auto"/>
            <w:vAlign w:val="center"/>
          </w:tcPr>
          <w:p w14:paraId="32758887">
            <w:pPr>
              <w:jc w:val="center"/>
              <w:rPr>
                <w:rFonts w:hint="eastAsia" w:ascii="宋体" w:hAnsi="宋体" w:eastAsia="宋体" w:cs="宋体"/>
                <w:i w:val="0"/>
                <w:iCs w:val="0"/>
                <w:color w:val="000000"/>
                <w:sz w:val="20"/>
                <w:szCs w:val="20"/>
                <w:u w:val="none"/>
              </w:rPr>
            </w:pPr>
          </w:p>
        </w:tc>
      </w:tr>
      <w:tr w14:paraId="64CF18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752" w:type="dxa"/>
            <w:vMerge w:val="continue"/>
            <w:tcBorders>
              <w:tl2br w:val="nil"/>
              <w:tr2bl w:val="nil"/>
            </w:tcBorders>
            <w:shd w:val="clear" w:color="auto" w:fill="auto"/>
            <w:vAlign w:val="center"/>
          </w:tcPr>
          <w:p w14:paraId="12D0AAE0">
            <w:pPr>
              <w:jc w:val="center"/>
              <w:rPr>
                <w:rFonts w:hint="eastAsia" w:ascii="宋体" w:hAnsi="宋体" w:eastAsia="宋体" w:cs="宋体"/>
                <w:i w:val="0"/>
                <w:iCs w:val="0"/>
                <w:color w:val="000000"/>
                <w:sz w:val="20"/>
                <w:szCs w:val="20"/>
                <w:u w:val="none"/>
              </w:rPr>
            </w:pPr>
          </w:p>
        </w:tc>
        <w:tc>
          <w:tcPr>
            <w:tcW w:w="750" w:type="dxa"/>
            <w:vMerge w:val="continue"/>
            <w:tcBorders>
              <w:tl2br w:val="nil"/>
              <w:tr2bl w:val="nil"/>
            </w:tcBorders>
            <w:shd w:val="clear" w:color="auto" w:fill="auto"/>
            <w:vAlign w:val="center"/>
          </w:tcPr>
          <w:p w14:paraId="405894C0">
            <w:pPr>
              <w:jc w:val="center"/>
              <w:rPr>
                <w:rFonts w:hint="eastAsia" w:ascii="宋体" w:hAnsi="宋体" w:eastAsia="宋体" w:cs="宋体"/>
                <w:i w:val="0"/>
                <w:iCs w:val="0"/>
                <w:color w:val="000000"/>
                <w:sz w:val="20"/>
                <w:szCs w:val="20"/>
                <w:u w:val="none"/>
              </w:rPr>
            </w:pPr>
          </w:p>
        </w:tc>
        <w:tc>
          <w:tcPr>
            <w:tcW w:w="866" w:type="dxa"/>
            <w:tcBorders>
              <w:tl2br w:val="nil"/>
              <w:tr2bl w:val="nil"/>
            </w:tcBorders>
            <w:shd w:val="clear" w:color="auto" w:fill="auto"/>
            <w:vAlign w:val="center"/>
          </w:tcPr>
          <w:p w14:paraId="403107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生态成本指标</w:t>
            </w:r>
          </w:p>
        </w:tc>
        <w:tc>
          <w:tcPr>
            <w:tcW w:w="1130" w:type="dxa"/>
            <w:tcBorders>
              <w:tl2br w:val="nil"/>
              <w:tr2bl w:val="nil"/>
            </w:tcBorders>
            <w:shd w:val="clear" w:color="auto" w:fill="auto"/>
            <w:vAlign w:val="center"/>
          </w:tcPr>
          <w:p w14:paraId="714952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tcBorders>
              <w:tl2br w:val="nil"/>
              <w:tr2bl w:val="nil"/>
            </w:tcBorders>
            <w:shd w:val="clear" w:color="auto" w:fill="auto"/>
            <w:vAlign w:val="center"/>
          </w:tcPr>
          <w:p w14:paraId="64F104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8" w:type="dxa"/>
            <w:tcBorders>
              <w:tl2br w:val="nil"/>
              <w:tr2bl w:val="nil"/>
            </w:tcBorders>
            <w:shd w:val="clear" w:color="auto" w:fill="auto"/>
            <w:vAlign w:val="center"/>
          </w:tcPr>
          <w:p w14:paraId="5E612C7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799" w:type="dxa"/>
            <w:tcBorders>
              <w:tl2br w:val="nil"/>
              <w:tr2bl w:val="nil"/>
            </w:tcBorders>
            <w:shd w:val="clear" w:color="auto" w:fill="auto"/>
            <w:vAlign w:val="center"/>
          </w:tcPr>
          <w:p w14:paraId="2146FA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5" w:type="dxa"/>
            <w:tcBorders>
              <w:tl2br w:val="nil"/>
              <w:tr2bl w:val="nil"/>
            </w:tcBorders>
            <w:shd w:val="clear" w:color="auto" w:fill="auto"/>
            <w:vAlign w:val="center"/>
          </w:tcPr>
          <w:p w14:paraId="592256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6" w:type="dxa"/>
            <w:tcBorders>
              <w:tl2br w:val="nil"/>
              <w:tr2bl w:val="nil"/>
            </w:tcBorders>
            <w:shd w:val="clear" w:color="auto" w:fill="auto"/>
            <w:vAlign w:val="center"/>
          </w:tcPr>
          <w:p w14:paraId="01F4557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7" w:type="dxa"/>
            <w:tcBorders>
              <w:tl2br w:val="nil"/>
              <w:tr2bl w:val="nil"/>
            </w:tcBorders>
            <w:shd w:val="clear" w:color="auto" w:fill="auto"/>
            <w:vAlign w:val="center"/>
          </w:tcPr>
          <w:p w14:paraId="24D159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tcBorders>
              <w:tl2br w:val="nil"/>
              <w:tr2bl w:val="nil"/>
            </w:tcBorders>
            <w:shd w:val="clear" w:color="auto" w:fill="auto"/>
            <w:vAlign w:val="center"/>
          </w:tcPr>
          <w:p w14:paraId="39C2FC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4" w:type="dxa"/>
            <w:tcBorders>
              <w:tl2br w:val="nil"/>
              <w:tr2bl w:val="nil"/>
            </w:tcBorders>
            <w:shd w:val="clear" w:color="auto" w:fill="auto"/>
            <w:vAlign w:val="center"/>
          </w:tcPr>
          <w:p w14:paraId="220701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6" w:type="dxa"/>
            <w:tcBorders>
              <w:tl2br w:val="nil"/>
              <w:tr2bl w:val="nil"/>
            </w:tcBorders>
            <w:shd w:val="clear" w:color="auto" w:fill="auto"/>
            <w:vAlign w:val="center"/>
          </w:tcPr>
          <w:p w14:paraId="56DC36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87" w:type="dxa"/>
            <w:tcBorders>
              <w:tl2br w:val="nil"/>
              <w:tr2bl w:val="nil"/>
            </w:tcBorders>
            <w:shd w:val="clear" w:color="auto" w:fill="auto"/>
            <w:vAlign w:val="center"/>
          </w:tcPr>
          <w:p w14:paraId="7D9474C5">
            <w:pPr>
              <w:jc w:val="center"/>
              <w:rPr>
                <w:rFonts w:hint="eastAsia" w:ascii="宋体" w:hAnsi="宋体" w:eastAsia="宋体" w:cs="宋体"/>
                <w:i w:val="0"/>
                <w:iCs w:val="0"/>
                <w:color w:val="000000"/>
                <w:sz w:val="20"/>
                <w:szCs w:val="20"/>
                <w:u w:val="none"/>
              </w:rPr>
            </w:pPr>
          </w:p>
        </w:tc>
      </w:tr>
      <w:tr w14:paraId="048A10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0" w:hRule="atLeast"/>
        </w:trPr>
        <w:tc>
          <w:tcPr>
            <w:tcW w:w="752" w:type="dxa"/>
            <w:vMerge w:val="continue"/>
            <w:tcBorders>
              <w:tl2br w:val="nil"/>
              <w:tr2bl w:val="nil"/>
            </w:tcBorders>
            <w:shd w:val="clear" w:color="auto" w:fill="auto"/>
            <w:vAlign w:val="center"/>
          </w:tcPr>
          <w:p w14:paraId="53DDC3B8">
            <w:pPr>
              <w:jc w:val="center"/>
              <w:rPr>
                <w:rFonts w:hint="eastAsia" w:ascii="宋体" w:hAnsi="宋体" w:eastAsia="宋体" w:cs="宋体"/>
                <w:i w:val="0"/>
                <w:iCs w:val="0"/>
                <w:color w:val="000000"/>
                <w:sz w:val="20"/>
                <w:szCs w:val="20"/>
                <w:u w:val="none"/>
              </w:rPr>
            </w:pPr>
          </w:p>
        </w:tc>
        <w:tc>
          <w:tcPr>
            <w:tcW w:w="750" w:type="dxa"/>
            <w:tcBorders>
              <w:tl2br w:val="nil"/>
              <w:tr2bl w:val="nil"/>
            </w:tcBorders>
            <w:shd w:val="clear" w:color="auto" w:fill="auto"/>
            <w:vAlign w:val="center"/>
          </w:tcPr>
          <w:p w14:paraId="0C8292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866" w:type="dxa"/>
            <w:tcBorders>
              <w:tl2br w:val="nil"/>
              <w:tr2bl w:val="nil"/>
            </w:tcBorders>
            <w:shd w:val="clear" w:color="auto" w:fill="auto"/>
            <w:vAlign w:val="center"/>
          </w:tcPr>
          <w:p w14:paraId="7D03A7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30" w:type="dxa"/>
            <w:tcBorders>
              <w:tl2br w:val="nil"/>
              <w:tr2bl w:val="nil"/>
            </w:tcBorders>
            <w:shd w:val="clear" w:color="auto" w:fill="auto"/>
            <w:vAlign w:val="center"/>
          </w:tcPr>
          <w:p w14:paraId="54B62A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19" w:type="dxa"/>
            <w:tcBorders>
              <w:tl2br w:val="nil"/>
              <w:tr2bl w:val="nil"/>
            </w:tcBorders>
            <w:shd w:val="clear" w:color="auto" w:fill="auto"/>
            <w:vAlign w:val="center"/>
          </w:tcPr>
          <w:p w14:paraId="329343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98" w:type="dxa"/>
            <w:tcBorders>
              <w:tl2br w:val="nil"/>
              <w:tr2bl w:val="nil"/>
            </w:tcBorders>
            <w:shd w:val="clear" w:color="auto" w:fill="auto"/>
            <w:vAlign w:val="center"/>
          </w:tcPr>
          <w:p w14:paraId="12DB88D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799" w:type="dxa"/>
            <w:tcBorders>
              <w:tl2br w:val="nil"/>
              <w:tr2bl w:val="nil"/>
            </w:tcBorders>
            <w:shd w:val="clear" w:color="auto" w:fill="auto"/>
            <w:vAlign w:val="center"/>
          </w:tcPr>
          <w:p w14:paraId="24E69C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5" w:type="dxa"/>
            <w:tcBorders>
              <w:tl2br w:val="nil"/>
              <w:tr2bl w:val="nil"/>
            </w:tcBorders>
            <w:shd w:val="clear" w:color="auto" w:fill="auto"/>
            <w:vAlign w:val="center"/>
          </w:tcPr>
          <w:p w14:paraId="716B11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6" w:type="dxa"/>
            <w:tcBorders>
              <w:tl2br w:val="nil"/>
              <w:tr2bl w:val="nil"/>
            </w:tcBorders>
            <w:shd w:val="clear" w:color="auto" w:fill="auto"/>
            <w:vAlign w:val="center"/>
          </w:tcPr>
          <w:p w14:paraId="55605A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67" w:type="dxa"/>
            <w:tcBorders>
              <w:tl2br w:val="nil"/>
              <w:tr2bl w:val="nil"/>
            </w:tcBorders>
            <w:shd w:val="clear" w:color="auto" w:fill="auto"/>
            <w:vAlign w:val="center"/>
          </w:tcPr>
          <w:p w14:paraId="253E89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tcBorders>
              <w:tl2br w:val="nil"/>
              <w:tr2bl w:val="nil"/>
            </w:tcBorders>
            <w:shd w:val="clear" w:color="auto" w:fill="auto"/>
            <w:vAlign w:val="center"/>
          </w:tcPr>
          <w:p w14:paraId="5FAA0D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4" w:type="dxa"/>
            <w:tcBorders>
              <w:tl2br w:val="nil"/>
              <w:tr2bl w:val="nil"/>
            </w:tcBorders>
            <w:shd w:val="clear" w:color="auto" w:fill="auto"/>
            <w:vAlign w:val="center"/>
          </w:tcPr>
          <w:p w14:paraId="66AC97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6" w:type="dxa"/>
            <w:tcBorders>
              <w:tl2br w:val="nil"/>
              <w:tr2bl w:val="nil"/>
            </w:tcBorders>
            <w:shd w:val="clear" w:color="auto" w:fill="auto"/>
            <w:vAlign w:val="center"/>
          </w:tcPr>
          <w:p w14:paraId="1D20FA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387" w:type="dxa"/>
            <w:tcBorders>
              <w:tl2br w:val="nil"/>
              <w:tr2bl w:val="nil"/>
            </w:tcBorders>
            <w:shd w:val="clear" w:color="auto" w:fill="auto"/>
            <w:vAlign w:val="center"/>
          </w:tcPr>
          <w:p w14:paraId="27D1330C">
            <w:pPr>
              <w:jc w:val="center"/>
              <w:rPr>
                <w:rFonts w:hint="eastAsia" w:ascii="宋体" w:hAnsi="宋体" w:eastAsia="宋体" w:cs="宋体"/>
                <w:i w:val="0"/>
                <w:iCs w:val="0"/>
                <w:color w:val="000000"/>
                <w:sz w:val="20"/>
                <w:szCs w:val="20"/>
                <w:u w:val="none"/>
              </w:rPr>
            </w:pPr>
          </w:p>
        </w:tc>
      </w:tr>
      <w:tr w14:paraId="3D91DF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680" w:hRule="atLeast"/>
        </w:trPr>
        <w:tc>
          <w:tcPr>
            <w:tcW w:w="3498" w:type="dxa"/>
            <w:gridSpan w:val="4"/>
            <w:tcBorders>
              <w:tl2br w:val="nil"/>
              <w:tr2bl w:val="nil"/>
            </w:tcBorders>
            <w:shd w:val="clear" w:color="auto" w:fill="auto"/>
            <w:vAlign w:val="center"/>
          </w:tcPr>
          <w:p w14:paraId="1A6959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19" w:type="dxa"/>
            <w:tcBorders>
              <w:tl2br w:val="nil"/>
              <w:tr2bl w:val="nil"/>
            </w:tcBorders>
            <w:shd w:val="clear" w:color="auto" w:fill="auto"/>
            <w:vAlign w:val="center"/>
          </w:tcPr>
          <w:p w14:paraId="699C0684">
            <w:pPr>
              <w:jc w:val="center"/>
              <w:rPr>
                <w:rFonts w:hint="eastAsia" w:ascii="宋体" w:hAnsi="宋体" w:eastAsia="宋体" w:cs="宋体"/>
                <w:i w:val="0"/>
                <w:iCs w:val="0"/>
                <w:color w:val="000000"/>
                <w:sz w:val="20"/>
                <w:szCs w:val="20"/>
                <w:u w:val="none"/>
              </w:rPr>
            </w:pPr>
          </w:p>
        </w:tc>
        <w:tc>
          <w:tcPr>
            <w:tcW w:w="798" w:type="dxa"/>
            <w:tcBorders>
              <w:tl2br w:val="nil"/>
              <w:tr2bl w:val="nil"/>
            </w:tcBorders>
            <w:shd w:val="clear" w:color="auto" w:fill="auto"/>
            <w:vAlign w:val="center"/>
          </w:tcPr>
          <w:p w14:paraId="44D8E6DC">
            <w:pPr>
              <w:jc w:val="center"/>
            </w:pPr>
          </w:p>
        </w:tc>
        <w:tc>
          <w:tcPr>
            <w:tcW w:w="799" w:type="dxa"/>
            <w:tcBorders>
              <w:tl2br w:val="nil"/>
              <w:tr2bl w:val="nil"/>
            </w:tcBorders>
            <w:shd w:val="clear" w:color="auto" w:fill="auto"/>
            <w:vAlign w:val="center"/>
          </w:tcPr>
          <w:p w14:paraId="63B40174">
            <w:pPr>
              <w:jc w:val="center"/>
              <w:rPr>
                <w:rFonts w:hint="eastAsia" w:ascii="宋体" w:hAnsi="宋体" w:eastAsia="宋体" w:cs="宋体"/>
                <w:b/>
                <w:bCs/>
                <w:i w:val="0"/>
                <w:iCs w:val="0"/>
                <w:color w:val="000000"/>
                <w:sz w:val="20"/>
                <w:szCs w:val="20"/>
                <w:u w:val="none"/>
              </w:rPr>
            </w:pPr>
          </w:p>
        </w:tc>
        <w:tc>
          <w:tcPr>
            <w:tcW w:w="865" w:type="dxa"/>
            <w:tcBorders>
              <w:tl2br w:val="nil"/>
              <w:tr2bl w:val="nil"/>
            </w:tcBorders>
            <w:shd w:val="clear" w:color="auto" w:fill="auto"/>
            <w:vAlign w:val="center"/>
          </w:tcPr>
          <w:p w14:paraId="6D45C6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866" w:type="dxa"/>
            <w:tcBorders>
              <w:tl2br w:val="nil"/>
              <w:tr2bl w:val="nil"/>
            </w:tcBorders>
            <w:shd w:val="clear" w:color="auto" w:fill="auto"/>
            <w:vAlign w:val="center"/>
          </w:tcPr>
          <w:p w14:paraId="7908BA0F">
            <w:pPr>
              <w:jc w:val="center"/>
              <w:rPr>
                <w:rFonts w:hint="eastAsia" w:ascii="宋体" w:hAnsi="宋体" w:eastAsia="宋体" w:cs="宋体"/>
                <w:i w:val="0"/>
                <w:iCs w:val="0"/>
                <w:color w:val="000000"/>
                <w:sz w:val="20"/>
                <w:szCs w:val="20"/>
                <w:u w:val="none"/>
              </w:rPr>
            </w:pPr>
          </w:p>
        </w:tc>
        <w:tc>
          <w:tcPr>
            <w:tcW w:w="967" w:type="dxa"/>
            <w:tcBorders>
              <w:tl2br w:val="nil"/>
              <w:tr2bl w:val="nil"/>
            </w:tcBorders>
            <w:shd w:val="clear" w:color="auto" w:fill="auto"/>
            <w:vAlign w:val="center"/>
          </w:tcPr>
          <w:p w14:paraId="41158B73">
            <w:pPr>
              <w:jc w:val="center"/>
              <w:rPr>
                <w:rFonts w:hint="eastAsia" w:ascii="宋体" w:hAnsi="宋体" w:eastAsia="宋体" w:cs="宋体"/>
                <w:i w:val="0"/>
                <w:iCs w:val="0"/>
                <w:color w:val="000000"/>
                <w:sz w:val="20"/>
                <w:szCs w:val="20"/>
                <w:u w:val="none"/>
              </w:rPr>
            </w:pPr>
          </w:p>
        </w:tc>
        <w:tc>
          <w:tcPr>
            <w:tcW w:w="925" w:type="dxa"/>
            <w:tcBorders>
              <w:tl2br w:val="nil"/>
              <w:tr2bl w:val="nil"/>
            </w:tcBorders>
            <w:shd w:val="clear" w:color="auto" w:fill="auto"/>
            <w:vAlign w:val="center"/>
          </w:tcPr>
          <w:p w14:paraId="4F8D27B0">
            <w:pPr>
              <w:jc w:val="center"/>
              <w:rPr>
                <w:rFonts w:hint="eastAsia" w:ascii="宋体" w:hAnsi="宋体" w:eastAsia="宋体" w:cs="宋体"/>
                <w:i w:val="0"/>
                <w:iCs w:val="0"/>
                <w:color w:val="000000"/>
                <w:sz w:val="20"/>
                <w:szCs w:val="20"/>
                <w:u w:val="none"/>
              </w:rPr>
            </w:pPr>
          </w:p>
        </w:tc>
        <w:tc>
          <w:tcPr>
            <w:tcW w:w="1024" w:type="dxa"/>
            <w:tcBorders>
              <w:tl2br w:val="nil"/>
              <w:tr2bl w:val="nil"/>
            </w:tcBorders>
            <w:shd w:val="clear" w:color="auto" w:fill="auto"/>
            <w:vAlign w:val="center"/>
          </w:tcPr>
          <w:p w14:paraId="01D2719B">
            <w:pPr>
              <w:jc w:val="center"/>
              <w:rPr>
                <w:rFonts w:hint="eastAsia" w:ascii="宋体" w:hAnsi="宋体" w:eastAsia="宋体" w:cs="宋体"/>
                <w:i w:val="0"/>
                <w:iCs w:val="0"/>
                <w:color w:val="000000"/>
                <w:sz w:val="20"/>
                <w:szCs w:val="20"/>
                <w:u w:val="none"/>
              </w:rPr>
            </w:pPr>
          </w:p>
        </w:tc>
        <w:tc>
          <w:tcPr>
            <w:tcW w:w="1026" w:type="dxa"/>
            <w:tcBorders>
              <w:tl2br w:val="nil"/>
              <w:tr2bl w:val="nil"/>
            </w:tcBorders>
            <w:shd w:val="clear" w:color="auto" w:fill="auto"/>
            <w:vAlign w:val="center"/>
          </w:tcPr>
          <w:p w14:paraId="6F959A2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387" w:type="dxa"/>
            <w:tcBorders>
              <w:tl2br w:val="nil"/>
              <w:tr2bl w:val="nil"/>
            </w:tcBorders>
            <w:shd w:val="clear" w:color="auto" w:fill="auto"/>
            <w:vAlign w:val="center"/>
          </w:tcPr>
          <w:p w14:paraId="0CDB4D3D">
            <w:pPr>
              <w:jc w:val="center"/>
              <w:rPr>
                <w:rFonts w:hint="eastAsia" w:ascii="宋体" w:hAnsi="宋体" w:eastAsia="宋体" w:cs="宋体"/>
                <w:i w:val="0"/>
                <w:iCs w:val="0"/>
                <w:color w:val="000000"/>
                <w:sz w:val="20"/>
                <w:szCs w:val="20"/>
                <w:u w:val="none"/>
              </w:rPr>
            </w:pPr>
          </w:p>
        </w:tc>
      </w:tr>
    </w:tbl>
    <w:p w14:paraId="62EC0947">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780794FB">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9"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9"/>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1357BD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282DA005">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79A2253E">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692009D2">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5AAB287B">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28688963">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4FDDE411">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633F1D9B">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3410F8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52550A5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10C34EA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18E3AF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0A09BE9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0A2ABB6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0E0F79F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66EB334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25F2B4D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000506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017D595A">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648DF91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24F3B26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658E6879">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4BDCE4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28275C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6AC50A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67E36864">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AFF5443">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68ED397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0EF4D73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140CA03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0459A5D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F0CC3B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7D3F295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7E09058B">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225A07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3249DA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302152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74B6A9ED">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D0BEF2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2D7F2CD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38ED021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08AA77F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32C03CB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40271F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45E9B87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2EF4982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6439E47B">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267F6DDD">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51483A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127D6B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511C39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5A8AF24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20533C3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444F795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3C00F05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27E369E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7AEDACA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73EB36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439881C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167E304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3ABC0174">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171CD4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293961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27D1A2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396E7484">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0ED62E7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6003FBD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222A5B1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7F0CED0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7615B29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26FAB89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5DE467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2110198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54263DE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2895825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4D2DFB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770AB0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0B5029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44ACF1B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E488AAB">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6A726B9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5116920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149AA1D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1DA70A9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C79E61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44D3AA7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19D3BD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570E08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2B1F1D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1FFADB99">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71B6770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4911D0E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2027BF8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39470BE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2A05AF2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2CCBB00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70BA17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27078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29B846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6E04B5B2">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D38B118">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3535C7B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08B6AF1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2A7C6BF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77109DA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755374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190710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453493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61" w:type="dxa"/>
            <w:vMerge w:val="restart"/>
            <w:shd w:val="clear" w:color="auto" w:fill="auto"/>
            <w:noWrap w:val="0"/>
            <w:vAlign w:val="center"/>
          </w:tcPr>
          <w:p w14:paraId="2E8CDE5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3B47FCAF">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0ABEBD4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583C412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34719E9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539AC05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384E247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C592EF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45D9B42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107A961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12EC33E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02E26C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CE71A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1F4322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5E681C0F">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09CC8C3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2A99E121">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699A971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46F8C4C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10E8BBB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5F80E15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74ABFF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272BCD7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4360CF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42971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07B8D1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04215272">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5367E31">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02E33C6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2120363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785FFED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2AC0267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ABF44A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30A48DC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53F6028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2B84F62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320755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D78BD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4D134E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150D46A3">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产出</w:t>
            </w:r>
          </w:p>
        </w:tc>
        <w:tc>
          <w:tcPr>
            <w:tcW w:w="727" w:type="dxa"/>
            <w:shd w:val="clear" w:color="auto" w:fill="auto"/>
            <w:noWrap w:val="0"/>
            <w:vAlign w:val="center"/>
          </w:tcPr>
          <w:p w14:paraId="0F692A3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数量指标</w:t>
            </w:r>
          </w:p>
        </w:tc>
        <w:tc>
          <w:tcPr>
            <w:tcW w:w="820" w:type="dxa"/>
            <w:shd w:val="clear" w:color="auto" w:fill="auto"/>
            <w:noWrap w:val="0"/>
            <w:vAlign w:val="center"/>
          </w:tcPr>
          <w:p w14:paraId="66B814A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支付开展工程结算审计项目资金个数</w:t>
            </w:r>
          </w:p>
        </w:tc>
        <w:tc>
          <w:tcPr>
            <w:tcW w:w="2141" w:type="dxa"/>
            <w:shd w:val="clear" w:color="auto" w:fill="auto"/>
            <w:noWrap w:val="0"/>
            <w:vAlign w:val="center"/>
          </w:tcPr>
          <w:p w14:paraId="5C8ABBB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1D30357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110E54B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5D28482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6E2EE8A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1764BBA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AEE7D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13A3BCE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10FD57E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数量指标</w:t>
            </w:r>
          </w:p>
        </w:tc>
        <w:tc>
          <w:tcPr>
            <w:tcW w:w="820" w:type="dxa"/>
            <w:shd w:val="clear" w:color="auto" w:fill="auto"/>
            <w:noWrap w:val="0"/>
            <w:vAlign w:val="center"/>
          </w:tcPr>
          <w:p w14:paraId="270975A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支付开展全过程跟踪审计项目资金个数</w:t>
            </w:r>
          </w:p>
        </w:tc>
        <w:tc>
          <w:tcPr>
            <w:tcW w:w="2141" w:type="dxa"/>
            <w:shd w:val="clear" w:color="auto" w:fill="auto"/>
            <w:noWrap w:val="0"/>
            <w:vAlign w:val="center"/>
          </w:tcPr>
          <w:p w14:paraId="148F30B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5B3AB39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AAFEA8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3073614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16A1EEA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4422C66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CD590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4999760C">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3DFE449B">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质量指标</w:t>
            </w:r>
          </w:p>
        </w:tc>
        <w:tc>
          <w:tcPr>
            <w:tcW w:w="820" w:type="dxa"/>
            <w:shd w:val="clear" w:color="auto" w:fill="auto"/>
            <w:noWrap w:val="0"/>
            <w:vAlign w:val="center"/>
          </w:tcPr>
          <w:p w14:paraId="6EA91E3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审计项目监督覆盖率</w:t>
            </w:r>
          </w:p>
        </w:tc>
        <w:tc>
          <w:tcPr>
            <w:tcW w:w="2141" w:type="dxa"/>
            <w:shd w:val="clear" w:color="auto" w:fill="auto"/>
            <w:noWrap w:val="0"/>
            <w:vAlign w:val="center"/>
          </w:tcPr>
          <w:p w14:paraId="251B13E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6A39E1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894C40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6515106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p w14:paraId="169ABFB4">
            <w:pPr>
              <w:widowControl/>
              <w:spacing w:line="0" w:lineRule="atLeast"/>
              <w:ind w:firstLine="0" w:firstLineChars="0"/>
              <w:rPr>
                <w:rFonts w:ascii="宋体" w:hAnsi="宋体" w:eastAsia="宋体" w:cs="宋体"/>
                <w:color w:val="auto"/>
                <w:kern w:val="0"/>
                <w:sz w:val="22"/>
                <w:szCs w:val="22"/>
                <w:highlight w:val="none"/>
              </w:rPr>
            </w:pPr>
          </w:p>
        </w:tc>
        <w:tc>
          <w:tcPr>
            <w:tcW w:w="785" w:type="dxa"/>
            <w:shd w:val="clear" w:color="auto" w:fill="auto"/>
            <w:noWrap w:val="0"/>
            <w:vAlign w:val="center"/>
          </w:tcPr>
          <w:p w14:paraId="18F89246">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5305313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042593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615CDABC">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09ABE0F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0"/>
                <w:szCs w:val="20"/>
                <w:highlight w:val="none"/>
                <w:shd w:val="clear" w:color="auto" w:fill="auto"/>
                <w:lang w:val="en-US" w:eastAsia="zh-CN"/>
              </w:rPr>
              <w:t>时效指标</w:t>
            </w:r>
          </w:p>
        </w:tc>
        <w:tc>
          <w:tcPr>
            <w:tcW w:w="820" w:type="dxa"/>
            <w:shd w:val="clear" w:color="auto" w:fill="auto"/>
            <w:noWrap w:val="0"/>
            <w:vAlign w:val="center"/>
          </w:tcPr>
          <w:p w14:paraId="0BF393F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0"/>
                <w:szCs w:val="20"/>
                <w:highlight w:val="none"/>
                <w:shd w:val="clear" w:color="auto" w:fill="auto"/>
                <w:lang w:val="en-US" w:eastAsia="zh-CN"/>
              </w:rPr>
              <w:t>支付项目资金及时率</w:t>
            </w:r>
          </w:p>
        </w:tc>
        <w:tc>
          <w:tcPr>
            <w:tcW w:w="2141" w:type="dxa"/>
            <w:shd w:val="clear" w:color="auto" w:fill="auto"/>
            <w:noWrap w:val="0"/>
            <w:vAlign w:val="center"/>
          </w:tcPr>
          <w:p w14:paraId="03490628">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442D6F9F">
            <w:pPr>
              <w:widowControl/>
              <w:spacing w:line="0" w:lineRule="atLeast"/>
              <w:ind w:firstLine="0" w:firstLineChars="0"/>
              <w:rPr>
                <w:rFonts w:hint="eastAsia" w:ascii="宋体" w:hAnsi="宋体" w:eastAsia="宋体" w:cs="宋体"/>
                <w:color w:val="auto"/>
                <w:kern w:val="0"/>
                <w:sz w:val="22"/>
                <w:szCs w:val="22"/>
                <w:highlight w:val="none"/>
              </w:rPr>
            </w:pPr>
          </w:p>
          <w:p w14:paraId="3140FE2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26925976">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2924F131">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534F4D3D">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706100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86" w:hRule="atLeast"/>
          <w:jc w:val="center"/>
        </w:trPr>
        <w:tc>
          <w:tcPr>
            <w:tcW w:w="861" w:type="dxa"/>
            <w:vMerge w:val="continue"/>
            <w:shd w:val="clear" w:color="auto" w:fill="auto"/>
            <w:noWrap w:val="0"/>
            <w:vAlign w:val="center"/>
          </w:tcPr>
          <w:p w14:paraId="6DA1E5B1">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00BC7E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时效指标</w:t>
            </w:r>
          </w:p>
        </w:tc>
        <w:tc>
          <w:tcPr>
            <w:tcW w:w="820" w:type="dxa"/>
            <w:shd w:val="clear" w:color="auto" w:fill="auto"/>
            <w:noWrap w:val="0"/>
            <w:vAlign w:val="center"/>
          </w:tcPr>
          <w:p w14:paraId="0972ED8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项目开展及时率</w:t>
            </w:r>
          </w:p>
        </w:tc>
        <w:tc>
          <w:tcPr>
            <w:tcW w:w="2141" w:type="dxa"/>
            <w:shd w:val="clear" w:color="auto" w:fill="auto"/>
            <w:noWrap w:val="0"/>
            <w:vAlign w:val="center"/>
          </w:tcPr>
          <w:p w14:paraId="7C0506C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3B0202EF">
            <w:pPr>
              <w:widowControl/>
              <w:spacing w:line="0" w:lineRule="atLeast"/>
              <w:ind w:firstLine="0" w:firstLineChars="0"/>
              <w:rPr>
                <w:rFonts w:hint="eastAsia" w:ascii="宋体" w:hAnsi="宋体" w:eastAsia="宋体" w:cs="宋体"/>
                <w:color w:val="auto"/>
                <w:kern w:val="0"/>
                <w:sz w:val="22"/>
                <w:szCs w:val="22"/>
                <w:highlight w:val="none"/>
              </w:rPr>
            </w:pPr>
          </w:p>
          <w:p w14:paraId="4AAE4AB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7C1268B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2A24218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5DB0CD3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0346F5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shd w:val="clear" w:color="auto" w:fill="auto"/>
            <w:noWrap w:val="0"/>
            <w:vAlign w:val="center"/>
          </w:tcPr>
          <w:p w14:paraId="3A51B8B0">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0D360E7F">
            <w:pPr>
              <w:widowControl/>
              <w:spacing w:line="0" w:lineRule="atLeast"/>
              <w:ind w:firstLine="0" w:firstLineChars="0"/>
              <w:jc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p w14:paraId="389BCF48">
            <w:pPr>
              <w:widowControl/>
              <w:spacing w:line="0" w:lineRule="atLeast"/>
              <w:ind w:firstLine="0" w:firstLineChars="0"/>
              <w:jc w:val="center"/>
              <w:rPr>
                <w:rFonts w:hint="eastAsia" w:cs="宋体"/>
                <w:color w:val="auto"/>
                <w:kern w:val="0"/>
                <w:sz w:val="22"/>
                <w:szCs w:val="22"/>
                <w:highlight w:val="none"/>
                <w:lang w:val="en-US" w:eastAsia="zh-CN"/>
              </w:rPr>
            </w:pPr>
          </w:p>
        </w:tc>
        <w:tc>
          <w:tcPr>
            <w:tcW w:w="820" w:type="dxa"/>
            <w:shd w:val="clear" w:color="auto" w:fill="auto"/>
            <w:noWrap w:val="0"/>
            <w:vAlign w:val="center"/>
          </w:tcPr>
          <w:p w14:paraId="6A02BC44">
            <w:pPr>
              <w:widowControl/>
              <w:spacing w:line="0" w:lineRule="atLeast"/>
              <w:ind w:firstLine="0" w:firstLineChars="0"/>
              <w:jc w:val="center"/>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审计监督工作费用</w:t>
            </w:r>
          </w:p>
        </w:tc>
        <w:tc>
          <w:tcPr>
            <w:tcW w:w="2141" w:type="dxa"/>
            <w:shd w:val="clear" w:color="auto" w:fill="auto"/>
            <w:noWrap w:val="0"/>
            <w:vAlign w:val="center"/>
          </w:tcPr>
          <w:p w14:paraId="12D4C61B">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77C01F93">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2AC1CBE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67590D1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2BDEC9E9">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0EC2C266">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2BDB2FCF">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w:t>
            </w:r>
          </w:p>
        </w:tc>
      </w:tr>
      <w:tr w14:paraId="3E5821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79" w:hRule="atLeast"/>
          <w:jc w:val="center"/>
        </w:trPr>
        <w:tc>
          <w:tcPr>
            <w:tcW w:w="861" w:type="dxa"/>
            <w:shd w:val="clear" w:color="auto" w:fill="auto"/>
            <w:noWrap w:val="0"/>
            <w:vAlign w:val="center"/>
          </w:tcPr>
          <w:p w14:paraId="47AC5436">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效益指标</w:t>
            </w:r>
          </w:p>
        </w:tc>
        <w:tc>
          <w:tcPr>
            <w:tcW w:w="727" w:type="dxa"/>
            <w:shd w:val="clear" w:color="auto" w:fill="auto"/>
            <w:noWrap w:val="0"/>
            <w:vAlign w:val="center"/>
          </w:tcPr>
          <w:p w14:paraId="746C7034">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经济效益指标</w:t>
            </w:r>
          </w:p>
        </w:tc>
        <w:tc>
          <w:tcPr>
            <w:tcW w:w="820" w:type="dxa"/>
            <w:shd w:val="clear" w:color="auto" w:fill="auto"/>
            <w:noWrap w:val="0"/>
            <w:vAlign w:val="center"/>
          </w:tcPr>
          <w:p w14:paraId="77C8E87F">
            <w:pPr>
              <w:widowControl/>
              <w:spacing w:line="0" w:lineRule="atLeast"/>
              <w:ind w:firstLine="0" w:firstLineChars="0"/>
              <w:jc w:val="center"/>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节约基本建设投资资金</w:t>
            </w:r>
          </w:p>
        </w:tc>
        <w:tc>
          <w:tcPr>
            <w:tcW w:w="2141" w:type="dxa"/>
            <w:shd w:val="clear" w:color="auto" w:fill="auto"/>
            <w:noWrap w:val="0"/>
            <w:vAlign w:val="center"/>
          </w:tcPr>
          <w:p w14:paraId="458D799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项目实施所产生的效益</w:t>
            </w:r>
          </w:p>
        </w:tc>
        <w:tc>
          <w:tcPr>
            <w:tcW w:w="7821" w:type="dxa"/>
            <w:shd w:val="clear" w:color="auto" w:fill="auto"/>
            <w:noWrap w:val="0"/>
            <w:vAlign w:val="center"/>
          </w:tcPr>
          <w:p w14:paraId="48CFE60C">
            <w:pPr>
              <w:widowControl/>
              <w:spacing w:line="0" w:lineRule="atLeast"/>
              <w:ind w:firstLine="0" w:firstLineChars="0"/>
              <w:rPr>
                <w:rFonts w:hint="default" w:ascii="宋体" w:hAnsi="宋体" w:eastAsia="宋体" w:cs="宋体"/>
                <w:color w:val="auto"/>
                <w:kern w:val="0"/>
                <w:sz w:val="22"/>
                <w:szCs w:val="22"/>
                <w:highlight w:val="none"/>
                <w:lang w:val="en-US"/>
              </w:rPr>
            </w:pPr>
            <w:r>
              <w:rPr>
                <w:rFonts w:hint="eastAsia" w:cs="宋体"/>
                <w:color w:val="auto"/>
                <w:kern w:val="0"/>
                <w:sz w:val="22"/>
                <w:szCs w:val="22"/>
                <w:highlight w:val="none"/>
                <w:lang w:val="en-US" w:eastAsia="zh-CN"/>
              </w:rPr>
              <w:t xml:space="preserve">项目实施所产生的社会效益、经济效益、生态效益、可持续影响 </w:t>
            </w:r>
          </w:p>
        </w:tc>
        <w:tc>
          <w:tcPr>
            <w:tcW w:w="785" w:type="dxa"/>
            <w:shd w:val="clear" w:color="auto" w:fill="auto"/>
            <w:noWrap w:val="0"/>
            <w:vAlign w:val="center"/>
          </w:tcPr>
          <w:p w14:paraId="77494954">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14:paraId="5016164E">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14:paraId="759CA6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79" w:hRule="atLeast"/>
          <w:jc w:val="center"/>
        </w:trPr>
        <w:tc>
          <w:tcPr>
            <w:tcW w:w="861" w:type="dxa"/>
            <w:shd w:val="clear" w:color="auto" w:fill="auto"/>
            <w:noWrap w:val="0"/>
            <w:vAlign w:val="center"/>
          </w:tcPr>
          <w:p w14:paraId="1FB2B786">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效益指标</w:t>
            </w:r>
          </w:p>
        </w:tc>
        <w:tc>
          <w:tcPr>
            <w:tcW w:w="727" w:type="dxa"/>
            <w:shd w:val="clear" w:color="auto" w:fill="auto"/>
            <w:noWrap w:val="0"/>
            <w:vAlign w:val="center"/>
          </w:tcPr>
          <w:p w14:paraId="13235DA9">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经济效益指标</w:t>
            </w:r>
          </w:p>
        </w:tc>
        <w:tc>
          <w:tcPr>
            <w:tcW w:w="820" w:type="dxa"/>
            <w:shd w:val="clear" w:color="auto" w:fill="auto"/>
            <w:noWrap w:val="0"/>
            <w:vAlign w:val="center"/>
          </w:tcPr>
          <w:p w14:paraId="5CF29329">
            <w:pPr>
              <w:widowControl/>
              <w:spacing w:line="0" w:lineRule="atLeast"/>
              <w:ind w:firstLine="0" w:firstLineChars="0"/>
              <w:jc w:val="center"/>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提高被审计单位经济管理水平</w:t>
            </w:r>
          </w:p>
        </w:tc>
        <w:tc>
          <w:tcPr>
            <w:tcW w:w="2141" w:type="dxa"/>
            <w:shd w:val="clear" w:color="auto" w:fill="auto"/>
            <w:noWrap w:val="0"/>
            <w:vAlign w:val="center"/>
          </w:tcPr>
          <w:p w14:paraId="719E5D4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项目实施所产生的效益</w:t>
            </w:r>
          </w:p>
        </w:tc>
        <w:tc>
          <w:tcPr>
            <w:tcW w:w="7821" w:type="dxa"/>
            <w:shd w:val="clear" w:color="auto" w:fill="auto"/>
            <w:noWrap w:val="0"/>
            <w:vAlign w:val="center"/>
          </w:tcPr>
          <w:p w14:paraId="45EB0D5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 xml:space="preserve">项目实施所产生的社会效益、经济效益、生态效益、可持续影响 </w:t>
            </w:r>
          </w:p>
        </w:tc>
        <w:tc>
          <w:tcPr>
            <w:tcW w:w="785" w:type="dxa"/>
            <w:shd w:val="clear" w:color="auto" w:fill="auto"/>
            <w:noWrap w:val="0"/>
            <w:vAlign w:val="center"/>
          </w:tcPr>
          <w:p w14:paraId="3CD7C67E">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14:paraId="67209CC7">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14:paraId="1A9094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79" w:hRule="atLeast"/>
          <w:jc w:val="center"/>
        </w:trPr>
        <w:tc>
          <w:tcPr>
            <w:tcW w:w="861" w:type="dxa"/>
            <w:shd w:val="clear" w:color="auto" w:fill="auto"/>
            <w:noWrap w:val="0"/>
            <w:vAlign w:val="center"/>
          </w:tcPr>
          <w:p w14:paraId="61EA9DC8">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效益</w:t>
            </w:r>
          </w:p>
        </w:tc>
        <w:tc>
          <w:tcPr>
            <w:tcW w:w="727" w:type="dxa"/>
            <w:shd w:val="clear" w:color="auto" w:fill="auto"/>
            <w:noWrap w:val="0"/>
            <w:vAlign w:val="center"/>
          </w:tcPr>
          <w:p w14:paraId="1374AC9B">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项目效益</w:t>
            </w:r>
          </w:p>
        </w:tc>
        <w:tc>
          <w:tcPr>
            <w:tcW w:w="820" w:type="dxa"/>
            <w:shd w:val="clear" w:color="auto" w:fill="auto"/>
            <w:noWrap w:val="0"/>
            <w:vAlign w:val="center"/>
          </w:tcPr>
          <w:p w14:paraId="1806284F">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0"/>
                <w:szCs w:val="20"/>
                <w:highlight w:val="none"/>
                <w:shd w:val="clear" w:color="auto" w:fill="auto"/>
                <w:lang w:val="en-US" w:eastAsia="zh-CN"/>
              </w:rPr>
              <w:t>社会中介机构满意度</w:t>
            </w:r>
          </w:p>
        </w:tc>
        <w:tc>
          <w:tcPr>
            <w:tcW w:w="2141" w:type="dxa"/>
            <w:shd w:val="clear" w:color="auto" w:fill="auto"/>
            <w:noWrap w:val="0"/>
            <w:vAlign w:val="center"/>
          </w:tcPr>
          <w:p w14:paraId="46D155B1">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5E88016B">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00973EA8">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B6DD495">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10</w:t>
            </w:r>
          </w:p>
        </w:tc>
      </w:tr>
      <w:tr w14:paraId="07F9DC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1368206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7CA44B4D">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6389543D">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6C57590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r>
    </w:tbl>
    <w:p w14:paraId="4A31C585">
      <w:pPr>
        <w:spacing w:line="240" w:lineRule="auto"/>
        <w:ind w:firstLine="0" w:firstLineChars="0"/>
        <w:rPr>
          <w:rFonts w:hint="default" w:ascii="Times New Roman" w:hAnsi="Times New Roman" w:eastAsia="仿宋_GB2312" w:cs="Times New Roman"/>
          <w:color w:val="auto"/>
          <w:sz w:val="30"/>
          <w:szCs w:val="24"/>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方正仿宋_GBK">
    <w:altName w:val="微软雅黑"/>
    <w:panose1 w:val="03000509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B04D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C616AA">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4C616AA">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146102"/>
    <w:rsid w:val="00164C26"/>
    <w:rsid w:val="00443541"/>
    <w:rsid w:val="004E7C56"/>
    <w:rsid w:val="006C54BB"/>
    <w:rsid w:val="007D6A04"/>
    <w:rsid w:val="008125CE"/>
    <w:rsid w:val="00880DB4"/>
    <w:rsid w:val="00B21F11"/>
    <w:rsid w:val="00E23C81"/>
    <w:rsid w:val="00F20367"/>
    <w:rsid w:val="0102118C"/>
    <w:rsid w:val="01052CC1"/>
    <w:rsid w:val="01253350"/>
    <w:rsid w:val="01282E62"/>
    <w:rsid w:val="013B4944"/>
    <w:rsid w:val="014029CF"/>
    <w:rsid w:val="01470C4C"/>
    <w:rsid w:val="014C455D"/>
    <w:rsid w:val="01974656"/>
    <w:rsid w:val="01B05360"/>
    <w:rsid w:val="01B77F4D"/>
    <w:rsid w:val="01D57DAC"/>
    <w:rsid w:val="01D958F2"/>
    <w:rsid w:val="02200440"/>
    <w:rsid w:val="02284B43"/>
    <w:rsid w:val="02775C49"/>
    <w:rsid w:val="027A76EE"/>
    <w:rsid w:val="028723C3"/>
    <w:rsid w:val="02B015E2"/>
    <w:rsid w:val="02B8352E"/>
    <w:rsid w:val="02DC08FA"/>
    <w:rsid w:val="02F56D74"/>
    <w:rsid w:val="02FE12A0"/>
    <w:rsid w:val="03097DB5"/>
    <w:rsid w:val="030F4486"/>
    <w:rsid w:val="03165668"/>
    <w:rsid w:val="0332754E"/>
    <w:rsid w:val="03341956"/>
    <w:rsid w:val="033B569D"/>
    <w:rsid w:val="033E3288"/>
    <w:rsid w:val="03497D0D"/>
    <w:rsid w:val="03630182"/>
    <w:rsid w:val="039642ED"/>
    <w:rsid w:val="039C3BA0"/>
    <w:rsid w:val="03A06DAA"/>
    <w:rsid w:val="03A845BB"/>
    <w:rsid w:val="03B45AD1"/>
    <w:rsid w:val="03E05C76"/>
    <w:rsid w:val="03FD25CE"/>
    <w:rsid w:val="043D6C25"/>
    <w:rsid w:val="043E11B9"/>
    <w:rsid w:val="04545D1C"/>
    <w:rsid w:val="047B26A4"/>
    <w:rsid w:val="0484312B"/>
    <w:rsid w:val="04A26C35"/>
    <w:rsid w:val="04A44EF6"/>
    <w:rsid w:val="04D12EE4"/>
    <w:rsid w:val="04D60288"/>
    <w:rsid w:val="04D63993"/>
    <w:rsid w:val="04F05A45"/>
    <w:rsid w:val="04FF6BC4"/>
    <w:rsid w:val="052152A4"/>
    <w:rsid w:val="05344C06"/>
    <w:rsid w:val="053D4AFA"/>
    <w:rsid w:val="057A2E59"/>
    <w:rsid w:val="05AE0E8C"/>
    <w:rsid w:val="06007F0A"/>
    <w:rsid w:val="060F1708"/>
    <w:rsid w:val="06260A7F"/>
    <w:rsid w:val="062956B3"/>
    <w:rsid w:val="063C6E65"/>
    <w:rsid w:val="06867AC3"/>
    <w:rsid w:val="0691643E"/>
    <w:rsid w:val="06B747F8"/>
    <w:rsid w:val="06C0147F"/>
    <w:rsid w:val="06CD172C"/>
    <w:rsid w:val="06E4442F"/>
    <w:rsid w:val="073257E1"/>
    <w:rsid w:val="074C2366"/>
    <w:rsid w:val="0753050D"/>
    <w:rsid w:val="077A1F3E"/>
    <w:rsid w:val="07890F4F"/>
    <w:rsid w:val="07EF0F53"/>
    <w:rsid w:val="07F27D26"/>
    <w:rsid w:val="083C30F5"/>
    <w:rsid w:val="08427D32"/>
    <w:rsid w:val="08763AAB"/>
    <w:rsid w:val="08892439"/>
    <w:rsid w:val="08902B9E"/>
    <w:rsid w:val="08A70B11"/>
    <w:rsid w:val="08C01E26"/>
    <w:rsid w:val="08EB30F3"/>
    <w:rsid w:val="09237408"/>
    <w:rsid w:val="09453D0A"/>
    <w:rsid w:val="09781BD6"/>
    <w:rsid w:val="097A41DE"/>
    <w:rsid w:val="097D1872"/>
    <w:rsid w:val="09A45050"/>
    <w:rsid w:val="09CD285F"/>
    <w:rsid w:val="09D83C22"/>
    <w:rsid w:val="09E66C43"/>
    <w:rsid w:val="09F359DF"/>
    <w:rsid w:val="0A2A5685"/>
    <w:rsid w:val="0A3077F9"/>
    <w:rsid w:val="0A561536"/>
    <w:rsid w:val="0A575E65"/>
    <w:rsid w:val="0A9E5F43"/>
    <w:rsid w:val="0ACA0AB6"/>
    <w:rsid w:val="0AD978C3"/>
    <w:rsid w:val="0B057D70"/>
    <w:rsid w:val="0B093351"/>
    <w:rsid w:val="0B184B52"/>
    <w:rsid w:val="0B57476D"/>
    <w:rsid w:val="0B9F02B4"/>
    <w:rsid w:val="0BD0037E"/>
    <w:rsid w:val="0BDD4FA9"/>
    <w:rsid w:val="0BEC2D84"/>
    <w:rsid w:val="0C032502"/>
    <w:rsid w:val="0C187E46"/>
    <w:rsid w:val="0C1B382B"/>
    <w:rsid w:val="0C1B5A9E"/>
    <w:rsid w:val="0C27698C"/>
    <w:rsid w:val="0C435FEF"/>
    <w:rsid w:val="0C4C4CD8"/>
    <w:rsid w:val="0CBF1239"/>
    <w:rsid w:val="0CD728B7"/>
    <w:rsid w:val="0CDE6ACB"/>
    <w:rsid w:val="0CEC2F96"/>
    <w:rsid w:val="0D0C53E6"/>
    <w:rsid w:val="0D272220"/>
    <w:rsid w:val="0D2F4BF5"/>
    <w:rsid w:val="0D3D1A44"/>
    <w:rsid w:val="0D4452F3"/>
    <w:rsid w:val="0D5259A0"/>
    <w:rsid w:val="0D6E60A1"/>
    <w:rsid w:val="0D7E20A1"/>
    <w:rsid w:val="0DAA64B0"/>
    <w:rsid w:val="0DC0483B"/>
    <w:rsid w:val="0DDA7292"/>
    <w:rsid w:val="0E285587"/>
    <w:rsid w:val="0E547045"/>
    <w:rsid w:val="0E570398"/>
    <w:rsid w:val="0EBA27A1"/>
    <w:rsid w:val="0ECE658C"/>
    <w:rsid w:val="0EE04D7C"/>
    <w:rsid w:val="0EE06B2A"/>
    <w:rsid w:val="0F144A26"/>
    <w:rsid w:val="0F415D45"/>
    <w:rsid w:val="0F437A32"/>
    <w:rsid w:val="0F4843A8"/>
    <w:rsid w:val="0F570EFF"/>
    <w:rsid w:val="0F5E5042"/>
    <w:rsid w:val="0F5F7F6D"/>
    <w:rsid w:val="0F892AB0"/>
    <w:rsid w:val="0FE16FFE"/>
    <w:rsid w:val="0FE95707"/>
    <w:rsid w:val="0FED731B"/>
    <w:rsid w:val="0FF30ADF"/>
    <w:rsid w:val="0FFA00C0"/>
    <w:rsid w:val="10256CB6"/>
    <w:rsid w:val="1043268D"/>
    <w:rsid w:val="10510571"/>
    <w:rsid w:val="10787A20"/>
    <w:rsid w:val="10790FE5"/>
    <w:rsid w:val="108672DE"/>
    <w:rsid w:val="10A83678"/>
    <w:rsid w:val="10CE1FE9"/>
    <w:rsid w:val="10EC685A"/>
    <w:rsid w:val="1100110B"/>
    <w:rsid w:val="110E5669"/>
    <w:rsid w:val="1127150F"/>
    <w:rsid w:val="11366ED6"/>
    <w:rsid w:val="113B44EC"/>
    <w:rsid w:val="11537A88"/>
    <w:rsid w:val="117B1119"/>
    <w:rsid w:val="1195360F"/>
    <w:rsid w:val="11AC1EB9"/>
    <w:rsid w:val="11E64458"/>
    <w:rsid w:val="11F8418B"/>
    <w:rsid w:val="11FA1C02"/>
    <w:rsid w:val="11FA6155"/>
    <w:rsid w:val="121C60CC"/>
    <w:rsid w:val="12215755"/>
    <w:rsid w:val="12307DC9"/>
    <w:rsid w:val="123E1DDB"/>
    <w:rsid w:val="126B0D01"/>
    <w:rsid w:val="127C3C37"/>
    <w:rsid w:val="1281159A"/>
    <w:rsid w:val="12C10A21"/>
    <w:rsid w:val="12C61E03"/>
    <w:rsid w:val="12CF0947"/>
    <w:rsid w:val="12F1313F"/>
    <w:rsid w:val="12F7141F"/>
    <w:rsid w:val="131A5C6E"/>
    <w:rsid w:val="134F3753"/>
    <w:rsid w:val="136C678E"/>
    <w:rsid w:val="137D07B0"/>
    <w:rsid w:val="13DE40E2"/>
    <w:rsid w:val="13E1275D"/>
    <w:rsid w:val="13EB2FF5"/>
    <w:rsid w:val="13FA41EA"/>
    <w:rsid w:val="142C1BFB"/>
    <w:rsid w:val="143C2E2B"/>
    <w:rsid w:val="144D444C"/>
    <w:rsid w:val="14524026"/>
    <w:rsid w:val="1467209F"/>
    <w:rsid w:val="14B3766B"/>
    <w:rsid w:val="14D014B3"/>
    <w:rsid w:val="15311010"/>
    <w:rsid w:val="153E7397"/>
    <w:rsid w:val="155618F4"/>
    <w:rsid w:val="157337BE"/>
    <w:rsid w:val="15770D8A"/>
    <w:rsid w:val="1580504A"/>
    <w:rsid w:val="1581516D"/>
    <w:rsid w:val="158521DA"/>
    <w:rsid w:val="1594066F"/>
    <w:rsid w:val="159D2FC6"/>
    <w:rsid w:val="15A4082F"/>
    <w:rsid w:val="15A46B04"/>
    <w:rsid w:val="15B37223"/>
    <w:rsid w:val="15B60CBC"/>
    <w:rsid w:val="15C86B84"/>
    <w:rsid w:val="15E332DB"/>
    <w:rsid w:val="15EF3AF7"/>
    <w:rsid w:val="160D3F0B"/>
    <w:rsid w:val="165825BC"/>
    <w:rsid w:val="166E0EC0"/>
    <w:rsid w:val="169A3F46"/>
    <w:rsid w:val="16A04D1D"/>
    <w:rsid w:val="16BC5D73"/>
    <w:rsid w:val="16CD2DDA"/>
    <w:rsid w:val="16ED1B6B"/>
    <w:rsid w:val="17075885"/>
    <w:rsid w:val="171955B8"/>
    <w:rsid w:val="176F36D7"/>
    <w:rsid w:val="177E230C"/>
    <w:rsid w:val="178921B8"/>
    <w:rsid w:val="1795226D"/>
    <w:rsid w:val="179C2B71"/>
    <w:rsid w:val="17E70F2A"/>
    <w:rsid w:val="17E72CD8"/>
    <w:rsid w:val="17F83137"/>
    <w:rsid w:val="18060035"/>
    <w:rsid w:val="18076684"/>
    <w:rsid w:val="18093163"/>
    <w:rsid w:val="18187335"/>
    <w:rsid w:val="18456B1E"/>
    <w:rsid w:val="1861052E"/>
    <w:rsid w:val="18870384"/>
    <w:rsid w:val="188A63CC"/>
    <w:rsid w:val="18DB6DCB"/>
    <w:rsid w:val="18E13BCB"/>
    <w:rsid w:val="18E336CA"/>
    <w:rsid w:val="18F81941"/>
    <w:rsid w:val="1912772A"/>
    <w:rsid w:val="195009A2"/>
    <w:rsid w:val="19AF7825"/>
    <w:rsid w:val="19DE178D"/>
    <w:rsid w:val="19EF0A9B"/>
    <w:rsid w:val="1A0C4C78"/>
    <w:rsid w:val="1A0F0996"/>
    <w:rsid w:val="1A3033F7"/>
    <w:rsid w:val="1A596164"/>
    <w:rsid w:val="1A5F2436"/>
    <w:rsid w:val="1A962388"/>
    <w:rsid w:val="1AA509DF"/>
    <w:rsid w:val="1AF00052"/>
    <w:rsid w:val="1AF80AAB"/>
    <w:rsid w:val="1B063DBD"/>
    <w:rsid w:val="1B0E67CD"/>
    <w:rsid w:val="1B3073F9"/>
    <w:rsid w:val="1B383CD3"/>
    <w:rsid w:val="1B412814"/>
    <w:rsid w:val="1B5F6E49"/>
    <w:rsid w:val="1B6F1962"/>
    <w:rsid w:val="1B8C1526"/>
    <w:rsid w:val="1B8E01E4"/>
    <w:rsid w:val="1B995390"/>
    <w:rsid w:val="1B9A47EE"/>
    <w:rsid w:val="1B9F3CDD"/>
    <w:rsid w:val="1C0243FC"/>
    <w:rsid w:val="1C1171C5"/>
    <w:rsid w:val="1C1C512A"/>
    <w:rsid w:val="1C633E3F"/>
    <w:rsid w:val="1C825CD7"/>
    <w:rsid w:val="1CAC44F0"/>
    <w:rsid w:val="1D036A9F"/>
    <w:rsid w:val="1D0A29C2"/>
    <w:rsid w:val="1D1A0999"/>
    <w:rsid w:val="1D265138"/>
    <w:rsid w:val="1D771993"/>
    <w:rsid w:val="1D7B6BCA"/>
    <w:rsid w:val="1DA41A79"/>
    <w:rsid w:val="1DAF5301"/>
    <w:rsid w:val="1DB7314C"/>
    <w:rsid w:val="1DDA581D"/>
    <w:rsid w:val="1DF53469"/>
    <w:rsid w:val="1DF63C75"/>
    <w:rsid w:val="1E1628B4"/>
    <w:rsid w:val="1E217596"/>
    <w:rsid w:val="1E2F24F2"/>
    <w:rsid w:val="1E3F15F6"/>
    <w:rsid w:val="1E4D585F"/>
    <w:rsid w:val="1E58492F"/>
    <w:rsid w:val="1E5B6757"/>
    <w:rsid w:val="1E844B7D"/>
    <w:rsid w:val="1EA1723B"/>
    <w:rsid w:val="1EA26E03"/>
    <w:rsid w:val="1ED10AC6"/>
    <w:rsid w:val="1EF83A1C"/>
    <w:rsid w:val="1F1F7A39"/>
    <w:rsid w:val="1F41671D"/>
    <w:rsid w:val="1F470500"/>
    <w:rsid w:val="1F6073E2"/>
    <w:rsid w:val="1F6E4025"/>
    <w:rsid w:val="1F861780"/>
    <w:rsid w:val="1F89225F"/>
    <w:rsid w:val="1F900A1F"/>
    <w:rsid w:val="1FB46CA5"/>
    <w:rsid w:val="1FC0575D"/>
    <w:rsid w:val="1FC93CE9"/>
    <w:rsid w:val="206132C7"/>
    <w:rsid w:val="2068369D"/>
    <w:rsid w:val="20750E5E"/>
    <w:rsid w:val="208F6602"/>
    <w:rsid w:val="209D5285"/>
    <w:rsid w:val="20AB63FB"/>
    <w:rsid w:val="20B34AA7"/>
    <w:rsid w:val="20BD316F"/>
    <w:rsid w:val="20C15524"/>
    <w:rsid w:val="20C67C8C"/>
    <w:rsid w:val="20C95B5E"/>
    <w:rsid w:val="20D6412E"/>
    <w:rsid w:val="20EB04CE"/>
    <w:rsid w:val="21193175"/>
    <w:rsid w:val="21491151"/>
    <w:rsid w:val="214D704C"/>
    <w:rsid w:val="219B6128"/>
    <w:rsid w:val="21B00C1D"/>
    <w:rsid w:val="21B2355A"/>
    <w:rsid w:val="21DE2EBB"/>
    <w:rsid w:val="22052C17"/>
    <w:rsid w:val="2227277E"/>
    <w:rsid w:val="2233752B"/>
    <w:rsid w:val="2246430F"/>
    <w:rsid w:val="224F7DF7"/>
    <w:rsid w:val="22AF28B1"/>
    <w:rsid w:val="22BA11E7"/>
    <w:rsid w:val="22BC733F"/>
    <w:rsid w:val="23031BEB"/>
    <w:rsid w:val="23104714"/>
    <w:rsid w:val="232B2612"/>
    <w:rsid w:val="236039C3"/>
    <w:rsid w:val="23806939"/>
    <w:rsid w:val="23917691"/>
    <w:rsid w:val="23B1063E"/>
    <w:rsid w:val="23B23B5F"/>
    <w:rsid w:val="23D33992"/>
    <w:rsid w:val="23DC6CF6"/>
    <w:rsid w:val="23DD5FA0"/>
    <w:rsid w:val="23EB7FF4"/>
    <w:rsid w:val="23F0560A"/>
    <w:rsid w:val="23F624AC"/>
    <w:rsid w:val="240A5F98"/>
    <w:rsid w:val="24184673"/>
    <w:rsid w:val="244D65B8"/>
    <w:rsid w:val="24560DAB"/>
    <w:rsid w:val="245C12E0"/>
    <w:rsid w:val="245E1E24"/>
    <w:rsid w:val="249F70E1"/>
    <w:rsid w:val="24A83C5A"/>
    <w:rsid w:val="24AA4176"/>
    <w:rsid w:val="24B5515E"/>
    <w:rsid w:val="24BF7892"/>
    <w:rsid w:val="255706FE"/>
    <w:rsid w:val="256A0EC5"/>
    <w:rsid w:val="256B669F"/>
    <w:rsid w:val="25AD5E5D"/>
    <w:rsid w:val="25F211C5"/>
    <w:rsid w:val="26051685"/>
    <w:rsid w:val="263E4160"/>
    <w:rsid w:val="26434E89"/>
    <w:rsid w:val="2675191F"/>
    <w:rsid w:val="26962891"/>
    <w:rsid w:val="26AB598F"/>
    <w:rsid w:val="26CD1C32"/>
    <w:rsid w:val="270448C7"/>
    <w:rsid w:val="271A36AC"/>
    <w:rsid w:val="2732478D"/>
    <w:rsid w:val="27395F61"/>
    <w:rsid w:val="275810AA"/>
    <w:rsid w:val="275814FC"/>
    <w:rsid w:val="27661469"/>
    <w:rsid w:val="278C59CE"/>
    <w:rsid w:val="27900EAD"/>
    <w:rsid w:val="279B538A"/>
    <w:rsid w:val="27DC4091"/>
    <w:rsid w:val="283C200E"/>
    <w:rsid w:val="283D279D"/>
    <w:rsid w:val="283F6CFC"/>
    <w:rsid w:val="286F545C"/>
    <w:rsid w:val="28795BCE"/>
    <w:rsid w:val="28921A5C"/>
    <w:rsid w:val="28964189"/>
    <w:rsid w:val="28BB3ED6"/>
    <w:rsid w:val="28BC5233"/>
    <w:rsid w:val="28C01A4F"/>
    <w:rsid w:val="28D65808"/>
    <w:rsid w:val="29050909"/>
    <w:rsid w:val="29181E24"/>
    <w:rsid w:val="29300B3B"/>
    <w:rsid w:val="29314FBC"/>
    <w:rsid w:val="29623668"/>
    <w:rsid w:val="2966722D"/>
    <w:rsid w:val="299B61BF"/>
    <w:rsid w:val="29AD4626"/>
    <w:rsid w:val="29AE51DC"/>
    <w:rsid w:val="29C72969"/>
    <w:rsid w:val="29E26BB1"/>
    <w:rsid w:val="29FA4AED"/>
    <w:rsid w:val="2A044E78"/>
    <w:rsid w:val="2A606CDB"/>
    <w:rsid w:val="2A61691A"/>
    <w:rsid w:val="2AC54021"/>
    <w:rsid w:val="2AD6297B"/>
    <w:rsid w:val="2B133F10"/>
    <w:rsid w:val="2B4751E3"/>
    <w:rsid w:val="2B8E7C7B"/>
    <w:rsid w:val="2BEF0922"/>
    <w:rsid w:val="2C024B86"/>
    <w:rsid w:val="2C2C11A9"/>
    <w:rsid w:val="2C302D02"/>
    <w:rsid w:val="2C324CF4"/>
    <w:rsid w:val="2C356ED9"/>
    <w:rsid w:val="2C484235"/>
    <w:rsid w:val="2C927671"/>
    <w:rsid w:val="2CBB7B2E"/>
    <w:rsid w:val="2CC118F2"/>
    <w:rsid w:val="2CD71115"/>
    <w:rsid w:val="2CF77483"/>
    <w:rsid w:val="2CF77A09"/>
    <w:rsid w:val="2D0D4B37"/>
    <w:rsid w:val="2D467FE2"/>
    <w:rsid w:val="2D510EC7"/>
    <w:rsid w:val="2D772E4B"/>
    <w:rsid w:val="2D7C5CD6"/>
    <w:rsid w:val="2D863E52"/>
    <w:rsid w:val="2D88248D"/>
    <w:rsid w:val="2DEB3BB9"/>
    <w:rsid w:val="2DFA0573"/>
    <w:rsid w:val="2E117A38"/>
    <w:rsid w:val="2E2515E5"/>
    <w:rsid w:val="2E290174"/>
    <w:rsid w:val="2E323AEF"/>
    <w:rsid w:val="2E483E7E"/>
    <w:rsid w:val="2E690493"/>
    <w:rsid w:val="2E81758A"/>
    <w:rsid w:val="2E9854BD"/>
    <w:rsid w:val="2ED2428A"/>
    <w:rsid w:val="2EE77EC4"/>
    <w:rsid w:val="2F0401BB"/>
    <w:rsid w:val="2F0D407F"/>
    <w:rsid w:val="2F3141D0"/>
    <w:rsid w:val="2F454B19"/>
    <w:rsid w:val="2F605301"/>
    <w:rsid w:val="2F792A64"/>
    <w:rsid w:val="2FC9513D"/>
    <w:rsid w:val="2FD57C2A"/>
    <w:rsid w:val="300067A3"/>
    <w:rsid w:val="30723980"/>
    <w:rsid w:val="30817D16"/>
    <w:rsid w:val="30A27C3D"/>
    <w:rsid w:val="30EB0D43"/>
    <w:rsid w:val="310218FF"/>
    <w:rsid w:val="310224D9"/>
    <w:rsid w:val="317E6003"/>
    <w:rsid w:val="318C62E3"/>
    <w:rsid w:val="319E48F7"/>
    <w:rsid w:val="31A34236"/>
    <w:rsid w:val="31B4621C"/>
    <w:rsid w:val="31E3230A"/>
    <w:rsid w:val="321150C9"/>
    <w:rsid w:val="32770A74"/>
    <w:rsid w:val="32C9461E"/>
    <w:rsid w:val="32CB5076"/>
    <w:rsid w:val="32EB1476"/>
    <w:rsid w:val="32ED33A1"/>
    <w:rsid w:val="32F9671B"/>
    <w:rsid w:val="330957E0"/>
    <w:rsid w:val="33260700"/>
    <w:rsid w:val="33356F64"/>
    <w:rsid w:val="33944516"/>
    <w:rsid w:val="33C65A3F"/>
    <w:rsid w:val="33E72850"/>
    <w:rsid w:val="33F26834"/>
    <w:rsid w:val="33F7221B"/>
    <w:rsid w:val="34095314"/>
    <w:rsid w:val="340E5F50"/>
    <w:rsid w:val="342F1837"/>
    <w:rsid w:val="34826316"/>
    <w:rsid w:val="348A3DA0"/>
    <w:rsid w:val="349A6714"/>
    <w:rsid w:val="349B3370"/>
    <w:rsid w:val="34B166F0"/>
    <w:rsid w:val="34B62907"/>
    <w:rsid w:val="35466470"/>
    <w:rsid w:val="354B14A3"/>
    <w:rsid w:val="356860C8"/>
    <w:rsid w:val="35777939"/>
    <w:rsid w:val="357D47B7"/>
    <w:rsid w:val="359C3A7D"/>
    <w:rsid w:val="359D6C03"/>
    <w:rsid w:val="35C35B4F"/>
    <w:rsid w:val="35C868D9"/>
    <w:rsid w:val="35F42D38"/>
    <w:rsid w:val="35F5085E"/>
    <w:rsid w:val="35F77A4B"/>
    <w:rsid w:val="361C3C83"/>
    <w:rsid w:val="362F3D11"/>
    <w:rsid w:val="364315C9"/>
    <w:rsid w:val="36965B9D"/>
    <w:rsid w:val="36BD137C"/>
    <w:rsid w:val="36C22E36"/>
    <w:rsid w:val="36DC6623"/>
    <w:rsid w:val="36FB10EC"/>
    <w:rsid w:val="3709636F"/>
    <w:rsid w:val="370D0750"/>
    <w:rsid w:val="37293B89"/>
    <w:rsid w:val="37411FAD"/>
    <w:rsid w:val="374629BF"/>
    <w:rsid w:val="375E7466"/>
    <w:rsid w:val="37684339"/>
    <w:rsid w:val="378F1CFE"/>
    <w:rsid w:val="37A91EAD"/>
    <w:rsid w:val="37B938B8"/>
    <w:rsid w:val="37C130EE"/>
    <w:rsid w:val="38034308"/>
    <w:rsid w:val="38282C59"/>
    <w:rsid w:val="385D37E7"/>
    <w:rsid w:val="386D26DD"/>
    <w:rsid w:val="38743CBC"/>
    <w:rsid w:val="387460E6"/>
    <w:rsid w:val="38782EDD"/>
    <w:rsid w:val="388760E5"/>
    <w:rsid w:val="389E66C8"/>
    <w:rsid w:val="38AE4533"/>
    <w:rsid w:val="38BB18EB"/>
    <w:rsid w:val="38C2711D"/>
    <w:rsid w:val="38C44EFE"/>
    <w:rsid w:val="38C93603"/>
    <w:rsid w:val="38EA70C9"/>
    <w:rsid w:val="3905525C"/>
    <w:rsid w:val="39065BDD"/>
    <w:rsid w:val="396C2533"/>
    <w:rsid w:val="39A20844"/>
    <w:rsid w:val="3A07501A"/>
    <w:rsid w:val="3A1F066B"/>
    <w:rsid w:val="3A875940"/>
    <w:rsid w:val="3A8E50D7"/>
    <w:rsid w:val="3AC151B3"/>
    <w:rsid w:val="3AD35612"/>
    <w:rsid w:val="3B2D3628"/>
    <w:rsid w:val="3B32696C"/>
    <w:rsid w:val="3B3551C2"/>
    <w:rsid w:val="3B363BE4"/>
    <w:rsid w:val="3B3F3EC3"/>
    <w:rsid w:val="3B42664A"/>
    <w:rsid w:val="3B5015BD"/>
    <w:rsid w:val="3B8C3A12"/>
    <w:rsid w:val="3BA91DA5"/>
    <w:rsid w:val="3BB07701"/>
    <w:rsid w:val="3BC961DF"/>
    <w:rsid w:val="3C382DD4"/>
    <w:rsid w:val="3C604B68"/>
    <w:rsid w:val="3C9E39FD"/>
    <w:rsid w:val="3CAA05F4"/>
    <w:rsid w:val="3CE76D75"/>
    <w:rsid w:val="3CF47AC1"/>
    <w:rsid w:val="3D0D2931"/>
    <w:rsid w:val="3D1C7ECD"/>
    <w:rsid w:val="3D5677B5"/>
    <w:rsid w:val="3D5E7E28"/>
    <w:rsid w:val="3D6F76A0"/>
    <w:rsid w:val="3D712EC0"/>
    <w:rsid w:val="3D836A4E"/>
    <w:rsid w:val="3D931088"/>
    <w:rsid w:val="3D9B618F"/>
    <w:rsid w:val="3DA409C8"/>
    <w:rsid w:val="3DAF5796"/>
    <w:rsid w:val="3DB17760"/>
    <w:rsid w:val="3DC266AF"/>
    <w:rsid w:val="3DFA35E4"/>
    <w:rsid w:val="3E495035"/>
    <w:rsid w:val="3E66054B"/>
    <w:rsid w:val="3E6C7F88"/>
    <w:rsid w:val="3EA37E97"/>
    <w:rsid w:val="3F171845"/>
    <w:rsid w:val="3F180EE9"/>
    <w:rsid w:val="3F1B30E3"/>
    <w:rsid w:val="3F1E7077"/>
    <w:rsid w:val="3F271DDC"/>
    <w:rsid w:val="3F2D72BA"/>
    <w:rsid w:val="3F573F4B"/>
    <w:rsid w:val="3F673904"/>
    <w:rsid w:val="3F877099"/>
    <w:rsid w:val="3F995235"/>
    <w:rsid w:val="3FB36D12"/>
    <w:rsid w:val="3FBE0BC5"/>
    <w:rsid w:val="3FD414E4"/>
    <w:rsid w:val="4013025E"/>
    <w:rsid w:val="401B4FC6"/>
    <w:rsid w:val="40395C65"/>
    <w:rsid w:val="404017A9"/>
    <w:rsid w:val="4048103A"/>
    <w:rsid w:val="40693815"/>
    <w:rsid w:val="406D236F"/>
    <w:rsid w:val="40736643"/>
    <w:rsid w:val="409B24E3"/>
    <w:rsid w:val="40B575C6"/>
    <w:rsid w:val="40B85ABC"/>
    <w:rsid w:val="40C64180"/>
    <w:rsid w:val="40D17627"/>
    <w:rsid w:val="40D24A7A"/>
    <w:rsid w:val="40D35BFD"/>
    <w:rsid w:val="40DC3AAD"/>
    <w:rsid w:val="40F01896"/>
    <w:rsid w:val="410D4CAE"/>
    <w:rsid w:val="411C3CEC"/>
    <w:rsid w:val="412C6D5A"/>
    <w:rsid w:val="41676AB4"/>
    <w:rsid w:val="418D5DEE"/>
    <w:rsid w:val="41EF2605"/>
    <w:rsid w:val="420F4A55"/>
    <w:rsid w:val="421472BF"/>
    <w:rsid w:val="42186713"/>
    <w:rsid w:val="42257337"/>
    <w:rsid w:val="4229241E"/>
    <w:rsid w:val="422E637A"/>
    <w:rsid w:val="424C1680"/>
    <w:rsid w:val="425C3667"/>
    <w:rsid w:val="425F778B"/>
    <w:rsid w:val="42621029"/>
    <w:rsid w:val="427E2307"/>
    <w:rsid w:val="42997141"/>
    <w:rsid w:val="42A0113B"/>
    <w:rsid w:val="42B12DA0"/>
    <w:rsid w:val="42C9282A"/>
    <w:rsid w:val="42CD01FC"/>
    <w:rsid w:val="42CD7558"/>
    <w:rsid w:val="42CE4911"/>
    <w:rsid w:val="42E8731C"/>
    <w:rsid w:val="42F457DA"/>
    <w:rsid w:val="43272FF0"/>
    <w:rsid w:val="435241E2"/>
    <w:rsid w:val="43975C51"/>
    <w:rsid w:val="43993170"/>
    <w:rsid w:val="439E3FA7"/>
    <w:rsid w:val="43E13C95"/>
    <w:rsid w:val="43EA7077"/>
    <w:rsid w:val="44054362"/>
    <w:rsid w:val="44226CC2"/>
    <w:rsid w:val="4475773A"/>
    <w:rsid w:val="44867C65"/>
    <w:rsid w:val="44AE590C"/>
    <w:rsid w:val="44B32266"/>
    <w:rsid w:val="44C9285E"/>
    <w:rsid w:val="44DC587A"/>
    <w:rsid w:val="44DF1057"/>
    <w:rsid w:val="44F543D6"/>
    <w:rsid w:val="44F6223E"/>
    <w:rsid w:val="44FC64F4"/>
    <w:rsid w:val="45084C8C"/>
    <w:rsid w:val="451A753E"/>
    <w:rsid w:val="452235FD"/>
    <w:rsid w:val="45256BE1"/>
    <w:rsid w:val="45355F14"/>
    <w:rsid w:val="45810E5F"/>
    <w:rsid w:val="458D36CD"/>
    <w:rsid w:val="45BF65D3"/>
    <w:rsid w:val="46167423"/>
    <w:rsid w:val="461F5BAF"/>
    <w:rsid w:val="46433C15"/>
    <w:rsid w:val="46550199"/>
    <w:rsid w:val="467F4585"/>
    <w:rsid w:val="46863770"/>
    <w:rsid w:val="468A0B36"/>
    <w:rsid w:val="468A6DA0"/>
    <w:rsid w:val="46AC601D"/>
    <w:rsid w:val="46B50476"/>
    <w:rsid w:val="46DF64D8"/>
    <w:rsid w:val="46E16159"/>
    <w:rsid w:val="46FC37FA"/>
    <w:rsid w:val="47000333"/>
    <w:rsid w:val="470152B5"/>
    <w:rsid w:val="47021219"/>
    <w:rsid w:val="470628CB"/>
    <w:rsid w:val="47126DA5"/>
    <w:rsid w:val="472B2758"/>
    <w:rsid w:val="473C0D9D"/>
    <w:rsid w:val="47555BD4"/>
    <w:rsid w:val="475D697F"/>
    <w:rsid w:val="476F4C0A"/>
    <w:rsid w:val="4782184B"/>
    <w:rsid w:val="479B394A"/>
    <w:rsid w:val="47A60E01"/>
    <w:rsid w:val="47E96399"/>
    <w:rsid w:val="48194880"/>
    <w:rsid w:val="48CA4614"/>
    <w:rsid w:val="48E12B50"/>
    <w:rsid w:val="4900334A"/>
    <w:rsid w:val="490202D3"/>
    <w:rsid w:val="490E18DD"/>
    <w:rsid w:val="492A6931"/>
    <w:rsid w:val="494F1069"/>
    <w:rsid w:val="49602AE5"/>
    <w:rsid w:val="499441BE"/>
    <w:rsid w:val="499A6C1C"/>
    <w:rsid w:val="499C3073"/>
    <w:rsid w:val="49CC1713"/>
    <w:rsid w:val="49E2286F"/>
    <w:rsid w:val="4A127906"/>
    <w:rsid w:val="4A1E2B13"/>
    <w:rsid w:val="4A2138F0"/>
    <w:rsid w:val="4A2E2566"/>
    <w:rsid w:val="4A421E6C"/>
    <w:rsid w:val="4A583887"/>
    <w:rsid w:val="4A7F6DC7"/>
    <w:rsid w:val="4AB32D6A"/>
    <w:rsid w:val="4AB57518"/>
    <w:rsid w:val="4AC46D25"/>
    <w:rsid w:val="4AC75A17"/>
    <w:rsid w:val="4AD01CA8"/>
    <w:rsid w:val="4B255F9D"/>
    <w:rsid w:val="4B3C6829"/>
    <w:rsid w:val="4B4856B7"/>
    <w:rsid w:val="4B50429C"/>
    <w:rsid w:val="4B5405B1"/>
    <w:rsid w:val="4B715147"/>
    <w:rsid w:val="4B9F6E02"/>
    <w:rsid w:val="4BA51388"/>
    <w:rsid w:val="4BA6594C"/>
    <w:rsid w:val="4BC276B5"/>
    <w:rsid w:val="4BD51861"/>
    <w:rsid w:val="4BE35519"/>
    <w:rsid w:val="4C207F8B"/>
    <w:rsid w:val="4C5B5467"/>
    <w:rsid w:val="4C6205A3"/>
    <w:rsid w:val="4C6D519A"/>
    <w:rsid w:val="4C7536DB"/>
    <w:rsid w:val="4C77097D"/>
    <w:rsid w:val="4C89637B"/>
    <w:rsid w:val="4C9149E5"/>
    <w:rsid w:val="4C9623AE"/>
    <w:rsid w:val="4C966358"/>
    <w:rsid w:val="4CEA0599"/>
    <w:rsid w:val="4D40640B"/>
    <w:rsid w:val="4D721765"/>
    <w:rsid w:val="4D730618"/>
    <w:rsid w:val="4D891B60"/>
    <w:rsid w:val="4DC8532E"/>
    <w:rsid w:val="4DEA785E"/>
    <w:rsid w:val="4DFE7BDB"/>
    <w:rsid w:val="4E0A2C04"/>
    <w:rsid w:val="4E64294D"/>
    <w:rsid w:val="4E6E48A8"/>
    <w:rsid w:val="4E7740AE"/>
    <w:rsid w:val="4E974998"/>
    <w:rsid w:val="4EA30D27"/>
    <w:rsid w:val="4EC04D1D"/>
    <w:rsid w:val="4ECD334D"/>
    <w:rsid w:val="4EEC036B"/>
    <w:rsid w:val="4F2E0B44"/>
    <w:rsid w:val="4F2E0C11"/>
    <w:rsid w:val="4F504C75"/>
    <w:rsid w:val="4F712872"/>
    <w:rsid w:val="4F7859FA"/>
    <w:rsid w:val="4F8D71E5"/>
    <w:rsid w:val="4F997210"/>
    <w:rsid w:val="4F9A18EE"/>
    <w:rsid w:val="4FBA6735"/>
    <w:rsid w:val="4FCC6FB4"/>
    <w:rsid w:val="500F28A4"/>
    <w:rsid w:val="501464FD"/>
    <w:rsid w:val="50175B49"/>
    <w:rsid w:val="501D2673"/>
    <w:rsid w:val="50537FDF"/>
    <w:rsid w:val="5055562A"/>
    <w:rsid w:val="507B5573"/>
    <w:rsid w:val="509D6635"/>
    <w:rsid w:val="50C80BF1"/>
    <w:rsid w:val="50D852D8"/>
    <w:rsid w:val="50DE4C8B"/>
    <w:rsid w:val="517B2107"/>
    <w:rsid w:val="51852833"/>
    <w:rsid w:val="5198541D"/>
    <w:rsid w:val="519C5125"/>
    <w:rsid w:val="51B03B5F"/>
    <w:rsid w:val="51C32274"/>
    <w:rsid w:val="52044FC5"/>
    <w:rsid w:val="520A6079"/>
    <w:rsid w:val="5217598C"/>
    <w:rsid w:val="52270DAA"/>
    <w:rsid w:val="523D29AC"/>
    <w:rsid w:val="526C53BB"/>
    <w:rsid w:val="526E63F9"/>
    <w:rsid w:val="52713A59"/>
    <w:rsid w:val="529A036B"/>
    <w:rsid w:val="52A177A5"/>
    <w:rsid w:val="52A82A88"/>
    <w:rsid w:val="52C50BEA"/>
    <w:rsid w:val="52D132C2"/>
    <w:rsid w:val="52E70741"/>
    <w:rsid w:val="52F11AC8"/>
    <w:rsid w:val="52FC2DD4"/>
    <w:rsid w:val="531E24FA"/>
    <w:rsid w:val="5325341C"/>
    <w:rsid w:val="534F49D9"/>
    <w:rsid w:val="53555F0F"/>
    <w:rsid w:val="535D23D5"/>
    <w:rsid w:val="539F7403"/>
    <w:rsid w:val="53A818D7"/>
    <w:rsid w:val="53B536AF"/>
    <w:rsid w:val="53C75190"/>
    <w:rsid w:val="53E27D74"/>
    <w:rsid w:val="53F6017C"/>
    <w:rsid w:val="54086969"/>
    <w:rsid w:val="540C0B16"/>
    <w:rsid w:val="541374F6"/>
    <w:rsid w:val="54196BAA"/>
    <w:rsid w:val="54350D18"/>
    <w:rsid w:val="5439366B"/>
    <w:rsid w:val="546A4C4C"/>
    <w:rsid w:val="5474356A"/>
    <w:rsid w:val="54A9702C"/>
    <w:rsid w:val="54B03E76"/>
    <w:rsid w:val="54C84767"/>
    <w:rsid w:val="54CA0EBC"/>
    <w:rsid w:val="54D23DEC"/>
    <w:rsid w:val="54E84CD8"/>
    <w:rsid w:val="54ED50CA"/>
    <w:rsid w:val="55490987"/>
    <w:rsid w:val="55BF0C22"/>
    <w:rsid w:val="565F0290"/>
    <w:rsid w:val="566D4C32"/>
    <w:rsid w:val="566F6F8C"/>
    <w:rsid w:val="56912EE7"/>
    <w:rsid w:val="56B6796B"/>
    <w:rsid w:val="56D41474"/>
    <w:rsid w:val="56F4341A"/>
    <w:rsid w:val="57356F4F"/>
    <w:rsid w:val="573963A5"/>
    <w:rsid w:val="575A7321"/>
    <w:rsid w:val="5766169B"/>
    <w:rsid w:val="578E79B6"/>
    <w:rsid w:val="57920D1A"/>
    <w:rsid w:val="57B74666"/>
    <w:rsid w:val="580C3AB9"/>
    <w:rsid w:val="582A027D"/>
    <w:rsid w:val="583C7AE0"/>
    <w:rsid w:val="585765BB"/>
    <w:rsid w:val="58694A68"/>
    <w:rsid w:val="586C1E9A"/>
    <w:rsid w:val="586E0800"/>
    <w:rsid w:val="586F0B6F"/>
    <w:rsid w:val="587A2E94"/>
    <w:rsid w:val="589514E6"/>
    <w:rsid w:val="58AD166C"/>
    <w:rsid w:val="58C779E0"/>
    <w:rsid w:val="58D00E01"/>
    <w:rsid w:val="58E03293"/>
    <w:rsid w:val="58E93DFA"/>
    <w:rsid w:val="59216F96"/>
    <w:rsid w:val="59485D15"/>
    <w:rsid w:val="595E659C"/>
    <w:rsid w:val="59685DD0"/>
    <w:rsid w:val="59757DFD"/>
    <w:rsid w:val="597B6173"/>
    <w:rsid w:val="598C4145"/>
    <w:rsid w:val="59957D1B"/>
    <w:rsid w:val="59AD640F"/>
    <w:rsid w:val="59B13E14"/>
    <w:rsid w:val="59D4294E"/>
    <w:rsid w:val="59D81EA5"/>
    <w:rsid w:val="5A0A565D"/>
    <w:rsid w:val="5A1C0E23"/>
    <w:rsid w:val="5A2440C9"/>
    <w:rsid w:val="5A2E7B0C"/>
    <w:rsid w:val="5A6A4571"/>
    <w:rsid w:val="5A6E15B9"/>
    <w:rsid w:val="5A755946"/>
    <w:rsid w:val="5A802D39"/>
    <w:rsid w:val="5A84738C"/>
    <w:rsid w:val="5A995852"/>
    <w:rsid w:val="5AB71EF8"/>
    <w:rsid w:val="5AC266B1"/>
    <w:rsid w:val="5B1C2265"/>
    <w:rsid w:val="5B2B24A8"/>
    <w:rsid w:val="5B5714EF"/>
    <w:rsid w:val="5B634312"/>
    <w:rsid w:val="5B652B1B"/>
    <w:rsid w:val="5B8A5421"/>
    <w:rsid w:val="5B9856D8"/>
    <w:rsid w:val="5B9D2CCD"/>
    <w:rsid w:val="5B9E71EA"/>
    <w:rsid w:val="5BBD57F6"/>
    <w:rsid w:val="5BBF21C4"/>
    <w:rsid w:val="5BC33907"/>
    <w:rsid w:val="5BF958FB"/>
    <w:rsid w:val="5C155F9A"/>
    <w:rsid w:val="5C6C0FCA"/>
    <w:rsid w:val="5C85570A"/>
    <w:rsid w:val="5CEE2A2B"/>
    <w:rsid w:val="5D006BCB"/>
    <w:rsid w:val="5D372CAB"/>
    <w:rsid w:val="5D5A79FB"/>
    <w:rsid w:val="5D5F7E63"/>
    <w:rsid w:val="5D72616D"/>
    <w:rsid w:val="5DAC0CF7"/>
    <w:rsid w:val="5DE0334F"/>
    <w:rsid w:val="5DE80B25"/>
    <w:rsid w:val="5E1604E8"/>
    <w:rsid w:val="5E203E1A"/>
    <w:rsid w:val="5E226FBC"/>
    <w:rsid w:val="5E30232A"/>
    <w:rsid w:val="5E3D1D69"/>
    <w:rsid w:val="5E6B7DFA"/>
    <w:rsid w:val="5EC27DCB"/>
    <w:rsid w:val="5EC353FB"/>
    <w:rsid w:val="5F071ED1"/>
    <w:rsid w:val="5F0E45BB"/>
    <w:rsid w:val="5F124862"/>
    <w:rsid w:val="5F1319A1"/>
    <w:rsid w:val="5F5D0293"/>
    <w:rsid w:val="5F954394"/>
    <w:rsid w:val="5F974CED"/>
    <w:rsid w:val="5FA133CE"/>
    <w:rsid w:val="5FBB0152"/>
    <w:rsid w:val="5FC30F01"/>
    <w:rsid w:val="5FE72BD2"/>
    <w:rsid w:val="60120613"/>
    <w:rsid w:val="60237D07"/>
    <w:rsid w:val="603252B3"/>
    <w:rsid w:val="60586199"/>
    <w:rsid w:val="606B7855"/>
    <w:rsid w:val="607337CF"/>
    <w:rsid w:val="60932FCA"/>
    <w:rsid w:val="60A13D26"/>
    <w:rsid w:val="60B808D8"/>
    <w:rsid w:val="60E34F17"/>
    <w:rsid w:val="615421CE"/>
    <w:rsid w:val="61860438"/>
    <w:rsid w:val="618D5292"/>
    <w:rsid w:val="61B008BA"/>
    <w:rsid w:val="61B41449"/>
    <w:rsid w:val="61C65C6B"/>
    <w:rsid w:val="61D45648"/>
    <w:rsid w:val="62051CA5"/>
    <w:rsid w:val="62123462"/>
    <w:rsid w:val="621517BC"/>
    <w:rsid w:val="621D71AB"/>
    <w:rsid w:val="622E78FA"/>
    <w:rsid w:val="627269C5"/>
    <w:rsid w:val="627631FF"/>
    <w:rsid w:val="627C7963"/>
    <w:rsid w:val="628B6E96"/>
    <w:rsid w:val="628D4AF7"/>
    <w:rsid w:val="629350BE"/>
    <w:rsid w:val="62C63B33"/>
    <w:rsid w:val="62E03EAC"/>
    <w:rsid w:val="62E775FD"/>
    <w:rsid w:val="62FD140F"/>
    <w:rsid w:val="63304B00"/>
    <w:rsid w:val="63343F70"/>
    <w:rsid w:val="633A597E"/>
    <w:rsid w:val="634D6D36"/>
    <w:rsid w:val="636A0CC8"/>
    <w:rsid w:val="63912164"/>
    <w:rsid w:val="63AE1698"/>
    <w:rsid w:val="63D57097"/>
    <w:rsid w:val="63DA4A6C"/>
    <w:rsid w:val="63F20007"/>
    <w:rsid w:val="63FA510E"/>
    <w:rsid w:val="64250C9B"/>
    <w:rsid w:val="64296E1C"/>
    <w:rsid w:val="642D540B"/>
    <w:rsid w:val="64417218"/>
    <w:rsid w:val="64515364"/>
    <w:rsid w:val="646A5D13"/>
    <w:rsid w:val="649E64A2"/>
    <w:rsid w:val="64A53AFC"/>
    <w:rsid w:val="64B81251"/>
    <w:rsid w:val="64BB5CF5"/>
    <w:rsid w:val="64DF227C"/>
    <w:rsid w:val="64E47885"/>
    <w:rsid w:val="65033B11"/>
    <w:rsid w:val="65543C14"/>
    <w:rsid w:val="65A947A4"/>
    <w:rsid w:val="65B17CDB"/>
    <w:rsid w:val="65B732B6"/>
    <w:rsid w:val="65CD0ED9"/>
    <w:rsid w:val="65E5270A"/>
    <w:rsid w:val="65EC4E62"/>
    <w:rsid w:val="66100C18"/>
    <w:rsid w:val="663D3C54"/>
    <w:rsid w:val="6663343E"/>
    <w:rsid w:val="66664AE8"/>
    <w:rsid w:val="66862C89"/>
    <w:rsid w:val="66BB486D"/>
    <w:rsid w:val="66CE18D6"/>
    <w:rsid w:val="66FF78BA"/>
    <w:rsid w:val="67394C7D"/>
    <w:rsid w:val="674D53A3"/>
    <w:rsid w:val="67544B35"/>
    <w:rsid w:val="67896ED4"/>
    <w:rsid w:val="6793155A"/>
    <w:rsid w:val="679D1C9E"/>
    <w:rsid w:val="67C7484F"/>
    <w:rsid w:val="67E2459D"/>
    <w:rsid w:val="67EB0284"/>
    <w:rsid w:val="68126B38"/>
    <w:rsid w:val="68291A1A"/>
    <w:rsid w:val="68352BB8"/>
    <w:rsid w:val="68630198"/>
    <w:rsid w:val="68721717"/>
    <w:rsid w:val="688356D2"/>
    <w:rsid w:val="68966D4D"/>
    <w:rsid w:val="68B83662"/>
    <w:rsid w:val="68C4563F"/>
    <w:rsid w:val="68D66149"/>
    <w:rsid w:val="68DE0B5A"/>
    <w:rsid w:val="68FF6AF5"/>
    <w:rsid w:val="69182F7C"/>
    <w:rsid w:val="691B1594"/>
    <w:rsid w:val="69360996"/>
    <w:rsid w:val="693A016B"/>
    <w:rsid w:val="69575B3B"/>
    <w:rsid w:val="697115E3"/>
    <w:rsid w:val="69A973BA"/>
    <w:rsid w:val="6A070584"/>
    <w:rsid w:val="6A082C8B"/>
    <w:rsid w:val="6A17429C"/>
    <w:rsid w:val="6A220F1A"/>
    <w:rsid w:val="6A26028A"/>
    <w:rsid w:val="6A3559F0"/>
    <w:rsid w:val="6A567EA3"/>
    <w:rsid w:val="6A5E676E"/>
    <w:rsid w:val="6A7F636D"/>
    <w:rsid w:val="6A9D7883"/>
    <w:rsid w:val="6AA61B4B"/>
    <w:rsid w:val="6AC155B5"/>
    <w:rsid w:val="6AD9141A"/>
    <w:rsid w:val="6AD95A7D"/>
    <w:rsid w:val="6AE2184C"/>
    <w:rsid w:val="6AE755AA"/>
    <w:rsid w:val="6B122D3D"/>
    <w:rsid w:val="6B3158B9"/>
    <w:rsid w:val="6B4B4368"/>
    <w:rsid w:val="6B5B289E"/>
    <w:rsid w:val="6B66569D"/>
    <w:rsid w:val="6B7625D8"/>
    <w:rsid w:val="6B79100E"/>
    <w:rsid w:val="6B7E6BF5"/>
    <w:rsid w:val="6B8F438D"/>
    <w:rsid w:val="6B9A3311"/>
    <w:rsid w:val="6BA9360A"/>
    <w:rsid w:val="6BAE0CB8"/>
    <w:rsid w:val="6BB409E8"/>
    <w:rsid w:val="6BBB0A9B"/>
    <w:rsid w:val="6BBD5889"/>
    <w:rsid w:val="6BC561DF"/>
    <w:rsid w:val="6BD67D00"/>
    <w:rsid w:val="6C1D7DC5"/>
    <w:rsid w:val="6C25197F"/>
    <w:rsid w:val="6C3C3276"/>
    <w:rsid w:val="6C624C36"/>
    <w:rsid w:val="6C661F59"/>
    <w:rsid w:val="6C844C00"/>
    <w:rsid w:val="6C903A76"/>
    <w:rsid w:val="6CD97EF7"/>
    <w:rsid w:val="6CE40709"/>
    <w:rsid w:val="6CF471FC"/>
    <w:rsid w:val="6D001DC1"/>
    <w:rsid w:val="6D0C4D5A"/>
    <w:rsid w:val="6D36104C"/>
    <w:rsid w:val="6D8646BE"/>
    <w:rsid w:val="6D8A5754"/>
    <w:rsid w:val="6E10212C"/>
    <w:rsid w:val="6E13574A"/>
    <w:rsid w:val="6E42257A"/>
    <w:rsid w:val="6E43561A"/>
    <w:rsid w:val="6E557973"/>
    <w:rsid w:val="6E6C7053"/>
    <w:rsid w:val="6E7F4B8D"/>
    <w:rsid w:val="6E9568DB"/>
    <w:rsid w:val="6E9A19C7"/>
    <w:rsid w:val="6EA6036C"/>
    <w:rsid w:val="6EAF3DF3"/>
    <w:rsid w:val="6EDF7F7F"/>
    <w:rsid w:val="6F0D6C22"/>
    <w:rsid w:val="6F1352D6"/>
    <w:rsid w:val="6F1C23DC"/>
    <w:rsid w:val="6F3B37FB"/>
    <w:rsid w:val="6F3F3A13"/>
    <w:rsid w:val="6F47657F"/>
    <w:rsid w:val="6F5C5475"/>
    <w:rsid w:val="6FA21B87"/>
    <w:rsid w:val="6FAF23D9"/>
    <w:rsid w:val="6FBD3DD5"/>
    <w:rsid w:val="6FBD5048"/>
    <w:rsid w:val="6FC72954"/>
    <w:rsid w:val="6FE76C11"/>
    <w:rsid w:val="6FE90E4D"/>
    <w:rsid w:val="7037510A"/>
    <w:rsid w:val="70635CF6"/>
    <w:rsid w:val="70670707"/>
    <w:rsid w:val="70891CF3"/>
    <w:rsid w:val="70B45868"/>
    <w:rsid w:val="70BC3F1B"/>
    <w:rsid w:val="70ED4030"/>
    <w:rsid w:val="710F5299"/>
    <w:rsid w:val="712D72E6"/>
    <w:rsid w:val="71663DE2"/>
    <w:rsid w:val="716D0AF3"/>
    <w:rsid w:val="71D32C17"/>
    <w:rsid w:val="720E3691"/>
    <w:rsid w:val="720F6228"/>
    <w:rsid w:val="721830DB"/>
    <w:rsid w:val="722B6087"/>
    <w:rsid w:val="723B526F"/>
    <w:rsid w:val="724C763F"/>
    <w:rsid w:val="724E244C"/>
    <w:rsid w:val="72651124"/>
    <w:rsid w:val="72A600BF"/>
    <w:rsid w:val="72CD5AB7"/>
    <w:rsid w:val="72D37A8A"/>
    <w:rsid w:val="72DA6946"/>
    <w:rsid w:val="72E92A4A"/>
    <w:rsid w:val="732764B3"/>
    <w:rsid w:val="734629B4"/>
    <w:rsid w:val="734F1A42"/>
    <w:rsid w:val="73501771"/>
    <w:rsid w:val="73662B2F"/>
    <w:rsid w:val="736E25B7"/>
    <w:rsid w:val="73975BAB"/>
    <w:rsid w:val="73D313AD"/>
    <w:rsid w:val="73D80531"/>
    <w:rsid w:val="74026044"/>
    <w:rsid w:val="741214A6"/>
    <w:rsid w:val="7434641A"/>
    <w:rsid w:val="74372D51"/>
    <w:rsid w:val="744A2D86"/>
    <w:rsid w:val="74534821"/>
    <w:rsid w:val="74536126"/>
    <w:rsid w:val="745F3EE1"/>
    <w:rsid w:val="74746410"/>
    <w:rsid w:val="74BD1275"/>
    <w:rsid w:val="74C20692"/>
    <w:rsid w:val="74D60921"/>
    <w:rsid w:val="74F55BA9"/>
    <w:rsid w:val="751B17E8"/>
    <w:rsid w:val="752D06B3"/>
    <w:rsid w:val="753816C8"/>
    <w:rsid w:val="753A5141"/>
    <w:rsid w:val="754B485A"/>
    <w:rsid w:val="75556C16"/>
    <w:rsid w:val="75630029"/>
    <w:rsid w:val="75A1339A"/>
    <w:rsid w:val="75B74C0D"/>
    <w:rsid w:val="75E5007C"/>
    <w:rsid w:val="75E52B95"/>
    <w:rsid w:val="7608190C"/>
    <w:rsid w:val="76170771"/>
    <w:rsid w:val="76236FE0"/>
    <w:rsid w:val="76351EA4"/>
    <w:rsid w:val="763D3F83"/>
    <w:rsid w:val="766D0A33"/>
    <w:rsid w:val="768D43F2"/>
    <w:rsid w:val="768E1E11"/>
    <w:rsid w:val="76C45833"/>
    <w:rsid w:val="76EB42AA"/>
    <w:rsid w:val="76EB573A"/>
    <w:rsid w:val="77152F8B"/>
    <w:rsid w:val="77213A24"/>
    <w:rsid w:val="77657769"/>
    <w:rsid w:val="777A6DA3"/>
    <w:rsid w:val="77813724"/>
    <w:rsid w:val="77861774"/>
    <w:rsid w:val="77B95E16"/>
    <w:rsid w:val="77D34E13"/>
    <w:rsid w:val="78246162"/>
    <w:rsid w:val="782A1EDA"/>
    <w:rsid w:val="78B46619"/>
    <w:rsid w:val="78E36ABC"/>
    <w:rsid w:val="78E54453"/>
    <w:rsid w:val="78F31435"/>
    <w:rsid w:val="78F67A63"/>
    <w:rsid w:val="79077C59"/>
    <w:rsid w:val="79111237"/>
    <w:rsid w:val="79123D46"/>
    <w:rsid w:val="79202E72"/>
    <w:rsid w:val="7922572B"/>
    <w:rsid w:val="79300B45"/>
    <w:rsid w:val="79312C0E"/>
    <w:rsid w:val="793311AE"/>
    <w:rsid w:val="794D3E18"/>
    <w:rsid w:val="79866393"/>
    <w:rsid w:val="79940638"/>
    <w:rsid w:val="79C97604"/>
    <w:rsid w:val="79E15E92"/>
    <w:rsid w:val="79E3705F"/>
    <w:rsid w:val="79F3729A"/>
    <w:rsid w:val="7A00364E"/>
    <w:rsid w:val="7A150D48"/>
    <w:rsid w:val="7A1E34AC"/>
    <w:rsid w:val="7A2514A8"/>
    <w:rsid w:val="7A2666DD"/>
    <w:rsid w:val="7A4675A4"/>
    <w:rsid w:val="7A480529"/>
    <w:rsid w:val="7A620A42"/>
    <w:rsid w:val="7A880722"/>
    <w:rsid w:val="7A8A780C"/>
    <w:rsid w:val="7AC57DCC"/>
    <w:rsid w:val="7ACB0498"/>
    <w:rsid w:val="7ADA57DA"/>
    <w:rsid w:val="7AE076F8"/>
    <w:rsid w:val="7AE2097E"/>
    <w:rsid w:val="7AED0B4D"/>
    <w:rsid w:val="7AF014D4"/>
    <w:rsid w:val="7B1F1161"/>
    <w:rsid w:val="7B3A4316"/>
    <w:rsid w:val="7B47421C"/>
    <w:rsid w:val="7BB0282A"/>
    <w:rsid w:val="7BEB598D"/>
    <w:rsid w:val="7C1E4487"/>
    <w:rsid w:val="7C215E02"/>
    <w:rsid w:val="7C2645C2"/>
    <w:rsid w:val="7C29631A"/>
    <w:rsid w:val="7C387815"/>
    <w:rsid w:val="7C492773"/>
    <w:rsid w:val="7C6174DF"/>
    <w:rsid w:val="7C7D4BB0"/>
    <w:rsid w:val="7CB24380"/>
    <w:rsid w:val="7CD45BA9"/>
    <w:rsid w:val="7CF22D93"/>
    <w:rsid w:val="7CF23764"/>
    <w:rsid w:val="7CFA068B"/>
    <w:rsid w:val="7D0C3A90"/>
    <w:rsid w:val="7D537911"/>
    <w:rsid w:val="7D5959F6"/>
    <w:rsid w:val="7DA4088D"/>
    <w:rsid w:val="7DA91F45"/>
    <w:rsid w:val="7DC4257C"/>
    <w:rsid w:val="7DC865BF"/>
    <w:rsid w:val="7DD80311"/>
    <w:rsid w:val="7DEB18F7"/>
    <w:rsid w:val="7DEB2CC7"/>
    <w:rsid w:val="7E021F37"/>
    <w:rsid w:val="7E4E3E1B"/>
    <w:rsid w:val="7E797F74"/>
    <w:rsid w:val="7EDB1705"/>
    <w:rsid w:val="7EDF15B9"/>
    <w:rsid w:val="7EE04C01"/>
    <w:rsid w:val="7EE62677"/>
    <w:rsid w:val="7F04697D"/>
    <w:rsid w:val="7F207CC7"/>
    <w:rsid w:val="7F3107D0"/>
    <w:rsid w:val="7F3E4C06"/>
    <w:rsid w:val="7F4734A5"/>
    <w:rsid w:val="7F5C2F21"/>
    <w:rsid w:val="7F6264B5"/>
    <w:rsid w:val="7F924011"/>
    <w:rsid w:val="7FC52625"/>
    <w:rsid w:val="7FC52DC2"/>
    <w:rsid w:val="7FD10FC1"/>
    <w:rsid w:val="7FF73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7724</Words>
  <Characters>8032</Characters>
  <Lines>0</Lines>
  <Paragraphs>0</Paragraphs>
  <TotalTime>3</TotalTime>
  <ScaleCrop>false</ScaleCrop>
  <LinksUpToDate>false</LinksUpToDate>
  <CharactersWithSpaces>8051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2024-10-17T07:33:12Z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1D17C581B7B649E79D2BCA767FA9A472_13</vt:lpwstr>
  </property>
</Properties>
</file>