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EB8086">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51D42794">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657247D">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EF21CF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sz w:val="40"/>
          <w:szCs w:val="40"/>
          <w:highlight w:val="none"/>
          <w:shd w:val="clear" w:color="auto" w:fill="auto"/>
          <w:lang w:val="en-US" w:eastAsia="zh-CN"/>
        </w:rPr>
      </w:pPr>
      <w:bookmarkStart w:id="0" w:name="_Toc15679"/>
      <w:r>
        <w:rPr>
          <w:rFonts w:hint="eastAsia" w:ascii="宋体" w:hAnsi="宋体" w:eastAsia="宋体" w:cs="宋体"/>
          <w:b/>
          <w:bCs/>
          <w:color w:val="auto"/>
          <w:sz w:val="40"/>
          <w:szCs w:val="40"/>
          <w:highlight w:val="none"/>
          <w:shd w:val="clear" w:color="auto" w:fill="auto"/>
          <w:lang w:val="en-US" w:eastAsia="zh-CN"/>
        </w:rPr>
        <w:t>昌州财教【2022】82号提前下达2023年新疆西藏地区特殊教育补助资</w:t>
      </w:r>
      <w:bookmarkStart w:id="86" w:name="_GoBack"/>
      <w:bookmarkEnd w:id="86"/>
      <w:r>
        <w:rPr>
          <w:rFonts w:hint="eastAsia" w:ascii="宋体" w:hAnsi="宋体" w:eastAsia="宋体" w:cs="宋体"/>
          <w:b/>
          <w:bCs/>
          <w:color w:val="auto"/>
          <w:sz w:val="40"/>
          <w:szCs w:val="40"/>
          <w:highlight w:val="none"/>
          <w:shd w:val="clear" w:color="auto" w:fill="auto"/>
          <w:lang w:val="en-US" w:eastAsia="zh-CN"/>
        </w:rPr>
        <w:t>金（园舍维修资金）</w:t>
      </w:r>
    </w:p>
    <w:p w14:paraId="11E2703F">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201B625A">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5D0190E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646095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A2838C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886EEE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B32BBC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CFA3A0A">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73B74BFA">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项目名称：昌州财教【2022】82号提前下达2023年新疆西藏地区特殊教育补助资金（园舍维修资金）</w:t>
      </w:r>
      <w:r>
        <w:rPr>
          <w:rFonts w:hint="eastAsia" w:cs="宋体"/>
          <w:b/>
          <w:color w:val="auto"/>
          <w:kern w:val="2"/>
          <w:sz w:val="28"/>
          <w:szCs w:val="28"/>
          <w:highlight w:val="none"/>
          <w:shd w:val="clear" w:color="auto" w:fill="auto"/>
          <w:lang w:val="en-US" w:eastAsia="zh-CN"/>
        </w:rPr>
        <w:t>项目</w:t>
      </w:r>
    </w:p>
    <w:p w14:paraId="0D2E20C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实施单位：阜康市上户沟哈萨克族乡第一中心幼儿园</w:t>
      </w:r>
    </w:p>
    <w:p w14:paraId="61B17B1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color w:val="auto"/>
          <w:highlight w:val="none"/>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主管部门：阜康市教育局</w:t>
      </w:r>
      <w:r>
        <w:rPr>
          <w:rFonts w:hint="eastAsia"/>
          <w:color w:val="auto"/>
          <w:highlight w:val="none"/>
          <w:lang w:val="en-US" w:eastAsia="zh-CN"/>
        </w:rPr>
        <w:br w:type="page"/>
      </w:r>
    </w:p>
    <w:p w14:paraId="5501D26D">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7FD32977">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07F60058">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6BB4D702">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9B7E03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14:paraId="11FD8A3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3E192578">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6</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E8648C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rFonts w:hint="eastAsia"/>
              <w:color w:val="auto"/>
              <w:sz w:val="28"/>
              <w:szCs w:val="28"/>
              <w:highlight w:val="none"/>
              <w:lang w:val="en-US" w:eastAsia="zh-CN"/>
            </w:rPr>
            <w:fldChar w:fldCharType="end"/>
          </w:r>
        </w:p>
        <w:p w14:paraId="1FACA87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7</w:t>
          </w:r>
          <w:r>
            <w:rPr>
              <w:color w:val="auto"/>
              <w:sz w:val="28"/>
              <w:szCs w:val="28"/>
              <w:highlight w:val="none"/>
            </w:rPr>
            <w:fldChar w:fldCharType="end"/>
          </w:r>
          <w:r>
            <w:rPr>
              <w:rFonts w:hint="eastAsia"/>
              <w:color w:val="auto"/>
              <w:sz w:val="28"/>
              <w:szCs w:val="28"/>
              <w:highlight w:val="none"/>
              <w:lang w:val="en-US" w:eastAsia="zh-CN"/>
            </w:rPr>
            <w:fldChar w:fldCharType="end"/>
          </w:r>
        </w:p>
        <w:p w14:paraId="0271963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37D0248E">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60A0EEE">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B3D668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7A9BAF4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2BA34F0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603530C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14:paraId="2B3598DA">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D6A3EC8">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53B0E6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22</w:t>
          </w:r>
          <w:r>
            <w:rPr>
              <w:color w:val="auto"/>
              <w:sz w:val="28"/>
              <w:szCs w:val="28"/>
              <w:highlight w:val="none"/>
            </w:rPr>
            <w:fldChar w:fldCharType="end"/>
          </w:r>
          <w:r>
            <w:rPr>
              <w:rFonts w:hint="eastAsia"/>
              <w:color w:val="auto"/>
              <w:sz w:val="28"/>
              <w:szCs w:val="28"/>
              <w:highlight w:val="none"/>
              <w:lang w:val="en-US" w:eastAsia="zh-CN"/>
            </w:rPr>
            <w:fldChar w:fldCharType="end"/>
          </w:r>
        </w:p>
        <w:p w14:paraId="70E0ACB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23</w:t>
          </w:r>
          <w:r>
            <w:rPr>
              <w:color w:val="auto"/>
              <w:sz w:val="28"/>
              <w:szCs w:val="28"/>
              <w:highlight w:val="none"/>
            </w:rPr>
            <w:fldChar w:fldCharType="end"/>
          </w:r>
          <w:r>
            <w:rPr>
              <w:rFonts w:hint="eastAsia"/>
              <w:color w:val="auto"/>
              <w:sz w:val="28"/>
              <w:szCs w:val="28"/>
              <w:highlight w:val="none"/>
              <w:lang w:val="en-US" w:eastAsia="zh-CN"/>
            </w:rPr>
            <w:fldChar w:fldCharType="end"/>
          </w:r>
        </w:p>
        <w:p w14:paraId="74A16A79">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523160D">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1093E4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71C73E04">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14:paraId="7C737664">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昌州财教【2022】82号提前下达2023年新疆西藏地区特殊教育补助资金（园舍维修资金）</w:t>
      </w:r>
      <w:r>
        <w:rPr>
          <w:rFonts w:hint="eastAsia" w:ascii="宋体" w:hAnsi="宋体" w:eastAsia="宋体" w:cs="宋体"/>
          <w:b/>
          <w:bCs/>
          <w:color w:val="auto"/>
          <w:sz w:val="36"/>
          <w:szCs w:val="36"/>
          <w:highlight w:val="none"/>
          <w:shd w:val="clear" w:color="auto" w:fill="auto"/>
        </w:rPr>
        <w:t>支出绩效</w:t>
      </w:r>
      <w:r>
        <w:rPr>
          <w:rFonts w:hint="eastAsia" w:cs="宋体"/>
          <w:b/>
          <w:bCs/>
          <w:color w:val="auto"/>
          <w:sz w:val="36"/>
          <w:szCs w:val="36"/>
          <w:highlight w:val="none"/>
          <w:shd w:val="clear" w:color="auto" w:fill="auto"/>
          <w:lang w:val="en-US" w:eastAsia="zh-CN"/>
        </w:rPr>
        <w:t xml:space="preserve">    </w:t>
      </w:r>
      <w:r>
        <w:rPr>
          <w:rFonts w:hint="eastAsia" w:ascii="宋体" w:hAnsi="宋体" w:eastAsia="宋体" w:cs="宋体"/>
          <w:b/>
          <w:bCs/>
          <w:color w:val="auto"/>
          <w:sz w:val="36"/>
          <w:szCs w:val="36"/>
          <w:highlight w:val="none"/>
          <w:shd w:val="clear" w:color="auto" w:fill="auto"/>
        </w:rPr>
        <w:t>评价报告</w:t>
      </w:r>
      <w:bookmarkEnd w:id="1"/>
    </w:p>
    <w:p w14:paraId="651C3A21">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773509DF">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26F40181">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0A5DDF3F">
      <w:pPr>
        <w:pStyle w:val="4"/>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根据自治区财政厅《关于提前下达2023年新疆西藏等地区教育特殊补助资金预算的通知》（新财教[2022]176号）文件。为3-6岁学龄前儿童提供保育与教育，落实好学前三年教育目标，改善幼儿园的办学条件，保障学阶段幼儿在园教学需求，为幼儿提供优质的保教环境。</w:t>
      </w:r>
    </w:p>
    <w:p w14:paraId="7ABEF45F">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68D0482C">
      <w:pPr>
        <w:pStyle w:val="4"/>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bookmarkStart w:id="6" w:name="_Toc16592"/>
      <w:r>
        <w:rPr>
          <w:rFonts w:hint="eastAsia" w:ascii="宋体" w:hAnsi="宋体" w:eastAsia="宋体" w:cs="宋体"/>
          <w:b w:val="0"/>
          <w:bCs w:val="0"/>
          <w:color w:val="auto"/>
          <w:kern w:val="2"/>
          <w:sz w:val="28"/>
          <w:szCs w:val="28"/>
          <w:highlight w:val="none"/>
          <w:shd w:val="clear" w:color="auto" w:fill="auto"/>
          <w:lang w:val="en-US" w:eastAsia="zh-CN" w:bidi="ar-SA"/>
        </w:rPr>
        <w:t>主要内容：</w:t>
      </w:r>
      <w:bookmarkEnd w:id="6"/>
      <w:r>
        <w:rPr>
          <w:rFonts w:hint="eastAsia" w:ascii="宋体" w:hAnsi="宋体" w:eastAsia="宋体" w:cs="宋体"/>
          <w:b w:val="0"/>
          <w:bCs w:val="0"/>
          <w:color w:val="auto"/>
          <w:kern w:val="2"/>
          <w:sz w:val="28"/>
          <w:szCs w:val="28"/>
          <w:highlight w:val="none"/>
          <w:shd w:val="clear" w:color="auto" w:fill="auto"/>
          <w:lang w:val="en-US" w:eastAsia="zh-CN" w:bidi="ar-SA"/>
        </w:rPr>
        <w:t>为3-6岁学龄前儿童提供保育与教育，落实好学前三年教育目标，改善幼儿园的办学条件，保障学阶段幼儿在园教学需求，为幼儿提供优质的保教环境。</w:t>
      </w:r>
    </w:p>
    <w:p w14:paraId="6E8D3786">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组织实施：根据自治区财政厅《关于提前下达2023年新疆西藏等地区教育特殊补助资金预算的通知》（新财教[2022]176号）文件，经财经会议，确定了项目领导小组，明确了责任分工：组长为侯梦婷，副组长为马爱智，项目负责人为热合木古丽,组员为许红运、张玉梅，其中：侯梦婷负责监管工作，张玉梅负责项目档案资料，许红运负责资金拨付工作。</w:t>
      </w:r>
    </w:p>
    <w:p w14:paraId="737B01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截至</w:t>
      </w:r>
      <w:r>
        <w:rPr>
          <w:rFonts w:hint="eastAsia" w:cs="宋体"/>
          <w:color w:val="auto"/>
          <w:highlight w:val="none"/>
          <w:shd w:val="clear" w:color="auto" w:fill="auto"/>
          <w:lang w:val="en-US" w:eastAsia="zh-CN"/>
        </w:rPr>
        <w:t>2023年12</w:t>
      </w:r>
      <w:r>
        <w:rPr>
          <w:rFonts w:hint="eastAsia" w:ascii="宋体" w:hAnsi="宋体" w:eastAsia="宋体" w:cs="宋体"/>
          <w:color w:val="auto"/>
          <w:highlight w:val="none"/>
          <w:shd w:val="clear" w:color="auto" w:fill="auto"/>
          <w:lang w:val="en-US" w:eastAsia="zh-CN"/>
        </w:rPr>
        <w:t>月31日，已完成农村学前三年适龄幼儿数137人，开展教育活动次数350次，设施设备维护次数11次，完成年度教育教学活动工作达标率100%，保障教育教学活动开展的公用经费已使用10.63万元，培训费0.26万元，项目的实施保障幼儿园各项工作平稳进行，校园环境和条件进一步改善。</w:t>
      </w:r>
    </w:p>
    <w:p w14:paraId="1B55A53D">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27213D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4B709C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昌州财教【2022】82号提前下达2023年新疆西藏地区特殊教育补助资金（园舍维修资金）</w:t>
      </w:r>
      <w:r>
        <w:rPr>
          <w:rFonts w:hint="eastAsia" w:ascii="宋体" w:hAnsi="宋体" w:eastAsia="宋体" w:cs="宋体"/>
          <w:color w:val="auto"/>
          <w:highlight w:val="none"/>
          <w:shd w:val="clear" w:color="auto" w:fill="auto"/>
          <w:lang w:val="en-US" w:eastAsia="zh-CN"/>
        </w:rPr>
        <w:t>项目预算安排总额为</w:t>
      </w:r>
      <w:r>
        <w:rPr>
          <w:rFonts w:hint="eastAsia" w:cs="宋体"/>
          <w:color w:val="auto"/>
          <w:highlight w:val="none"/>
          <w:shd w:val="clear" w:color="auto" w:fill="auto"/>
          <w:lang w:val="en-US" w:eastAsia="zh-CN"/>
        </w:rPr>
        <w:t>15.07</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金15.07</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15.07</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75EADC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686F700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截至2023年12月31日，昌州财教【2022】82号提前下达2023年新疆西藏地区特殊教育补助资金（园舍维修资金）</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15.07</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保障教育教学活动开展的公用经费等方面。</w:t>
      </w:r>
    </w:p>
    <w:p w14:paraId="4E8C30E4">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47BD42EB">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089616D8">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82号提前下达2023年新疆西藏地区特殊教育补助资金（园舍维修资金）项目绩效总体目标为：职能：为3-6岁学龄前儿童提供保育与教育，落实好学前三年教育目标，改善幼儿园的办学条件，保障学阶段幼儿在园教学需求，为幼儿提供优质的保教环。                                                                       目标：农村学前三年适龄幼儿数137人，开展教育活动次数600次，设施设备维护次数20次，完成年度教育教学活动工作达标率100%，保障教育教学活动开展的公用经费15.07万元，用于日常办公费14.32万元，培训费0.75万元等费用，保障幼儿园各项工作平稳进行，校园环境和条件进一步改善，家长及教师满意度90%。</w:t>
      </w:r>
    </w:p>
    <w:p w14:paraId="3F0E6F92">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16429FE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0EFF87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3C3CE3A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5C234AE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农村学前三年适龄幼儿人数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为≧137人；</w:t>
      </w:r>
    </w:p>
    <w:p w14:paraId="22B0A4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“开展教育教学活动次数”</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为≧600次</w:t>
      </w:r>
      <w:r>
        <w:rPr>
          <w:rFonts w:hint="eastAsia" w:cs="宋体"/>
          <w:color w:val="auto"/>
          <w:highlight w:val="none"/>
          <w:shd w:val="clear" w:color="auto" w:fill="auto"/>
          <w:lang w:val="en-US" w:eastAsia="zh-CN"/>
        </w:rPr>
        <w:t xml:space="preserve"> </w:t>
      </w:r>
      <w:r>
        <w:rPr>
          <w:rFonts w:hint="eastAsia" w:ascii="宋体" w:hAnsi="宋体" w:eastAsia="宋体" w:cs="宋体"/>
          <w:color w:val="auto"/>
          <w:highlight w:val="none"/>
          <w:shd w:val="clear" w:color="auto" w:fill="auto"/>
          <w:lang w:val="en-US" w:eastAsia="zh-CN"/>
        </w:rPr>
        <w:t>；</w:t>
      </w:r>
    </w:p>
    <w:p w14:paraId="07B1FD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设施设备维护次数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为≧20次；</w:t>
      </w:r>
    </w:p>
    <w:p w14:paraId="477E9EB9">
      <w:pPr>
        <w:keepNext w:val="0"/>
        <w:keepLines w:val="0"/>
        <w:pageBreakBefore w:val="0"/>
        <w:widowControl w:val="0"/>
        <w:tabs>
          <w:tab w:val="left" w:pos="526"/>
        </w:tabs>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6E6DF33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完成年度教育教学活动工作达标率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6D88DA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1BA57A3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为2023-12-31前；</w:t>
      </w:r>
    </w:p>
    <w:p w14:paraId="5FD31E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51A7364F">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成本指标</w:t>
      </w:r>
    </w:p>
    <w:p w14:paraId="79E2151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①经济成本指标</w:t>
      </w:r>
    </w:p>
    <w:p w14:paraId="7BF65488">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保障教育教学活动开展的公用经费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为≤14.32万元；</w:t>
      </w:r>
    </w:p>
    <w:p w14:paraId="43C872B0">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保障教育教学活动开展的培训费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为≤0.75万元；</w:t>
      </w:r>
    </w:p>
    <w:p w14:paraId="18BD7878">
      <w:pPr>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31420CA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2F9B93A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保障幼儿园各项工作平稳进行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有效</w:t>
      </w:r>
      <w:r>
        <w:rPr>
          <w:rFonts w:hint="eastAsia" w:ascii="宋体" w:hAnsi="宋体" w:eastAsia="宋体" w:cs="宋体"/>
          <w:color w:val="auto"/>
          <w:highlight w:val="none"/>
          <w:shd w:val="clear" w:color="auto" w:fill="auto"/>
          <w:lang w:val="en-US" w:eastAsia="zh-CN"/>
        </w:rPr>
        <w:t>保障；</w:t>
      </w:r>
    </w:p>
    <w:p w14:paraId="411D244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3BB2F81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校园环境和条件进一步改善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有效</w:t>
      </w:r>
      <w:r>
        <w:rPr>
          <w:rFonts w:hint="eastAsia" w:ascii="宋体" w:hAnsi="宋体" w:eastAsia="宋体" w:cs="宋体"/>
          <w:color w:val="auto"/>
          <w:highlight w:val="none"/>
          <w:shd w:val="clear" w:color="auto" w:fill="auto"/>
          <w:lang w:val="en-US" w:eastAsia="zh-CN"/>
        </w:rPr>
        <w:t>改善；</w:t>
      </w:r>
    </w:p>
    <w:p w14:paraId="5B25336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rPr>
        <w:t>）满意度</w:t>
      </w:r>
      <w:r>
        <w:rPr>
          <w:rFonts w:hint="eastAsia" w:cs="宋体"/>
          <w:color w:val="auto"/>
          <w:highlight w:val="none"/>
          <w:shd w:val="clear" w:color="auto" w:fill="auto"/>
          <w:lang w:val="en-US" w:eastAsia="zh-CN"/>
        </w:rPr>
        <w:t>目标</w:t>
      </w:r>
    </w:p>
    <w:p w14:paraId="093D765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①满意度指标</w:t>
      </w:r>
    </w:p>
    <w:p w14:paraId="7461749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家长及教师满意度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r>
        <w:rPr>
          <w:rFonts w:hint="eastAsia" w:cs="宋体"/>
          <w:color w:val="auto"/>
          <w:highlight w:val="none"/>
          <w:shd w:val="clear" w:color="auto" w:fill="auto"/>
          <w:lang w:val="en-US" w:eastAsia="zh-CN"/>
        </w:rPr>
        <w:t>。</w:t>
      </w:r>
    </w:p>
    <w:p w14:paraId="768389CA">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45C4B314">
      <w:pPr>
        <w:pStyle w:val="3"/>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12868"/>
      <w:bookmarkStart w:id="13" w:name="_Toc21664"/>
      <w:bookmarkStart w:id="14" w:name="_Toc22922"/>
      <w:bookmarkStart w:id="15" w:name="_Toc480473081"/>
      <w:bookmarkStart w:id="16" w:name="_Toc5258"/>
      <w:bookmarkStart w:id="17" w:name="_Toc5462343"/>
      <w:bookmarkStart w:id="18" w:name="_Toc26632"/>
      <w:bookmarkStart w:id="19" w:name="_Toc22169_WPSOffice_Level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7672CEBD">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729E1492">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7DA117F6">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66955E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昌州财教【2022】82号提前下达2023年新疆西藏地区特殊教育补助资金（园舍维修资金）</w:t>
      </w:r>
      <w:r>
        <w:rPr>
          <w:rFonts w:hint="eastAsia" w:ascii="宋体" w:hAnsi="宋体" w:eastAsia="宋体" w:cs="宋体"/>
          <w:color w:val="auto"/>
          <w:highlight w:val="none"/>
          <w:shd w:val="clear" w:color="auto" w:fill="auto"/>
          <w:lang w:val="en-US" w:eastAsia="zh-CN"/>
        </w:rPr>
        <w:t>项目开展部门绩效评价。</w:t>
      </w:r>
    </w:p>
    <w:p w14:paraId="2D3206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5BEB9A38">
      <w:pPr>
        <w:pStyle w:val="3"/>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07E05EBD">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41BCA6E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昌州财教【2022】82号提前下达2023年新疆西藏地区特殊教育补助资金（园舍维修资金）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626AB97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6A1164B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192855E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33B1FE7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0C42AC6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1D1734EB">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1913"/>
      <w:bookmarkStart w:id="26" w:name="_Toc428278230"/>
      <w:bookmarkStart w:id="27" w:name="_Toc26131"/>
      <w:bookmarkStart w:id="28" w:name="_Toc419984722"/>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28483EB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1A8F2531">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28B83E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415301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3847FC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01CE79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3152EB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293977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31A897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0BC677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20EDE6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302227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46A6CD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245A3F5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6544B11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F78573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6BCB65A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76117CC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3648157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72FED55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4219D1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05EC744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2C316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C9C7D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5CD42C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2C82E72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66EC6B9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B13023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649275E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4313259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10184F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1745BA0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6585C2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2C3B27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33F032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52E3891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4E7A168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66A72C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4FE8579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48E3D78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1BE1863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529972E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59BF24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6A7ABA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CD1BD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FD926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65CA09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4D57F29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59B3809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680E0F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5EBD735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5F5A035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761A93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1E75D2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5DF33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2D73CA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22EFD9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1BE7F37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2798004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112B0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737C6A3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0202C0D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560CDA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311FDC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511A19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7DAF0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CFD13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0C98FA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23B306D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2C8D07F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21EE04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51A2551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53CC94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148C015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5B4E84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3D5A06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4B5DC88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0999263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65AEE69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5EBC9CD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1550B2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19D0343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91C87B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58DAF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411B4B6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22AB0A8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0E92894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0ABBC2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22C8EE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34240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67F49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699929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5ED2871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022C08F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C23C00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2A2F956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3C5016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6FFF352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137AD5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3C0343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62C3BB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20F3A8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5316C7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16EBD5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20F71E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7A7EA7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2018580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7EA425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D357C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7C33F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4B96F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4BBB63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0A73634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3D56DA4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9A405D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03E625F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713CA9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691F83A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5A90E3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2EAA42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58DA37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049208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35FD80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294F00E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3CB1A42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124028A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229508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E048B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236860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59B8AD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29636D9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38016A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0723409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735D77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082388F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07EF25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071C19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2C7A617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29D0815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6C23D3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6A8CA1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600A1D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95253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6626B7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44D78FD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1453E09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28D405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18932D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7DFEDF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083DD0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41D139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242686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4FA3B71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785A16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4F32CD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37DF1F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BF8A2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C119A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179CA9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5F6D51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15B9B9DF">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4A9DE53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昌州财教【2022】82号提前下达2023年新疆西藏地区特殊教育补助资金（园舍维修资金）</w:t>
      </w:r>
      <w:r>
        <w:rPr>
          <w:rFonts w:hint="eastAsia" w:ascii="宋体" w:hAnsi="宋体" w:eastAsia="宋体" w:cs="宋体"/>
          <w:color w:val="auto"/>
          <w:highlight w:val="none"/>
          <w:shd w:val="clear" w:color="auto" w:fill="auto"/>
          <w:lang w:val="en-US" w:eastAsia="zh-CN"/>
        </w:rPr>
        <w:t>项目进行评价。</w:t>
      </w:r>
    </w:p>
    <w:p w14:paraId="4D9239A3">
      <w:pPr>
        <w:pStyle w:val="4"/>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5DB4CC8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7D5489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4F2F62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0524ED50">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3FBBB65A">
      <w:pPr>
        <w:pStyle w:val="4"/>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31E8F3A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7F40CB7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5FC078E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1898EB6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1C55E45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eastAsia="宋体" w:cs="宋体"/>
          <w:b w:val="0"/>
          <w:bCs w:val="0"/>
          <w:color w:val="auto"/>
          <w:kern w:val="2"/>
          <w:sz w:val="28"/>
          <w:szCs w:val="28"/>
          <w:highlight w:val="none"/>
          <w:shd w:val="clear" w:color="auto" w:fill="auto"/>
          <w:lang w:val="en-US" w:eastAsia="zh-CN" w:bidi="ar-SA"/>
        </w:rPr>
        <w:t>昌州财教【2022】82号提前下达2023年新疆西藏地区特殊教育补助资金（园舍维修资金）项目</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14:paraId="11E6EFD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4CDAB53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531705B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711F5F7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75ECEA4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399DBC3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401AA31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65F4F89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2AF2515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2FCB1DA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0868369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567CF45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0BF0803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2F73C5B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77696C4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57708D1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034E7B6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399ED24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338BE1F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2101449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5" w:name="_Toc1100"/>
      <w:r>
        <w:rPr>
          <w:rFonts w:hint="eastAsia" w:ascii="宋体" w:hAnsi="宋体" w:eastAsia="宋体" w:cs="宋体"/>
          <w:b/>
          <w:bCs/>
          <w:color w:val="auto"/>
          <w:kern w:val="2"/>
          <w:sz w:val="28"/>
          <w:szCs w:val="24"/>
          <w:highlight w:val="none"/>
          <w:shd w:val="clear" w:color="auto" w:fill="auto"/>
          <w:lang w:val="en-US" w:eastAsia="zh-CN" w:bidi="ar-SA"/>
        </w:rPr>
        <w:t>三、综合评价情况及评价结论</w:t>
      </w:r>
      <w:bookmarkEnd w:id="55"/>
    </w:p>
    <w:p w14:paraId="0D24F98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zh-TW" w:eastAsia="zh-TW" w:bidi="ar-SA"/>
        </w:rPr>
      </w:pPr>
      <w:r>
        <w:rPr>
          <w:rFonts w:hint="eastAsia" w:ascii="宋体" w:hAnsi="宋体" w:eastAsia="宋体" w:cs="宋体"/>
          <w:b w:val="0"/>
          <w:bCs w:val="0"/>
          <w:color w:val="auto"/>
          <w:kern w:val="2"/>
          <w:sz w:val="28"/>
          <w:szCs w:val="24"/>
          <w:highlight w:val="none"/>
          <w:shd w:val="clear" w:color="auto" w:fill="auto"/>
          <w:lang w:val="en-US" w:eastAsia="zh-CN" w:bidi="ar-SA"/>
        </w:rPr>
        <w:t xml:space="preserve">    此次绩效评价</w:t>
      </w:r>
      <w:r>
        <w:rPr>
          <w:rFonts w:hint="eastAsia" w:ascii="宋体" w:hAnsi="宋体" w:eastAsia="宋体" w:cs="宋体"/>
          <w:b w:val="0"/>
          <w:bCs w:val="0"/>
          <w:color w:val="auto"/>
          <w:kern w:val="2"/>
          <w:sz w:val="28"/>
          <w:szCs w:val="24"/>
          <w:highlight w:val="none"/>
          <w:shd w:val="clear" w:color="auto" w:fill="auto"/>
          <w:lang w:val="zh-TW" w:eastAsia="zh-TW" w:bidi="ar-SA"/>
        </w:rPr>
        <w:t>通过组论证的评价指标体系及评分标准，</w:t>
      </w:r>
      <w:r>
        <w:rPr>
          <w:rFonts w:hint="eastAsia" w:ascii="宋体" w:hAnsi="宋体" w:eastAsia="宋体" w:cs="宋体"/>
          <w:b w:val="0"/>
          <w:bCs w:val="0"/>
          <w:color w:val="auto"/>
          <w:kern w:val="2"/>
          <w:sz w:val="28"/>
          <w:szCs w:val="24"/>
          <w:highlight w:val="none"/>
          <w:shd w:val="clear" w:color="auto" w:fill="auto"/>
          <w:lang w:val="en-US" w:eastAsia="zh-CN" w:bidi="ar-SA"/>
        </w:rPr>
        <w:t>采用的方法比较法、因素分析法、公众评判法，</w:t>
      </w:r>
      <w:r>
        <w:rPr>
          <w:rFonts w:hint="eastAsia" w:ascii="宋体" w:hAnsi="宋体" w:eastAsia="宋体" w:cs="宋体"/>
          <w:b w:val="0"/>
          <w:bCs w:val="0"/>
          <w:color w:val="auto"/>
          <w:kern w:val="2"/>
          <w:sz w:val="28"/>
          <w:szCs w:val="24"/>
          <w:highlight w:val="none"/>
          <w:shd w:val="clear" w:color="auto" w:fill="auto"/>
          <w:lang w:val="zh-TW" w:eastAsia="zh-TW" w:bidi="ar-SA"/>
        </w:rPr>
        <w:t>对</w:t>
      </w:r>
      <w:r>
        <w:rPr>
          <w:rFonts w:hint="eastAsia" w:ascii="宋体" w:hAnsi="宋体" w:eastAsia="宋体" w:cs="宋体"/>
          <w:b w:val="0"/>
          <w:bCs w:val="0"/>
          <w:color w:val="auto"/>
          <w:kern w:val="2"/>
          <w:sz w:val="28"/>
          <w:szCs w:val="24"/>
          <w:highlight w:val="none"/>
          <w:shd w:val="clear" w:color="auto" w:fill="auto"/>
          <w:lang w:val="en-US" w:eastAsia="zh-CN" w:bidi="ar-SA"/>
        </w:rPr>
        <w:t>昌州财教【2022】82号提前下达2023年新疆西藏地区特殊教育补助资金（园舍维修资金）项目</w:t>
      </w:r>
      <w:r>
        <w:rPr>
          <w:rFonts w:hint="eastAsia" w:ascii="宋体" w:hAnsi="宋体" w:eastAsia="宋体" w:cs="宋体"/>
          <w:b w:val="0"/>
          <w:bCs w:val="0"/>
          <w:color w:val="auto"/>
          <w:kern w:val="2"/>
          <w:sz w:val="28"/>
          <w:szCs w:val="24"/>
          <w:highlight w:val="none"/>
          <w:shd w:val="clear" w:color="auto" w:fill="auto"/>
          <w:lang w:val="zh-TW" w:eastAsia="zh-TW" w:bidi="ar-SA"/>
        </w:rPr>
        <w:t>绩效进行客观评价，最终评分结果：总分为</w:t>
      </w:r>
      <w:r>
        <w:rPr>
          <w:rFonts w:hint="eastAsia" w:ascii="宋体" w:hAnsi="宋体" w:cs="宋体"/>
          <w:b w:val="0"/>
          <w:bCs w:val="0"/>
          <w:color w:val="auto"/>
          <w:kern w:val="2"/>
          <w:sz w:val="28"/>
          <w:szCs w:val="24"/>
          <w:highlight w:val="none"/>
          <w:shd w:val="clear" w:color="auto" w:fill="auto"/>
          <w:lang w:val="en-US" w:eastAsia="zh-CN" w:bidi="ar-SA"/>
        </w:rPr>
        <w:t>99.2</w:t>
      </w:r>
      <w:r>
        <w:rPr>
          <w:rFonts w:hint="eastAsia" w:ascii="宋体" w:hAnsi="宋体" w:eastAsia="宋体" w:cs="宋体"/>
          <w:b w:val="0"/>
          <w:bCs w:val="0"/>
          <w:color w:val="auto"/>
          <w:kern w:val="2"/>
          <w:sz w:val="28"/>
          <w:szCs w:val="24"/>
          <w:highlight w:val="none"/>
          <w:shd w:val="clear" w:color="auto" w:fill="auto"/>
          <w:lang w:val="zh-TW" w:eastAsia="zh-TW" w:bidi="ar-SA"/>
        </w:rPr>
        <w:t>分，绩效评级为“</w:t>
      </w:r>
      <w:r>
        <w:rPr>
          <w:rFonts w:hint="eastAsia" w:ascii="宋体" w:hAnsi="宋体" w:eastAsia="宋体" w:cs="宋体"/>
          <w:b w:val="0"/>
          <w:bCs w:val="0"/>
          <w:color w:val="auto"/>
          <w:kern w:val="2"/>
          <w:sz w:val="28"/>
          <w:szCs w:val="24"/>
          <w:highlight w:val="none"/>
          <w:shd w:val="clear" w:color="auto" w:fill="auto"/>
          <w:lang w:val="en-US" w:eastAsia="zh-CN" w:bidi="ar-SA"/>
        </w:rPr>
        <w:t>优</w:t>
      </w:r>
      <w:r>
        <w:rPr>
          <w:rFonts w:hint="eastAsia" w:ascii="宋体" w:hAnsi="宋体" w:eastAsia="宋体" w:cs="宋体"/>
          <w:b w:val="0"/>
          <w:bCs w:val="0"/>
          <w:color w:val="auto"/>
          <w:kern w:val="2"/>
          <w:sz w:val="28"/>
          <w:szCs w:val="24"/>
          <w:highlight w:val="none"/>
          <w:shd w:val="clear" w:color="auto" w:fill="auto"/>
          <w:lang w:val="zh-TW" w:eastAsia="zh-TW" w:bidi="ar-SA"/>
        </w:rPr>
        <w:t>”。各部分权重和绩效</w:t>
      </w:r>
      <w:r>
        <w:rPr>
          <w:rFonts w:hint="eastAsia" w:ascii="宋体" w:hAnsi="宋体" w:eastAsia="宋体" w:cs="宋体"/>
          <w:b w:val="0"/>
          <w:bCs w:val="0"/>
          <w:color w:val="auto"/>
          <w:kern w:val="2"/>
          <w:sz w:val="28"/>
          <w:szCs w:val="24"/>
          <w:highlight w:val="none"/>
          <w:shd w:val="clear" w:color="auto" w:fill="auto"/>
          <w:lang w:val="en-US" w:eastAsia="zh-CN" w:bidi="ar-SA"/>
        </w:rPr>
        <w:t>汇总</w:t>
      </w:r>
      <w:r>
        <w:rPr>
          <w:rFonts w:hint="eastAsia" w:ascii="宋体" w:hAnsi="宋体" w:eastAsia="宋体" w:cs="宋体"/>
          <w:b w:val="0"/>
          <w:bCs w:val="0"/>
          <w:color w:val="auto"/>
          <w:kern w:val="2"/>
          <w:sz w:val="28"/>
          <w:szCs w:val="24"/>
          <w:highlight w:val="none"/>
          <w:shd w:val="clear" w:color="auto" w:fill="auto"/>
          <w:lang w:val="zh-TW" w:eastAsia="zh-TW" w:bidi="ar-SA"/>
        </w:rPr>
        <w:t>分值如下表</w:t>
      </w:r>
      <w:r>
        <w:rPr>
          <w:rFonts w:hint="eastAsia" w:ascii="宋体" w:hAnsi="宋体" w:eastAsia="宋体" w:cs="宋体"/>
          <w:b w:val="0"/>
          <w:bCs w:val="0"/>
          <w:color w:val="auto"/>
          <w:kern w:val="2"/>
          <w:sz w:val="28"/>
          <w:szCs w:val="24"/>
          <w:highlight w:val="none"/>
          <w:shd w:val="clear" w:color="auto" w:fill="auto"/>
          <w:lang w:val="en-US" w:eastAsia="zh-CN" w:bidi="ar-SA"/>
        </w:rPr>
        <w:t>3-1</w:t>
      </w:r>
      <w:r>
        <w:rPr>
          <w:rFonts w:hint="eastAsia" w:ascii="宋体" w:hAnsi="宋体" w:eastAsia="宋体" w:cs="宋体"/>
          <w:b w:val="0"/>
          <w:bCs w:val="0"/>
          <w:color w:val="auto"/>
          <w:kern w:val="2"/>
          <w:sz w:val="28"/>
          <w:szCs w:val="24"/>
          <w:highlight w:val="none"/>
          <w:shd w:val="clear" w:color="auto" w:fill="auto"/>
          <w:lang w:val="zh-TW" w:eastAsia="zh-TW" w:bidi="ar-SA"/>
        </w:rPr>
        <w:t>所示</w:t>
      </w:r>
      <w:r>
        <w:rPr>
          <w:rFonts w:hint="eastAsia" w:ascii="宋体" w:hAnsi="宋体" w:eastAsia="宋体" w:cs="宋体"/>
          <w:b w:val="0"/>
          <w:bCs w:val="0"/>
          <w:color w:val="auto"/>
          <w:kern w:val="2"/>
          <w:sz w:val="28"/>
          <w:szCs w:val="24"/>
          <w:highlight w:val="none"/>
          <w:shd w:val="clear" w:color="auto" w:fill="auto"/>
          <w:lang w:val="zh-TW" w:eastAsia="zh-CN" w:bidi="ar-SA"/>
        </w:rPr>
        <w:t>（</w:t>
      </w:r>
      <w:r>
        <w:rPr>
          <w:rFonts w:hint="eastAsia" w:ascii="宋体" w:hAnsi="宋体" w:eastAsia="宋体" w:cs="宋体"/>
          <w:b w:val="0"/>
          <w:bCs w:val="0"/>
          <w:color w:val="auto"/>
          <w:kern w:val="2"/>
          <w:sz w:val="28"/>
          <w:szCs w:val="24"/>
          <w:highlight w:val="none"/>
          <w:shd w:val="clear" w:color="auto" w:fill="auto"/>
          <w:lang w:val="en-US" w:eastAsia="zh-CN" w:bidi="ar-SA"/>
        </w:rPr>
        <w:t>详见上传的附件</w:t>
      </w:r>
      <w:r>
        <w:rPr>
          <w:rFonts w:hint="eastAsia" w:ascii="宋体" w:hAnsi="宋体" w:eastAsia="宋体" w:cs="宋体"/>
          <w:b w:val="0"/>
          <w:bCs w:val="0"/>
          <w:color w:val="auto"/>
          <w:kern w:val="2"/>
          <w:sz w:val="28"/>
          <w:szCs w:val="24"/>
          <w:highlight w:val="none"/>
          <w:shd w:val="clear" w:color="auto" w:fill="auto"/>
          <w:lang w:val="zh-TW" w:eastAsia="zh-CN" w:bidi="ar-SA"/>
        </w:rPr>
        <w:t>）</w:t>
      </w:r>
      <w:r>
        <w:rPr>
          <w:rFonts w:hint="eastAsia" w:ascii="宋体" w:hAnsi="宋体" w:eastAsia="宋体" w:cs="宋体"/>
          <w:b w:val="0"/>
          <w:bCs w:val="0"/>
          <w:color w:val="auto"/>
          <w:kern w:val="2"/>
          <w:sz w:val="28"/>
          <w:szCs w:val="24"/>
          <w:highlight w:val="none"/>
          <w:shd w:val="clear" w:color="auto" w:fill="auto"/>
          <w:lang w:val="zh-TW" w:eastAsia="zh-TW" w:bidi="ar-SA"/>
        </w:rPr>
        <w:t>：</w:t>
      </w:r>
    </w:p>
    <w:p w14:paraId="1EAB1C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2"/>
          <w:sz w:val="28"/>
          <w:szCs w:val="24"/>
          <w:highlight w:val="none"/>
          <w:shd w:val="clear" w:color="auto" w:fill="auto"/>
          <w:lang w:val="zh-TW" w:eastAsia="zh-TW" w:bidi="ar-SA"/>
        </w:rPr>
      </w:pPr>
    </w:p>
    <w:p w14:paraId="2C07AF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highlight w:val="none"/>
          <w:shd w:val="clear" w:color="auto" w:fill="auto"/>
          <w:lang w:val="zh-TW" w:eastAsia="zh-TW"/>
        </w:rPr>
      </w:pPr>
    </w:p>
    <w:p w14:paraId="28690C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highlight w:val="none"/>
          <w:shd w:val="clear" w:color="auto" w:fill="auto"/>
          <w:lang w:val="zh-TW" w:eastAsia="zh-TW"/>
        </w:rPr>
      </w:pP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5CE8C9FE">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19F098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ascii="宋体" w:hAnsi="宋体" w:eastAsia="宋体" w:cs="宋体"/>
                <w:b w:val="0"/>
                <w:bCs w:val="0"/>
                <w:color w:val="auto"/>
                <w:kern w:val="0"/>
                <w:sz w:val="28"/>
                <w:szCs w:val="28"/>
                <w:highlight w:val="none"/>
                <w:shd w:val="clear" w:color="auto" w:fill="auto"/>
                <w:lang w:val="en-US" w:eastAsia="zh-CN"/>
              </w:rPr>
              <w:t>昌州财教【2022】82号提前下达2023年新疆西藏地区特殊教育补助资金（园舍维修资金）项目得分表</w:t>
            </w:r>
          </w:p>
          <w:p w14:paraId="0AC0F0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p>
        </w:tc>
      </w:tr>
      <w:tr w14:paraId="7B1262E2">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5DA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FBD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72E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F59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9CB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761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0A5F5ACA">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3C9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BC5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422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3C9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265E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CB2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6C022D0B">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F53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588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6C9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FEC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79C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DC0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p>
        </w:tc>
      </w:tr>
      <w:tr w14:paraId="0E80F25C">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E39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B55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96%</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66F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679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D7E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F62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r>
              <w:rPr>
                <w:rFonts w:hint="eastAsia" w:ascii="宋体" w:hAnsi="宋体" w:eastAsia="宋体" w:cs="宋体"/>
                <w:color w:val="auto"/>
                <w:kern w:val="0"/>
                <w:sz w:val="21"/>
                <w:szCs w:val="21"/>
                <w:highlight w:val="none"/>
                <w:shd w:val="clear" w:color="auto" w:fill="auto"/>
                <w:lang w:val="en-US" w:eastAsia="zh-CN"/>
              </w:rPr>
              <w:t>%</w:t>
            </w:r>
          </w:p>
        </w:tc>
      </w:tr>
    </w:tbl>
    <w:p w14:paraId="1B638867">
      <w:pPr>
        <w:pStyle w:val="2"/>
        <w:pageBreakBefore w:val="0"/>
        <w:numPr>
          <w:ilvl w:val="0"/>
          <w:numId w:val="4"/>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绩效评价指标分析</w:t>
      </w:r>
      <w:bookmarkEnd w:id="56"/>
      <w:bookmarkStart w:id="57" w:name="_Toc15355"/>
    </w:p>
    <w:p w14:paraId="4E64F409">
      <w:pPr>
        <w:pStyle w:val="2"/>
        <w:pageBreakBefore w:val="0"/>
        <w:numPr>
          <w:ilvl w:val="0"/>
          <w:numId w:val="0"/>
        </w:numPr>
        <w:kinsoku/>
        <w:wordWrap/>
        <w:overflowPunct/>
        <w:topLinePunct w:val="0"/>
        <w:autoSpaceDE/>
        <w:autoSpaceDN/>
        <w:bidi w:val="0"/>
        <w:adjustRightInd/>
        <w:spacing w:beforeLines="0" w:afterLines="0" w:line="360" w:lineRule="auto"/>
        <w:ind w:firstLine="643" w:firstLineChars="200"/>
        <w:textAlignment w:val="auto"/>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rPr>
        <w:t>（一）项目决策情况</w:t>
      </w:r>
      <w:bookmarkEnd w:id="57"/>
    </w:p>
    <w:p w14:paraId="04BA6492">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19.2</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6869AA34">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7C71F9E3">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13B6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DDA6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4C90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7D7E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624D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DEA5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2945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214C53FA">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B3DB8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0CA1A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FC63E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659BB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6B61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4398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9511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397C3D3D">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B2C71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B5F1D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5FBE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DCB1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A30D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68DB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0055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14:paraId="5B6222FE">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B7B22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6F218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20BC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E0DE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5E24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FB8C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0987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7E8E688">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DD4F1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C8E31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098D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6EA6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7D6A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533D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6A8E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3E19DE7">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600EF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A7221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04F6C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DF5E6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3081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1B8C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E757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5679956">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2D93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883C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C782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32DD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DA6D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11B7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AC0F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50EB3FB">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6E70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B57C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9F0B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04C7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2173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19.2</w:t>
            </w:r>
          </w:p>
        </w:tc>
      </w:tr>
    </w:tbl>
    <w:p w14:paraId="79EEBCA2">
      <w:pPr>
        <w:numPr>
          <w:ilvl w:val="0"/>
          <w:numId w:val="0"/>
        </w:numPr>
        <w:bidi w:val="0"/>
        <w:ind w:firstLine="562" w:firstLineChars="200"/>
        <w:outlineLvl w:val="2"/>
        <w:rPr>
          <w:rFonts w:hint="eastAsia"/>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1B7A0390">
      <w:pPr>
        <w:bidi w:val="0"/>
        <w:ind w:left="0" w:leftChars="0" w:firstLine="0" w:firstLineChars="0"/>
        <w:rPr>
          <w:rFonts w:hint="eastAsia"/>
          <w:color w:val="auto"/>
          <w:highlight w:val="none"/>
          <w:lang w:eastAsia="zh-CN"/>
        </w:rPr>
      </w:pPr>
      <w:r>
        <w:rPr>
          <w:rFonts w:hint="eastAsia"/>
          <w:color w:val="auto"/>
          <w:highlight w:val="none"/>
          <w:lang w:val="en-US" w:eastAsia="zh-CN"/>
        </w:rPr>
        <w:t xml:space="preserve">    </w:t>
      </w:r>
      <w:r>
        <w:rPr>
          <w:rFonts w:hint="eastAsia"/>
          <w:color w:val="auto"/>
          <w:highlight w:val="none"/>
          <w:lang w:eastAsia="zh-CN"/>
        </w:rPr>
        <w:t>①项目立项符合</w:t>
      </w:r>
      <w:r>
        <w:rPr>
          <w:rFonts w:hint="eastAsia" w:ascii="宋体" w:hAnsi="宋体" w:eastAsia="宋体" w:cs="宋体"/>
          <w:color w:val="auto"/>
          <w:highlight w:val="none"/>
          <w:shd w:val="clear" w:color="auto" w:fill="auto"/>
          <w:lang w:val="en-US" w:eastAsia="zh-CN"/>
        </w:rPr>
        <w:t>自治区财政厅《关于提前下达2023年新疆西藏等地区教育特殊补助资金预算的通知》（新财教[2022]176号）文件，</w:t>
      </w:r>
      <w:r>
        <w:rPr>
          <w:rFonts w:hint="eastAsia"/>
          <w:color w:val="auto"/>
          <w:highlight w:val="none"/>
          <w:lang w:eastAsia="zh-CN"/>
        </w:rPr>
        <w:t>；</w:t>
      </w:r>
    </w:p>
    <w:p w14:paraId="193EAA63">
      <w:pPr>
        <w:bidi w:val="0"/>
        <w:rPr>
          <w:rFonts w:hint="eastAsia"/>
          <w:color w:val="auto"/>
          <w:highlight w:val="none"/>
          <w:lang w:eastAsia="zh-CN"/>
        </w:rPr>
      </w:pPr>
      <w:r>
        <w:rPr>
          <w:rFonts w:hint="eastAsia"/>
          <w:color w:val="auto"/>
          <w:highlight w:val="none"/>
          <w:lang w:eastAsia="zh-CN"/>
        </w:rPr>
        <w:t>②项目立项符合《</w:t>
      </w:r>
      <w:r>
        <w:rPr>
          <w:rFonts w:hint="eastAsia"/>
          <w:color w:val="auto"/>
          <w:highlight w:val="none"/>
          <w:lang w:val="en-US" w:eastAsia="zh-CN"/>
        </w:rPr>
        <w:t>阜康市教育扶贫惠民政策宣传手册</w:t>
      </w:r>
      <w:r>
        <w:rPr>
          <w:rFonts w:hint="eastAsia"/>
          <w:color w:val="auto"/>
          <w:highlight w:val="none"/>
          <w:lang w:eastAsia="zh-CN"/>
        </w:rPr>
        <w:t>》</w:t>
      </w:r>
      <w:r>
        <w:rPr>
          <w:rFonts w:hint="eastAsia"/>
          <w:color w:val="auto"/>
          <w:highlight w:val="none"/>
          <w:lang w:val="en-US" w:eastAsia="zh-CN"/>
        </w:rPr>
        <w:t>相关</w:t>
      </w:r>
      <w:r>
        <w:rPr>
          <w:rFonts w:hint="eastAsia"/>
          <w:color w:val="auto"/>
          <w:highlight w:val="none"/>
          <w:lang w:eastAsia="zh-CN"/>
        </w:rPr>
        <w:t>政策要求；</w:t>
      </w:r>
    </w:p>
    <w:p w14:paraId="67FD1432">
      <w:pPr>
        <w:bidi w:val="0"/>
        <w:rPr>
          <w:rFonts w:hint="eastAsia"/>
          <w:color w:val="auto"/>
          <w:highlight w:val="none"/>
          <w:lang w:eastAsia="zh-CN"/>
        </w:rPr>
      </w:pPr>
      <w:r>
        <w:rPr>
          <w:rFonts w:hint="eastAsia"/>
          <w:color w:val="auto"/>
          <w:highlight w:val="none"/>
          <w:lang w:eastAsia="zh-CN"/>
        </w:rPr>
        <w:t>③项目立项</w:t>
      </w:r>
      <w:r>
        <w:rPr>
          <w:rFonts w:hint="eastAsia"/>
          <w:color w:val="auto"/>
          <w:highlight w:val="none"/>
          <w:lang w:val="en-US" w:eastAsia="zh-CN"/>
        </w:rPr>
        <w:t>与宣传贯彻党和国家的教育方针、教育政策、教育法律法规、贯彻执行上级教育行政部门的各项规章制度的</w:t>
      </w:r>
      <w:r>
        <w:rPr>
          <w:rFonts w:hint="eastAsia"/>
          <w:color w:val="auto"/>
          <w:highlight w:val="none"/>
          <w:lang w:eastAsia="zh-CN"/>
        </w:rPr>
        <w:t>部门职责范围相符，属于部门履职所需；</w:t>
      </w:r>
    </w:p>
    <w:p w14:paraId="47DE2D22">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710B1E16">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05D35BA3">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16364E01">
      <w:pPr>
        <w:numPr>
          <w:ilvl w:val="0"/>
          <w:numId w:val="0"/>
        </w:numPr>
        <w:bidi w:val="0"/>
        <w:ind w:firstLine="562" w:firstLineChars="200"/>
        <w:outlineLvl w:val="2"/>
        <w:rPr>
          <w:rFonts w:hint="eastAsia"/>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7BE460EE">
      <w:pPr>
        <w:bidi w:val="0"/>
        <w:rPr>
          <w:rFonts w:hint="eastAsia"/>
          <w:color w:val="auto"/>
          <w:highlight w:val="none"/>
          <w:lang w:eastAsia="zh-CN"/>
        </w:rPr>
      </w:pPr>
      <w:r>
        <w:rPr>
          <w:rFonts w:hint="eastAsia"/>
          <w:color w:val="auto"/>
          <w:highlight w:val="none"/>
          <w:lang w:eastAsia="zh-CN"/>
        </w:rPr>
        <w:t>该项目立项程序符合</w:t>
      </w:r>
      <w:r>
        <w:rPr>
          <w:rFonts w:hint="eastAsia" w:ascii="宋体" w:hAnsi="宋体" w:eastAsia="宋体" w:cs="宋体"/>
          <w:b w:val="0"/>
          <w:bCs w:val="0"/>
          <w:color w:val="auto"/>
          <w:sz w:val="28"/>
          <w:szCs w:val="28"/>
          <w:highlight w:val="none"/>
          <w:shd w:val="clear" w:color="auto" w:fill="auto"/>
          <w:lang w:val="en-US" w:eastAsia="zh-CN"/>
        </w:rPr>
        <w:t>阜康市</w:t>
      </w:r>
      <w:r>
        <w:rPr>
          <w:rFonts w:hint="eastAsia" w:cs="宋体"/>
          <w:b w:val="0"/>
          <w:bCs w:val="0"/>
          <w:color w:val="auto"/>
          <w:sz w:val="28"/>
          <w:szCs w:val="28"/>
          <w:highlight w:val="none"/>
          <w:shd w:val="clear" w:color="auto" w:fill="auto"/>
          <w:lang w:val="en-US" w:eastAsia="zh-CN"/>
        </w:rPr>
        <w:t>上户沟第一中心幼儿园</w:t>
      </w:r>
      <w:r>
        <w:rPr>
          <w:rFonts w:hint="eastAsia"/>
          <w:color w:val="auto"/>
          <w:highlight w:val="none"/>
        </w:rPr>
        <w:t>根据国家相关法规和内部控制等制度文件汇编，</w:t>
      </w:r>
      <w:r>
        <w:rPr>
          <w:rFonts w:hint="eastAsia"/>
          <w:color w:val="auto"/>
          <w:highlight w:val="none"/>
          <w:lang w:eastAsia="zh-CN"/>
        </w:rPr>
        <w:t>我园</w:t>
      </w:r>
      <w:r>
        <w:rPr>
          <w:rFonts w:hint="eastAsia"/>
          <w:color w:val="auto"/>
          <w:highlight w:val="none"/>
        </w:rPr>
        <w:t>建立《</w:t>
      </w:r>
      <w:r>
        <w:rPr>
          <w:rFonts w:hint="eastAsia" w:ascii="宋体" w:hAnsi="宋体" w:eastAsia="宋体" w:cs="宋体"/>
          <w:b w:val="0"/>
          <w:bCs w:val="0"/>
          <w:color w:val="auto"/>
          <w:sz w:val="28"/>
          <w:szCs w:val="28"/>
          <w:highlight w:val="none"/>
          <w:shd w:val="clear" w:color="auto" w:fill="auto"/>
          <w:lang w:val="en-US" w:eastAsia="zh-CN"/>
        </w:rPr>
        <w:t>阜康市</w:t>
      </w:r>
      <w:r>
        <w:rPr>
          <w:rFonts w:hint="eastAsia" w:cs="宋体"/>
          <w:b w:val="0"/>
          <w:bCs w:val="0"/>
          <w:color w:val="auto"/>
          <w:sz w:val="28"/>
          <w:szCs w:val="28"/>
          <w:highlight w:val="none"/>
          <w:shd w:val="clear" w:color="auto" w:fill="auto"/>
          <w:lang w:val="en-US" w:eastAsia="zh-CN"/>
        </w:rPr>
        <w:t>上户沟第一中心幼儿园</w:t>
      </w:r>
      <w:r>
        <w:rPr>
          <w:rFonts w:hint="eastAsia"/>
          <w:color w:val="auto"/>
          <w:highlight w:val="none"/>
          <w:lang w:eastAsia="zh-CN"/>
        </w:rPr>
        <w:t>财务管理制度</w:t>
      </w:r>
      <w:r>
        <w:rPr>
          <w:rFonts w:hint="eastAsia"/>
          <w:color w:val="auto"/>
          <w:highlight w:val="none"/>
        </w:rPr>
        <w:t>汇编》、《</w:t>
      </w:r>
      <w:r>
        <w:rPr>
          <w:rFonts w:hint="eastAsia" w:ascii="宋体" w:hAnsi="宋体" w:eastAsia="宋体" w:cs="宋体"/>
          <w:b w:val="0"/>
          <w:bCs w:val="0"/>
          <w:color w:val="auto"/>
          <w:sz w:val="28"/>
          <w:szCs w:val="28"/>
          <w:highlight w:val="none"/>
          <w:shd w:val="clear" w:color="auto" w:fill="auto"/>
          <w:lang w:val="en-US" w:eastAsia="zh-CN"/>
        </w:rPr>
        <w:t>阜康市</w:t>
      </w:r>
      <w:r>
        <w:rPr>
          <w:rFonts w:hint="eastAsia" w:cs="宋体"/>
          <w:b w:val="0"/>
          <w:bCs w:val="0"/>
          <w:color w:val="auto"/>
          <w:sz w:val="28"/>
          <w:szCs w:val="28"/>
          <w:highlight w:val="none"/>
          <w:shd w:val="clear" w:color="auto" w:fill="auto"/>
          <w:lang w:val="en-US" w:eastAsia="zh-CN"/>
        </w:rPr>
        <w:t>上户沟第一中心幼儿园</w:t>
      </w:r>
      <w:r>
        <w:rPr>
          <w:rFonts w:hint="eastAsia"/>
          <w:color w:val="auto"/>
          <w:highlight w:val="none"/>
        </w:rPr>
        <w:t>“三公经费”预算管理和公开制度》等各项规章制度和工作程序，从制度和程序上严把资金使用、管理、绩效等各环节关口，堵塞漏洞、消除隐患，切实加强资金监管</w:t>
      </w:r>
      <w:r>
        <w:rPr>
          <w:rFonts w:hint="eastAsia"/>
          <w:color w:val="auto"/>
          <w:highlight w:val="none"/>
          <w:lang w:eastAsia="zh-CN"/>
        </w:rPr>
        <w:t>；</w:t>
      </w:r>
    </w:p>
    <w:p w14:paraId="4D39969B">
      <w:pPr>
        <w:bidi w:val="0"/>
        <w:ind w:left="0" w:leftChars="0" w:firstLine="560" w:firstLineChars="200"/>
        <w:rPr>
          <w:rFonts w:hint="eastAsia"/>
          <w:color w:val="auto"/>
          <w:highlight w:val="none"/>
          <w:lang w:eastAsia="zh-CN"/>
        </w:rPr>
      </w:pPr>
      <w:r>
        <w:rPr>
          <w:rFonts w:hint="eastAsia"/>
          <w:color w:val="auto"/>
          <w:highlight w:val="none"/>
          <w:lang w:eastAsia="zh-CN"/>
        </w:rPr>
        <w:t>①项目按照规定的程序申请设立；</w:t>
      </w:r>
    </w:p>
    <w:p w14:paraId="48E9A854">
      <w:pPr>
        <w:ind w:firstLine="560"/>
        <w:rPr>
          <w:rFonts w:hint="eastAsia"/>
          <w:color w:val="auto"/>
          <w:highlight w:val="none"/>
          <w:lang w:val="en-US" w:eastAsia="zh-CN"/>
        </w:rPr>
      </w:pPr>
      <w:r>
        <w:rPr>
          <w:rFonts w:hint="eastAsia"/>
          <w:color w:val="auto"/>
          <w:highlight w:val="none"/>
        </w:rPr>
        <w:t>②</w:t>
      </w:r>
      <w:r>
        <w:rPr>
          <w:rFonts w:hint="eastAsia"/>
          <w:color w:val="auto"/>
          <w:highlight w:val="none"/>
          <w:lang w:eastAsia="zh-CN"/>
        </w:rPr>
        <w:t>我园</w:t>
      </w:r>
      <w:r>
        <w:rPr>
          <w:rFonts w:hint="eastAsia"/>
          <w:color w:val="auto"/>
          <w:highlight w:val="none"/>
        </w:rPr>
        <w:t>建立《</w:t>
      </w:r>
      <w:r>
        <w:rPr>
          <w:rFonts w:hint="eastAsia" w:ascii="宋体" w:hAnsi="宋体" w:eastAsia="宋体" w:cs="宋体"/>
          <w:b w:val="0"/>
          <w:bCs w:val="0"/>
          <w:color w:val="auto"/>
          <w:sz w:val="28"/>
          <w:szCs w:val="28"/>
          <w:highlight w:val="none"/>
          <w:shd w:val="clear" w:color="auto" w:fill="auto"/>
          <w:lang w:val="en-US" w:eastAsia="zh-CN"/>
        </w:rPr>
        <w:t>阜康市</w:t>
      </w:r>
      <w:r>
        <w:rPr>
          <w:rFonts w:hint="eastAsia" w:cs="宋体"/>
          <w:b w:val="0"/>
          <w:bCs w:val="0"/>
          <w:color w:val="auto"/>
          <w:sz w:val="28"/>
          <w:szCs w:val="28"/>
          <w:highlight w:val="none"/>
          <w:shd w:val="clear" w:color="auto" w:fill="auto"/>
          <w:lang w:val="en-US" w:eastAsia="zh-CN"/>
        </w:rPr>
        <w:t>上户沟第一中心幼儿园</w:t>
      </w:r>
      <w:r>
        <w:rPr>
          <w:rFonts w:hint="eastAsia"/>
          <w:color w:val="auto"/>
          <w:highlight w:val="none"/>
          <w:lang w:eastAsia="zh-CN"/>
        </w:rPr>
        <w:t>财务管理制度</w:t>
      </w:r>
      <w:r>
        <w:rPr>
          <w:rFonts w:hint="eastAsia"/>
          <w:color w:val="auto"/>
          <w:highlight w:val="none"/>
        </w:rPr>
        <w:t>汇编》、《</w:t>
      </w:r>
      <w:r>
        <w:rPr>
          <w:rFonts w:hint="eastAsia" w:ascii="宋体" w:hAnsi="宋体" w:eastAsia="宋体" w:cs="宋体"/>
          <w:b w:val="0"/>
          <w:bCs w:val="0"/>
          <w:color w:val="auto"/>
          <w:sz w:val="28"/>
          <w:szCs w:val="28"/>
          <w:highlight w:val="none"/>
          <w:shd w:val="clear" w:color="auto" w:fill="auto"/>
          <w:lang w:val="en-US" w:eastAsia="zh-CN"/>
        </w:rPr>
        <w:t>阜康市</w:t>
      </w:r>
      <w:r>
        <w:rPr>
          <w:rFonts w:hint="eastAsia" w:cs="宋体"/>
          <w:b w:val="0"/>
          <w:bCs w:val="0"/>
          <w:color w:val="auto"/>
          <w:sz w:val="28"/>
          <w:szCs w:val="28"/>
          <w:highlight w:val="none"/>
          <w:shd w:val="clear" w:color="auto" w:fill="auto"/>
          <w:lang w:val="en-US" w:eastAsia="zh-CN"/>
        </w:rPr>
        <w:t>上户沟第一中心幼儿园</w:t>
      </w:r>
      <w:r>
        <w:rPr>
          <w:rFonts w:hint="eastAsia"/>
          <w:color w:val="auto"/>
          <w:highlight w:val="none"/>
        </w:rPr>
        <w:t>“三公经费”预算管理和公开制度》等；</w:t>
      </w:r>
    </w:p>
    <w:p w14:paraId="09AA63A0">
      <w:pPr>
        <w:bidi w:val="0"/>
        <w:ind w:left="0" w:leftChars="0" w:firstLine="560" w:firstLineChars="200"/>
        <w:rPr>
          <w:rFonts w:hint="eastAsia"/>
          <w:color w:val="auto"/>
          <w:highlight w:val="none"/>
          <w:lang w:eastAsia="zh-CN"/>
        </w:rPr>
      </w:pPr>
      <w:r>
        <w:rPr>
          <w:rFonts w:hint="eastAsia"/>
          <w:color w:val="auto"/>
          <w:highlight w:val="none"/>
          <w:lang w:eastAsia="zh-CN"/>
        </w:rPr>
        <w:t>③事</w:t>
      </w:r>
      <w:r>
        <w:rPr>
          <w:rFonts w:hint="eastAsia"/>
          <w:color w:val="auto"/>
          <w:highlight w:val="none"/>
          <w:lang w:val="en-US" w:eastAsia="zh-CN"/>
        </w:rPr>
        <w:t>前经历过</w:t>
      </w:r>
      <w:r>
        <w:rPr>
          <w:rFonts w:hint="eastAsia"/>
          <w:color w:val="auto"/>
          <w:highlight w:val="none"/>
          <w:lang w:eastAsia="zh-CN"/>
        </w:rPr>
        <w:t>集体决策。</w:t>
      </w:r>
    </w:p>
    <w:p w14:paraId="3165E2FE">
      <w:pPr>
        <w:bidi w:val="0"/>
        <w:rPr>
          <w:rFonts w:hint="eastAsia"/>
          <w:color w:val="auto"/>
          <w:highlight w:val="none"/>
          <w:lang w:eastAsia="zh-CN"/>
        </w:rPr>
      </w:pPr>
      <w:r>
        <w:rPr>
          <w:rFonts w:hint="eastAsia"/>
          <w:b/>
          <w:bCs/>
          <w:color w:val="auto"/>
          <w:highlight w:val="none"/>
          <w:lang w:val="en-US" w:eastAsia="zh-CN"/>
        </w:rPr>
        <w:t>综上，该项指标满分3分，得分2.2分。</w:t>
      </w:r>
    </w:p>
    <w:p w14:paraId="7BC5B1CE">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7DE63492">
      <w:pPr>
        <w:bidi w:val="0"/>
        <w:rPr>
          <w:rFonts w:hint="eastAsia"/>
          <w:color w:val="auto"/>
          <w:highlight w:val="none"/>
          <w:lang w:eastAsia="zh-CN"/>
        </w:rPr>
      </w:pPr>
      <w:r>
        <w:rPr>
          <w:rFonts w:hint="eastAsia"/>
          <w:color w:val="auto"/>
          <w:highlight w:val="none"/>
          <w:lang w:eastAsia="zh-CN"/>
        </w:rPr>
        <w:t>①项目有绩效目标。</w:t>
      </w:r>
    </w:p>
    <w:p w14:paraId="3C0F5DC5">
      <w:pPr>
        <w:bidi w:val="0"/>
        <w:rPr>
          <w:rFonts w:hint="default"/>
          <w:color w:val="auto"/>
          <w:highlight w:val="none"/>
          <w:lang w:val="en-US" w:eastAsia="zh-CN"/>
        </w:rPr>
      </w:pPr>
      <w:r>
        <w:rPr>
          <w:rFonts w:hint="eastAsia"/>
          <w:color w:val="auto"/>
          <w:highlight w:val="none"/>
          <w:lang w:eastAsia="zh-CN"/>
        </w:rPr>
        <w:t>②项目绩效目标</w:t>
      </w:r>
      <w:r>
        <w:rPr>
          <w:rFonts w:hint="eastAsia"/>
          <w:color w:val="auto"/>
          <w:highlight w:val="none"/>
          <w:lang w:val="en-US" w:eastAsia="zh-CN"/>
        </w:rPr>
        <w:t>与实际工作内容具有相关性；</w:t>
      </w:r>
    </w:p>
    <w:p w14:paraId="04FDBE77">
      <w:pPr>
        <w:bidi w:val="0"/>
        <w:rPr>
          <w:rFonts w:hint="eastAsia"/>
          <w:color w:val="auto"/>
          <w:highlight w:val="none"/>
          <w:lang w:eastAsia="zh-CN"/>
        </w:rPr>
      </w:pPr>
      <w:r>
        <w:rPr>
          <w:rFonts w:hint="eastAsia"/>
          <w:color w:val="auto"/>
          <w:highlight w:val="none"/>
          <w:lang w:eastAsia="zh-CN"/>
        </w:rPr>
        <w:t>③项目预期为产出效益和效果符合正常的业绩水平；</w:t>
      </w:r>
    </w:p>
    <w:p w14:paraId="55AB62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④预算确定的项目投资额为</w:t>
      </w:r>
      <w:r>
        <w:rPr>
          <w:rFonts w:hint="eastAsia"/>
          <w:color w:val="auto"/>
          <w:highlight w:val="none"/>
          <w:lang w:val="en-US" w:eastAsia="zh-CN"/>
        </w:rPr>
        <w:t>15.07万元，资金执行数为15.07万元，</w:t>
      </w:r>
      <w:r>
        <w:rPr>
          <w:rFonts w:hint="eastAsia"/>
          <w:color w:val="auto"/>
          <w:highlight w:val="none"/>
          <w:lang w:eastAsia="zh-CN"/>
        </w:rPr>
        <w:t>资金量相匹配。</w:t>
      </w:r>
    </w:p>
    <w:p w14:paraId="62376B86">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2DBF6446">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453A310F">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①将项目绩效目标细化分解为具体的绩效指标，</w:t>
      </w:r>
      <w:r>
        <w:rPr>
          <w:rFonts w:hint="eastAsia" w:asciiTheme="minorEastAsia" w:hAnsiTheme="minorEastAsia" w:eastAsiaTheme="minorEastAsia" w:cstheme="minorEastAsia"/>
          <w:color w:val="auto"/>
          <w:szCs w:val="30"/>
          <w:highlight w:val="none"/>
        </w:rPr>
        <w:t>指标数共计</w:t>
      </w:r>
      <w:r>
        <w:rPr>
          <w:rFonts w:hint="eastAsia" w:asciiTheme="minorEastAsia" w:hAnsiTheme="minorEastAsia" w:eastAsiaTheme="minorEastAsia" w:cstheme="minorEastAsia"/>
          <w:color w:val="auto"/>
          <w:szCs w:val="30"/>
          <w:highlight w:val="none"/>
          <w:lang w:val="en-US" w:eastAsia="zh-CN"/>
        </w:rPr>
        <w:t>22</w:t>
      </w:r>
      <w:r>
        <w:rPr>
          <w:rFonts w:hint="eastAsia" w:asciiTheme="minorEastAsia" w:hAnsiTheme="minorEastAsia" w:eastAsiaTheme="minorEastAsia" w:cstheme="minorEastAsia"/>
          <w:color w:val="auto"/>
          <w:szCs w:val="30"/>
          <w:highlight w:val="none"/>
        </w:rPr>
        <w:t>个，其中</w:t>
      </w:r>
      <w:r>
        <w:rPr>
          <w:rFonts w:hint="eastAsia" w:asciiTheme="minorEastAsia" w:hAnsiTheme="minorEastAsia" w:eastAsiaTheme="minorEastAsia" w:cstheme="minorEastAsia"/>
          <w:color w:val="auto"/>
          <w:szCs w:val="30"/>
          <w:highlight w:val="none"/>
          <w:lang w:eastAsia="zh-CN"/>
        </w:rPr>
        <w:t>一级指标</w:t>
      </w:r>
      <w:r>
        <w:rPr>
          <w:rFonts w:hint="eastAsia" w:asciiTheme="minorEastAsia" w:hAnsiTheme="minorEastAsia" w:eastAsiaTheme="minorEastAsia" w:cstheme="minorEastAsia"/>
          <w:color w:val="auto"/>
          <w:szCs w:val="30"/>
          <w:highlight w:val="none"/>
          <w:lang w:val="en-US" w:eastAsia="zh-CN"/>
        </w:rPr>
        <w:t>4个，</w:t>
      </w:r>
      <w:r>
        <w:rPr>
          <w:rFonts w:hint="eastAsia" w:asciiTheme="minorEastAsia" w:hAnsiTheme="minorEastAsia" w:eastAsiaTheme="minorEastAsia" w:cstheme="minorEastAsia"/>
          <w:color w:val="auto"/>
          <w:szCs w:val="30"/>
          <w:highlight w:val="none"/>
          <w:lang w:eastAsia="zh-CN"/>
        </w:rPr>
        <w:t>二级指标</w:t>
      </w:r>
      <w:r>
        <w:rPr>
          <w:rFonts w:hint="eastAsia" w:asciiTheme="minorEastAsia" w:hAnsiTheme="minorEastAsia" w:eastAsiaTheme="minorEastAsia" w:cstheme="minorEastAsia"/>
          <w:color w:val="auto"/>
          <w:szCs w:val="30"/>
          <w:highlight w:val="none"/>
          <w:lang w:val="en-US" w:eastAsia="zh-CN"/>
        </w:rPr>
        <w:t>7个，</w:t>
      </w:r>
      <w:r>
        <w:rPr>
          <w:rFonts w:hint="eastAsia" w:asciiTheme="minorEastAsia" w:hAnsiTheme="minorEastAsia" w:eastAsiaTheme="minorEastAsia" w:cstheme="minorEastAsia"/>
          <w:color w:val="auto"/>
          <w:szCs w:val="30"/>
          <w:highlight w:val="none"/>
          <w:lang w:eastAsia="zh-CN"/>
        </w:rPr>
        <w:t>三级</w:t>
      </w:r>
      <w:r>
        <w:rPr>
          <w:rFonts w:hint="eastAsia" w:asciiTheme="minorEastAsia" w:hAnsiTheme="minorEastAsia" w:eastAsiaTheme="minorEastAsia" w:cstheme="minorEastAsia"/>
          <w:color w:val="auto"/>
          <w:szCs w:val="30"/>
          <w:highlight w:val="none"/>
        </w:rPr>
        <w:t>指标</w:t>
      </w:r>
      <w:r>
        <w:rPr>
          <w:rFonts w:hint="eastAsia" w:asciiTheme="minorEastAsia" w:hAnsiTheme="minorEastAsia" w:eastAsiaTheme="minorEastAsia" w:cstheme="minorEastAsia"/>
          <w:color w:val="auto"/>
          <w:szCs w:val="30"/>
          <w:highlight w:val="none"/>
          <w:lang w:val="en-US" w:eastAsia="zh-CN"/>
        </w:rPr>
        <w:t>11</w:t>
      </w:r>
      <w:r>
        <w:rPr>
          <w:rFonts w:hint="eastAsia" w:asciiTheme="minorEastAsia" w:hAnsiTheme="minorEastAsia" w:eastAsiaTheme="minorEastAsia" w:cstheme="minorEastAsia"/>
          <w:color w:val="auto"/>
          <w:szCs w:val="30"/>
          <w:highlight w:val="none"/>
        </w:rPr>
        <w:t>个</w:t>
      </w:r>
      <w:r>
        <w:rPr>
          <w:rFonts w:hint="eastAsia"/>
          <w:color w:val="auto"/>
          <w:highlight w:val="none"/>
          <w:lang w:eastAsia="zh-CN"/>
        </w:rPr>
        <w:t>；</w:t>
      </w:r>
    </w:p>
    <w:p w14:paraId="58758EA6">
      <w:pPr>
        <w:bidi w:val="0"/>
        <w:ind w:left="0" w:leftChars="0" w:firstLine="560" w:firstLineChars="200"/>
        <w:rPr>
          <w:rFonts w:hint="default"/>
          <w:color w:val="auto"/>
          <w:highlight w:val="none"/>
          <w:lang w:val="en-US" w:eastAsia="zh-CN"/>
        </w:rPr>
      </w:pPr>
      <w:r>
        <w:rPr>
          <w:rFonts w:hint="eastAsia"/>
          <w:color w:val="auto"/>
          <w:highlight w:val="none"/>
          <w:lang w:eastAsia="zh-CN"/>
        </w:rPr>
        <w:t>②通过清晰、可衡量的指标值予以体现；</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9</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2个，量化率达到了81.81%；</w:t>
      </w:r>
    </w:p>
    <w:p w14:paraId="16E44C28">
      <w:pPr>
        <w:bidi w:val="0"/>
        <w:rPr>
          <w:rFonts w:hint="eastAsia"/>
          <w:color w:val="auto"/>
          <w:highlight w:val="none"/>
          <w:lang w:eastAsia="zh-CN"/>
        </w:rPr>
      </w:pPr>
      <w:r>
        <w:rPr>
          <w:rFonts w:hint="eastAsia"/>
          <w:color w:val="auto"/>
          <w:highlight w:val="none"/>
          <w:lang w:eastAsia="zh-CN"/>
        </w:rPr>
        <w:t>③与项目目标任务数或计划数相对应。</w:t>
      </w:r>
    </w:p>
    <w:p w14:paraId="47886C7C">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0FA5D33">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1922BF44">
      <w:pPr>
        <w:bidi w:val="0"/>
        <w:rPr>
          <w:rFonts w:hint="eastAsia"/>
          <w:color w:val="auto"/>
          <w:highlight w:val="none"/>
          <w:lang w:eastAsia="zh-CN"/>
        </w:rPr>
      </w:pPr>
      <w:r>
        <w:rPr>
          <w:rFonts w:hint="eastAsia"/>
          <w:color w:val="auto"/>
          <w:highlight w:val="none"/>
          <w:lang w:eastAsia="zh-CN"/>
        </w:rPr>
        <w:t>①昌州财教【2022】82号提前下达2023年新疆西藏地区特殊教育补助资金（园舍维修资金）预算编制经过科学论证；</w:t>
      </w:r>
    </w:p>
    <w:p w14:paraId="2F287BDC">
      <w:pPr>
        <w:bidi w:val="0"/>
        <w:rPr>
          <w:rFonts w:hint="eastAsia"/>
          <w:color w:val="auto"/>
          <w:highlight w:val="none"/>
          <w:lang w:eastAsia="zh-CN"/>
        </w:rPr>
      </w:pPr>
      <w:r>
        <w:rPr>
          <w:rFonts w:hint="eastAsia"/>
          <w:color w:val="auto"/>
          <w:highlight w:val="none"/>
          <w:lang w:eastAsia="zh-CN"/>
        </w:rPr>
        <w:t>②预算内容为改善校园环境，对学校专项资金加强管理，专款专用。预算内容与项目内容匹配；</w:t>
      </w:r>
    </w:p>
    <w:p w14:paraId="3D6294E7">
      <w:pPr>
        <w:bidi w:val="0"/>
        <w:rPr>
          <w:rFonts w:hint="eastAsia"/>
          <w:color w:val="auto"/>
          <w:highlight w:val="none"/>
          <w:lang w:eastAsia="zh-CN"/>
        </w:rPr>
      </w:pPr>
      <w:r>
        <w:rPr>
          <w:rFonts w:hint="eastAsia"/>
          <w:color w:val="auto"/>
          <w:highlight w:val="none"/>
          <w:lang w:eastAsia="zh-CN"/>
        </w:rPr>
        <w:t>③预算额度</w:t>
      </w:r>
      <w:r>
        <w:rPr>
          <w:rFonts w:hint="eastAsia"/>
          <w:color w:val="auto"/>
          <w:highlight w:val="none"/>
          <w:lang w:val="en-US" w:eastAsia="zh-CN"/>
        </w:rPr>
        <w:t>15.07万元，</w:t>
      </w: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w:t>
      </w:r>
      <w:r>
        <w:rPr>
          <w:rFonts w:hint="eastAsia"/>
          <w:color w:val="auto"/>
          <w:highlight w:val="none"/>
          <w:lang w:eastAsia="zh-CN"/>
        </w:rPr>
        <w:t>》，符合市场标准；</w:t>
      </w:r>
    </w:p>
    <w:p w14:paraId="767267CE">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65F4754C">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26972D7C">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31A88CF7">
      <w:pPr>
        <w:bidi w:val="0"/>
        <w:rPr>
          <w:rFonts w:hint="eastAsia"/>
          <w:color w:val="auto"/>
          <w:highlight w:val="none"/>
          <w:lang w:eastAsia="zh-CN"/>
        </w:rPr>
      </w:pPr>
      <w:r>
        <w:rPr>
          <w:rFonts w:hint="eastAsia"/>
          <w:color w:val="auto"/>
          <w:highlight w:val="none"/>
          <w:lang w:eastAsia="zh-CN"/>
        </w:rPr>
        <w:t>①预算资金分配</w:t>
      </w: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w:t>
      </w:r>
      <w:r>
        <w:rPr>
          <w:rFonts w:hint="eastAsia"/>
          <w:color w:val="auto"/>
          <w:highlight w:val="none"/>
          <w:lang w:val="en-US" w:eastAsia="zh-CN"/>
        </w:rPr>
        <w:t>上户沟哈萨克族乡第一中心幼儿园</w:t>
      </w:r>
      <w:r>
        <w:rPr>
          <w:rFonts w:hint="eastAsia"/>
          <w:color w:val="auto"/>
          <w:highlight w:val="none"/>
          <w:lang w:eastAsia="zh-CN"/>
        </w:rPr>
        <w:t>收支业务管理办法》充分；</w:t>
      </w:r>
    </w:p>
    <w:p w14:paraId="425A332B">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②资金分配依据《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w:t>
      </w:r>
      <w:r>
        <w:rPr>
          <w:rFonts w:hint="eastAsia"/>
          <w:color w:val="auto"/>
          <w:highlight w:val="none"/>
          <w:lang w:val="en-US" w:eastAsia="zh-CN"/>
        </w:rPr>
        <w:t>上户沟哈萨克族乡第一中心幼儿园</w:t>
      </w:r>
      <w:r>
        <w:rPr>
          <w:rFonts w:hint="eastAsia"/>
          <w:color w:val="auto"/>
          <w:highlight w:val="none"/>
          <w:lang w:eastAsia="zh-CN"/>
        </w:rPr>
        <w:t>收支业务管理办法》，额度合理，与项目单位或地方实际相适应。</w:t>
      </w:r>
    </w:p>
    <w:p w14:paraId="7DB4849D">
      <w:pPr>
        <w:bidi w:val="0"/>
        <w:ind w:left="0" w:leftChars="0" w:firstLine="562" w:firstLineChars="200"/>
        <w:rPr>
          <w:rFonts w:hint="eastAsia"/>
          <w:color w:val="auto"/>
          <w:highlight w:val="none"/>
          <w:lang w:eastAsia="zh-CN"/>
        </w:rPr>
      </w:pPr>
      <w:r>
        <w:rPr>
          <w:rFonts w:hint="eastAsia"/>
          <w:b/>
          <w:bCs/>
          <w:color w:val="auto"/>
          <w:highlight w:val="none"/>
          <w:lang w:val="en-US" w:eastAsia="zh-CN"/>
        </w:rPr>
        <w:t>综上，该项指标满分3分，得分3分。</w:t>
      </w:r>
    </w:p>
    <w:p w14:paraId="12B6B44B">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7298BBA4">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E86616F">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5E12EF45">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719C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5D61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B0DE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D469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9E34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3949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856D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6374AD70">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9796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090A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26CC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EA2F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8D28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E2C4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8FC8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9D44DB2">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5904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C822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0CBB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6F0C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CDDC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445C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A08C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4E48022">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F00A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8067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853A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6A77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9A52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A94A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7F05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89567D3">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F13A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A7EA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94D1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5927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C216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73AF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73C8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0538DFA">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7D48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9DEC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E75F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889F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59A9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1FB7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1AD2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1C875AF">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5E79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7B1C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CD89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8B7D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D088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37CF7332">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7ADCBD7C">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15.07万元</w:t>
      </w:r>
      <w:r>
        <w:rPr>
          <w:rFonts w:hint="eastAsia"/>
          <w:color w:val="auto"/>
          <w:highlight w:val="none"/>
          <w:lang w:eastAsia="zh-CN"/>
        </w:rPr>
        <w:t>/</w:t>
      </w:r>
      <w:r>
        <w:rPr>
          <w:rFonts w:hint="eastAsia"/>
          <w:color w:val="auto"/>
          <w:highlight w:val="none"/>
          <w:lang w:val="en-US" w:eastAsia="zh-CN"/>
        </w:rPr>
        <w:t>15.07万元</w:t>
      </w:r>
      <w:r>
        <w:rPr>
          <w:rFonts w:hint="eastAsia"/>
          <w:color w:val="auto"/>
          <w:highlight w:val="none"/>
          <w:lang w:eastAsia="zh-CN"/>
        </w:rPr>
        <w:t>）</w:t>
      </w:r>
      <w:r>
        <w:rPr>
          <w:rFonts w:hint="eastAsia"/>
          <w:color w:val="auto"/>
          <w:highlight w:val="none"/>
          <w:lang w:val="en-US" w:eastAsia="zh-CN"/>
        </w:rPr>
        <w:t>×100%=100%</w:t>
      </w:r>
    </w:p>
    <w:p w14:paraId="174F059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6234612">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4A0207AB">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15.07万元</w:t>
      </w:r>
      <w:r>
        <w:rPr>
          <w:rFonts w:hint="eastAsia"/>
          <w:color w:val="auto"/>
          <w:highlight w:val="none"/>
          <w:lang w:eastAsia="zh-CN"/>
        </w:rPr>
        <w:t>/</w:t>
      </w:r>
      <w:r>
        <w:rPr>
          <w:rFonts w:hint="eastAsia"/>
          <w:color w:val="auto"/>
          <w:highlight w:val="none"/>
          <w:lang w:val="en-US" w:eastAsia="zh-CN"/>
        </w:rPr>
        <w:t>15.07万元</w:t>
      </w:r>
      <w:r>
        <w:rPr>
          <w:rFonts w:hint="eastAsia"/>
          <w:color w:val="auto"/>
          <w:highlight w:val="none"/>
          <w:lang w:eastAsia="zh-CN"/>
        </w:rPr>
        <w:t>）×</w:t>
      </w:r>
      <w:r>
        <w:rPr>
          <w:rFonts w:hint="eastAsia"/>
          <w:color w:val="auto"/>
          <w:highlight w:val="none"/>
          <w:lang w:val="en-US" w:eastAsia="zh-CN"/>
        </w:rPr>
        <w:t>100%=100%</w:t>
      </w:r>
    </w:p>
    <w:p w14:paraId="5061F50C">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84A5882">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0745E91F">
      <w:pPr>
        <w:bidi w:val="0"/>
        <w:rPr>
          <w:rFonts w:hint="eastAsia"/>
          <w:color w:val="auto"/>
          <w:highlight w:val="none"/>
          <w:lang w:eastAsia="zh-CN"/>
        </w:rPr>
      </w:pPr>
      <w:r>
        <w:rPr>
          <w:rFonts w:hint="eastAsia"/>
          <w:color w:val="auto"/>
          <w:highlight w:val="none"/>
          <w:lang w:eastAsia="zh-CN"/>
        </w:rPr>
        <w:t>①符合国家</w:t>
      </w:r>
      <w:r>
        <w:rPr>
          <w:rFonts w:hint="eastAsia"/>
          <w:color w:val="auto"/>
          <w:highlight w:val="none"/>
          <w:lang w:val="en-US" w:eastAsia="zh-CN"/>
        </w:rPr>
        <w:t>财经法规和我园</w:t>
      </w:r>
      <w:r>
        <w:rPr>
          <w:rFonts w:hint="eastAsia"/>
          <w:color w:val="auto"/>
          <w:highlight w:val="none"/>
        </w:rPr>
        <w:t>建立《</w:t>
      </w:r>
      <w:r>
        <w:rPr>
          <w:rFonts w:hint="eastAsia" w:ascii="宋体" w:hAnsi="宋体" w:eastAsia="宋体" w:cs="宋体"/>
          <w:b w:val="0"/>
          <w:bCs w:val="0"/>
          <w:color w:val="auto"/>
          <w:sz w:val="28"/>
          <w:szCs w:val="28"/>
          <w:highlight w:val="none"/>
          <w:shd w:val="clear" w:color="auto" w:fill="auto"/>
          <w:lang w:val="en-US" w:eastAsia="zh-CN"/>
        </w:rPr>
        <w:t>上户沟第一中心幼儿园</w:t>
      </w:r>
      <w:r>
        <w:rPr>
          <w:rFonts w:hint="eastAsia" w:eastAsia="宋体"/>
          <w:color w:val="auto"/>
          <w:highlight w:val="none"/>
          <w:lang w:eastAsia="zh-CN"/>
        </w:rPr>
        <w:t>财务管理制度</w:t>
      </w:r>
      <w:r>
        <w:rPr>
          <w:rFonts w:hint="eastAsia"/>
          <w:color w:val="auto"/>
          <w:highlight w:val="none"/>
        </w:rPr>
        <w:t>汇编》、《</w:t>
      </w:r>
      <w:r>
        <w:rPr>
          <w:rFonts w:hint="eastAsia" w:ascii="宋体" w:hAnsi="宋体" w:eastAsia="宋体" w:cs="宋体"/>
          <w:b w:val="0"/>
          <w:bCs w:val="0"/>
          <w:color w:val="auto"/>
          <w:sz w:val="28"/>
          <w:szCs w:val="28"/>
          <w:highlight w:val="none"/>
          <w:shd w:val="clear" w:color="auto" w:fill="auto"/>
          <w:lang w:val="en-US" w:eastAsia="zh-CN"/>
        </w:rPr>
        <w:t>上户沟第一中心幼儿园</w:t>
      </w:r>
      <w:r>
        <w:rPr>
          <w:rFonts w:hint="eastAsia"/>
          <w:color w:val="auto"/>
          <w:highlight w:val="none"/>
        </w:rPr>
        <w:t>“三公经费”预算管理和公开制度》等有关专项资金管理办法的规定</w:t>
      </w:r>
      <w:r>
        <w:rPr>
          <w:rFonts w:hint="eastAsia"/>
          <w:color w:val="auto"/>
          <w:highlight w:val="none"/>
          <w:lang w:eastAsia="zh-CN"/>
        </w:rPr>
        <w:t>；</w:t>
      </w:r>
    </w:p>
    <w:p w14:paraId="11941F96">
      <w:pPr>
        <w:ind w:firstLine="560"/>
        <w:rPr>
          <w:rFonts w:hint="eastAsia"/>
          <w:color w:val="auto"/>
          <w:highlight w:val="none"/>
          <w:lang w:eastAsia="zh-CN"/>
        </w:rPr>
      </w:pPr>
      <w:r>
        <w:rPr>
          <w:rFonts w:hint="eastAsia"/>
          <w:color w:val="auto"/>
          <w:highlight w:val="none"/>
          <w:lang w:eastAsia="zh-CN"/>
        </w:rPr>
        <w:t>②资金的拨付有完整的审批程序和手续；符合</w:t>
      </w:r>
      <w:r>
        <w:rPr>
          <w:rFonts w:hint="eastAsia" w:ascii="宋体" w:hAnsi="宋体" w:eastAsia="宋体" w:cs="宋体"/>
          <w:b w:val="0"/>
          <w:bCs w:val="0"/>
          <w:color w:val="auto"/>
          <w:sz w:val="28"/>
          <w:szCs w:val="28"/>
          <w:highlight w:val="none"/>
          <w:shd w:val="clear" w:color="auto" w:fill="auto"/>
          <w:lang w:val="en-US" w:eastAsia="zh-CN"/>
        </w:rPr>
        <w:t>上户沟第一中心幼儿园</w:t>
      </w:r>
      <w:r>
        <w:rPr>
          <w:rFonts w:hint="eastAsia"/>
          <w:color w:val="auto"/>
          <w:highlight w:val="none"/>
        </w:rPr>
        <w:t>根据国家相关法规和内部控制等制度文件汇编</w:t>
      </w:r>
      <w:r>
        <w:rPr>
          <w:rFonts w:hint="eastAsia"/>
          <w:color w:val="auto"/>
          <w:highlight w:val="none"/>
          <w:lang w:eastAsia="zh-CN"/>
        </w:rPr>
        <w:t>；</w:t>
      </w:r>
    </w:p>
    <w:p w14:paraId="33A842BF">
      <w:pPr>
        <w:tabs>
          <w:tab w:val="left" w:pos="540"/>
        </w:tabs>
        <w:bidi w:val="0"/>
        <w:ind w:left="0" w:leftChars="0" w:firstLine="560" w:firstLineChars="200"/>
        <w:rPr>
          <w:rFonts w:hint="eastAsia"/>
          <w:color w:val="auto"/>
          <w:highlight w:val="none"/>
          <w:lang w:eastAsia="zh-CN"/>
        </w:rPr>
      </w:pPr>
      <w:r>
        <w:rPr>
          <w:rFonts w:hint="eastAsia"/>
          <w:color w:val="auto"/>
          <w:highlight w:val="none"/>
          <w:lang w:eastAsia="zh-CN"/>
        </w:rPr>
        <w:t>③符合</w:t>
      </w:r>
      <w:r>
        <w:rPr>
          <w:rFonts w:hint="eastAsia"/>
          <w:color w:val="auto"/>
          <w:highlight w:val="none"/>
          <w:lang w:val="en-US" w:eastAsia="zh-CN"/>
        </w:rPr>
        <w:t>2023年财政局下发</w:t>
      </w:r>
      <w:r>
        <w:rPr>
          <w:rFonts w:hint="eastAsia"/>
          <w:color w:val="auto"/>
          <w:highlight w:val="none"/>
          <w:lang w:eastAsia="zh-CN"/>
        </w:rPr>
        <w:t>项目预算批复</w:t>
      </w:r>
      <w:r>
        <w:rPr>
          <w:rFonts w:hint="eastAsia"/>
          <w:color w:val="auto"/>
          <w:highlight w:val="none"/>
          <w:lang w:val="en-US" w:eastAsia="zh-CN"/>
        </w:rPr>
        <w:t>和该项目</w:t>
      </w:r>
      <w:r>
        <w:rPr>
          <w:rFonts w:hint="eastAsia"/>
          <w:color w:val="auto"/>
          <w:highlight w:val="none"/>
          <w:lang w:eastAsia="zh-CN"/>
        </w:rPr>
        <w:t>合同规定的用途；</w:t>
      </w:r>
    </w:p>
    <w:p w14:paraId="286FC415">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1C4B2394">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F3AA323">
      <w:pPr>
        <w:numPr>
          <w:ilvl w:val="0"/>
          <w:numId w:val="0"/>
        </w:numPr>
        <w:bidi w:val="0"/>
        <w:ind w:firstLine="562" w:firstLineChars="200"/>
        <w:rPr>
          <w:rFonts w:hint="eastAsia"/>
          <w:b/>
          <w:bCs/>
          <w:color w:val="auto"/>
          <w:highlight w:val="none"/>
          <w:lang w:val="en-US" w:eastAsia="zh-CN"/>
        </w:rPr>
      </w:pPr>
      <w:r>
        <w:rPr>
          <w:rFonts w:hint="eastAsia"/>
          <w:b/>
          <w:bCs/>
          <w:color w:val="auto"/>
          <w:highlight w:val="none"/>
          <w:lang w:val="en-US" w:eastAsia="zh-CN"/>
        </w:rPr>
        <w:t>4.管理制度健全性</w:t>
      </w:r>
    </w:p>
    <w:p w14:paraId="39AC2929">
      <w:pPr>
        <w:numPr>
          <w:ilvl w:val="0"/>
          <w:numId w:val="0"/>
        </w:numPr>
        <w:bidi w:val="0"/>
        <w:ind w:firstLine="560" w:firstLineChars="200"/>
        <w:rPr>
          <w:rFonts w:hint="eastAsia" w:eastAsia="宋体"/>
          <w:color w:val="auto"/>
          <w:highlight w:val="none"/>
          <w:lang w:val="en-US" w:eastAsia="zh-CN"/>
        </w:rPr>
      </w:pPr>
      <w:r>
        <w:rPr>
          <w:rFonts w:hint="eastAsia"/>
          <w:color w:val="auto"/>
          <w:highlight w:val="none"/>
          <w:lang w:eastAsia="zh-CN"/>
        </w:rPr>
        <w:t>①</w:t>
      </w:r>
      <w:r>
        <w:rPr>
          <w:rFonts w:hint="eastAsia" w:asciiTheme="minorEastAsia" w:hAnsiTheme="minorEastAsia" w:eastAsiaTheme="minorEastAsia" w:cstheme="minorEastAsia"/>
          <w:color w:val="auto"/>
          <w:sz w:val="28"/>
          <w:szCs w:val="28"/>
          <w:highlight w:val="none"/>
          <w:lang w:val="en-US" w:eastAsia="zh-CN"/>
        </w:rPr>
        <w:t>上户沟第一中心幼儿园根据国家相关法规和内部控制等制度文件汇编，建立</w:t>
      </w:r>
      <w:r>
        <w:rPr>
          <w:rFonts w:hint="eastAsia" w:asciiTheme="minorEastAsia" w:hAnsiTheme="minorEastAsia" w:eastAsiaTheme="minorEastAsia" w:cstheme="minorEastAsia"/>
          <w:b w:val="0"/>
          <w:bCs w:val="0"/>
          <w:color w:val="auto"/>
          <w:sz w:val="28"/>
          <w:szCs w:val="28"/>
          <w:highlight w:val="none"/>
          <w:lang w:val="en-US" w:eastAsia="zh-CN"/>
        </w:rPr>
        <w:t>《</w:t>
      </w:r>
      <w:r>
        <w:rPr>
          <w:rFonts w:hint="eastAsia" w:asciiTheme="minorEastAsia" w:hAnsiTheme="minorEastAsia" w:eastAsiaTheme="minorEastAsia" w:cstheme="minorEastAsia"/>
          <w:b w:val="0"/>
          <w:bCs w:val="0"/>
          <w:color w:val="auto"/>
          <w:sz w:val="28"/>
          <w:szCs w:val="28"/>
          <w:highlight w:val="none"/>
        </w:rPr>
        <w:t>财务预算管理制度</w:t>
      </w:r>
      <w:r>
        <w:rPr>
          <w:rFonts w:hint="eastAsia" w:asciiTheme="minorEastAsia" w:hAnsiTheme="minorEastAsia" w:eastAsiaTheme="minorEastAsia" w:cstheme="minorEastAsia"/>
          <w:b w:val="0"/>
          <w:bCs w:val="0"/>
          <w:color w:val="auto"/>
          <w:sz w:val="28"/>
          <w:szCs w:val="28"/>
          <w:highlight w:val="none"/>
          <w:lang w:val="en-US" w:eastAsia="zh-CN"/>
        </w:rPr>
        <w:t>》、《</w:t>
      </w:r>
      <w:r>
        <w:rPr>
          <w:rFonts w:hint="eastAsia" w:asciiTheme="minorEastAsia" w:hAnsiTheme="minorEastAsia" w:eastAsiaTheme="minorEastAsia" w:cstheme="minorEastAsia"/>
          <w:b w:val="0"/>
          <w:bCs w:val="0"/>
          <w:color w:val="auto"/>
          <w:sz w:val="28"/>
          <w:szCs w:val="28"/>
          <w:highlight w:val="none"/>
        </w:rPr>
        <w:t>项目管理制度</w:t>
      </w:r>
      <w:r>
        <w:rPr>
          <w:rFonts w:hint="eastAsia" w:asciiTheme="minorEastAsia" w:hAnsiTheme="minorEastAsia" w:eastAsiaTheme="minorEastAsia" w:cstheme="minorEastAsia"/>
          <w:b w:val="0"/>
          <w:bCs w:val="0"/>
          <w:color w:val="auto"/>
          <w:sz w:val="28"/>
          <w:szCs w:val="28"/>
          <w:highlight w:val="none"/>
          <w:lang w:val="en-US" w:eastAsia="zh-CN"/>
        </w:rPr>
        <w:t>》、《</w:t>
      </w:r>
      <w:r>
        <w:rPr>
          <w:rFonts w:hint="eastAsia" w:asciiTheme="minorEastAsia" w:hAnsiTheme="minorEastAsia" w:eastAsiaTheme="minorEastAsia" w:cstheme="minorEastAsia"/>
          <w:b w:val="0"/>
          <w:bCs w:val="0"/>
          <w:color w:val="auto"/>
          <w:sz w:val="28"/>
          <w:szCs w:val="28"/>
          <w:highlight w:val="none"/>
        </w:rPr>
        <w:t>财务管理制度</w:t>
      </w:r>
      <w:r>
        <w:rPr>
          <w:rFonts w:hint="eastAsia" w:asciiTheme="minorEastAsia" w:hAnsiTheme="minorEastAsia" w:eastAsiaTheme="minorEastAsia" w:cstheme="minorEastAsia"/>
          <w:b w:val="0"/>
          <w:bCs w:val="0"/>
          <w:color w:val="auto"/>
          <w:sz w:val="28"/>
          <w:szCs w:val="28"/>
          <w:highlight w:val="none"/>
          <w:lang w:val="en-US" w:eastAsia="zh-CN"/>
        </w:rPr>
        <w:t>》、《</w:t>
      </w:r>
      <w:r>
        <w:rPr>
          <w:rFonts w:hint="eastAsia" w:asciiTheme="minorEastAsia" w:hAnsiTheme="minorEastAsia" w:eastAsiaTheme="minorEastAsia" w:cstheme="minorEastAsia"/>
          <w:b w:val="0"/>
          <w:bCs w:val="0"/>
          <w:color w:val="auto"/>
          <w:sz w:val="28"/>
          <w:szCs w:val="28"/>
          <w:highlight w:val="none"/>
        </w:rPr>
        <w:t>预决算管理制度</w:t>
      </w:r>
      <w:r>
        <w:rPr>
          <w:rFonts w:hint="eastAsia" w:asciiTheme="minorEastAsia" w:hAnsiTheme="minorEastAsia" w:eastAsiaTheme="minorEastAsia" w:cstheme="minorEastAsia"/>
          <w:b w:val="0"/>
          <w:bCs w:val="0"/>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lang w:val="en-US" w:eastAsia="zh-CN"/>
        </w:rPr>
        <w:t>等各项规章制度和工作程序，从制度和程序上严把资金使用、管理、绩效等各环节关口，堵塞漏洞、消除隐患，切实加强资金监管</w:t>
      </w:r>
      <w:r>
        <w:rPr>
          <w:rFonts w:hint="eastAsia"/>
          <w:color w:val="auto"/>
          <w:highlight w:val="none"/>
          <w:lang w:eastAsia="zh-CN"/>
        </w:rPr>
        <w:t>；</w:t>
      </w:r>
    </w:p>
    <w:p w14:paraId="2FF79BA6">
      <w:pPr>
        <w:bidi w:val="0"/>
        <w:rPr>
          <w:rFonts w:hint="eastAsia"/>
          <w:color w:val="auto"/>
          <w:highlight w:val="none"/>
          <w:lang w:eastAsia="zh-CN"/>
        </w:rPr>
      </w:pPr>
      <w:r>
        <w:rPr>
          <w:rFonts w:hint="eastAsia"/>
          <w:color w:val="auto"/>
          <w:highlight w:val="none"/>
          <w:lang w:eastAsia="zh-CN"/>
        </w:rPr>
        <w:t>②财务和业务管理制度合法、合规、完整。</w:t>
      </w:r>
    </w:p>
    <w:p w14:paraId="34D4FDF7">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5CC3028">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61343DBB">
      <w:pPr>
        <w:bidi w:val="0"/>
        <w:rPr>
          <w:rFonts w:hint="eastAsia"/>
          <w:color w:val="auto"/>
          <w:highlight w:val="none"/>
          <w:lang w:eastAsia="zh-CN"/>
        </w:rPr>
      </w:pPr>
      <w:r>
        <w:rPr>
          <w:rFonts w:hint="eastAsia"/>
          <w:color w:val="auto"/>
          <w:highlight w:val="none"/>
          <w:lang w:eastAsia="zh-CN"/>
        </w:rPr>
        <w:t>①昌州财教【2022】82号提前下达2023年新疆西藏地区特殊教育补助资金（园舍维修资金）</w:t>
      </w:r>
      <w:r>
        <w:rPr>
          <w:rFonts w:hint="eastAsia"/>
          <w:color w:val="auto"/>
          <w:highlight w:val="none"/>
          <w:lang w:val="en-US" w:eastAsia="zh-CN"/>
        </w:rPr>
        <w:t>项目</w:t>
      </w:r>
      <w:r>
        <w:rPr>
          <w:rFonts w:hint="eastAsia"/>
          <w:color w:val="auto"/>
          <w:highlight w:val="none"/>
          <w:lang w:eastAsia="zh-CN"/>
        </w:rPr>
        <w:t>遵守相关法律法规和相关管理规定；</w:t>
      </w:r>
    </w:p>
    <w:p w14:paraId="2D7E1708">
      <w:pPr>
        <w:bidi w:val="0"/>
        <w:rPr>
          <w:rFonts w:hint="eastAsia"/>
          <w:color w:val="auto"/>
          <w:highlight w:val="none"/>
          <w:lang w:eastAsia="zh-CN"/>
        </w:rPr>
      </w:pPr>
      <w:r>
        <w:rPr>
          <w:rFonts w:hint="eastAsia"/>
          <w:color w:val="auto"/>
          <w:highlight w:val="none"/>
          <w:lang w:eastAsia="zh-CN"/>
        </w:rPr>
        <w:t>②昌州财教【2022】82号提前下达2023年新疆西藏地区特殊教育补助资金（园舍维修资金）</w:t>
      </w:r>
      <w:r>
        <w:rPr>
          <w:rFonts w:hint="eastAsia"/>
          <w:color w:val="auto"/>
          <w:highlight w:val="none"/>
          <w:lang w:val="en-US" w:eastAsia="zh-CN"/>
        </w:rPr>
        <w:t>项目未</w:t>
      </w:r>
      <w:r>
        <w:rPr>
          <w:rFonts w:hint="eastAsia"/>
          <w:color w:val="auto"/>
          <w:highlight w:val="none"/>
          <w:lang w:eastAsia="zh-CN"/>
        </w:rPr>
        <w:t>调整；</w:t>
      </w:r>
    </w:p>
    <w:p w14:paraId="356A8FE8">
      <w:pPr>
        <w:bidi w:val="0"/>
        <w:rPr>
          <w:rFonts w:hint="eastAsia"/>
          <w:color w:val="auto"/>
          <w:highlight w:val="none"/>
          <w:lang w:eastAsia="zh-CN"/>
        </w:rPr>
      </w:pPr>
      <w:r>
        <w:rPr>
          <w:rFonts w:hint="eastAsia"/>
          <w:color w:val="auto"/>
          <w:highlight w:val="none"/>
          <w:lang w:eastAsia="zh-CN"/>
        </w:rPr>
        <w:t>③昌州财教【2022】82号提前下达2023年新疆西藏地区特殊教育补助资金（园舍维修资金）项目合同书、验收报告、</w:t>
      </w:r>
      <w:r>
        <w:rPr>
          <w:rFonts w:hint="eastAsia"/>
          <w:color w:val="auto"/>
          <w:highlight w:val="none"/>
          <w:lang w:val="en-US" w:eastAsia="zh-CN"/>
        </w:rPr>
        <w:t>项目审计报告书、成交通知书</w:t>
      </w:r>
      <w:r>
        <w:rPr>
          <w:rFonts w:hint="eastAsia"/>
          <w:color w:val="auto"/>
          <w:highlight w:val="none"/>
          <w:lang w:eastAsia="zh-CN"/>
        </w:rPr>
        <w:t>等资料齐全并及时</w:t>
      </w:r>
      <w:r>
        <w:rPr>
          <w:rFonts w:hint="eastAsia"/>
          <w:color w:val="auto"/>
          <w:highlight w:val="none"/>
          <w:lang w:val="en-US" w:eastAsia="zh-CN"/>
        </w:rPr>
        <w:t>装订成册移交档案室保管</w:t>
      </w:r>
      <w:r>
        <w:rPr>
          <w:rFonts w:hint="eastAsia"/>
          <w:color w:val="auto"/>
          <w:highlight w:val="none"/>
          <w:lang w:eastAsia="zh-CN"/>
        </w:rPr>
        <w:t>；</w:t>
      </w:r>
    </w:p>
    <w:p w14:paraId="1EED6FBA">
      <w:pPr>
        <w:bidi w:val="0"/>
        <w:rPr>
          <w:rFonts w:hint="eastAsia"/>
          <w:color w:val="auto"/>
          <w:highlight w:val="none"/>
          <w:lang w:eastAsia="zh-CN"/>
        </w:rPr>
      </w:pPr>
      <w:r>
        <w:rPr>
          <w:rFonts w:hint="eastAsia"/>
          <w:color w:val="auto"/>
          <w:highlight w:val="none"/>
          <w:lang w:eastAsia="zh-CN"/>
        </w:rPr>
        <w:t>④项目实施的人员条件</w:t>
      </w:r>
      <w:r>
        <w:rPr>
          <w:rFonts w:hint="eastAsia"/>
          <w:color w:val="auto"/>
          <w:highlight w:val="none"/>
          <w:shd w:val="clear"/>
          <w:lang w:eastAsia="zh-CN"/>
        </w:rPr>
        <w:t>、场地设备、信息支撑等落实到</w:t>
      </w:r>
      <w:r>
        <w:rPr>
          <w:rFonts w:hint="eastAsia"/>
          <w:color w:val="auto"/>
          <w:highlight w:val="none"/>
          <w:lang w:eastAsia="zh-CN"/>
        </w:rPr>
        <w:t>位。</w:t>
      </w:r>
    </w:p>
    <w:p w14:paraId="4F141868">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94A27B1">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0EDFDA3F">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8</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260F8ACF">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72289B7F">
        <w:tblPrEx>
          <w:shd w:val="clear" w:color="auto" w:fill="auto"/>
          <w:tblCellMar>
            <w:top w:w="0" w:type="dxa"/>
            <w:left w:w="0" w:type="dxa"/>
            <w:bottom w:w="0" w:type="dxa"/>
            <w:right w:w="0" w:type="dxa"/>
          </w:tblCellMar>
        </w:tblPrEx>
        <w:trPr>
          <w:trHeight w:val="74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C86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067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249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89F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20C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7A5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629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054C3E46">
        <w:tblPrEx>
          <w:shd w:val="clear" w:color="auto" w:fill="auto"/>
          <w:tblCellMar>
            <w:top w:w="0" w:type="dxa"/>
            <w:left w:w="0" w:type="dxa"/>
            <w:bottom w:w="0" w:type="dxa"/>
            <w:right w:w="0" w:type="dxa"/>
          </w:tblCellMar>
        </w:tblPrEx>
        <w:trPr>
          <w:trHeight w:val="567"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0BC80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C070B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181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农村学前三年适龄幼儿人数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39E28">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≧137人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DED27">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E94EF">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137人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AE2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58CD23A">
        <w:tblPrEx>
          <w:shd w:val="clear" w:color="auto" w:fill="auto"/>
          <w:tblCellMar>
            <w:top w:w="0" w:type="dxa"/>
            <w:left w:w="0" w:type="dxa"/>
            <w:bottom w:w="0" w:type="dxa"/>
            <w:right w:w="0" w:type="dxa"/>
          </w:tblCellMar>
        </w:tblPrEx>
        <w:trPr>
          <w:trHeight w:val="472"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ACA8D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128E8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AC5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开展教育教学活动次数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D9808">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≧600次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EE21E">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B7A7A">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607</w:t>
            </w:r>
            <w:r>
              <w:rPr>
                <w:rFonts w:hint="eastAsia" w:ascii="宋体" w:hAnsi="宋体" w:eastAsia="宋体" w:cs="宋体"/>
                <w:i w:val="0"/>
                <w:iCs w:val="0"/>
                <w:color w:val="auto"/>
                <w:kern w:val="0"/>
                <w:sz w:val="20"/>
                <w:szCs w:val="20"/>
                <w:highlight w:val="none"/>
                <w:u w:val="none"/>
                <w:lang w:val="en-US" w:eastAsia="zh-CN" w:bidi="ar"/>
              </w:rPr>
              <w:t>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0F633">
            <w:pPr>
              <w:keepNext w:val="0"/>
              <w:keepLines w:val="0"/>
              <w:pageBreakBefore w:val="0"/>
              <w:widowControl/>
              <w:tabs>
                <w:tab w:val="left" w:pos="204"/>
              </w:tabs>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2ACBA77">
        <w:tblPrEx>
          <w:shd w:val="clear" w:color="auto" w:fill="auto"/>
          <w:tblCellMar>
            <w:top w:w="0" w:type="dxa"/>
            <w:left w:w="0" w:type="dxa"/>
            <w:bottom w:w="0" w:type="dxa"/>
            <w:right w:w="0" w:type="dxa"/>
          </w:tblCellMar>
        </w:tblPrEx>
        <w:trPr>
          <w:trHeight w:val="532"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0D1EB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9DC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088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设施设备维护次数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56307">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≧20次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15627">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EE94D">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24</w:t>
            </w:r>
            <w:r>
              <w:rPr>
                <w:rFonts w:hint="eastAsia" w:ascii="宋体" w:hAnsi="宋体" w:eastAsia="宋体" w:cs="宋体"/>
                <w:i w:val="0"/>
                <w:iCs w:val="0"/>
                <w:color w:val="auto"/>
                <w:kern w:val="0"/>
                <w:sz w:val="20"/>
                <w:szCs w:val="20"/>
                <w:highlight w:val="none"/>
                <w:u w:val="none"/>
                <w:lang w:val="en-US" w:eastAsia="zh-CN" w:bidi="ar"/>
              </w:rPr>
              <w:t>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2C2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204825F">
        <w:tblPrEx>
          <w:shd w:val="clear" w:color="auto" w:fill="auto"/>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7C316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832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9D7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完成年度教育教学活动工作达标率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628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DCD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76A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r>
              <w:rPr>
                <w:rFonts w:hint="eastAsia" w:ascii="宋体" w:hAnsi="宋体" w:eastAsia="宋体" w:cs="宋体"/>
                <w:color w:val="auto"/>
                <w:kern w:val="0"/>
                <w:sz w:val="20"/>
                <w:szCs w:val="20"/>
                <w:highlight w:val="none"/>
                <w:shd w:val="clear" w:color="auto" w:fill="auto"/>
                <w:lang w:val="en-US" w:eastAsia="zh-CN"/>
              </w:rPr>
              <w:t>%</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F7C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33BB2A3">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BD38E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85E6C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E582E">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教育教学活动工作开展时间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64E02">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2023-12-31前</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43FD4">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E33C7">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2023-</w:t>
            </w:r>
            <w:r>
              <w:rPr>
                <w:rFonts w:hint="eastAsia" w:cs="宋体"/>
                <w:i w:val="0"/>
                <w:iCs w:val="0"/>
                <w:color w:val="auto"/>
                <w:kern w:val="0"/>
                <w:sz w:val="20"/>
                <w:szCs w:val="20"/>
                <w:highlight w:val="none"/>
                <w:u w:val="none"/>
                <w:lang w:val="en-US" w:eastAsia="zh-CN" w:bidi="ar"/>
              </w:rPr>
              <w:t>12</w:t>
            </w:r>
            <w:r>
              <w:rPr>
                <w:rFonts w:hint="eastAsia" w:ascii="宋体" w:hAnsi="宋体" w:eastAsia="宋体" w:cs="宋体"/>
                <w:i w:val="0"/>
                <w:iCs w:val="0"/>
                <w:color w:val="auto"/>
                <w:kern w:val="0"/>
                <w:sz w:val="20"/>
                <w:szCs w:val="20"/>
                <w:highlight w:val="none"/>
                <w:u w:val="none"/>
                <w:lang w:val="en-US" w:eastAsia="zh-CN" w:bidi="ar"/>
              </w:rPr>
              <w:t>-31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E2883">
            <w:pPr>
              <w:keepNext w:val="0"/>
              <w:keepLines w:val="0"/>
              <w:pageBreakBefore w:val="0"/>
              <w:widowControl/>
              <w:tabs>
                <w:tab w:val="left" w:pos="219"/>
              </w:tabs>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3806CA9">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2AD06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263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99228">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教育教学活动工作开展及时率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B8BF1">
            <w:pPr>
              <w:keepNext w:val="0"/>
              <w:keepLines w:val="0"/>
              <w:widowControl/>
              <w:suppressLineNumbers w:val="0"/>
              <w:spacing w:line="240" w:lineRule="auto"/>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BF798">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CF662">
            <w:pPr>
              <w:keepNext w:val="0"/>
              <w:keepLines w:val="0"/>
              <w:widowControl/>
              <w:suppressLineNumbers w:val="0"/>
              <w:spacing w:line="240" w:lineRule="auto"/>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100</w:t>
            </w:r>
            <w:r>
              <w:rPr>
                <w:rFonts w:hint="eastAsia" w:ascii="宋体" w:hAnsi="宋体" w:eastAsia="宋体" w:cs="宋体"/>
                <w:i w:val="0"/>
                <w:iCs w:val="0"/>
                <w:color w:val="auto"/>
                <w:kern w:val="0"/>
                <w:sz w:val="20"/>
                <w:szCs w:val="20"/>
                <w:highlight w:val="none"/>
                <w:u w:val="none"/>
                <w:lang w:val="en-US" w:eastAsia="zh-CN" w:bidi="ar"/>
              </w:rPr>
              <w:t>%</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2E378">
            <w:pPr>
              <w:keepNext w:val="0"/>
              <w:keepLines w:val="0"/>
              <w:pageBreakBefore w:val="0"/>
              <w:widowControl/>
              <w:tabs>
                <w:tab w:val="left" w:pos="549"/>
              </w:tabs>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E9E0BFD">
        <w:tblPrEx>
          <w:shd w:val="clear" w:color="auto" w:fill="auto"/>
          <w:tblCellMar>
            <w:top w:w="0" w:type="dxa"/>
            <w:left w:w="0" w:type="dxa"/>
            <w:bottom w:w="0" w:type="dxa"/>
            <w:right w:w="0" w:type="dxa"/>
          </w:tblCellMar>
        </w:tblPrEx>
        <w:trPr>
          <w:trHeight w:val="1174"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56409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left w:val="single" w:color="000000" w:sz="4" w:space="0"/>
              <w:right w:val="single" w:color="000000" w:sz="4" w:space="0"/>
            </w:tcBorders>
            <w:shd w:val="clear" w:color="auto" w:fill="auto"/>
            <w:tcMar>
              <w:top w:w="15" w:type="dxa"/>
              <w:left w:w="15" w:type="dxa"/>
              <w:right w:w="15" w:type="dxa"/>
            </w:tcMar>
            <w:vAlign w:val="center"/>
          </w:tcPr>
          <w:p w14:paraId="0F57B52A">
            <w:pPr>
              <w:keepNext w:val="0"/>
              <w:keepLines w:val="0"/>
              <w:pageBreakBefore w:val="0"/>
              <w:widowControl/>
              <w:tabs>
                <w:tab w:val="left" w:pos="401"/>
              </w:tabs>
              <w:kinsoku/>
              <w:wordWrap/>
              <w:overflowPunct/>
              <w:topLinePunct w:val="0"/>
              <w:autoSpaceDE/>
              <w:autoSpaceDN/>
              <w:bidi w:val="0"/>
              <w:adjustRightInd/>
              <w:snapToGrid w:val="0"/>
              <w:spacing w:line="240" w:lineRule="auto"/>
              <w:ind w:firstLine="0" w:firstLineChars="0"/>
              <w:jc w:val="left"/>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1AD58">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保障教育教学活动开展的公用经费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9D120">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≤14.32万元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6B708">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1315B">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14.32</w:t>
            </w:r>
            <w:r>
              <w:rPr>
                <w:rFonts w:hint="eastAsia" w:ascii="宋体" w:hAnsi="宋体" w:eastAsia="宋体" w:cs="宋体"/>
                <w:i w:val="0"/>
                <w:iCs w:val="0"/>
                <w:color w:val="auto"/>
                <w:kern w:val="0"/>
                <w:sz w:val="20"/>
                <w:szCs w:val="20"/>
                <w:highlight w:val="none"/>
                <w:u w:val="none"/>
                <w:lang w:val="en-US" w:eastAsia="zh-CN" w:bidi="ar"/>
              </w:rPr>
              <w:t>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7CD3C">
            <w:pPr>
              <w:keepNext w:val="0"/>
              <w:keepLines w:val="0"/>
              <w:pageBreakBefore w:val="0"/>
              <w:widowControl/>
              <w:tabs>
                <w:tab w:val="left" w:pos="549"/>
              </w:tabs>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165F907F">
        <w:tblPrEx>
          <w:shd w:val="clear" w:color="auto" w:fill="auto"/>
          <w:tblCellMar>
            <w:top w:w="0" w:type="dxa"/>
            <w:left w:w="0" w:type="dxa"/>
            <w:bottom w:w="0" w:type="dxa"/>
            <w:right w:w="0" w:type="dxa"/>
          </w:tblCellMar>
        </w:tblPrEx>
        <w:trPr>
          <w:trHeight w:val="1059"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78A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B867E">
            <w:pPr>
              <w:keepNext w:val="0"/>
              <w:keepLines w:val="0"/>
              <w:pageBreakBefore w:val="0"/>
              <w:widowControl/>
              <w:tabs>
                <w:tab w:val="left" w:pos="401"/>
              </w:tabs>
              <w:kinsoku/>
              <w:wordWrap/>
              <w:overflowPunct/>
              <w:topLinePunct w:val="0"/>
              <w:autoSpaceDE/>
              <w:autoSpaceDN/>
              <w:bidi w:val="0"/>
              <w:adjustRightInd/>
              <w:snapToGrid w:val="0"/>
              <w:spacing w:line="240" w:lineRule="auto"/>
              <w:ind w:firstLine="0" w:firstLineChars="0"/>
              <w:jc w:val="left"/>
              <w:textAlignment w:val="auto"/>
              <w:rPr>
                <w:rFonts w:hint="eastAsia"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F583D5">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保障教育教学活动开展的培训费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1F329">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≤0.75万元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8D9C8">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A39CA">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0.</w:t>
            </w:r>
            <w:r>
              <w:rPr>
                <w:rFonts w:hint="eastAsia" w:cs="宋体"/>
                <w:i w:val="0"/>
                <w:iCs w:val="0"/>
                <w:color w:val="auto"/>
                <w:kern w:val="0"/>
                <w:sz w:val="20"/>
                <w:szCs w:val="20"/>
                <w:highlight w:val="none"/>
                <w:u w:val="none"/>
                <w:lang w:val="en-US" w:eastAsia="zh-CN" w:bidi="ar"/>
              </w:rPr>
              <w:t>75万</w:t>
            </w:r>
            <w:r>
              <w:rPr>
                <w:rFonts w:hint="eastAsia" w:ascii="宋体" w:hAnsi="宋体" w:eastAsia="宋体" w:cs="宋体"/>
                <w:i w:val="0"/>
                <w:iCs w:val="0"/>
                <w:color w:val="auto"/>
                <w:kern w:val="0"/>
                <w:sz w:val="20"/>
                <w:szCs w:val="20"/>
                <w:highlight w:val="none"/>
                <w:u w:val="none"/>
                <w:lang w:val="en-US" w:eastAsia="zh-CN" w:bidi="ar"/>
              </w:rPr>
              <w:t>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5C5A8">
            <w:pPr>
              <w:keepNext w:val="0"/>
              <w:keepLines w:val="0"/>
              <w:pageBreakBefore w:val="0"/>
              <w:widowControl/>
              <w:tabs>
                <w:tab w:val="left" w:pos="549"/>
              </w:tabs>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92A3D5D">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6EA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5C6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FA6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B8A5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7E3D3269">
      <w:pPr>
        <w:numPr>
          <w:ilvl w:val="0"/>
          <w:numId w:val="0"/>
        </w:numPr>
        <w:bidi w:val="0"/>
        <w:ind w:firstLine="562" w:firstLineChars="200"/>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461894C3">
      <w:pPr>
        <w:numPr>
          <w:ilvl w:val="0"/>
          <w:numId w:val="0"/>
        </w:numPr>
        <w:bidi w:val="0"/>
        <w:ind w:firstLine="560" w:firstLineChars="200"/>
        <w:rPr>
          <w:rFonts w:hint="default"/>
          <w:color w:val="auto"/>
          <w:highlight w:val="none"/>
          <w:lang w:val="en-US" w:eastAsia="zh-CN"/>
        </w:rPr>
      </w:pPr>
      <w:r>
        <w:rPr>
          <w:rFonts w:hint="eastAsia"/>
          <w:color w:val="auto"/>
          <w:highlight w:val="none"/>
          <w:lang w:val="en-US" w:eastAsia="zh-CN"/>
        </w:rPr>
        <w:t>“农村学前三年适龄幼儿人数”指标，预期目标值为≧137人，实际完成为137人 。实际完成率=（137人</w:t>
      </w:r>
      <w:r>
        <w:rPr>
          <w:rFonts w:hint="eastAsia"/>
          <w:color w:val="auto"/>
          <w:highlight w:val="none"/>
          <w:lang w:eastAsia="zh-CN"/>
        </w:rPr>
        <w:t>/</w:t>
      </w:r>
      <w:r>
        <w:rPr>
          <w:rFonts w:hint="eastAsia"/>
          <w:color w:val="auto"/>
          <w:highlight w:val="none"/>
          <w:lang w:val="en-US" w:eastAsia="zh-CN"/>
        </w:rPr>
        <w:t>137人）</w:t>
      </w:r>
      <w:r>
        <w:rPr>
          <w:rFonts w:hint="eastAsia"/>
          <w:color w:val="auto"/>
          <w:highlight w:val="none"/>
          <w:lang w:eastAsia="zh-CN"/>
        </w:rPr>
        <w:t>×</w:t>
      </w:r>
      <w:r>
        <w:rPr>
          <w:rFonts w:hint="eastAsia"/>
          <w:color w:val="auto"/>
          <w:highlight w:val="none"/>
          <w:lang w:val="en-US" w:eastAsia="zh-CN"/>
        </w:rPr>
        <w:t>100%=100%。</w:t>
      </w:r>
    </w:p>
    <w:p w14:paraId="72E86FFB">
      <w:pPr>
        <w:bidi w:val="0"/>
        <w:rPr>
          <w:rFonts w:hint="eastAsia"/>
          <w:color w:val="auto"/>
          <w:highlight w:val="none"/>
          <w:lang w:eastAsia="zh-CN"/>
        </w:rPr>
      </w:pPr>
      <w:r>
        <w:rPr>
          <w:rFonts w:hint="eastAsia"/>
          <w:b/>
          <w:bCs/>
          <w:color w:val="auto"/>
          <w:highlight w:val="none"/>
          <w:lang w:val="en-US" w:eastAsia="zh-CN"/>
        </w:rPr>
        <w:t xml:space="preserve">  综上，该项指标满分5分，得分5分。</w:t>
      </w:r>
    </w:p>
    <w:p w14:paraId="3A30E7EC">
      <w:pPr>
        <w:numPr>
          <w:ilvl w:val="0"/>
          <w:numId w:val="0"/>
        </w:numPr>
        <w:bidi w:val="0"/>
        <w:ind w:firstLine="560" w:firstLineChars="200"/>
        <w:rPr>
          <w:rFonts w:hint="default"/>
          <w:color w:val="auto"/>
          <w:highlight w:val="none"/>
          <w:lang w:val="en-US" w:eastAsia="zh-CN"/>
        </w:rPr>
      </w:pPr>
      <w:r>
        <w:rPr>
          <w:rFonts w:hint="eastAsia"/>
          <w:color w:val="auto"/>
          <w:highlight w:val="none"/>
          <w:lang w:val="en-US" w:eastAsia="zh-CN"/>
        </w:rPr>
        <w:t xml:space="preserve">“开展教育教学活动次数”指标，预期目标值为≧600次，实际完成为607次。 实际完成率100%。 </w:t>
      </w:r>
    </w:p>
    <w:p w14:paraId="37BFAB3D">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C82C4C5">
      <w:pPr>
        <w:bidi w:val="0"/>
        <w:rPr>
          <w:rFonts w:hint="eastAsia"/>
          <w:color w:val="auto"/>
          <w:highlight w:val="none"/>
          <w:lang w:val="en-US" w:eastAsia="zh-CN"/>
        </w:rPr>
      </w:pPr>
      <w:r>
        <w:rPr>
          <w:rFonts w:hint="eastAsia"/>
          <w:color w:val="auto"/>
          <w:highlight w:val="none"/>
          <w:lang w:val="en-US" w:eastAsia="zh-CN"/>
        </w:rPr>
        <w:t>“设施设备维护次数”指标，预期目标值为≧20次，实际完成为24次。实际完成率100%。</w:t>
      </w:r>
    </w:p>
    <w:p w14:paraId="67062363">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6608075">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51075692">
      <w:pPr>
        <w:bidi w:val="0"/>
        <w:rPr>
          <w:rFonts w:hint="eastAsia"/>
          <w:color w:val="auto"/>
          <w:highlight w:val="none"/>
          <w:lang w:val="en-US" w:eastAsia="zh-CN"/>
        </w:rPr>
      </w:pPr>
      <w:r>
        <w:rPr>
          <w:rFonts w:hint="eastAsia"/>
          <w:color w:val="auto"/>
          <w:highlight w:val="none"/>
          <w:lang w:val="en-US" w:eastAsia="zh-CN"/>
        </w:rPr>
        <w:t>“完成年度教育教学活动工作达标率”指标，预期目标值为=100%，实际完成为100%。</w:t>
      </w:r>
    </w:p>
    <w:p w14:paraId="63FD1604">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917BEA6">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2869F6EE">
      <w:pPr>
        <w:bidi w:val="0"/>
        <w:rPr>
          <w:rFonts w:hint="default"/>
          <w:color w:val="auto"/>
          <w:highlight w:val="none"/>
          <w:lang w:val="en-US" w:eastAsia="zh-CN"/>
        </w:rPr>
      </w:pPr>
      <w:r>
        <w:rPr>
          <w:rFonts w:hint="eastAsia"/>
          <w:color w:val="auto"/>
          <w:highlight w:val="none"/>
          <w:lang w:val="en-US" w:eastAsia="zh-CN"/>
        </w:rPr>
        <w:t>“教育教学活动工作开展时间” 指标，预期目标值为2023-12-31前，实际完成为2023-12-31，实际完成率100%。</w:t>
      </w:r>
    </w:p>
    <w:p w14:paraId="2DC1716D">
      <w:pPr>
        <w:bidi w:val="0"/>
        <w:ind w:left="0" w:leftChars="0" w:firstLine="562" w:firstLineChars="200"/>
        <w:rPr>
          <w:rFonts w:hint="eastAsia"/>
          <w:color w:val="auto"/>
          <w:highlight w:val="none"/>
          <w:lang w:val="en-US" w:eastAsia="zh-CN"/>
        </w:rPr>
      </w:pPr>
      <w:r>
        <w:rPr>
          <w:rFonts w:hint="eastAsia"/>
          <w:b/>
          <w:bCs/>
          <w:color w:val="auto"/>
          <w:highlight w:val="none"/>
          <w:lang w:val="en-US" w:eastAsia="zh-CN"/>
        </w:rPr>
        <w:t>综上，该项指标满分4分，得分4分。</w:t>
      </w:r>
    </w:p>
    <w:p w14:paraId="10BE85B8">
      <w:pPr>
        <w:bidi w:val="0"/>
        <w:ind w:left="0" w:leftChars="0" w:firstLine="560" w:firstLineChars="200"/>
        <w:rPr>
          <w:rFonts w:hint="eastAsia"/>
          <w:color w:val="auto"/>
          <w:highlight w:val="none"/>
          <w:lang w:eastAsia="zh-CN"/>
        </w:rPr>
      </w:pPr>
      <w:r>
        <w:rPr>
          <w:rFonts w:hint="eastAsia"/>
          <w:color w:val="auto"/>
          <w:highlight w:val="none"/>
          <w:lang w:val="en-US" w:eastAsia="zh-CN"/>
        </w:rPr>
        <w:t>“教育教学活动工作开展及时率”指标，预期目标值为=100%，实际完成为100%。</w:t>
      </w:r>
    </w:p>
    <w:p w14:paraId="6DC95B0A">
      <w:pPr>
        <w:bidi w:val="0"/>
        <w:rPr>
          <w:rFonts w:hint="eastAsia"/>
          <w:b/>
          <w:bCs/>
          <w:color w:val="auto"/>
          <w:highlight w:val="none"/>
          <w:lang w:val="en-US" w:eastAsia="zh-CN"/>
        </w:rPr>
      </w:pPr>
      <w:r>
        <w:rPr>
          <w:rFonts w:hint="eastAsia"/>
          <w:b/>
          <w:bCs/>
          <w:color w:val="auto"/>
          <w:highlight w:val="none"/>
          <w:lang w:val="en-US" w:eastAsia="zh-CN"/>
        </w:rPr>
        <w:t>综上，该项指标满分4分，得分4分。</w:t>
      </w:r>
    </w:p>
    <w:p w14:paraId="591E2C3D">
      <w:pPr>
        <w:bidi w:val="0"/>
        <w:ind w:left="0" w:leftChars="0" w:firstLine="562" w:firstLineChars="200"/>
        <w:outlineLvl w:val="2"/>
        <w:rPr>
          <w:rFonts w:hint="default"/>
          <w:b/>
          <w:bCs/>
          <w:color w:val="auto"/>
          <w:highlight w:val="none"/>
          <w:lang w:val="en-US" w:eastAsia="zh-CN"/>
        </w:rPr>
      </w:pPr>
      <w:r>
        <w:rPr>
          <w:rFonts w:hint="eastAsia"/>
          <w:b/>
          <w:bCs/>
          <w:color w:val="auto"/>
          <w:highlight w:val="none"/>
          <w:lang w:val="en-US" w:eastAsia="zh-CN"/>
        </w:rPr>
        <w:t>4.项目完成成本</w:t>
      </w:r>
    </w:p>
    <w:p w14:paraId="7028C646">
      <w:pPr>
        <w:bidi w:val="0"/>
        <w:ind w:left="0" w:leftChars="0" w:firstLine="560" w:firstLineChars="200"/>
        <w:rPr>
          <w:rFonts w:hint="eastAsia"/>
          <w:color w:val="auto"/>
          <w:highlight w:val="none"/>
          <w:lang w:val="en-US" w:eastAsia="zh-CN"/>
        </w:rPr>
      </w:pPr>
      <w:r>
        <w:rPr>
          <w:rFonts w:hint="eastAsia"/>
          <w:color w:val="auto"/>
          <w:highlight w:val="none"/>
          <w:lang w:val="en-US" w:eastAsia="zh-CN"/>
        </w:rPr>
        <w:t>“保障教育教学活动开展的公用经费”指标，预期目标值为</w:t>
      </w:r>
      <w:r>
        <w:rPr>
          <w:rFonts w:hint="eastAsia" w:ascii="宋体" w:hAnsi="宋体" w:eastAsia="宋体" w:cs="宋体"/>
          <w:i w:val="0"/>
          <w:iCs w:val="0"/>
          <w:color w:val="auto"/>
          <w:kern w:val="0"/>
          <w:sz w:val="20"/>
          <w:szCs w:val="20"/>
          <w:highlight w:val="none"/>
          <w:u w:val="none"/>
          <w:lang w:val="en-US" w:eastAsia="zh-CN" w:bidi="ar"/>
        </w:rPr>
        <w:t>≤</w:t>
      </w:r>
      <w:r>
        <w:rPr>
          <w:rFonts w:hint="eastAsia"/>
          <w:color w:val="auto"/>
          <w:highlight w:val="none"/>
          <w:lang w:val="en-US" w:eastAsia="zh-CN"/>
        </w:rPr>
        <w:t>14.32万元，实际完成为14.32万元。实际完成率=（14.32万元</w:t>
      </w:r>
      <w:r>
        <w:rPr>
          <w:rFonts w:hint="eastAsia"/>
          <w:color w:val="auto"/>
          <w:highlight w:val="none"/>
          <w:lang w:eastAsia="zh-CN"/>
        </w:rPr>
        <w:t>/</w:t>
      </w:r>
      <w:r>
        <w:rPr>
          <w:rFonts w:hint="eastAsia"/>
          <w:color w:val="auto"/>
          <w:highlight w:val="none"/>
          <w:lang w:val="en-US" w:eastAsia="zh-CN"/>
        </w:rPr>
        <w:t>14.32万元）</w:t>
      </w:r>
      <w:r>
        <w:rPr>
          <w:rFonts w:hint="eastAsia"/>
          <w:color w:val="auto"/>
          <w:highlight w:val="none"/>
          <w:lang w:eastAsia="zh-CN"/>
        </w:rPr>
        <w:t>×</w:t>
      </w:r>
      <w:r>
        <w:rPr>
          <w:rFonts w:hint="eastAsia"/>
          <w:color w:val="auto"/>
          <w:highlight w:val="none"/>
          <w:lang w:val="en-US" w:eastAsia="zh-CN"/>
        </w:rPr>
        <w:t>100%=100%。</w:t>
      </w:r>
    </w:p>
    <w:p w14:paraId="07CC3418">
      <w:pPr>
        <w:bidi w:val="0"/>
        <w:rPr>
          <w:rFonts w:hint="eastAsia"/>
          <w:b/>
          <w:bCs/>
          <w:color w:val="auto"/>
          <w:highlight w:val="none"/>
          <w:lang w:val="en-US" w:eastAsia="zh-CN"/>
        </w:rPr>
      </w:pPr>
      <w:r>
        <w:rPr>
          <w:rFonts w:hint="eastAsia"/>
          <w:b/>
          <w:bCs/>
          <w:color w:val="auto"/>
          <w:highlight w:val="none"/>
          <w:lang w:val="en-US" w:eastAsia="zh-CN"/>
        </w:rPr>
        <w:t>综上，该项指标满分3分，得分3分</w:t>
      </w:r>
    </w:p>
    <w:p w14:paraId="3853E015">
      <w:pPr>
        <w:bidi w:val="0"/>
        <w:rPr>
          <w:rFonts w:hint="eastAsia"/>
          <w:color w:val="auto"/>
          <w:highlight w:val="none"/>
          <w:lang w:val="en-US" w:eastAsia="zh-CN"/>
        </w:rPr>
      </w:pPr>
      <w:r>
        <w:rPr>
          <w:rFonts w:hint="eastAsia"/>
          <w:color w:val="auto"/>
          <w:highlight w:val="none"/>
          <w:lang w:val="en-US" w:eastAsia="zh-CN"/>
        </w:rPr>
        <w:t>“保障教育教学活动开展的培训费”指标，预期目标值为≤0.75万元，实际完成为0.75万元，实际完成率=（0.75万元</w:t>
      </w:r>
      <w:r>
        <w:rPr>
          <w:rFonts w:hint="eastAsia"/>
          <w:color w:val="auto"/>
          <w:highlight w:val="none"/>
          <w:lang w:eastAsia="zh-CN"/>
        </w:rPr>
        <w:t>/</w:t>
      </w:r>
      <w:r>
        <w:rPr>
          <w:rFonts w:hint="eastAsia"/>
          <w:color w:val="auto"/>
          <w:highlight w:val="none"/>
          <w:lang w:val="en-US" w:eastAsia="zh-CN"/>
        </w:rPr>
        <w:t>0.75万元）</w:t>
      </w:r>
      <w:r>
        <w:rPr>
          <w:rFonts w:hint="eastAsia"/>
          <w:color w:val="auto"/>
          <w:highlight w:val="none"/>
          <w:lang w:eastAsia="zh-CN"/>
        </w:rPr>
        <w:t>×</w:t>
      </w:r>
      <w:r>
        <w:rPr>
          <w:rFonts w:hint="eastAsia"/>
          <w:color w:val="auto"/>
          <w:highlight w:val="none"/>
          <w:lang w:val="en-US" w:eastAsia="zh-CN"/>
        </w:rPr>
        <w:t>100%=100%。</w:t>
      </w:r>
    </w:p>
    <w:p w14:paraId="17E9C567">
      <w:pPr>
        <w:bidi w:val="0"/>
        <w:rPr>
          <w:rFonts w:hint="eastAsia"/>
          <w:color w:val="auto"/>
          <w:highlight w:val="none"/>
          <w:lang w:val="en-US" w:eastAsia="zh-CN"/>
        </w:rPr>
      </w:pPr>
      <w:r>
        <w:rPr>
          <w:rFonts w:hint="eastAsia"/>
          <w:b/>
          <w:bCs/>
          <w:color w:val="auto"/>
          <w:highlight w:val="none"/>
          <w:lang w:val="en-US" w:eastAsia="zh-CN"/>
        </w:rPr>
        <w:t>综上，该项指标满分2分，得分2分</w:t>
      </w:r>
    </w:p>
    <w:p w14:paraId="1BCA3109">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3"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3"/>
    </w:p>
    <w:p w14:paraId="6DCBFE27">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B00123D">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pPr w:leftFromText="180" w:rightFromText="180" w:vertAnchor="text" w:horzAnchor="page" w:tblpX="1851" w:tblpY="211"/>
        <w:tblOverlap w:val="never"/>
        <w:tblW w:w="8372" w:type="dxa"/>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36C97288">
        <w:tblPrEx>
          <w:shd w:val="clear" w:color="auto" w:fill="auto"/>
          <w:tblCellMar>
            <w:top w:w="0" w:type="dxa"/>
            <w:left w:w="0" w:type="dxa"/>
            <w:bottom w:w="0" w:type="dxa"/>
            <w:right w:w="0" w:type="dxa"/>
          </w:tblCellMar>
        </w:tblPrEx>
        <w:trPr>
          <w:trHeight w:val="481" w:hRule="atLeast"/>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6BB35E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一级</w:t>
            </w:r>
          </w:p>
          <w:p w14:paraId="51BEC4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1C878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5A79F">
            <w:pPr>
              <w:keepNext w:val="0"/>
              <w:keepLines w:val="0"/>
              <w:widowControl/>
              <w:suppressLineNumbers w:val="0"/>
              <w:ind w:left="0" w:leftChars="0" w:firstLine="0" w:firstLineChars="0"/>
              <w:jc w:val="center"/>
              <w:textAlignment w:val="center"/>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A9A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年度指</w:t>
            </w:r>
          </w:p>
          <w:p w14:paraId="205EDD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FF1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73EA91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8D4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397D63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685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17911A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BC5268A">
        <w:tblPrEx>
          <w:shd w:val="clear" w:color="auto" w:fill="auto"/>
          <w:tblCellMar>
            <w:top w:w="0" w:type="dxa"/>
            <w:left w:w="0" w:type="dxa"/>
            <w:bottom w:w="0" w:type="dxa"/>
            <w:right w:w="0" w:type="dxa"/>
          </w:tblCellMar>
        </w:tblPrEx>
        <w:trPr>
          <w:trHeight w:val="541" w:hRule="atLeast"/>
        </w:trPr>
        <w:tc>
          <w:tcPr>
            <w:tcW w:w="68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F629C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效益</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11F36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21C6D">
            <w:pPr>
              <w:keepNext w:val="0"/>
              <w:keepLines w:val="0"/>
              <w:widowControl/>
              <w:suppressLineNumbers w:val="0"/>
              <w:ind w:left="0" w:leftChars="0" w:firstLine="0" w:firstLineChars="0"/>
              <w:jc w:val="center"/>
              <w:textAlignment w:val="center"/>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保障幼儿园各项工作平稳进行</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787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EAA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00412">
            <w:pPr>
              <w:keepNext w:val="0"/>
              <w:keepLines w:val="0"/>
              <w:widowControl/>
              <w:suppressLineNumbers w:val="0"/>
              <w:ind w:firstLine="400" w:firstLineChars="200"/>
              <w:jc w:val="both"/>
              <w:textAlignment w:val="center"/>
              <w:rPr>
                <w:rFonts w:hint="default" w:ascii="宋体" w:hAnsi="宋体" w:eastAsia="宋体" w:cs="宋体"/>
                <w:color w:val="auto"/>
                <w:kern w:val="0"/>
                <w:sz w:val="20"/>
                <w:szCs w:val="20"/>
                <w:highlight w:val="none"/>
                <w:shd w:val="clear" w:color="auto" w:fill="auto"/>
                <w:lang w:val="en-US" w:eastAsia="zh-CN" w:bidi="ar-SA"/>
              </w:rPr>
            </w:pPr>
            <w:r>
              <w:rPr>
                <w:rFonts w:hint="eastAsia" w:cs="宋体"/>
                <w:i w:val="0"/>
                <w:iCs w:val="0"/>
                <w:color w:val="auto"/>
                <w:kern w:val="0"/>
                <w:sz w:val="20"/>
                <w:szCs w:val="20"/>
                <w:highlight w:val="none"/>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FD3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r>
      <w:tr w14:paraId="3334D0C4">
        <w:tblPrEx>
          <w:shd w:val="clear" w:color="auto" w:fill="auto"/>
          <w:tblCellMar>
            <w:top w:w="0" w:type="dxa"/>
            <w:left w:w="0" w:type="dxa"/>
            <w:bottom w:w="0" w:type="dxa"/>
            <w:right w:w="0" w:type="dxa"/>
          </w:tblCellMar>
        </w:tblPrEx>
        <w:trPr>
          <w:trHeight w:val="612" w:hRule="atLeast"/>
        </w:trPr>
        <w:tc>
          <w:tcPr>
            <w:tcW w:w="6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C9700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C43AF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A6B45">
            <w:pPr>
              <w:keepNext w:val="0"/>
              <w:keepLines w:val="0"/>
              <w:widowControl/>
              <w:suppressLineNumbers w:val="0"/>
              <w:ind w:left="0" w:leftChars="0" w:firstLine="0" w:firstLineChars="0"/>
              <w:jc w:val="center"/>
              <w:textAlignment w:val="center"/>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校园环境和条件进一步改善</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AFCC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F47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C29E5">
            <w:pPr>
              <w:keepNext w:val="0"/>
              <w:keepLines w:val="0"/>
              <w:widowControl/>
              <w:suppressLineNumbers w:val="0"/>
              <w:ind w:firstLine="400" w:firstLineChars="200"/>
              <w:jc w:val="both"/>
              <w:textAlignment w:val="center"/>
              <w:rPr>
                <w:rFonts w:hint="default" w:ascii="宋体" w:hAnsi="宋体" w:eastAsia="宋体" w:cs="宋体"/>
                <w:color w:val="auto"/>
                <w:kern w:val="0"/>
                <w:sz w:val="20"/>
                <w:szCs w:val="20"/>
                <w:highlight w:val="none"/>
                <w:shd w:val="clear" w:color="auto" w:fill="auto"/>
                <w:lang w:val="en-US" w:eastAsia="zh-CN" w:bidi="ar-SA"/>
              </w:rPr>
            </w:pPr>
            <w:r>
              <w:rPr>
                <w:rFonts w:hint="eastAsia" w:cs="宋体"/>
                <w:i w:val="0"/>
                <w:iCs w:val="0"/>
                <w:color w:val="auto"/>
                <w:kern w:val="0"/>
                <w:sz w:val="20"/>
                <w:szCs w:val="20"/>
                <w:highlight w:val="none"/>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AE5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r>
      <w:tr w14:paraId="0201AE8D">
        <w:tblPrEx>
          <w:shd w:val="clear" w:color="auto" w:fill="auto"/>
          <w:tblCellMar>
            <w:top w:w="0" w:type="dxa"/>
            <w:left w:w="0" w:type="dxa"/>
            <w:bottom w:w="0" w:type="dxa"/>
            <w:right w:w="0" w:type="dxa"/>
          </w:tblCellMar>
        </w:tblPrEx>
        <w:trPr>
          <w:trHeight w:val="476" w:hRule="atLeast"/>
        </w:trPr>
        <w:tc>
          <w:tcPr>
            <w:tcW w:w="6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307CE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22C1EF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F44FC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16F89">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0E8AF">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4355D">
            <w:pPr>
              <w:keepNext w:val="0"/>
              <w:keepLines w:val="0"/>
              <w:widowControl/>
              <w:suppressLineNumbers w:val="0"/>
              <w:ind w:firstLine="400" w:firstLineChars="200"/>
              <w:jc w:val="center"/>
              <w:textAlignment w:val="center"/>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AD1AD">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r>
      <w:tr w14:paraId="70CB32DE">
        <w:tblPrEx>
          <w:shd w:val="clear" w:color="auto" w:fill="auto"/>
          <w:tblCellMar>
            <w:top w:w="0" w:type="dxa"/>
            <w:left w:w="0" w:type="dxa"/>
            <w:bottom w:w="0" w:type="dxa"/>
            <w:right w:w="0" w:type="dxa"/>
          </w:tblCellMar>
        </w:tblPrEx>
        <w:trPr>
          <w:trHeight w:val="464" w:hRule="atLeast"/>
        </w:trPr>
        <w:tc>
          <w:tcPr>
            <w:tcW w:w="6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3C352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016055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2A14F32">
            <w:pPr>
              <w:keepNext w:val="0"/>
              <w:keepLines w:val="0"/>
              <w:widowControl/>
              <w:suppressLineNumbers w:val="0"/>
              <w:ind w:left="0" w:leftChars="0" w:firstLine="400" w:firstLineChars="20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36D31A">
            <w:pPr>
              <w:keepNext w:val="0"/>
              <w:keepLines w:val="0"/>
              <w:widowControl/>
              <w:suppressLineNumbers w:val="0"/>
              <w:ind w:left="0" w:leftChars="0" w:firstLine="400" w:firstLineChars="20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4AE7A">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60E42">
            <w:pPr>
              <w:keepNext w:val="0"/>
              <w:keepLines w:val="0"/>
              <w:widowControl/>
              <w:suppressLineNumbers w:val="0"/>
              <w:ind w:firstLine="400" w:firstLineChars="20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BA3CB">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5D083856">
        <w:tblPrEx>
          <w:shd w:val="clear" w:color="auto" w:fill="auto"/>
          <w:tblCellMar>
            <w:top w:w="0" w:type="dxa"/>
            <w:left w:w="0" w:type="dxa"/>
            <w:bottom w:w="0" w:type="dxa"/>
            <w:right w:w="0" w:type="dxa"/>
          </w:tblCellMar>
        </w:tblPrEx>
        <w:trPr>
          <w:trHeight w:val="343" w:hRule="atLeast"/>
        </w:trPr>
        <w:tc>
          <w:tcPr>
            <w:tcW w:w="68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CE7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0FC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9E0D7">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家长及教师满意度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D3ED7">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F8A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0E639">
            <w:pPr>
              <w:keepNext w:val="0"/>
              <w:keepLines w:val="0"/>
              <w:widowControl/>
              <w:suppressLineNumbers w:val="0"/>
              <w:ind w:firstLine="400" w:firstLineChars="200"/>
              <w:jc w:val="both"/>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253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40C52E80">
        <w:tblPrEx>
          <w:shd w:val="clear" w:color="auto" w:fill="auto"/>
          <w:tblCellMar>
            <w:top w:w="0" w:type="dxa"/>
            <w:left w:w="0" w:type="dxa"/>
            <w:bottom w:w="0" w:type="dxa"/>
            <w:right w:w="0" w:type="dxa"/>
          </w:tblCellMar>
        </w:tblPrEx>
        <w:trPr>
          <w:trHeight w:val="392" w:hRule="atLeast"/>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7B9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768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AF96F">
            <w:pPr>
              <w:keepNext w:val="0"/>
              <w:keepLines w:val="0"/>
              <w:widowControl/>
              <w:suppressLineNumbers w:val="0"/>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C41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628DB235">
      <w:pPr>
        <w:bidi w:val="0"/>
        <w:outlineLvl w:val="2"/>
        <w:rPr>
          <w:rFonts w:hint="default"/>
          <w:b/>
          <w:bCs/>
          <w:color w:val="auto"/>
          <w:highlight w:val="none"/>
          <w:lang w:val="en-US" w:eastAsia="zh-CN"/>
        </w:rPr>
      </w:pPr>
      <w:bookmarkStart w:id="74" w:name="_Toc8010"/>
      <w:r>
        <w:rPr>
          <w:rFonts w:hint="eastAsia"/>
          <w:b/>
          <w:bCs/>
          <w:color w:val="auto"/>
          <w:highlight w:val="none"/>
          <w:lang w:val="en-US" w:eastAsia="zh-CN"/>
        </w:rPr>
        <w:t>1.经济效益指标</w:t>
      </w:r>
      <w:bookmarkEnd w:id="74"/>
    </w:p>
    <w:p w14:paraId="27E25CE9">
      <w:pPr>
        <w:bidi w:val="0"/>
        <w:rPr>
          <w:rFonts w:hint="eastAsia"/>
          <w:color w:val="auto"/>
          <w:highlight w:val="none"/>
          <w:lang w:val="en-US" w:eastAsia="zh-CN"/>
        </w:rPr>
      </w:pPr>
      <w:r>
        <w:rPr>
          <w:rFonts w:hint="eastAsia"/>
          <w:b w:val="0"/>
          <w:bCs w:val="0"/>
          <w:color w:val="auto"/>
          <w:highlight w:val="none"/>
          <w:lang w:val="en-US" w:eastAsia="zh-CN"/>
        </w:rPr>
        <w:t>“保障幼儿园各项工作平稳进行”指标，预期目标值为保障，实际完成为保障。</w:t>
      </w:r>
      <w:r>
        <w:rPr>
          <w:rFonts w:hint="eastAsia"/>
          <w:color w:val="auto"/>
          <w:highlight w:val="none"/>
          <w:lang w:val="en-US" w:eastAsia="zh-CN"/>
        </w:rPr>
        <w:t>实际完成率 100%；</w:t>
      </w:r>
    </w:p>
    <w:p w14:paraId="1E058C63">
      <w:pPr>
        <w:ind w:left="0" w:leftChars="0" w:firstLine="560" w:firstLineChars="200"/>
        <w:rPr>
          <w:rFonts w:hint="eastAsia"/>
          <w:b w:val="0"/>
          <w:bCs w:val="0"/>
          <w:color w:val="auto"/>
          <w:highlight w:val="none"/>
          <w:lang w:val="en-US" w:eastAsia="zh-CN"/>
        </w:rPr>
      </w:pPr>
      <w:r>
        <w:rPr>
          <w:rFonts w:hint="eastAsia"/>
          <w:b w:val="0"/>
          <w:bCs w:val="0"/>
          <w:color w:val="auto"/>
          <w:highlight w:val="none"/>
          <w:lang w:val="en-US" w:eastAsia="zh-CN"/>
        </w:rPr>
        <w:t>通过项目的实施，幼儿园环境和条件得到进一步改善，幼儿园各项工作处于稳步推进。</w:t>
      </w:r>
    </w:p>
    <w:p w14:paraId="4CB53876">
      <w:pPr>
        <w:ind w:firstLine="56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7F4E31CE">
      <w:pPr>
        <w:ind w:firstLine="560"/>
        <w:rPr>
          <w:rFonts w:hint="eastAsia"/>
          <w:b/>
          <w:bCs/>
          <w:color w:val="auto"/>
          <w:highlight w:val="none"/>
          <w:lang w:val="en-US" w:eastAsia="zh-CN"/>
        </w:rPr>
      </w:pPr>
      <w:bookmarkStart w:id="75" w:name="_Toc27006"/>
      <w:r>
        <w:rPr>
          <w:rFonts w:hint="eastAsia"/>
          <w:b/>
          <w:bCs/>
          <w:color w:val="auto"/>
          <w:highlight w:val="none"/>
          <w:lang w:val="en-US" w:eastAsia="zh-CN"/>
        </w:rPr>
        <w:t>2.社会效益指标</w:t>
      </w:r>
      <w:bookmarkEnd w:id="75"/>
    </w:p>
    <w:p w14:paraId="014AFFAF">
      <w:pPr>
        <w:bidi w:val="0"/>
        <w:rPr>
          <w:rFonts w:hint="eastAsia"/>
          <w:color w:val="auto"/>
          <w:highlight w:val="none"/>
          <w:lang w:val="en-US" w:eastAsia="zh-CN"/>
        </w:rPr>
      </w:pPr>
      <w:r>
        <w:rPr>
          <w:rFonts w:hint="eastAsia"/>
          <w:b w:val="0"/>
          <w:bCs w:val="0"/>
          <w:color w:val="auto"/>
          <w:highlight w:val="none"/>
          <w:lang w:val="en-US" w:eastAsia="zh-CN"/>
        </w:rPr>
        <w:t>“校园环境和条件进一步改善”指标，预期目标值为改善，实际完成为改善。</w:t>
      </w:r>
      <w:r>
        <w:rPr>
          <w:rFonts w:hint="eastAsia"/>
          <w:color w:val="auto"/>
          <w:highlight w:val="none"/>
          <w:lang w:val="en-US" w:eastAsia="zh-CN"/>
        </w:rPr>
        <w:t>实际完成率 100%；</w:t>
      </w:r>
    </w:p>
    <w:p w14:paraId="7742FD5A">
      <w:pPr>
        <w:ind w:left="0" w:leftChars="0" w:firstLine="560" w:firstLineChars="200"/>
        <w:rPr>
          <w:rFonts w:hint="eastAsia"/>
          <w:b w:val="0"/>
          <w:bCs w:val="0"/>
          <w:color w:val="auto"/>
          <w:highlight w:val="none"/>
          <w:lang w:val="en-US" w:eastAsia="zh-CN"/>
        </w:rPr>
      </w:pPr>
      <w:r>
        <w:rPr>
          <w:rFonts w:hint="eastAsia"/>
          <w:b w:val="0"/>
          <w:bCs w:val="0"/>
          <w:color w:val="auto"/>
          <w:highlight w:val="none"/>
          <w:lang w:val="en-US" w:eastAsia="zh-CN"/>
        </w:rPr>
        <w:t xml:space="preserve">通过项目的实施，幼儿园环境和条件得到进一步改善，保障幼儿身心健康。 </w:t>
      </w:r>
    </w:p>
    <w:p w14:paraId="407F5A83">
      <w:pPr>
        <w:ind w:firstLine="56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29B50744">
      <w:pPr>
        <w:numPr>
          <w:ilvl w:val="0"/>
          <w:numId w:val="0"/>
        </w:numPr>
        <w:ind w:firstLine="562" w:firstLineChars="200"/>
        <w:rPr>
          <w:rFonts w:hint="eastAsia"/>
          <w:b/>
          <w:bCs/>
          <w:color w:val="auto"/>
          <w:highlight w:val="none"/>
          <w:lang w:val="en-US" w:eastAsia="zh-CN"/>
        </w:rPr>
      </w:pPr>
      <w:r>
        <w:rPr>
          <w:rFonts w:hint="eastAsia"/>
          <w:b/>
          <w:bCs/>
          <w:color w:val="auto"/>
          <w:highlight w:val="none"/>
          <w:lang w:val="en-US" w:eastAsia="zh-CN"/>
        </w:rPr>
        <w:t>3.生态效益指标</w:t>
      </w:r>
    </w:p>
    <w:p w14:paraId="37311DDB">
      <w:pPr>
        <w:numPr>
          <w:ilvl w:val="0"/>
          <w:numId w:val="0"/>
        </w:numPr>
        <w:ind w:firstLine="560" w:firstLineChars="200"/>
        <w:rPr>
          <w:rFonts w:hint="default"/>
          <w:b w:val="0"/>
          <w:bCs w:val="0"/>
          <w:color w:val="auto"/>
          <w:highlight w:val="none"/>
          <w:lang w:val="en-US" w:eastAsia="zh-CN"/>
        </w:rPr>
      </w:pPr>
      <w:r>
        <w:rPr>
          <w:rFonts w:hint="eastAsia"/>
          <w:b w:val="0"/>
          <w:bCs w:val="0"/>
          <w:color w:val="auto"/>
          <w:highlight w:val="none"/>
          <w:lang w:val="en-US" w:eastAsia="zh-CN"/>
        </w:rPr>
        <w:t xml:space="preserve">本项目不涉及生态效益指标 </w:t>
      </w:r>
    </w:p>
    <w:p w14:paraId="333332E9">
      <w:pPr>
        <w:numPr>
          <w:ilvl w:val="0"/>
          <w:numId w:val="0"/>
        </w:numPr>
        <w:ind w:leftChars="200"/>
        <w:rPr>
          <w:rFonts w:hint="eastAsia"/>
          <w:b/>
          <w:bCs/>
          <w:color w:val="auto"/>
          <w:highlight w:val="none"/>
          <w:lang w:val="en-US" w:eastAsia="zh-CN"/>
        </w:rPr>
      </w:pPr>
      <w:r>
        <w:rPr>
          <w:rFonts w:hint="eastAsia"/>
          <w:b/>
          <w:bCs/>
          <w:color w:val="auto"/>
          <w:highlight w:val="none"/>
          <w:lang w:val="en-US" w:eastAsia="zh-CN"/>
        </w:rPr>
        <w:t>4.可持续影响指标</w:t>
      </w:r>
    </w:p>
    <w:p w14:paraId="59B6EC0F">
      <w:pPr>
        <w:numPr>
          <w:ilvl w:val="0"/>
          <w:numId w:val="0"/>
        </w:numPr>
        <w:ind w:leftChars="200"/>
        <w:rPr>
          <w:rFonts w:hint="default"/>
          <w:b w:val="0"/>
          <w:bCs w:val="0"/>
          <w:color w:val="auto"/>
          <w:highlight w:val="none"/>
          <w:lang w:val="en-US" w:eastAsia="zh-CN"/>
        </w:rPr>
      </w:pPr>
      <w:r>
        <w:rPr>
          <w:rFonts w:hint="eastAsia"/>
          <w:b w:val="0"/>
          <w:bCs w:val="0"/>
          <w:color w:val="auto"/>
          <w:highlight w:val="none"/>
          <w:lang w:val="en-US" w:eastAsia="zh-CN"/>
        </w:rPr>
        <w:t>本项目不涉及可持续影响指标</w:t>
      </w:r>
    </w:p>
    <w:p w14:paraId="62258235">
      <w:pPr>
        <w:numPr>
          <w:ilvl w:val="0"/>
          <w:numId w:val="0"/>
        </w:numPr>
        <w:ind w:firstLine="562" w:firstLineChars="200"/>
        <w:rPr>
          <w:rFonts w:hint="eastAsia"/>
          <w:b/>
          <w:bCs/>
          <w:color w:val="auto"/>
          <w:highlight w:val="none"/>
          <w:lang w:val="en-US" w:eastAsia="zh-CN"/>
        </w:rPr>
      </w:pPr>
      <w:r>
        <w:rPr>
          <w:rFonts w:hint="eastAsia"/>
          <w:b/>
          <w:bCs/>
          <w:color w:val="auto"/>
          <w:highlight w:val="none"/>
          <w:lang w:val="en-US" w:eastAsia="zh-CN"/>
        </w:rPr>
        <w:t>5.满意度指标</w:t>
      </w:r>
    </w:p>
    <w:p w14:paraId="4D77EEFE">
      <w:pPr>
        <w:bidi w:val="0"/>
        <w:rPr>
          <w:rFonts w:hint="eastAsia"/>
          <w:color w:val="auto"/>
          <w:highlight w:val="none"/>
          <w:lang w:val="en-US" w:eastAsia="zh-CN"/>
        </w:rPr>
      </w:pPr>
      <w:r>
        <w:rPr>
          <w:rFonts w:hint="eastAsia"/>
          <w:b w:val="0"/>
          <w:bCs w:val="0"/>
          <w:color w:val="auto"/>
          <w:highlight w:val="none"/>
          <w:lang w:val="en-US" w:eastAsia="zh-CN"/>
        </w:rPr>
        <w:t>“家长及教师满意度”指标，预期目标值为≥90%，实际完成为95%。</w:t>
      </w:r>
      <w:r>
        <w:rPr>
          <w:rFonts w:hint="eastAsia"/>
          <w:color w:val="auto"/>
          <w:highlight w:val="none"/>
          <w:lang w:val="en-US" w:eastAsia="zh-CN"/>
        </w:rPr>
        <w:t>实际完成率为100%</w:t>
      </w:r>
    </w:p>
    <w:p w14:paraId="1DC80A45">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3B299418">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6" w:name="_Toc19962"/>
      <w:r>
        <w:rPr>
          <w:rFonts w:hint="eastAsia" w:ascii="宋体" w:hAnsi="宋体" w:eastAsia="宋体" w:cs="宋体"/>
          <w:b/>
          <w:bCs/>
          <w:color w:val="auto"/>
          <w:highlight w:val="none"/>
          <w:shd w:val="clear" w:color="auto" w:fill="auto"/>
          <w:lang w:val="en-US" w:eastAsia="zh-CN"/>
        </w:rPr>
        <w:t>五、预算执行进度与指标偏差</w:t>
      </w:r>
      <w:bookmarkEnd w:id="76"/>
    </w:p>
    <w:p w14:paraId="3457EA5A">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b w:val="0"/>
          <w:bCs w:val="0"/>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w:t>
      </w:r>
      <w:r>
        <w:rPr>
          <w:rFonts w:hint="eastAsia" w:cs="仿宋_GB2312"/>
          <w:b w:val="0"/>
          <w:bCs w:val="0"/>
          <w:color w:val="auto"/>
          <w:sz w:val="28"/>
          <w:szCs w:val="28"/>
          <w:highlight w:val="none"/>
          <w:lang w:eastAsia="zh-CN"/>
        </w:rPr>
        <w:t>总额为</w:t>
      </w:r>
      <w:r>
        <w:rPr>
          <w:rFonts w:hint="eastAsia"/>
          <w:b w:val="0"/>
          <w:bCs w:val="0"/>
          <w:color w:val="auto"/>
          <w:highlight w:val="none"/>
          <w:lang w:val="en-US" w:eastAsia="zh-CN"/>
        </w:rPr>
        <w:t>15.07</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15.07</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预算执行率与总体完成率之间的偏差值为0%，无偏差</w:t>
      </w:r>
      <w:r>
        <w:rPr>
          <w:rFonts w:hint="eastAsia" w:ascii="仿宋_GB2312" w:hAnsi="仿宋_GB2312" w:cs="仿宋_GB2312"/>
          <w:b w:val="0"/>
          <w:bCs w:val="0"/>
          <w:color w:val="auto"/>
          <w:sz w:val="28"/>
          <w:szCs w:val="28"/>
          <w:highlight w:val="none"/>
        </w:rPr>
        <w:t>。</w:t>
      </w:r>
    </w:p>
    <w:p w14:paraId="1B4F2C66">
      <w:pPr>
        <w:pStyle w:val="2"/>
        <w:pageBreakBefore w:val="0"/>
        <w:kinsoku/>
        <w:wordWrap/>
        <w:overflowPunct/>
        <w:topLinePunct w:val="0"/>
        <w:autoSpaceDE/>
        <w:autoSpaceDN/>
        <w:bidi w:val="0"/>
        <w:adjustRightInd/>
        <w:spacing w:beforeLines="0" w:afterLines="0" w:line="360" w:lineRule="auto"/>
        <w:ind w:left="0" w:leftChars="0" w:firstLine="643" w:firstLineChars="200"/>
        <w:textAlignment w:val="auto"/>
        <w:rPr>
          <w:rFonts w:hint="eastAsia" w:ascii="宋体" w:hAnsi="宋体" w:eastAsia="宋体" w:cs="宋体"/>
          <w:b/>
          <w:bCs/>
          <w:color w:val="auto"/>
          <w:highlight w:val="none"/>
          <w:shd w:val="clear" w:color="auto" w:fill="auto"/>
          <w:lang w:val="en-US" w:eastAsia="zh-CN"/>
        </w:rPr>
      </w:pPr>
      <w:bookmarkStart w:id="77"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7"/>
    </w:p>
    <w:p w14:paraId="18ABF185">
      <w:pPr>
        <w:numPr>
          <w:ilvl w:val="0"/>
          <w:numId w:val="0"/>
        </w:numPr>
        <w:bidi w:val="0"/>
        <w:ind w:left="560" w:leftChars="0"/>
        <w:outlineLvl w:val="1"/>
        <w:rPr>
          <w:rFonts w:hint="eastAsia"/>
          <w:b/>
          <w:bCs/>
          <w:color w:val="auto"/>
          <w:highlight w:val="none"/>
          <w:lang w:eastAsia="zh-CN"/>
        </w:rPr>
      </w:pPr>
      <w:bookmarkStart w:id="78" w:name="_Toc13160"/>
      <w:bookmarkStart w:id="79" w:name="_Toc28290"/>
      <w:bookmarkStart w:id="80"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78"/>
    </w:p>
    <w:p w14:paraId="683A73A6">
      <w:pPr>
        <w:bidi w:val="0"/>
        <w:rPr>
          <w:rFonts w:hint="eastAsia"/>
          <w:color w:val="auto"/>
          <w:highlight w:val="none"/>
          <w:lang w:eastAsia="zh-CN"/>
        </w:rPr>
      </w:pPr>
      <w:r>
        <w:rPr>
          <w:rFonts w:hint="eastAsia"/>
          <w:color w:val="auto"/>
          <w:highlight w:val="none"/>
          <w:lang w:val="en-US" w:eastAsia="zh-CN"/>
        </w:rPr>
        <w:t>昌州财教【2022】82号提前下达2023年新疆西藏地区特殊教育补助资金（园舍维修资金）项目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15.07</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15.07</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12D2E6C5">
      <w:pPr>
        <w:bidi w:val="0"/>
        <w:rPr>
          <w:rFonts w:hint="eastAsia"/>
          <w:color w:val="auto"/>
          <w:highlight w:val="none"/>
          <w:lang w:eastAsia="zh-CN"/>
        </w:rPr>
      </w:pPr>
      <w:r>
        <w:rPr>
          <w:rFonts w:hint="eastAsia"/>
          <w:color w:val="auto"/>
          <w:highlight w:val="none"/>
          <w:lang w:val="en-US" w:eastAsia="zh-CN"/>
        </w:rPr>
        <w:t>阜康市上户沟哈萨克乡第一中心幼儿园</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阜康市上户沟哈萨克乡第一中心幼儿园</w:t>
      </w:r>
      <w:r>
        <w:rPr>
          <w:rFonts w:hint="eastAsia"/>
          <w:color w:val="auto"/>
          <w:highlight w:val="none"/>
          <w:lang w:eastAsia="zh-CN"/>
        </w:rPr>
        <w:t>事业发展中关系民生与稳定的项目，切实优化资源配置，提高了资金使用的效率和效果。</w:t>
      </w:r>
    </w:p>
    <w:bookmarkEnd w:id="79"/>
    <w:bookmarkEnd w:id="80"/>
    <w:p w14:paraId="6F8B9323">
      <w:pPr>
        <w:bidi w:val="0"/>
        <w:outlineLvl w:val="1"/>
        <w:rPr>
          <w:rFonts w:hint="eastAsia"/>
          <w:b/>
          <w:bCs/>
          <w:color w:val="auto"/>
          <w:highlight w:val="none"/>
          <w:lang w:eastAsia="zh-CN"/>
        </w:rPr>
      </w:pPr>
      <w:bookmarkStart w:id="81"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1"/>
    </w:p>
    <w:p w14:paraId="05793B4C">
      <w:pPr>
        <w:ind w:firstLine="560"/>
        <w:rPr>
          <w:rFonts w:hint="eastAsia"/>
          <w:color w:val="auto"/>
          <w:highlight w:val="none"/>
        </w:rPr>
      </w:pPr>
      <w:bookmarkStart w:id="82" w:name="_Toc5230"/>
      <w:r>
        <w:rPr>
          <w:rFonts w:hint="eastAsia"/>
          <w:color w:val="auto"/>
          <w:highlight w:val="none"/>
          <w:lang w:val="en-US" w:eastAsia="zh-CN"/>
        </w:rPr>
        <w:t>1</w:t>
      </w:r>
      <w:r>
        <w:rPr>
          <w:rFonts w:hint="eastAsia"/>
          <w:color w:val="auto"/>
          <w:highlight w:val="none"/>
        </w:rPr>
        <w:t>.</w:t>
      </w:r>
      <w:r>
        <w:rPr>
          <w:rFonts w:hint="eastAsia"/>
          <w:color w:val="auto"/>
          <w:highlight w:val="none"/>
          <w:lang w:val="en-US" w:eastAsia="zh-CN"/>
        </w:rPr>
        <w:t>在项目实施期间</w:t>
      </w:r>
      <w:r>
        <w:rPr>
          <w:rFonts w:hint="eastAsia"/>
          <w:color w:val="auto"/>
          <w:highlight w:val="none"/>
        </w:rPr>
        <w:t>部分业务人员未能全面深入认识理解</w:t>
      </w:r>
      <w:r>
        <w:rPr>
          <w:rFonts w:hint="eastAsia"/>
          <w:color w:val="auto"/>
          <w:highlight w:val="none"/>
          <w:lang w:val="en-US" w:eastAsia="zh-CN"/>
        </w:rPr>
        <w:t>项目</w:t>
      </w:r>
      <w:r>
        <w:rPr>
          <w:rFonts w:hint="eastAsia"/>
          <w:color w:val="auto"/>
          <w:highlight w:val="none"/>
        </w:rPr>
        <w:t>管理工作的意义。</w:t>
      </w:r>
      <w:r>
        <w:rPr>
          <w:rFonts w:hint="eastAsia"/>
          <w:color w:val="auto"/>
          <w:highlight w:val="none"/>
          <w:lang w:val="en-US" w:eastAsia="zh-CN"/>
        </w:rPr>
        <w:t>项目</w:t>
      </w:r>
      <w:r>
        <w:rPr>
          <w:rFonts w:hint="eastAsia"/>
          <w:color w:val="auto"/>
          <w:highlight w:val="none"/>
        </w:rPr>
        <w:t>管理经验不足，</w:t>
      </w:r>
      <w:r>
        <w:rPr>
          <w:rFonts w:hint="eastAsia"/>
          <w:color w:val="auto"/>
          <w:highlight w:val="none"/>
          <w:lang w:val="en-US" w:eastAsia="zh-CN"/>
        </w:rPr>
        <w:t>项目</w:t>
      </w:r>
      <w:r>
        <w:rPr>
          <w:rFonts w:hint="eastAsia"/>
          <w:color w:val="auto"/>
          <w:highlight w:val="none"/>
        </w:rPr>
        <w:t>管理工作有待进一步落实。</w:t>
      </w:r>
    </w:p>
    <w:p w14:paraId="3B76911F">
      <w:pPr>
        <w:ind w:left="0" w:leftChars="0" w:firstLine="560" w:firstLineChars="200"/>
        <w:rPr>
          <w:rFonts w:hint="default" w:eastAsia="宋体"/>
          <w:color w:val="auto"/>
          <w:highlight w:val="none"/>
          <w:lang w:val="en-US" w:eastAsia="zh-CN"/>
        </w:rPr>
      </w:pPr>
      <w:r>
        <w:rPr>
          <w:rFonts w:hint="eastAsia"/>
          <w:color w:val="auto"/>
          <w:highlight w:val="none"/>
          <w:lang w:val="en-US" w:eastAsia="zh-CN"/>
        </w:rPr>
        <w:t>2.因年初预算数据不够清晰明确到明细科目，使得整个年度财务核算及审核流程不准确清晰。</w:t>
      </w:r>
    </w:p>
    <w:p w14:paraId="7E41F993">
      <w:pPr>
        <w:pStyle w:val="2"/>
        <w:pageBreakBefore w:val="0"/>
        <w:kinsoku/>
        <w:wordWrap/>
        <w:overflowPunct/>
        <w:topLinePunct w:val="0"/>
        <w:autoSpaceDE/>
        <w:autoSpaceDN/>
        <w:bidi w:val="0"/>
        <w:adjustRightInd/>
        <w:spacing w:beforeLines="0" w:afterLines="0" w:line="360" w:lineRule="auto"/>
        <w:ind w:left="0" w:leftChars="0" w:firstLine="643" w:firstLineChars="200"/>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2"/>
    </w:p>
    <w:p w14:paraId="27BEA362">
      <w:pPr>
        <w:ind w:left="0" w:leftChars="0" w:firstLine="560" w:firstLineChars="200"/>
        <w:rPr>
          <w:rFonts w:hint="default"/>
          <w:color w:val="auto"/>
          <w:highlight w:val="none"/>
          <w:lang w:val="en-US" w:eastAsia="zh-CN"/>
        </w:rPr>
      </w:pPr>
      <w:r>
        <w:rPr>
          <w:rFonts w:hint="eastAsia"/>
          <w:color w:val="auto"/>
          <w:highlight w:val="none"/>
          <w:lang w:val="en-US" w:eastAsia="zh-CN"/>
        </w:rPr>
        <w:t>（一）</w:t>
      </w:r>
      <w:r>
        <w:rPr>
          <w:rFonts w:hint="eastAsia"/>
          <w:color w:val="auto"/>
          <w:highlight w:val="none"/>
        </w:rPr>
        <w:t>加强</w:t>
      </w:r>
      <w:r>
        <w:rPr>
          <w:rFonts w:hint="eastAsia"/>
          <w:color w:val="auto"/>
          <w:highlight w:val="none"/>
          <w:lang w:val="en-US" w:eastAsia="zh-CN"/>
        </w:rPr>
        <w:t>项目管理</w:t>
      </w:r>
      <w:r>
        <w:rPr>
          <w:rFonts w:hint="eastAsia"/>
          <w:color w:val="auto"/>
          <w:highlight w:val="none"/>
        </w:rPr>
        <w:t>，健全单位</w:t>
      </w:r>
      <w:r>
        <w:rPr>
          <w:rFonts w:hint="eastAsia"/>
          <w:color w:val="auto"/>
          <w:highlight w:val="none"/>
          <w:lang w:val="en-US" w:eastAsia="zh-CN"/>
        </w:rPr>
        <w:t>项目</w:t>
      </w:r>
      <w:r>
        <w:rPr>
          <w:rFonts w:hint="eastAsia"/>
          <w:color w:val="auto"/>
          <w:highlight w:val="none"/>
        </w:rPr>
        <w:t>管理制度体系</w:t>
      </w:r>
      <w:r>
        <w:rPr>
          <w:rFonts w:hint="eastAsia"/>
          <w:color w:val="auto"/>
          <w:highlight w:val="none"/>
          <w:lang w:eastAsia="zh-CN"/>
        </w:rPr>
        <w:t>。</w:t>
      </w:r>
      <w:r>
        <w:rPr>
          <w:rFonts w:hint="eastAsia"/>
          <w:color w:val="auto"/>
          <w:highlight w:val="none"/>
          <w:lang w:val="en-US" w:eastAsia="zh-CN"/>
        </w:rPr>
        <w:t xml:space="preserve"> 加大项目管理人员的业务培训，确保项目能够顺利实施。</w:t>
      </w:r>
    </w:p>
    <w:p w14:paraId="0D864476">
      <w:pPr>
        <w:ind w:left="0" w:leftChars="0" w:firstLine="560" w:firstLineChars="200"/>
        <w:rPr>
          <w:rFonts w:hint="default" w:eastAsia="宋体"/>
          <w:color w:val="auto"/>
          <w:highlight w:val="none"/>
          <w:lang w:val="en-US" w:eastAsia="zh-CN"/>
        </w:rPr>
      </w:pPr>
      <w:r>
        <w:rPr>
          <w:rFonts w:hint="eastAsia"/>
          <w:color w:val="auto"/>
          <w:highlight w:val="none"/>
          <w:lang w:val="en-US" w:eastAsia="zh-CN"/>
        </w:rPr>
        <w:t>（二）加强财务人员业务培训，在年初预算时及时与各科室联系，将年初预算数据填写清晰，确保财务支付审核程序顺利进行。。</w:t>
      </w:r>
    </w:p>
    <w:p w14:paraId="2421A6EE">
      <w:pPr>
        <w:pStyle w:val="2"/>
        <w:pageBreakBefore w:val="0"/>
        <w:kinsoku/>
        <w:wordWrap/>
        <w:overflowPunct/>
        <w:topLinePunct w:val="0"/>
        <w:autoSpaceDE/>
        <w:autoSpaceDN/>
        <w:bidi w:val="0"/>
        <w:adjustRightInd/>
        <w:spacing w:beforeLines="0" w:afterLines="0" w:line="360" w:lineRule="auto"/>
        <w:ind w:left="0" w:leftChars="0" w:firstLine="643" w:firstLineChars="200"/>
        <w:textAlignment w:val="auto"/>
        <w:rPr>
          <w:rFonts w:hint="eastAsia" w:ascii="宋体" w:hAnsi="宋体" w:eastAsia="宋体" w:cs="宋体"/>
          <w:b/>
          <w:bCs/>
          <w:color w:val="auto"/>
          <w:highlight w:val="none"/>
          <w:shd w:val="clear" w:color="auto" w:fill="auto"/>
          <w:lang w:val="en-US" w:eastAsia="zh-CN"/>
        </w:rPr>
      </w:pPr>
      <w:bookmarkStart w:id="83" w:name="_Toc15618"/>
      <w:r>
        <w:rPr>
          <w:rFonts w:hint="eastAsia" w:ascii="宋体" w:hAnsi="宋体" w:eastAsia="宋体" w:cs="宋体"/>
          <w:b/>
          <w:bCs/>
          <w:color w:val="auto"/>
          <w:highlight w:val="none"/>
          <w:shd w:val="clear" w:color="auto" w:fill="auto"/>
          <w:lang w:val="en-US" w:eastAsia="zh-CN"/>
        </w:rPr>
        <w:t>八、其他需要说明的问题</w:t>
      </w:r>
      <w:bookmarkEnd w:id="83"/>
    </w:p>
    <w:p w14:paraId="0BD58933">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bookmarkStart w:id="84" w:name="_Toc11349"/>
    </w:p>
    <w:p w14:paraId="7C91159C">
      <w:pPr>
        <w:bidi w:val="0"/>
        <w:rPr>
          <w:rFonts w:hint="eastAsia" w:ascii="宋体" w:hAnsi="宋体" w:eastAsia="宋体" w:cs="宋体"/>
          <w:b/>
          <w:bCs/>
          <w:color w:val="auto"/>
          <w:highlight w:val="none"/>
          <w:shd w:val="clear" w:color="auto" w:fill="auto"/>
          <w:lang w:val="en-US" w:eastAsia="zh-CN"/>
        </w:rPr>
      </w:pPr>
    </w:p>
    <w:p w14:paraId="3F108AFC">
      <w:pPr>
        <w:bidi w:val="0"/>
        <w:ind w:left="0" w:leftChars="0" w:firstLine="0" w:firstLineChars="0"/>
        <w:rPr>
          <w:rFonts w:hint="eastAsia" w:ascii="宋体" w:hAnsi="宋体" w:eastAsia="宋体" w:cs="宋体"/>
          <w:b/>
          <w:bCs/>
          <w:color w:val="auto"/>
          <w:highlight w:val="none"/>
          <w:shd w:val="clear" w:color="auto" w:fill="auto"/>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cols w:space="720" w:num="1"/>
          <w:docGrid w:type="lines" w:linePitch="408" w:charSpace="0"/>
        </w:sectPr>
      </w:pPr>
    </w:p>
    <w:p w14:paraId="67D41479">
      <w:pPr>
        <w:bidi w:val="0"/>
        <w:ind w:left="0" w:leftChars="0" w:firstLine="0" w:firstLineChars="0"/>
        <w:rPr>
          <w:rFonts w:hint="eastAsia" w:cs="宋体"/>
          <w:b/>
          <w:bCs/>
          <w:color w:val="auto"/>
          <w:sz w:val="32"/>
          <w:szCs w:val="32"/>
          <w:highlight w:val="none"/>
          <w:shd w:val="clear" w:color="auto" w:fill="auto"/>
          <w:lang w:val="en-US" w:eastAsia="zh-CN"/>
        </w:rPr>
      </w:pPr>
      <w:r>
        <w:rPr>
          <w:rFonts w:hint="eastAsia" w:cs="宋体"/>
          <w:b/>
          <w:bCs/>
          <w:color w:val="auto"/>
          <w:sz w:val="32"/>
          <w:szCs w:val="32"/>
          <w:highlight w:val="none"/>
          <w:shd w:val="clear" w:color="auto" w:fill="auto"/>
          <w:lang w:val="en-US" w:eastAsia="zh-CN"/>
        </w:rPr>
        <w:t>附件一、项目支出绩效自评表</w:t>
      </w:r>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35"/>
        <w:gridCol w:w="705"/>
        <w:gridCol w:w="702"/>
        <w:gridCol w:w="1208"/>
        <w:gridCol w:w="1090"/>
        <w:gridCol w:w="853"/>
        <w:gridCol w:w="1208"/>
        <w:gridCol w:w="926"/>
        <w:gridCol w:w="927"/>
        <w:gridCol w:w="1033"/>
        <w:gridCol w:w="989"/>
        <w:gridCol w:w="1096"/>
        <w:gridCol w:w="982"/>
        <w:gridCol w:w="1720"/>
      </w:tblGrid>
      <w:tr w14:paraId="2BB553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l2br w:val="nil"/>
              <w:tr2bl w:val="nil"/>
            </w:tcBorders>
            <w:shd w:val="clear" w:color="auto" w:fill="auto"/>
            <w:vAlign w:val="center"/>
          </w:tcPr>
          <w:p w14:paraId="1060DF87">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0983D2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trPr>
        <w:tc>
          <w:tcPr>
            <w:tcW w:w="14174" w:type="dxa"/>
            <w:gridSpan w:val="14"/>
            <w:tcBorders>
              <w:tl2br w:val="nil"/>
              <w:tr2bl w:val="nil"/>
            </w:tcBorders>
            <w:shd w:val="clear" w:color="auto" w:fill="auto"/>
            <w:vAlign w:val="center"/>
          </w:tcPr>
          <w:p w14:paraId="652FA055">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25213A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40" w:type="dxa"/>
            <w:gridSpan w:val="2"/>
            <w:tcBorders>
              <w:tl2br w:val="nil"/>
              <w:tr2bl w:val="nil"/>
            </w:tcBorders>
            <w:shd w:val="clear" w:color="auto" w:fill="auto"/>
            <w:vAlign w:val="center"/>
          </w:tcPr>
          <w:p w14:paraId="665587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34" w:type="dxa"/>
            <w:gridSpan w:val="12"/>
            <w:tcBorders>
              <w:tl2br w:val="nil"/>
              <w:tr2bl w:val="nil"/>
            </w:tcBorders>
            <w:shd w:val="clear" w:color="auto" w:fill="auto"/>
            <w:vAlign w:val="center"/>
          </w:tcPr>
          <w:p w14:paraId="40DCD5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昌州财教【2022】82号提前下达2023年新疆西藏地区特殊教育补助资金（园舍维修资金）</w:t>
            </w:r>
          </w:p>
        </w:tc>
      </w:tr>
      <w:tr w14:paraId="597B46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440" w:type="dxa"/>
            <w:gridSpan w:val="2"/>
            <w:tcBorders>
              <w:tl2br w:val="nil"/>
              <w:tr2bl w:val="nil"/>
            </w:tcBorders>
            <w:shd w:val="clear" w:color="auto" w:fill="auto"/>
            <w:vAlign w:val="center"/>
          </w:tcPr>
          <w:p w14:paraId="39EFBF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061" w:type="dxa"/>
            <w:gridSpan w:val="5"/>
            <w:tcBorders>
              <w:tl2br w:val="nil"/>
              <w:tr2bl w:val="nil"/>
            </w:tcBorders>
            <w:shd w:val="clear" w:color="auto" w:fill="auto"/>
            <w:vAlign w:val="center"/>
          </w:tcPr>
          <w:p w14:paraId="591E3E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853" w:type="dxa"/>
            <w:gridSpan w:val="2"/>
            <w:tcBorders>
              <w:tl2br w:val="nil"/>
              <w:tr2bl w:val="nil"/>
            </w:tcBorders>
            <w:shd w:val="clear" w:color="auto" w:fill="auto"/>
            <w:vAlign w:val="center"/>
          </w:tcPr>
          <w:p w14:paraId="53EC0C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820" w:type="dxa"/>
            <w:gridSpan w:val="5"/>
            <w:tcBorders>
              <w:tl2br w:val="nil"/>
              <w:tr2bl w:val="nil"/>
            </w:tcBorders>
            <w:shd w:val="clear" w:color="auto" w:fill="auto"/>
            <w:vAlign w:val="center"/>
          </w:tcPr>
          <w:p w14:paraId="384D0A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阜康市上户沟哈萨克乡第一中心幼儿园</w:t>
            </w:r>
          </w:p>
        </w:tc>
      </w:tr>
      <w:tr w14:paraId="332545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440" w:type="dxa"/>
            <w:gridSpan w:val="2"/>
            <w:vMerge w:val="restart"/>
            <w:tcBorders>
              <w:tl2br w:val="nil"/>
              <w:tr2bl w:val="nil"/>
            </w:tcBorders>
            <w:shd w:val="clear" w:color="auto" w:fill="auto"/>
            <w:vAlign w:val="center"/>
          </w:tcPr>
          <w:p w14:paraId="0C46C6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10" w:type="dxa"/>
            <w:gridSpan w:val="2"/>
            <w:tcBorders>
              <w:tl2br w:val="nil"/>
              <w:tr2bl w:val="nil"/>
            </w:tcBorders>
            <w:shd w:val="clear" w:color="auto" w:fill="auto"/>
            <w:vAlign w:val="center"/>
          </w:tcPr>
          <w:p w14:paraId="3BD7DF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90" w:type="dxa"/>
            <w:tcBorders>
              <w:tl2br w:val="nil"/>
              <w:tr2bl w:val="nil"/>
            </w:tcBorders>
            <w:shd w:val="clear" w:color="auto" w:fill="auto"/>
            <w:vAlign w:val="center"/>
          </w:tcPr>
          <w:p w14:paraId="69C300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061" w:type="dxa"/>
            <w:gridSpan w:val="2"/>
            <w:tcBorders>
              <w:tl2br w:val="nil"/>
              <w:tr2bl w:val="nil"/>
            </w:tcBorders>
            <w:shd w:val="clear" w:color="auto" w:fill="auto"/>
            <w:vAlign w:val="center"/>
          </w:tcPr>
          <w:p w14:paraId="245225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53" w:type="dxa"/>
            <w:gridSpan w:val="2"/>
            <w:tcBorders>
              <w:tl2br w:val="nil"/>
              <w:tr2bl w:val="nil"/>
            </w:tcBorders>
            <w:shd w:val="clear" w:color="auto" w:fill="auto"/>
            <w:vAlign w:val="center"/>
          </w:tcPr>
          <w:p w14:paraId="2E9707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22" w:type="dxa"/>
            <w:gridSpan w:val="2"/>
            <w:tcBorders>
              <w:tl2br w:val="nil"/>
              <w:tr2bl w:val="nil"/>
            </w:tcBorders>
            <w:shd w:val="clear" w:color="auto" w:fill="auto"/>
            <w:vAlign w:val="center"/>
          </w:tcPr>
          <w:p w14:paraId="69736A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078" w:type="dxa"/>
            <w:gridSpan w:val="2"/>
            <w:tcBorders>
              <w:tl2br w:val="nil"/>
              <w:tr2bl w:val="nil"/>
            </w:tcBorders>
            <w:shd w:val="clear" w:color="auto" w:fill="auto"/>
            <w:vAlign w:val="center"/>
          </w:tcPr>
          <w:p w14:paraId="36E35C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720" w:type="dxa"/>
            <w:tcBorders>
              <w:tl2br w:val="nil"/>
              <w:tr2bl w:val="nil"/>
            </w:tcBorders>
            <w:shd w:val="clear" w:color="auto" w:fill="auto"/>
            <w:vAlign w:val="center"/>
          </w:tcPr>
          <w:p w14:paraId="387DBB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6B542D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40" w:type="dxa"/>
            <w:gridSpan w:val="2"/>
            <w:vMerge w:val="continue"/>
            <w:tcBorders>
              <w:tl2br w:val="nil"/>
              <w:tr2bl w:val="nil"/>
            </w:tcBorders>
            <w:shd w:val="clear" w:color="auto" w:fill="auto"/>
            <w:vAlign w:val="center"/>
          </w:tcPr>
          <w:p w14:paraId="20F79258">
            <w:pPr>
              <w:jc w:val="center"/>
              <w:rPr>
                <w:rFonts w:hint="eastAsia" w:ascii="宋体" w:hAnsi="宋体" w:eastAsia="宋体" w:cs="宋体"/>
                <w:i w:val="0"/>
                <w:iCs w:val="0"/>
                <w:color w:val="000000"/>
                <w:sz w:val="20"/>
                <w:szCs w:val="20"/>
                <w:u w:val="none"/>
              </w:rPr>
            </w:pPr>
          </w:p>
        </w:tc>
        <w:tc>
          <w:tcPr>
            <w:tcW w:w="1910" w:type="dxa"/>
            <w:gridSpan w:val="2"/>
            <w:tcBorders>
              <w:tl2br w:val="nil"/>
              <w:tr2bl w:val="nil"/>
            </w:tcBorders>
            <w:shd w:val="clear" w:color="auto" w:fill="auto"/>
            <w:vAlign w:val="center"/>
          </w:tcPr>
          <w:p w14:paraId="73912D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90" w:type="dxa"/>
            <w:tcBorders>
              <w:tl2br w:val="nil"/>
              <w:tr2bl w:val="nil"/>
            </w:tcBorders>
            <w:shd w:val="clear" w:color="auto" w:fill="auto"/>
            <w:vAlign w:val="center"/>
          </w:tcPr>
          <w:p w14:paraId="1C3854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15.07 </w:t>
            </w:r>
          </w:p>
        </w:tc>
        <w:tc>
          <w:tcPr>
            <w:tcW w:w="2061" w:type="dxa"/>
            <w:gridSpan w:val="2"/>
            <w:tcBorders>
              <w:tl2br w:val="nil"/>
              <w:tr2bl w:val="nil"/>
            </w:tcBorders>
            <w:shd w:val="clear" w:color="auto" w:fill="auto"/>
            <w:vAlign w:val="center"/>
          </w:tcPr>
          <w:p w14:paraId="20278D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15.07 </w:t>
            </w:r>
          </w:p>
        </w:tc>
        <w:tc>
          <w:tcPr>
            <w:tcW w:w="1853" w:type="dxa"/>
            <w:gridSpan w:val="2"/>
            <w:tcBorders>
              <w:tl2br w:val="nil"/>
              <w:tr2bl w:val="nil"/>
            </w:tcBorders>
            <w:shd w:val="clear" w:color="auto" w:fill="auto"/>
            <w:vAlign w:val="center"/>
          </w:tcPr>
          <w:p w14:paraId="20D485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15.07 </w:t>
            </w:r>
          </w:p>
        </w:tc>
        <w:tc>
          <w:tcPr>
            <w:tcW w:w="2022" w:type="dxa"/>
            <w:gridSpan w:val="2"/>
            <w:tcBorders>
              <w:tl2br w:val="nil"/>
              <w:tr2bl w:val="nil"/>
            </w:tcBorders>
            <w:shd w:val="clear" w:color="auto" w:fill="auto"/>
            <w:vAlign w:val="center"/>
          </w:tcPr>
          <w:p w14:paraId="226FBA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78" w:type="dxa"/>
            <w:gridSpan w:val="2"/>
            <w:tcBorders>
              <w:tl2br w:val="nil"/>
              <w:tr2bl w:val="nil"/>
            </w:tcBorders>
            <w:shd w:val="clear" w:color="auto" w:fill="auto"/>
            <w:vAlign w:val="center"/>
          </w:tcPr>
          <w:p w14:paraId="4292AA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720" w:type="dxa"/>
            <w:tcBorders>
              <w:tl2br w:val="nil"/>
              <w:tr2bl w:val="nil"/>
            </w:tcBorders>
            <w:shd w:val="clear" w:color="auto" w:fill="auto"/>
            <w:vAlign w:val="center"/>
          </w:tcPr>
          <w:p w14:paraId="1067DA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735C04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40" w:type="dxa"/>
            <w:gridSpan w:val="2"/>
            <w:vMerge w:val="continue"/>
            <w:tcBorders>
              <w:tl2br w:val="nil"/>
              <w:tr2bl w:val="nil"/>
            </w:tcBorders>
            <w:shd w:val="clear" w:color="auto" w:fill="auto"/>
            <w:vAlign w:val="center"/>
          </w:tcPr>
          <w:p w14:paraId="48ACAA98">
            <w:pPr>
              <w:jc w:val="center"/>
              <w:rPr>
                <w:rFonts w:hint="eastAsia" w:ascii="宋体" w:hAnsi="宋体" w:eastAsia="宋体" w:cs="宋体"/>
                <w:i w:val="0"/>
                <w:iCs w:val="0"/>
                <w:color w:val="000000"/>
                <w:sz w:val="20"/>
                <w:szCs w:val="20"/>
                <w:u w:val="none"/>
              </w:rPr>
            </w:pPr>
          </w:p>
        </w:tc>
        <w:tc>
          <w:tcPr>
            <w:tcW w:w="1910" w:type="dxa"/>
            <w:gridSpan w:val="2"/>
            <w:tcBorders>
              <w:tl2br w:val="nil"/>
              <w:tr2bl w:val="nil"/>
            </w:tcBorders>
            <w:shd w:val="clear" w:color="auto" w:fill="auto"/>
            <w:vAlign w:val="center"/>
          </w:tcPr>
          <w:p w14:paraId="3081A6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90" w:type="dxa"/>
            <w:tcBorders>
              <w:tl2br w:val="nil"/>
              <w:tr2bl w:val="nil"/>
            </w:tcBorders>
            <w:shd w:val="clear" w:color="auto" w:fill="auto"/>
            <w:vAlign w:val="center"/>
          </w:tcPr>
          <w:p w14:paraId="19968F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15.07 </w:t>
            </w:r>
          </w:p>
        </w:tc>
        <w:tc>
          <w:tcPr>
            <w:tcW w:w="2061" w:type="dxa"/>
            <w:gridSpan w:val="2"/>
            <w:tcBorders>
              <w:tl2br w:val="nil"/>
              <w:tr2bl w:val="nil"/>
            </w:tcBorders>
            <w:shd w:val="clear" w:color="auto" w:fill="auto"/>
            <w:vAlign w:val="center"/>
          </w:tcPr>
          <w:p w14:paraId="2C54C2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15.07 </w:t>
            </w:r>
          </w:p>
        </w:tc>
        <w:tc>
          <w:tcPr>
            <w:tcW w:w="1853" w:type="dxa"/>
            <w:gridSpan w:val="2"/>
            <w:tcBorders>
              <w:tl2br w:val="nil"/>
              <w:tr2bl w:val="nil"/>
            </w:tcBorders>
            <w:shd w:val="clear" w:color="auto" w:fill="auto"/>
            <w:vAlign w:val="center"/>
          </w:tcPr>
          <w:p w14:paraId="33B157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15.07 </w:t>
            </w:r>
          </w:p>
        </w:tc>
        <w:tc>
          <w:tcPr>
            <w:tcW w:w="2022" w:type="dxa"/>
            <w:gridSpan w:val="2"/>
            <w:tcBorders>
              <w:tl2br w:val="nil"/>
              <w:tr2bl w:val="nil"/>
            </w:tcBorders>
            <w:shd w:val="clear" w:color="auto" w:fill="auto"/>
            <w:vAlign w:val="center"/>
          </w:tcPr>
          <w:p w14:paraId="1B8F16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78" w:type="dxa"/>
            <w:gridSpan w:val="2"/>
            <w:tcBorders>
              <w:tl2br w:val="nil"/>
              <w:tr2bl w:val="nil"/>
            </w:tcBorders>
            <w:shd w:val="clear" w:color="auto" w:fill="auto"/>
            <w:vAlign w:val="center"/>
          </w:tcPr>
          <w:p w14:paraId="513702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20" w:type="dxa"/>
            <w:tcBorders>
              <w:tl2br w:val="nil"/>
              <w:tr2bl w:val="nil"/>
            </w:tcBorders>
            <w:shd w:val="clear" w:color="auto" w:fill="auto"/>
            <w:vAlign w:val="center"/>
          </w:tcPr>
          <w:p w14:paraId="0D4A23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08860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40" w:type="dxa"/>
            <w:gridSpan w:val="2"/>
            <w:vMerge w:val="continue"/>
            <w:tcBorders>
              <w:tl2br w:val="nil"/>
              <w:tr2bl w:val="nil"/>
            </w:tcBorders>
            <w:shd w:val="clear" w:color="auto" w:fill="auto"/>
            <w:vAlign w:val="center"/>
          </w:tcPr>
          <w:p w14:paraId="2AB3A68A">
            <w:pPr>
              <w:jc w:val="center"/>
              <w:rPr>
                <w:rFonts w:hint="eastAsia" w:ascii="宋体" w:hAnsi="宋体" w:eastAsia="宋体" w:cs="宋体"/>
                <w:i w:val="0"/>
                <w:iCs w:val="0"/>
                <w:color w:val="000000"/>
                <w:sz w:val="20"/>
                <w:szCs w:val="20"/>
                <w:u w:val="none"/>
              </w:rPr>
            </w:pPr>
          </w:p>
        </w:tc>
        <w:tc>
          <w:tcPr>
            <w:tcW w:w="1910" w:type="dxa"/>
            <w:gridSpan w:val="2"/>
            <w:tcBorders>
              <w:tl2br w:val="nil"/>
              <w:tr2bl w:val="nil"/>
            </w:tcBorders>
            <w:shd w:val="clear" w:color="auto" w:fill="auto"/>
            <w:vAlign w:val="center"/>
          </w:tcPr>
          <w:p w14:paraId="117F29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90" w:type="dxa"/>
            <w:tcBorders>
              <w:tl2br w:val="nil"/>
              <w:tr2bl w:val="nil"/>
            </w:tcBorders>
            <w:shd w:val="clear" w:color="auto" w:fill="auto"/>
            <w:vAlign w:val="center"/>
          </w:tcPr>
          <w:p w14:paraId="025DF9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61" w:type="dxa"/>
            <w:gridSpan w:val="2"/>
            <w:tcBorders>
              <w:tl2br w:val="nil"/>
              <w:tr2bl w:val="nil"/>
            </w:tcBorders>
            <w:shd w:val="clear" w:color="auto" w:fill="auto"/>
            <w:vAlign w:val="center"/>
          </w:tcPr>
          <w:p w14:paraId="5A058F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53" w:type="dxa"/>
            <w:gridSpan w:val="2"/>
            <w:tcBorders>
              <w:tl2br w:val="nil"/>
              <w:tr2bl w:val="nil"/>
            </w:tcBorders>
            <w:shd w:val="clear" w:color="auto" w:fill="auto"/>
            <w:vAlign w:val="center"/>
          </w:tcPr>
          <w:p w14:paraId="65AF4F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22" w:type="dxa"/>
            <w:gridSpan w:val="2"/>
            <w:tcBorders>
              <w:tl2br w:val="nil"/>
              <w:tr2bl w:val="nil"/>
            </w:tcBorders>
            <w:shd w:val="clear" w:color="auto" w:fill="auto"/>
            <w:vAlign w:val="center"/>
          </w:tcPr>
          <w:p w14:paraId="3D02E0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78" w:type="dxa"/>
            <w:gridSpan w:val="2"/>
            <w:tcBorders>
              <w:tl2br w:val="nil"/>
              <w:tr2bl w:val="nil"/>
            </w:tcBorders>
            <w:shd w:val="clear" w:color="auto" w:fill="auto"/>
            <w:vAlign w:val="center"/>
          </w:tcPr>
          <w:p w14:paraId="37D5DE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20" w:type="dxa"/>
            <w:tcBorders>
              <w:tl2br w:val="nil"/>
              <w:tr2bl w:val="nil"/>
            </w:tcBorders>
            <w:shd w:val="clear" w:color="auto" w:fill="auto"/>
            <w:vAlign w:val="center"/>
          </w:tcPr>
          <w:p w14:paraId="293B84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451E6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20" w:hRule="atLeast"/>
        </w:trPr>
        <w:tc>
          <w:tcPr>
            <w:tcW w:w="735" w:type="dxa"/>
            <w:vMerge w:val="restart"/>
            <w:tcBorders>
              <w:tl2br w:val="nil"/>
              <w:tr2bl w:val="nil"/>
            </w:tcBorders>
            <w:shd w:val="clear" w:color="auto" w:fill="auto"/>
            <w:vAlign w:val="center"/>
          </w:tcPr>
          <w:p w14:paraId="16A580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19" w:type="dxa"/>
            <w:gridSpan w:val="8"/>
            <w:tcBorders>
              <w:tl2br w:val="nil"/>
              <w:tr2bl w:val="nil"/>
            </w:tcBorders>
            <w:shd w:val="clear" w:color="auto" w:fill="auto"/>
            <w:vAlign w:val="center"/>
          </w:tcPr>
          <w:p w14:paraId="0DA350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820" w:type="dxa"/>
            <w:gridSpan w:val="5"/>
            <w:tcBorders>
              <w:tl2br w:val="nil"/>
              <w:tr2bl w:val="nil"/>
            </w:tcBorders>
            <w:shd w:val="clear" w:color="auto" w:fill="auto"/>
            <w:vAlign w:val="center"/>
          </w:tcPr>
          <w:p w14:paraId="152F69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77759F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440" w:hRule="atLeast"/>
        </w:trPr>
        <w:tc>
          <w:tcPr>
            <w:tcW w:w="735" w:type="dxa"/>
            <w:vMerge w:val="continue"/>
            <w:tcBorders>
              <w:tl2br w:val="nil"/>
              <w:tr2bl w:val="nil"/>
            </w:tcBorders>
            <w:shd w:val="clear" w:color="auto" w:fill="auto"/>
            <w:vAlign w:val="center"/>
          </w:tcPr>
          <w:p w14:paraId="2BA25606">
            <w:pPr>
              <w:jc w:val="center"/>
              <w:rPr>
                <w:rFonts w:hint="eastAsia" w:ascii="宋体" w:hAnsi="宋体" w:eastAsia="宋体" w:cs="宋体"/>
                <w:i w:val="0"/>
                <w:iCs w:val="0"/>
                <w:color w:val="000000"/>
                <w:sz w:val="20"/>
                <w:szCs w:val="20"/>
                <w:u w:val="none"/>
              </w:rPr>
            </w:pPr>
          </w:p>
        </w:tc>
        <w:tc>
          <w:tcPr>
            <w:tcW w:w="7619" w:type="dxa"/>
            <w:gridSpan w:val="8"/>
            <w:tcBorders>
              <w:tl2br w:val="nil"/>
              <w:tr2bl w:val="nil"/>
            </w:tcBorders>
            <w:shd w:val="clear" w:color="auto" w:fill="auto"/>
            <w:vAlign w:val="center"/>
          </w:tcPr>
          <w:p w14:paraId="6C478B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能：为3-6岁学龄前儿童提供保育与教育，落实好学前三年教育目标，改善幼儿园的办学条件，保障学阶段幼儿在园教学需求，为幼儿提供优质的保教环境。目标：农村学前三年适龄幼儿数137人，开展教育活动次数600次，设施设备维护次数20次，完成年度教育教学活动工作达标率100%，保障教育教学活动开展的公用经费15.07万元，用于日常办公费14.32万元，培训费0.75万元等费用，保障幼儿园各项工作平稳进行，校园环境和条件进一步改善，家长及教师满意度90%。</w:t>
            </w:r>
          </w:p>
        </w:tc>
        <w:tc>
          <w:tcPr>
            <w:tcW w:w="5820" w:type="dxa"/>
            <w:gridSpan w:val="5"/>
            <w:tcBorders>
              <w:tl2br w:val="nil"/>
              <w:tr2bl w:val="nil"/>
            </w:tcBorders>
            <w:shd w:val="clear" w:color="auto" w:fill="auto"/>
            <w:vAlign w:val="center"/>
          </w:tcPr>
          <w:p w14:paraId="080484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12月31日，已完成农村学前三年适龄幼儿数137人，开展教育活动次数607次，设施设备维护次数24次，完成年度教育教学活动工作达标率100%，保障教育教学活动开展的公用经费已使用14.32万元，培训费0.75万元，项目的实施保障幼儿园各项工作平稳进行，校园环境和条件进一步改善。</w:t>
            </w:r>
          </w:p>
        </w:tc>
      </w:tr>
      <w:tr w14:paraId="58E03F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735" w:type="dxa"/>
            <w:tcBorders>
              <w:tl2br w:val="nil"/>
              <w:tr2bl w:val="nil"/>
            </w:tcBorders>
            <w:shd w:val="clear" w:color="auto" w:fill="auto"/>
            <w:vAlign w:val="center"/>
          </w:tcPr>
          <w:p w14:paraId="09A4E957">
            <w:pPr>
              <w:jc w:val="center"/>
              <w:rPr>
                <w:rFonts w:hint="eastAsia" w:ascii="宋体" w:hAnsi="宋体" w:eastAsia="宋体" w:cs="宋体"/>
                <w:i w:val="0"/>
                <w:iCs w:val="0"/>
                <w:color w:val="000000"/>
                <w:sz w:val="20"/>
                <w:szCs w:val="20"/>
                <w:u w:val="none"/>
              </w:rPr>
            </w:pPr>
          </w:p>
        </w:tc>
        <w:tc>
          <w:tcPr>
            <w:tcW w:w="705" w:type="dxa"/>
            <w:tcBorders>
              <w:tl2br w:val="nil"/>
              <w:tr2bl w:val="nil"/>
            </w:tcBorders>
            <w:shd w:val="clear" w:color="auto" w:fill="auto"/>
            <w:vAlign w:val="center"/>
          </w:tcPr>
          <w:p w14:paraId="77B227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02" w:type="dxa"/>
            <w:tcBorders>
              <w:tl2br w:val="nil"/>
              <w:tr2bl w:val="nil"/>
            </w:tcBorders>
            <w:shd w:val="clear" w:color="auto" w:fill="auto"/>
            <w:vAlign w:val="center"/>
          </w:tcPr>
          <w:p w14:paraId="6EA022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08" w:type="dxa"/>
            <w:tcBorders>
              <w:tl2br w:val="nil"/>
              <w:tr2bl w:val="nil"/>
            </w:tcBorders>
            <w:shd w:val="clear" w:color="auto" w:fill="auto"/>
            <w:vAlign w:val="center"/>
          </w:tcPr>
          <w:p w14:paraId="0101B7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90" w:type="dxa"/>
            <w:tcBorders>
              <w:tl2br w:val="nil"/>
              <w:tr2bl w:val="nil"/>
            </w:tcBorders>
            <w:shd w:val="clear" w:color="auto" w:fill="auto"/>
            <w:vAlign w:val="center"/>
          </w:tcPr>
          <w:p w14:paraId="050716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53" w:type="dxa"/>
            <w:tcBorders>
              <w:tl2br w:val="nil"/>
              <w:tr2bl w:val="nil"/>
            </w:tcBorders>
            <w:shd w:val="clear" w:color="auto" w:fill="auto"/>
            <w:vAlign w:val="center"/>
          </w:tcPr>
          <w:p w14:paraId="576057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1208" w:type="dxa"/>
            <w:tcBorders>
              <w:tl2br w:val="nil"/>
              <w:tr2bl w:val="nil"/>
            </w:tcBorders>
            <w:shd w:val="clear" w:color="auto" w:fill="auto"/>
            <w:vAlign w:val="center"/>
          </w:tcPr>
          <w:p w14:paraId="7B0452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26" w:type="dxa"/>
            <w:tcBorders>
              <w:tl2br w:val="nil"/>
              <w:tr2bl w:val="nil"/>
            </w:tcBorders>
            <w:shd w:val="clear" w:color="auto" w:fill="auto"/>
            <w:vAlign w:val="center"/>
          </w:tcPr>
          <w:p w14:paraId="288548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27" w:type="dxa"/>
            <w:tcBorders>
              <w:tl2br w:val="nil"/>
              <w:tr2bl w:val="nil"/>
            </w:tcBorders>
            <w:shd w:val="clear" w:color="auto" w:fill="auto"/>
            <w:vAlign w:val="center"/>
          </w:tcPr>
          <w:p w14:paraId="013DC7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33" w:type="dxa"/>
            <w:tcBorders>
              <w:tl2br w:val="nil"/>
              <w:tr2bl w:val="nil"/>
            </w:tcBorders>
            <w:shd w:val="clear" w:color="auto" w:fill="auto"/>
            <w:vAlign w:val="center"/>
          </w:tcPr>
          <w:p w14:paraId="17D05E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89" w:type="dxa"/>
            <w:tcBorders>
              <w:tl2br w:val="nil"/>
              <w:tr2bl w:val="nil"/>
            </w:tcBorders>
            <w:shd w:val="clear" w:color="auto" w:fill="auto"/>
            <w:vAlign w:val="center"/>
          </w:tcPr>
          <w:p w14:paraId="66CE05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96" w:type="dxa"/>
            <w:tcBorders>
              <w:tl2br w:val="nil"/>
              <w:tr2bl w:val="nil"/>
            </w:tcBorders>
            <w:shd w:val="clear" w:color="auto" w:fill="auto"/>
            <w:vAlign w:val="center"/>
          </w:tcPr>
          <w:p w14:paraId="69C1F5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982" w:type="dxa"/>
            <w:tcBorders>
              <w:tl2br w:val="nil"/>
              <w:tr2bl w:val="nil"/>
            </w:tcBorders>
            <w:shd w:val="clear" w:color="auto" w:fill="auto"/>
            <w:vAlign w:val="center"/>
          </w:tcPr>
          <w:p w14:paraId="4F157E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720" w:type="dxa"/>
            <w:tcBorders>
              <w:tl2br w:val="nil"/>
              <w:tr2bl w:val="nil"/>
            </w:tcBorders>
            <w:shd w:val="clear" w:color="auto" w:fill="auto"/>
            <w:vAlign w:val="center"/>
          </w:tcPr>
          <w:p w14:paraId="27A650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87659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735" w:type="dxa"/>
            <w:vMerge w:val="restart"/>
            <w:tcBorders>
              <w:tl2br w:val="nil"/>
              <w:tr2bl w:val="nil"/>
            </w:tcBorders>
            <w:shd w:val="clear" w:color="auto" w:fill="auto"/>
            <w:vAlign w:val="center"/>
          </w:tcPr>
          <w:p w14:paraId="5DC2ED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05" w:type="dxa"/>
            <w:vMerge w:val="restart"/>
            <w:tcBorders>
              <w:tl2br w:val="nil"/>
              <w:tr2bl w:val="nil"/>
            </w:tcBorders>
            <w:shd w:val="clear" w:color="auto" w:fill="auto"/>
            <w:vAlign w:val="center"/>
          </w:tcPr>
          <w:p w14:paraId="55FC90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02" w:type="dxa"/>
            <w:vMerge w:val="restart"/>
            <w:tcBorders>
              <w:tl2br w:val="nil"/>
              <w:tr2bl w:val="nil"/>
            </w:tcBorders>
            <w:shd w:val="clear" w:color="auto" w:fill="auto"/>
            <w:vAlign w:val="center"/>
          </w:tcPr>
          <w:p w14:paraId="0E5559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08" w:type="dxa"/>
            <w:tcBorders>
              <w:tl2br w:val="nil"/>
              <w:tr2bl w:val="nil"/>
            </w:tcBorders>
            <w:shd w:val="clear" w:color="auto" w:fill="auto"/>
            <w:vAlign w:val="center"/>
          </w:tcPr>
          <w:p w14:paraId="43EACA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农村学前三年适龄幼儿人数</w:t>
            </w:r>
          </w:p>
        </w:tc>
        <w:tc>
          <w:tcPr>
            <w:tcW w:w="1090" w:type="dxa"/>
            <w:tcBorders>
              <w:tl2br w:val="nil"/>
              <w:tr2bl w:val="nil"/>
            </w:tcBorders>
            <w:shd w:val="clear" w:color="auto" w:fill="auto"/>
            <w:vAlign w:val="center"/>
          </w:tcPr>
          <w:p w14:paraId="314493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≧137人</w:t>
            </w:r>
          </w:p>
        </w:tc>
        <w:tc>
          <w:tcPr>
            <w:tcW w:w="853" w:type="dxa"/>
            <w:tcBorders>
              <w:tl2br w:val="nil"/>
              <w:tr2bl w:val="nil"/>
            </w:tcBorders>
            <w:shd w:val="clear" w:color="auto" w:fill="auto"/>
            <w:vAlign w:val="center"/>
          </w:tcPr>
          <w:p w14:paraId="723893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208" w:type="dxa"/>
            <w:tcBorders>
              <w:tl2br w:val="nil"/>
              <w:tr2bl w:val="nil"/>
            </w:tcBorders>
            <w:shd w:val="clear" w:color="auto" w:fill="auto"/>
            <w:vAlign w:val="center"/>
          </w:tcPr>
          <w:p w14:paraId="2890C9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195人</w:t>
            </w:r>
          </w:p>
        </w:tc>
        <w:tc>
          <w:tcPr>
            <w:tcW w:w="926" w:type="dxa"/>
            <w:tcBorders>
              <w:tl2br w:val="nil"/>
              <w:tr2bl w:val="nil"/>
            </w:tcBorders>
            <w:shd w:val="clear" w:color="auto" w:fill="auto"/>
            <w:vAlign w:val="center"/>
          </w:tcPr>
          <w:p w14:paraId="0F489A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27" w:type="dxa"/>
            <w:tcBorders>
              <w:tl2br w:val="nil"/>
              <w:tr2bl w:val="nil"/>
            </w:tcBorders>
            <w:shd w:val="clear" w:color="auto" w:fill="auto"/>
            <w:vAlign w:val="center"/>
          </w:tcPr>
          <w:p w14:paraId="1D2EDF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033" w:type="dxa"/>
            <w:tcBorders>
              <w:tl2br w:val="nil"/>
              <w:tr2bl w:val="nil"/>
            </w:tcBorders>
            <w:shd w:val="clear" w:color="auto" w:fill="auto"/>
            <w:vAlign w:val="center"/>
          </w:tcPr>
          <w:p w14:paraId="526D1F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l2br w:val="nil"/>
              <w:tr2bl w:val="nil"/>
            </w:tcBorders>
            <w:shd w:val="clear" w:color="auto" w:fill="auto"/>
            <w:vAlign w:val="center"/>
          </w:tcPr>
          <w:p w14:paraId="3A00D8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137人</w:t>
            </w:r>
          </w:p>
        </w:tc>
        <w:tc>
          <w:tcPr>
            <w:tcW w:w="1096" w:type="dxa"/>
            <w:tcBorders>
              <w:tl2br w:val="nil"/>
              <w:tr2bl w:val="nil"/>
            </w:tcBorders>
            <w:shd w:val="clear" w:color="auto" w:fill="auto"/>
            <w:vAlign w:val="center"/>
          </w:tcPr>
          <w:p w14:paraId="4BDA9B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14:paraId="434326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20" w:type="dxa"/>
            <w:tcBorders>
              <w:tl2br w:val="nil"/>
              <w:tr2bl w:val="nil"/>
            </w:tcBorders>
            <w:shd w:val="clear" w:color="auto" w:fill="auto"/>
            <w:vAlign w:val="center"/>
          </w:tcPr>
          <w:p w14:paraId="7EBB586E">
            <w:pPr>
              <w:jc w:val="center"/>
              <w:rPr>
                <w:rFonts w:hint="eastAsia" w:ascii="宋体" w:hAnsi="宋体" w:eastAsia="宋体" w:cs="宋体"/>
                <w:i w:val="0"/>
                <w:iCs w:val="0"/>
                <w:color w:val="000000"/>
                <w:sz w:val="20"/>
                <w:szCs w:val="20"/>
                <w:u w:val="none"/>
              </w:rPr>
            </w:pPr>
          </w:p>
        </w:tc>
      </w:tr>
      <w:tr w14:paraId="36FAEA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735" w:type="dxa"/>
            <w:vMerge w:val="continue"/>
            <w:tcBorders>
              <w:tl2br w:val="nil"/>
              <w:tr2bl w:val="nil"/>
            </w:tcBorders>
            <w:shd w:val="clear" w:color="auto" w:fill="auto"/>
            <w:vAlign w:val="center"/>
          </w:tcPr>
          <w:p w14:paraId="153A1517">
            <w:pPr>
              <w:jc w:val="center"/>
              <w:rPr>
                <w:rFonts w:hint="eastAsia" w:ascii="宋体" w:hAnsi="宋体" w:eastAsia="宋体" w:cs="宋体"/>
                <w:i w:val="0"/>
                <w:iCs w:val="0"/>
                <w:color w:val="000000"/>
                <w:sz w:val="20"/>
                <w:szCs w:val="20"/>
                <w:u w:val="none"/>
              </w:rPr>
            </w:pPr>
          </w:p>
        </w:tc>
        <w:tc>
          <w:tcPr>
            <w:tcW w:w="705" w:type="dxa"/>
            <w:vMerge w:val="continue"/>
            <w:tcBorders>
              <w:tl2br w:val="nil"/>
              <w:tr2bl w:val="nil"/>
            </w:tcBorders>
            <w:shd w:val="clear" w:color="auto" w:fill="auto"/>
            <w:vAlign w:val="center"/>
          </w:tcPr>
          <w:p w14:paraId="71D5AA0D">
            <w:pPr>
              <w:jc w:val="center"/>
              <w:rPr>
                <w:rFonts w:hint="eastAsia" w:ascii="宋体" w:hAnsi="宋体" w:eastAsia="宋体" w:cs="宋体"/>
                <w:i w:val="0"/>
                <w:iCs w:val="0"/>
                <w:color w:val="000000"/>
                <w:sz w:val="20"/>
                <w:szCs w:val="20"/>
                <w:u w:val="none"/>
              </w:rPr>
            </w:pPr>
          </w:p>
        </w:tc>
        <w:tc>
          <w:tcPr>
            <w:tcW w:w="702" w:type="dxa"/>
            <w:vMerge w:val="continue"/>
            <w:tcBorders>
              <w:tl2br w:val="nil"/>
              <w:tr2bl w:val="nil"/>
            </w:tcBorders>
            <w:shd w:val="clear" w:color="auto" w:fill="auto"/>
            <w:vAlign w:val="center"/>
          </w:tcPr>
          <w:p w14:paraId="3610B473">
            <w:pPr>
              <w:jc w:val="center"/>
              <w:rPr>
                <w:rFonts w:hint="eastAsia" w:ascii="宋体" w:hAnsi="宋体" w:eastAsia="宋体" w:cs="宋体"/>
                <w:i w:val="0"/>
                <w:iCs w:val="0"/>
                <w:color w:val="000000"/>
                <w:sz w:val="20"/>
                <w:szCs w:val="20"/>
                <w:u w:val="none"/>
              </w:rPr>
            </w:pPr>
          </w:p>
        </w:tc>
        <w:tc>
          <w:tcPr>
            <w:tcW w:w="1208" w:type="dxa"/>
            <w:tcBorders>
              <w:tl2br w:val="nil"/>
              <w:tr2bl w:val="nil"/>
            </w:tcBorders>
            <w:shd w:val="clear" w:color="auto" w:fill="auto"/>
            <w:vAlign w:val="center"/>
          </w:tcPr>
          <w:p w14:paraId="760A7A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开展教育教学活动次数</w:t>
            </w:r>
          </w:p>
        </w:tc>
        <w:tc>
          <w:tcPr>
            <w:tcW w:w="1090" w:type="dxa"/>
            <w:tcBorders>
              <w:tl2br w:val="nil"/>
              <w:tr2bl w:val="nil"/>
            </w:tcBorders>
            <w:shd w:val="clear" w:color="auto" w:fill="auto"/>
            <w:noWrap/>
            <w:vAlign w:val="center"/>
          </w:tcPr>
          <w:p w14:paraId="5C0CD4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≧600次</w:t>
            </w:r>
          </w:p>
        </w:tc>
        <w:tc>
          <w:tcPr>
            <w:tcW w:w="853" w:type="dxa"/>
            <w:tcBorders>
              <w:tl2br w:val="nil"/>
              <w:tr2bl w:val="nil"/>
            </w:tcBorders>
            <w:shd w:val="clear" w:color="auto" w:fill="auto"/>
            <w:vAlign w:val="center"/>
          </w:tcPr>
          <w:p w14:paraId="46BDA0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08" w:type="dxa"/>
            <w:tcBorders>
              <w:tl2br w:val="nil"/>
              <w:tr2bl w:val="nil"/>
            </w:tcBorders>
            <w:shd w:val="clear" w:color="auto" w:fill="auto"/>
            <w:vAlign w:val="center"/>
          </w:tcPr>
          <w:p w14:paraId="7D8390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613次</w:t>
            </w:r>
          </w:p>
        </w:tc>
        <w:tc>
          <w:tcPr>
            <w:tcW w:w="926" w:type="dxa"/>
            <w:tcBorders>
              <w:tl2br w:val="nil"/>
              <w:tr2bl w:val="nil"/>
            </w:tcBorders>
            <w:shd w:val="clear" w:color="auto" w:fill="auto"/>
            <w:vAlign w:val="center"/>
          </w:tcPr>
          <w:p w14:paraId="5E7B31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27" w:type="dxa"/>
            <w:tcBorders>
              <w:tl2br w:val="nil"/>
              <w:tr2bl w:val="nil"/>
            </w:tcBorders>
            <w:shd w:val="clear" w:color="auto" w:fill="auto"/>
            <w:vAlign w:val="center"/>
          </w:tcPr>
          <w:p w14:paraId="567272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033" w:type="dxa"/>
            <w:tcBorders>
              <w:tl2br w:val="nil"/>
              <w:tr2bl w:val="nil"/>
            </w:tcBorders>
            <w:shd w:val="clear" w:color="auto" w:fill="auto"/>
            <w:vAlign w:val="center"/>
          </w:tcPr>
          <w:p w14:paraId="5287BD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l2br w:val="nil"/>
              <w:tr2bl w:val="nil"/>
            </w:tcBorders>
            <w:shd w:val="clear" w:color="auto" w:fill="auto"/>
            <w:vAlign w:val="center"/>
          </w:tcPr>
          <w:p w14:paraId="6E73F8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607次</w:t>
            </w:r>
          </w:p>
        </w:tc>
        <w:tc>
          <w:tcPr>
            <w:tcW w:w="1096" w:type="dxa"/>
            <w:tcBorders>
              <w:tl2br w:val="nil"/>
              <w:tr2bl w:val="nil"/>
            </w:tcBorders>
            <w:shd w:val="clear" w:color="auto" w:fill="auto"/>
            <w:vAlign w:val="center"/>
          </w:tcPr>
          <w:p w14:paraId="497AA8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14:paraId="14BD96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20" w:type="dxa"/>
            <w:tcBorders>
              <w:tl2br w:val="nil"/>
              <w:tr2bl w:val="nil"/>
            </w:tcBorders>
            <w:shd w:val="clear" w:color="auto" w:fill="auto"/>
            <w:vAlign w:val="center"/>
          </w:tcPr>
          <w:p w14:paraId="19EAE1EC">
            <w:pPr>
              <w:jc w:val="center"/>
              <w:rPr>
                <w:rFonts w:hint="eastAsia" w:ascii="宋体" w:hAnsi="宋体" w:eastAsia="宋体" w:cs="宋体"/>
                <w:i w:val="0"/>
                <w:iCs w:val="0"/>
                <w:color w:val="000000"/>
                <w:sz w:val="20"/>
                <w:szCs w:val="20"/>
                <w:u w:val="none"/>
              </w:rPr>
            </w:pPr>
          </w:p>
        </w:tc>
      </w:tr>
      <w:tr w14:paraId="15442E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40" w:hRule="atLeast"/>
        </w:trPr>
        <w:tc>
          <w:tcPr>
            <w:tcW w:w="735" w:type="dxa"/>
            <w:vMerge w:val="continue"/>
            <w:tcBorders>
              <w:tl2br w:val="nil"/>
              <w:tr2bl w:val="nil"/>
            </w:tcBorders>
            <w:shd w:val="clear" w:color="auto" w:fill="auto"/>
            <w:vAlign w:val="center"/>
          </w:tcPr>
          <w:p w14:paraId="0DCE7330">
            <w:pPr>
              <w:jc w:val="center"/>
              <w:rPr>
                <w:rFonts w:hint="eastAsia" w:ascii="宋体" w:hAnsi="宋体" w:eastAsia="宋体" w:cs="宋体"/>
                <w:i w:val="0"/>
                <w:iCs w:val="0"/>
                <w:color w:val="000000"/>
                <w:sz w:val="20"/>
                <w:szCs w:val="20"/>
                <w:u w:val="none"/>
              </w:rPr>
            </w:pPr>
          </w:p>
        </w:tc>
        <w:tc>
          <w:tcPr>
            <w:tcW w:w="705" w:type="dxa"/>
            <w:vMerge w:val="continue"/>
            <w:tcBorders>
              <w:tl2br w:val="nil"/>
              <w:tr2bl w:val="nil"/>
            </w:tcBorders>
            <w:shd w:val="clear" w:color="auto" w:fill="auto"/>
            <w:vAlign w:val="center"/>
          </w:tcPr>
          <w:p w14:paraId="4166781C">
            <w:pPr>
              <w:jc w:val="center"/>
              <w:rPr>
                <w:rFonts w:hint="eastAsia" w:ascii="宋体" w:hAnsi="宋体" w:eastAsia="宋体" w:cs="宋体"/>
                <w:i w:val="0"/>
                <w:iCs w:val="0"/>
                <w:color w:val="000000"/>
                <w:sz w:val="20"/>
                <w:szCs w:val="20"/>
                <w:u w:val="none"/>
              </w:rPr>
            </w:pPr>
          </w:p>
        </w:tc>
        <w:tc>
          <w:tcPr>
            <w:tcW w:w="702" w:type="dxa"/>
            <w:vMerge w:val="continue"/>
            <w:tcBorders>
              <w:tl2br w:val="nil"/>
              <w:tr2bl w:val="nil"/>
            </w:tcBorders>
            <w:shd w:val="clear" w:color="auto" w:fill="auto"/>
            <w:vAlign w:val="center"/>
          </w:tcPr>
          <w:p w14:paraId="25A8CDAA">
            <w:pPr>
              <w:jc w:val="center"/>
              <w:rPr>
                <w:rFonts w:hint="eastAsia" w:ascii="宋体" w:hAnsi="宋体" w:eastAsia="宋体" w:cs="宋体"/>
                <w:i w:val="0"/>
                <w:iCs w:val="0"/>
                <w:color w:val="000000"/>
                <w:sz w:val="20"/>
                <w:szCs w:val="20"/>
                <w:u w:val="none"/>
              </w:rPr>
            </w:pPr>
          </w:p>
        </w:tc>
        <w:tc>
          <w:tcPr>
            <w:tcW w:w="1208" w:type="dxa"/>
            <w:tcBorders>
              <w:tl2br w:val="nil"/>
              <w:tr2bl w:val="nil"/>
            </w:tcBorders>
            <w:shd w:val="clear" w:color="auto" w:fill="auto"/>
            <w:vAlign w:val="center"/>
          </w:tcPr>
          <w:p w14:paraId="45940E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设施设备维护次数</w:t>
            </w:r>
          </w:p>
        </w:tc>
        <w:tc>
          <w:tcPr>
            <w:tcW w:w="1090" w:type="dxa"/>
            <w:tcBorders>
              <w:tl2br w:val="nil"/>
              <w:tr2bl w:val="nil"/>
            </w:tcBorders>
            <w:shd w:val="clear" w:color="auto" w:fill="auto"/>
            <w:vAlign w:val="center"/>
          </w:tcPr>
          <w:p w14:paraId="598305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853" w:type="dxa"/>
            <w:tcBorders>
              <w:tl2br w:val="nil"/>
              <w:tr2bl w:val="nil"/>
            </w:tcBorders>
            <w:shd w:val="clear" w:color="auto" w:fill="auto"/>
            <w:vAlign w:val="center"/>
          </w:tcPr>
          <w:p w14:paraId="30D203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08" w:type="dxa"/>
            <w:tcBorders>
              <w:tl2br w:val="nil"/>
              <w:tr2bl w:val="nil"/>
            </w:tcBorders>
            <w:shd w:val="clear" w:color="auto" w:fill="auto"/>
            <w:vAlign w:val="center"/>
          </w:tcPr>
          <w:p w14:paraId="4B2DEC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21次</w:t>
            </w:r>
          </w:p>
        </w:tc>
        <w:tc>
          <w:tcPr>
            <w:tcW w:w="926" w:type="dxa"/>
            <w:tcBorders>
              <w:tl2br w:val="nil"/>
              <w:tr2bl w:val="nil"/>
            </w:tcBorders>
            <w:shd w:val="clear" w:color="auto" w:fill="auto"/>
            <w:vAlign w:val="center"/>
          </w:tcPr>
          <w:p w14:paraId="609FD3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7" w:type="dxa"/>
            <w:tcBorders>
              <w:tl2br w:val="nil"/>
              <w:tr2bl w:val="nil"/>
            </w:tcBorders>
            <w:shd w:val="clear" w:color="auto" w:fill="auto"/>
            <w:vAlign w:val="center"/>
          </w:tcPr>
          <w:p w14:paraId="78F9C5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033" w:type="dxa"/>
            <w:tcBorders>
              <w:tl2br w:val="nil"/>
              <w:tr2bl w:val="nil"/>
            </w:tcBorders>
            <w:shd w:val="clear" w:color="auto" w:fill="auto"/>
            <w:vAlign w:val="center"/>
          </w:tcPr>
          <w:p w14:paraId="27F548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l2br w:val="nil"/>
              <w:tr2bl w:val="nil"/>
            </w:tcBorders>
            <w:shd w:val="clear" w:color="auto" w:fill="auto"/>
            <w:vAlign w:val="center"/>
          </w:tcPr>
          <w:p w14:paraId="6D31DC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24次</w:t>
            </w:r>
          </w:p>
        </w:tc>
        <w:tc>
          <w:tcPr>
            <w:tcW w:w="1096" w:type="dxa"/>
            <w:tcBorders>
              <w:tl2br w:val="nil"/>
              <w:tr2bl w:val="nil"/>
            </w:tcBorders>
            <w:shd w:val="clear" w:color="auto" w:fill="auto"/>
            <w:vAlign w:val="center"/>
          </w:tcPr>
          <w:p w14:paraId="040EC9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14:paraId="3FFEEB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20" w:type="dxa"/>
            <w:tcBorders>
              <w:tl2br w:val="nil"/>
              <w:tr2bl w:val="nil"/>
            </w:tcBorders>
            <w:shd w:val="clear" w:color="auto" w:fill="auto"/>
            <w:vAlign w:val="center"/>
          </w:tcPr>
          <w:p w14:paraId="011C91E2">
            <w:pPr>
              <w:jc w:val="center"/>
              <w:rPr>
                <w:rFonts w:hint="eastAsia" w:ascii="宋体" w:hAnsi="宋体" w:eastAsia="宋体" w:cs="宋体"/>
                <w:i w:val="0"/>
                <w:iCs w:val="0"/>
                <w:color w:val="000000"/>
                <w:sz w:val="20"/>
                <w:szCs w:val="20"/>
                <w:u w:val="none"/>
              </w:rPr>
            </w:pPr>
          </w:p>
        </w:tc>
      </w:tr>
      <w:tr w14:paraId="734550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735" w:type="dxa"/>
            <w:vMerge w:val="continue"/>
            <w:tcBorders>
              <w:tl2br w:val="nil"/>
              <w:tr2bl w:val="nil"/>
            </w:tcBorders>
            <w:shd w:val="clear" w:color="auto" w:fill="auto"/>
            <w:vAlign w:val="center"/>
          </w:tcPr>
          <w:p w14:paraId="38C51DB6">
            <w:pPr>
              <w:jc w:val="center"/>
              <w:rPr>
                <w:rFonts w:hint="eastAsia" w:ascii="宋体" w:hAnsi="宋体" w:eastAsia="宋体" w:cs="宋体"/>
                <w:i w:val="0"/>
                <w:iCs w:val="0"/>
                <w:color w:val="000000"/>
                <w:sz w:val="20"/>
                <w:szCs w:val="20"/>
                <w:u w:val="none"/>
              </w:rPr>
            </w:pPr>
          </w:p>
        </w:tc>
        <w:tc>
          <w:tcPr>
            <w:tcW w:w="705" w:type="dxa"/>
            <w:vMerge w:val="continue"/>
            <w:tcBorders>
              <w:tl2br w:val="nil"/>
              <w:tr2bl w:val="nil"/>
            </w:tcBorders>
            <w:shd w:val="clear" w:color="auto" w:fill="auto"/>
            <w:vAlign w:val="center"/>
          </w:tcPr>
          <w:p w14:paraId="1E504D50">
            <w:pPr>
              <w:jc w:val="center"/>
              <w:rPr>
                <w:rFonts w:hint="eastAsia" w:ascii="宋体" w:hAnsi="宋体" w:eastAsia="宋体" w:cs="宋体"/>
                <w:i w:val="0"/>
                <w:iCs w:val="0"/>
                <w:color w:val="000000"/>
                <w:sz w:val="20"/>
                <w:szCs w:val="20"/>
                <w:u w:val="none"/>
              </w:rPr>
            </w:pPr>
          </w:p>
        </w:tc>
        <w:tc>
          <w:tcPr>
            <w:tcW w:w="702" w:type="dxa"/>
            <w:tcBorders>
              <w:tl2br w:val="nil"/>
              <w:tr2bl w:val="nil"/>
            </w:tcBorders>
            <w:shd w:val="clear" w:color="auto" w:fill="auto"/>
            <w:vAlign w:val="center"/>
          </w:tcPr>
          <w:p w14:paraId="6633EE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208" w:type="dxa"/>
            <w:tcBorders>
              <w:tl2br w:val="nil"/>
              <w:tr2bl w:val="nil"/>
            </w:tcBorders>
            <w:shd w:val="clear" w:color="auto" w:fill="auto"/>
            <w:vAlign w:val="center"/>
          </w:tcPr>
          <w:p w14:paraId="52BFB3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完成年度教育教学活动工作达标率</w:t>
            </w:r>
          </w:p>
        </w:tc>
        <w:tc>
          <w:tcPr>
            <w:tcW w:w="1090" w:type="dxa"/>
            <w:tcBorders>
              <w:tl2br w:val="nil"/>
              <w:tr2bl w:val="nil"/>
            </w:tcBorders>
            <w:shd w:val="clear" w:color="auto" w:fill="auto"/>
            <w:vAlign w:val="center"/>
          </w:tcPr>
          <w:p w14:paraId="2ACA75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3" w:type="dxa"/>
            <w:tcBorders>
              <w:tl2br w:val="nil"/>
              <w:tr2bl w:val="nil"/>
            </w:tcBorders>
            <w:shd w:val="clear" w:color="auto" w:fill="auto"/>
            <w:vAlign w:val="center"/>
          </w:tcPr>
          <w:p w14:paraId="40AB27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08" w:type="dxa"/>
            <w:tcBorders>
              <w:tl2br w:val="nil"/>
              <w:tr2bl w:val="nil"/>
            </w:tcBorders>
            <w:shd w:val="clear" w:color="auto" w:fill="auto"/>
            <w:vAlign w:val="center"/>
          </w:tcPr>
          <w:p w14:paraId="5F6026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6" w:type="dxa"/>
            <w:tcBorders>
              <w:tl2br w:val="nil"/>
              <w:tr2bl w:val="nil"/>
            </w:tcBorders>
            <w:shd w:val="clear" w:color="auto" w:fill="auto"/>
            <w:vAlign w:val="center"/>
          </w:tcPr>
          <w:p w14:paraId="29A988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7" w:type="dxa"/>
            <w:tcBorders>
              <w:tl2br w:val="nil"/>
              <w:tr2bl w:val="nil"/>
            </w:tcBorders>
            <w:shd w:val="clear" w:color="auto" w:fill="auto"/>
            <w:vAlign w:val="center"/>
          </w:tcPr>
          <w:p w14:paraId="64B5B7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033" w:type="dxa"/>
            <w:tcBorders>
              <w:tl2br w:val="nil"/>
              <w:tr2bl w:val="nil"/>
            </w:tcBorders>
            <w:shd w:val="clear" w:color="auto" w:fill="auto"/>
            <w:vAlign w:val="center"/>
          </w:tcPr>
          <w:p w14:paraId="1D265C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89" w:type="dxa"/>
            <w:tcBorders>
              <w:tl2br w:val="nil"/>
              <w:tr2bl w:val="nil"/>
            </w:tcBorders>
            <w:shd w:val="clear" w:color="auto" w:fill="auto"/>
            <w:vAlign w:val="center"/>
          </w:tcPr>
          <w:p w14:paraId="5ED02A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l2br w:val="nil"/>
              <w:tr2bl w:val="nil"/>
            </w:tcBorders>
            <w:shd w:val="clear" w:color="auto" w:fill="auto"/>
            <w:vAlign w:val="center"/>
          </w:tcPr>
          <w:p w14:paraId="226F91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14:paraId="209377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20" w:type="dxa"/>
            <w:tcBorders>
              <w:tl2br w:val="nil"/>
              <w:tr2bl w:val="nil"/>
            </w:tcBorders>
            <w:shd w:val="clear" w:color="auto" w:fill="auto"/>
            <w:vAlign w:val="center"/>
          </w:tcPr>
          <w:p w14:paraId="45A799B4">
            <w:pPr>
              <w:jc w:val="center"/>
              <w:rPr>
                <w:rFonts w:hint="eastAsia" w:ascii="宋体" w:hAnsi="宋体" w:eastAsia="宋体" w:cs="宋体"/>
                <w:i w:val="0"/>
                <w:iCs w:val="0"/>
                <w:color w:val="000000"/>
                <w:sz w:val="20"/>
                <w:szCs w:val="20"/>
                <w:u w:val="none"/>
              </w:rPr>
            </w:pPr>
          </w:p>
        </w:tc>
      </w:tr>
      <w:tr w14:paraId="55C0C3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80" w:hRule="atLeast"/>
        </w:trPr>
        <w:tc>
          <w:tcPr>
            <w:tcW w:w="735" w:type="dxa"/>
            <w:vMerge w:val="continue"/>
            <w:tcBorders>
              <w:tl2br w:val="nil"/>
              <w:tr2bl w:val="nil"/>
            </w:tcBorders>
            <w:shd w:val="clear" w:color="auto" w:fill="auto"/>
            <w:vAlign w:val="center"/>
          </w:tcPr>
          <w:p w14:paraId="6860FE1C">
            <w:pPr>
              <w:jc w:val="center"/>
              <w:rPr>
                <w:rFonts w:hint="eastAsia" w:ascii="宋体" w:hAnsi="宋体" w:eastAsia="宋体" w:cs="宋体"/>
                <w:i w:val="0"/>
                <w:iCs w:val="0"/>
                <w:color w:val="000000"/>
                <w:sz w:val="20"/>
                <w:szCs w:val="20"/>
                <w:u w:val="none"/>
              </w:rPr>
            </w:pPr>
          </w:p>
        </w:tc>
        <w:tc>
          <w:tcPr>
            <w:tcW w:w="705" w:type="dxa"/>
            <w:vMerge w:val="continue"/>
            <w:tcBorders>
              <w:tl2br w:val="nil"/>
              <w:tr2bl w:val="nil"/>
            </w:tcBorders>
            <w:shd w:val="clear" w:color="auto" w:fill="auto"/>
            <w:vAlign w:val="center"/>
          </w:tcPr>
          <w:p w14:paraId="456EDD17">
            <w:pPr>
              <w:jc w:val="center"/>
              <w:rPr>
                <w:rFonts w:hint="eastAsia" w:ascii="宋体" w:hAnsi="宋体" w:eastAsia="宋体" w:cs="宋体"/>
                <w:i w:val="0"/>
                <w:iCs w:val="0"/>
                <w:color w:val="000000"/>
                <w:sz w:val="20"/>
                <w:szCs w:val="20"/>
                <w:u w:val="none"/>
              </w:rPr>
            </w:pPr>
          </w:p>
        </w:tc>
        <w:tc>
          <w:tcPr>
            <w:tcW w:w="702" w:type="dxa"/>
            <w:vMerge w:val="restart"/>
            <w:tcBorders>
              <w:tl2br w:val="nil"/>
              <w:tr2bl w:val="nil"/>
            </w:tcBorders>
            <w:shd w:val="clear" w:color="auto" w:fill="auto"/>
            <w:vAlign w:val="center"/>
          </w:tcPr>
          <w:p w14:paraId="28467B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08" w:type="dxa"/>
            <w:tcBorders>
              <w:tl2br w:val="nil"/>
              <w:tr2bl w:val="nil"/>
            </w:tcBorders>
            <w:shd w:val="clear" w:color="auto" w:fill="auto"/>
            <w:vAlign w:val="center"/>
          </w:tcPr>
          <w:p w14:paraId="4B3FA5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教育教学活动工作开展时间</w:t>
            </w:r>
          </w:p>
        </w:tc>
        <w:tc>
          <w:tcPr>
            <w:tcW w:w="1090" w:type="dxa"/>
            <w:tcBorders>
              <w:tl2br w:val="nil"/>
              <w:tr2bl w:val="nil"/>
            </w:tcBorders>
            <w:shd w:val="clear" w:color="auto" w:fill="auto"/>
            <w:vAlign w:val="center"/>
          </w:tcPr>
          <w:p w14:paraId="0D9288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2023-12-31前</w:t>
            </w:r>
          </w:p>
        </w:tc>
        <w:tc>
          <w:tcPr>
            <w:tcW w:w="853" w:type="dxa"/>
            <w:tcBorders>
              <w:tl2br w:val="nil"/>
              <w:tr2bl w:val="nil"/>
            </w:tcBorders>
            <w:shd w:val="clear" w:color="auto" w:fill="auto"/>
            <w:vAlign w:val="center"/>
          </w:tcPr>
          <w:p w14:paraId="718CF1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08" w:type="dxa"/>
            <w:tcBorders>
              <w:tl2br w:val="nil"/>
              <w:tr2bl w:val="nil"/>
            </w:tcBorders>
            <w:shd w:val="clear" w:color="auto" w:fill="auto"/>
            <w:vAlign w:val="center"/>
          </w:tcPr>
          <w:p w14:paraId="694FA1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926" w:type="dxa"/>
            <w:tcBorders>
              <w:tl2br w:val="nil"/>
              <w:tr2bl w:val="nil"/>
            </w:tcBorders>
            <w:shd w:val="clear" w:color="auto" w:fill="auto"/>
            <w:vAlign w:val="center"/>
          </w:tcPr>
          <w:p w14:paraId="002BB8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27" w:type="dxa"/>
            <w:tcBorders>
              <w:tl2br w:val="nil"/>
              <w:tr2bl w:val="nil"/>
            </w:tcBorders>
            <w:shd w:val="clear" w:color="auto" w:fill="auto"/>
            <w:vAlign w:val="center"/>
          </w:tcPr>
          <w:p w14:paraId="3991EC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033" w:type="dxa"/>
            <w:tcBorders>
              <w:tl2br w:val="nil"/>
              <w:tr2bl w:val="nil"/>
            </w:tcBorders>
            <w:shd w:val="clear" w:color="auto" w:fill="auto"/>
            <w:vAlign w:val="center"/>
          </w:tcPr>
          <w:p w14:paraId="5278E2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89" w:type="dxa"/>
            <w:tcBorders>
              <w:tl2br w:val="nil"/>
              <w:tr2bl w:val="nil"/>
            </w:tcBorders>
            <w:shd w:val="clear" w:color="auto" w:fill="auto"/>
            <w:vAlign w:val="center"/>
          </w:tcPr>
          <w:p w14:paraId="7AE20C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1096" w:type="dxa"/>
            <w:tcBorders>
              <w:tl2br w:val="nil"/>
              <w:tr2bl w:val="nil"/>
            </w:tcBorders>
            <w:shd w:val="clear" w:color="auto" w:fill="auto"/>
            <w:vAlign w:val="center"/>
          </w:tcPr>
          <w:p w14:paraId="16733A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14:paraId="7BD024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720" w:type="dxa"/>
            <w:tcBorders>
              <w:tl2br w:val="nil"/>
              <w:tr2bl w:val="nil"/>
            </w:tcBorders>
            <w:shd w:val="clear" w:color="auto" w:fill="auto"/>
            <w:vAlign w:val="center"/>
          </w:tcPr>
          <w:p w14:paraId="17F6A52E">
            <w:pPr>
              <w:jc w:val="center"/>
              <w:rPr>
                <w:rFonts w:hint="eastAsia" w:ascii="宋体" w:hAnsi="宋体" w:eastAsia="宋体" w:cs="宋体"/>
                <w:i w:val="0"/>
                <w:iCs w:val="0"/>
                <w:color w:val="000000"/>
                <w:sz w:val="20"/>
                <w:szCs w:val="20"/>
                <w:u w:val="none"/>
              </w:rPr>
            </w:pPr>
          </w:p>
        </w:tc>
      </w:tr>
      <w:tr w14:paraId="0ACBC0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735" w:type="dxa"/>
            <w:vMerge w:val="continue"/>
            <w:tcBorders>
              <w:tl2br w:val="nil"/>
              <w:tr2bl w:val="nil"/>
            </w:tcBorders>
            <w:shd w:val="clear" w:color="auto" w:fill="auto"/>
            <w:vAlign w:val="center"/>
          </w:tcPr>
          <w:p w14:paraId="731316E5">
            <w:pPr>
              <w:jc w:val="center"/>
              <w:rPr>
                <w:rFonts w:hint="eastAsia" w:ascii="宋体" w:hAnsi="宋体" w:eastAsia="宋体" w:cs="宋体"/>
                <w:i w:val="0"/>
                <w:iCs w:val="0"/>
                <w:color w:val="000000"/>
                <w:sz w:val="20"/>
                <w:szCs w:val="20"/>
                <w:u w:val="none"/>
              </w:rPr>
            </w:pPr>
          </w:p>
        </w:tc>
        <w:tc>
          <w:tcPr>
            <w:tcW w:w="705" w:type="dxa"/>
            <w:vMerge w:val="continue"/>
            <w:tcBorders>
              <w:tl2br w:val="nil"/>
              <w:tr2bl w:val="nil"/>
            </w:tcBorders>
            <w:shd w:val="clear" w:color="auto" w:fill="auto"/>
            <w:vAlign w:val="center"/>
          </w:tcPr>
          <w:p w14:paraId="22CA3B1E">
            <w:pPr>
              <w:jc w:val="center"/>
              <w:rPr>
                <w:rFonts w:hint="eastAsia" w:ascii="宋体" w:hAnsi="宋体" w:eastAsia="宋体" w:cs="宋体"/>
                <w:i w:val="0"/>
                <w:iCs w:val="0"/>
                <w:color w:val="000000"/>
                <w:sz w:val="20"/>
                <w:szCs w:val="20"/>
                <w:u w:val="none"/>
              </w:rPr>
            </w:pPr>
          </w:p>
        </w:tc>
        <w:tc>
          <w:tcPr>
            <w:tcW w:w="702" w:type="dxa"/>
            <w:vMerge w:val="continue"/>
            <w:tcBorders>
              <w:tl2br w:val="nil"/>
              <w:tr2bl w:val="nil"/>
            </w:tcBorders>
            <w:shd w:val="clear" w:color="auto" w:fill="auto"/>
            <w:vAlign w:val="center"/>
          </w:tcPr>
          <w:p w14:paraId="68B5A4A5">
            <w:pPr>
              <w:jc w:val="center"/>
              <w:rPr>
                <w:rFonts w:hint="eastAsia" w:ascii="宋体" w:hAnsi="宋体" w:eastAsia="宋体" w:cs="宋体"/>
                <w:i w:val="0"/>
                <w:iCs w:val="0"/>
                <w:color w:val="000000"/>
                <w:sz w:val="20"/>
                <w:szCs w:val="20"/>
                <w:u w:val="none"/>
              </w:rPr>
            </w:pPr>
          </w:p>
        </w:tc>
        <w:tc>
          <w:tcPr>
            <w:tcW w:w="1208" w:type="dxa"/>
            <w:tcBorders>
              <w:tl2br w:val="nil"/>
              <w:tr2bl w:val="nil"/>
            </w:tcBorders>
            <w:shd w:val="clear" w:color="auto" w:fill="auto"/>
            <w:vAlign w:val="center"/>
          </w:tcPr>
          <w:p w14:paraId="449A8E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教育教学活动工作开展及时率</w:t>
            </w:r>
          </w:p>
        </w:tc>
        <w:tc>
          <w:tcPr>
            <w:tcW w:w="1090" w:type="dxa"/>
            <w:tcBorders>
              <w:tl2br w:val="nil"/>
              <w:tr2bl w:val="nil"/>
            </w:tcBorders>
            <w:shd w:val="clear" w:color="auto" w:fill="auto"/>
            <w:vAlign w:val="center"/>
          </w:tcPr>
          <w:p w14:paraId="109CF2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3" w:type="dxa"/>
            <w:tcBorders>
              <w:tl2br w:val="nil"/>
              <w:tr2bl w:val="nil"/>
            </w:tcBorders>
            <w:shd w:val="clear" w:color="auto" w:fill="auto"/>
            <w:vAlign w:val="center"/>
          </w:tcPr>
          <w:p w14:paraId="7132C3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08" w:type="dxa"/>
            <w:tcBorders>
              <w:tl2br w:val="nil"/>
              <w:tr2bl w:val="nil"/>
            </w:tcBorders>
            <w:shd w:val="clear" w:color="auto" w:fill="auto"/>
            <w:vAlign w:val="center"/>
          </w:tcPr>
          <w:p w14:paraId="56E05A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6" w:type="dxa"/>
            <w:tcBorders>
              <w:tl2br w:val="nil"/>
              <w:tr2bl w:val="nil"/>
            </w:tcBorders>
            <w:shd w:val="clear" w:color="auto" w:fill="auto"/>
            <w:vAlign w:val="center"/>
          </w:tcPr>
          <w:p w14:paraId="0B7CF6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7" w:type="dxa"/>
            <w:tcBorders>
              <w:tl2br w:val="nil"/>
              <w:tr2bl w:val="nil"/>
            </w:tcBorders>
            <w:shd w:val="clear" w:color="auto" w:fill="auto"/>
            <w:vAlign w:val="center"/>
          </w:tcPr>
          <w:p w14:paraId="390D26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033" w:type="dxa"/>
            <w:tcBorders>
              <w:tl2br w:val="nil"/>
              <w:tr2bl w:val="nil"/>
            </w:tcBorders>
            <w:shd w:val="clear" w:color="auto" w:fill="auto"/>
            <w:vAlign w:val="center"/>
          </w:tcPr>
          <w:p w14:paraId="437BBF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89" w:type="dxa"/>
            <w:tcBorders>
              <w:tl2br w:val="nil"/>
              <w:tr2bl w:val="nil"/>
            </w:tcBorders>
            <w:shd w:val="clear" w:color="auto" w:fill="auto"/>
            <w:vAlign w:val="center"/>
          </w:tcPr>
          <w:p w14:paraId="7DCD9C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l2br w:val="nil"/>
              <w:tr2bl w:val="nil"/>
            </w:tcBorders>
            <w:shd w:val="clear" w:color="auto" w:fill="auto"/>
            <w:vAlign w:val="center"/>
          </w:tcPr>
          <w:p w14:paraId="7EC68A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14:paraId="032077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20" w:type="dxa"/>
            <w:tcBorders>
              <w:tl2br w:val="nil"/>
              <w:tr2bl w:val="nil"/>
            </w:tcBorders>
            <w:shd w:val="clear" w:color="auto" w:fill="auto"/>
            <w:vAlign w:val="center"/>
          </w:tcPr>
          <w:p w14:paraId="3D36FC12">
            <w:pPr>
              <w:jc w:val="center"/>
              <w:rPr>
                <w:rFonts w:hint="eastAsia" w:ascii="宋体" w:hAnsi="宋体" w:eastAsia="宋体" w:cs="宋体"/>
                <w:b/>
                <w:bCs/>
                <w:i w:val="0"/>
                <w:iCs w:val="0"/>
                <w:color w:val="000000"/>
                <w:sz w:val="20"/>
                <w:szCs w:val="20"/>
                <w:u w:val="none"/>
              </w:rPr>
            </w:pPr>
          </w:p>
        </w:tc>
      </w:tr>
      <w:tr w14:paraId="75A58B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0" w:hRule="atLeast"/>
        </w:trPr>
        <w:tc>
          <w:tcPr>
            <w:tcW w:w="735" w:type="dxa"/>
            <w:vMerge w:val="continue"/>
            <w:tcBorders>
              <w:tl2br w:val="nil"/>
              <w:tr2bl w:val="nil"/>
            </w:tcBorders>
            <w:shd w:val="clear" w:color="auto" w:fill="auto"/>
            <w:vAlign w:val="center"/>
          </w:tcPr>
          <w:p w14:paraId="05448A53">
            <w:pPr>
              <w:jc w:val="center"/>
              <w:rPr>
                <w:rFonts w:hint="eastAsia" w:ascii="宋体" w:hAnsi="宋体" w:eastAsia="宋体" w:cs="宋体"/>
                <w:i w:val="0"/>
                <w:iCs w:val="0"/>
                <w:color w:val="000000"/>
                <w:sz w:val="20"/>
                <w:szCs w:val="20"/>
                <w:u w:val="none"/>
              </w:rPr>
            </w:pPr>
          </w:p>
        </w:tc>
        <w:tc>
          <w:tcPr>
            <w:tcW w:w="705" w:type="dxa"/>
            <w:vMerge w:val="restart"/>
            <w:tcBorders>
              <w:tl2br w:val="nil"/>
              <w:tr2bl w:val="nil"/>
            </w:tcBorders>
            <w:shd w:val="clear" w:color="auto" w:fill="auto"/>
            <w:vAlign w:val="center"/>
          </w:tcPr>
          <w:p w14:paraId="46C51F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02" w:type="dxa"/>
            <w:vMerge w:val="restart"/>
            <w:tcBorders>
              <w:tl2br w:val="nil"/>
              <w:tr2bl w:val="nil"/>
            </w:tcBorders>
            <w:shd w:val="clear" w:color="auto" w:fill="auto"/>
            <w:vAlign w:val="center"/>
          </w:tcPr>
          <w:p w14:paraId="260149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08" w:type="dxa"/>
            <w:tcBorders>
              <w:tl2br w:val="nil"/>
              <w:tr2bl w:val="nil"/>
            </w:tcBorders>
            <w:shd w:val="clear" w:color="auto" w:fill="auto"/>
            <w:vAlign w:val="center"/>
          </w:tcPr>
          <w:p w14:paraId="09788D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保障教育教学活动开展的公用经费</w:t>
            </w:r>
          </w:p>
        </w:tc>
        <w:tc>
          <w:tcPr>
            <w:tcW w:w="1090" w:type="dxa"/>
            <w:tcBorders>
              <w:tl2br w:val="nil"/>
              <w:tr2bl w:val="nil"/>
            </w:tcBorders>
            <w:shd w:val="clear" w:color="auto" w:fill="auto"/>
            <w:vAlign w:val="center"/>
          </w:tcPr>
          <w:p w14:paraId="48FEEA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≤14.32万元</w:t>
            </w:r>
          </w:p>
        </w:tc>
        <w:tc>
          <w:tcPr>
            <w:tcW w:w="853" w:type="dxa"/>
            <w:tcBorders>
              <w:tl2br w:val="nil"/>
              <w:tr2bl w:val="nil"/>
            </w:tcBorders>
            <w:shd w:val="clear" w:color="auto" w:fill="auto"/>
            <w:vAlign w:val="center"/>
          </w:tcPr>
          <w:p w14:paraId="17F4B2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208" w:type="dxa"/>
            <w:tcBorders>
              <w:tl2br w:val="nil"/>
              <w:tr2bl w:val="nil"/>
            </w:tcBorders>
            <w:shd w:val="clear" w:color="auto" w:fill="auto"/>
            <w:vAlign w:val="center"/>
          </w:tcPr>
          <w:p w14:paraId="0B2CC4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20.38万元</w:t>
            </w:r>
          </w:p>
        </w:tc>
        <w:tc>
          <w:tcPr>
            <w:tcW w:w="926" w:type="dxa"/>
            <w:tcBorders>
              <w:tl2br w:val="nil"/>
              <w:tr2bl w:val="nil"/>
            </w:tcBorders>
            <w:shd w:val="clear" w:color="auto" w:fill="auto"/>
            <w:vAlign w:val="center"/>
          </w:tcPr>
          <w:p w14:paraId="673008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7" w:type="dxa"/>
            <w:tcBorders>
              <w:tl2br w:val="nil"/>
              <w:tr2bl w:val="nil"/>
            </w:tcBorders>
            <w:shd w:val="clear" w:color="auto" w:fill="auto"/>
            <w:vAlign w:val="center"/>
          </w:tcPr>
          <w:p w14:paraId="432314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033" w:type="dxa"/>
            <w:tcBorders>
              <w:tl2br w:val="nil"/>
              <w:tr2bl w:val="nil"/>
            </w:tcBorders>
            <w:shd w:val="clear" w:color="auto" w:fill="auto"/>
            <w:vAlign w:val="center"/>
          </w:tcPr>
          <w:p w14:paraId="2763D8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89" w:type="dxa"/>
            <w:tcBorders>
              <w:tl2br w:val="nil"/>
              <w:tr2bl w:val="nil"/>
            </w:tcBorders>
            <w:shd w:val="clear" w:color="auto" w:fill="auto"/>
            <w:vAlign w:val="center"/>
          </w:tcPr>
          <w:p w14:paraId="155276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14.32万元</w:t>
            </w:r>
          </w:p>
        </w:tc>
        <w:tc>
          <w:tcPr>
            <w:tcW w:w="1096" w:type="dxa"/>
            <w:tcBorders>
              <w:tl2br w:val="nil"/>
              <w:tr2bl w:val="nil"/>
            </w:tcBorders>
            <w:shd w:val="clear" w:color="auto" w:fill="auto"/>
            <w:vAlign w:val="center"/>
          </w:tcPr>
          <w:p w14:paraId="505ABD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14:paraId="4D7347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20" w:type="dxa"/>
            <w:tcBorders>
              <w:tl2br w:val="nil"/>
              <w:tr2bl w:val="nil"/>
            </w:tcBorders>
            <w:shd w:val="clear" w:color="auto" w:fill="auto"/>
            <w:vAlign w:val="center"/>
          </w:tcPr>
          <w:p w14:paraId="7A72DCAD">
            <w:pPr>
              <w:jc w:val="center"/>
              <w:rPr>
                <w:rFonts w:hint="eastAsia" w:ascii="宋体" w:hAnsi="宋体" w:eastAsia="宋体" w:cs="宋体"/>
                <w:b/>
                <w:bCs/>
                <w:i w:val="0"/>
                <w:iCs w:val="0"/>
                <w:color w:val="000000"/>
                <w:sz w:val="20"/>
                <w:szCs w:val="20"/>
                <w:u w:val="none"/>
              </w:rPr>
            </w:pPr>
          </w:p>
        </w:tc>
      </w:tr>
      <w:tr w14:paraId="46D976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735" w:type="dxa"/>
            <w:vMerge w:val="continue"/>
            <w:tcBorders>
              <w:tl2br w:val="nil"/>
              <w:tr2bl w:val="nil"/>
            </w:tcBorders>
            <w:shd w:val="clear" w:color="auto" w:fill="auto"/>
            <w:vAlign w:val="center"/>
          </w:tcPr>
          <w:p w14:paraId="60F1405D">
            <w:pPr>
              <w:jc w:val="center"/>
              <w:rPr>
                <w:rFonts w:hint="eastAsia" w:ascii="宋体" w:hAnsi="宋体" w:eastAsia="宋体" w:cs="宋体"/>
                <w:i w:val="0"/>
                <w:iCs w:val="0"/>
                <w:color w:val="000000"/>
                <w:sz w:val="20"/>
                <w:szCs w:val="20"/>
                <w:u w:val="none"/>
              </w:rPr>
            </w:pPr>
          </w:p>
        </w:tc>
        <w:tc>
          <w:tcPr>
            <w:tcW w:w="705" w:type="dxa"/>
            <w:vMerge w:val="continue"/>
            <w:tcBorders>
              <w:tl2br w:val="nil"/>
              <w:tr2bl w:val="nil"/>
            </w:tcBorders>
            <w:shd w:val="clear" w:color="auto" w:fill="auto"/>
            <w:vAlign w:val="center"/>
          </w:tcPr>
          <w:p w14:paraId="1FA5BA24">
            <w:pPr>
              <w:jc w:val="center"/>
              <w:rPr>
                <w:rFonts w:hint="eastAsia" w:ascii="宋体" w:hAnsi="宋体" w:eastAsia="宋体" w:cs="宋体"/>
                <w:i w:val="0"/>
                <w:iCs w:val="0"/>
                <w:color w:val="000000"/>
                <w:sz w:val="20"/>
                <w:szCs w:val="20"/>
                <w:u w:val="none"/>
              </w:rPr>
            </w:pPr>
          </w:p>
        </w:tc>
        <w:tc>
          <w:tcPr>
            <w:tcW w:w="702" w:type="dxa"/>
            <w:vMerge w:val="continue"/>
            <w:tcBorders>
              <w:tl2br w:val="nil"/>
              <w:tr2bl w:val="nil"/>
            </w:tcBorders>
            <w:shd w:val="clear" w:color="auto" w:fill="auto"/>
            <w:vAlign w:val="center"/>
          </w:tcPr>
          <w:p w14:paraId="49F07F20">
            <w:pPr>
              <w:jc w:val="center"/>
              <w:rPr>
                <w:rFonts w:hint="eastAsia" w:ascii="宋体" w:hAnsi="宋体" w:eastAsia="宋体" w:cs="宋体"/>
                <w:i w:val="0"/>
                <w:iCs w:val="0"/>
                <w:color w:val="000000"/>
                <w:sz w:val="20"/>
                <w:szCs w:val="20"/>
                <w:u w:val="none"/>
              </w:rPr>
            </w:pPr>
          </w:p>
        </w:tc>
        <w:tc>
          <w:tcPr>
            <w:tcW w:w="1208" w:type="dxa"/>
            <w:tcBorders>
              <w:tl2br w:val="nil"/>
              <w:tr2bl w:val="nil"/>
            </w:tcBorders>
            <w:shd w:val="clear" w:color="auto" w:fill="auto"/>
            <w:vAlign w:val="center"/>
          </w:tcPr>
          <w:p w14:paraId="79D3D3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保障教育教学活动开展的培训费</w:t>
            </w:r>
          </w:p>
        </w:tc>
        <w:tc>
          <w:tcPr>
            <w:tcW w:w="1090" w:type="dxa"/>
            <w:tcBorders>
              <w:tl2br w:val="nil"/>
              <w:tr2bl w:val="nil"/>
            </w:tcBorders>
            <w:shd w:val="clear" w:color="auto" w:fill="auto"/>
            <w:vAlign w:val="center"/>
          </w:tcPr>
          <w:p w14:paraId="39FD4D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≤0.75万元</w:t>
            </w:r>
          </w:p>
        </w:tc>
        <w:tc>
          <w:tcPr>
            <w:tcW w:w="853" w:type="dxa"/>
            <w:tcBorders>
              <w:tl2br w:val="nil"/>
              <w:tr2bl w:val="nil"/>
            </w:tcBorders>
            <w:shd w:val="clear" w:color="auto" w:fill="auto"/>
            <w:vAlign w:val="center"/>
          </w:tcPr>
          <w:p w14:paraId="6FA172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208" w:type="dxa"/>
            <w:tcBorders>
              <w:tl2br w:val="nil"/>
              <w:tr2bl w:val="nil"/>
            </w:tcBorders>
            <w:shd w:val="clear" w:color="auto" w:fill="auto"/>
            <w:vAlign w:val="center"/>
          </w:tcPr>
          <w:p w14:paraId="7A90D5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1.07万元</w:t>
            </w:r>
          </w:p>
        </w:tc>
        <w:tc>
          <w:tcPr>
            <w:tcW w:w="926" w:type="dxa"/>
            <w:tcBorders>
              <w:tl2br w:val="nil"/>
              <w:tr2bl w:val="nil"/>
            </w:tcBorders>
            <w:shd w:val="clear" w:color="auto" w:fill="auto"/>
            <w:vAlign w:val="center"/>
          </w:tcPr>
          <w:p w14:paraId="5C9C16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7" w:type="dxa"/>
            <w:tcBorders>
              <w:tl2br w:val="nil"/>
              <w:tr2bl w:val="nil"/>
            </w:tcBorders>
            <w:shd w:val="clear" w:color="auto" w:fill="auto"/>
            <w:vAlign w:val="center"/>
          </w:tcPr>
          <w:p w14:paraId="4F13E7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1033" w:type="dxa"/>
            <w:tcBorders>
              <w:tl2br w:val="nil"/>
              <w:tr2bl w:val="nil"/>
            </w:tcBorders>
            <w:shd w:val="clear" w:color="auto" w:fill="auto"/>
            <w:vAlign w:val="center"/>
          </w:tcPr>
          <w:p w14:paraId="76EDCE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89" w:type="dxa"/>
            <w:tcBorders>
              <w:tl2br w:val="nil"/>
              <w:tr2bl w:val="nil"/>
            </w:tcBorders>
            <w:shd w:val="clear" w:color="auto" w:fill="auto"/>
            <w:vAlign w:val="center"/>
          </w:tcPr>
          <w:p w14:paraId="7F9F46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0.75万元</w:t>
            </w:r>
          </w:p>
        </w:tc>
        <w:tc>
          <w:tcPr>
            <w:tcW w:w="1096" w:type="dxa"/>
            <w:tcBorders>
              <w:tl2br w:val="nil"/>
              <w:tr2bl w:val="nil"/>
            </w:tcBorders>
            <w:shd w:val="clear" w:color="auto" w:fill="auto"/>
            <w:vAlign w:val="center"/>
          </w:tcPr>
          <w:p w14:paraId="107049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14:paraId="20D56F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20" w:type="dxa"/>
            <w:tcBorders>
              <w:tl2br w:val="nil"/>
              <w:tr2bl w:val="nil"/>
            </w:tcBorders>
            <w:shd w:val="clear" w:color="auto" w:fill="auto"/>
            <w:vAlign w:val="center"/>
          </w:tcPr>
          <w:p w14:paraId="737DF593">
            <w:pPr>
              <w:jc w:val="center"/>
              <w:rPr>
                <w:rFonts w:hint="eastAsia" w:ascii="宋体" w:hAnsi="宋体" w:eastAsia="宋体" w:cs="宋体"/>
                <w:i w:val="0"/>
                <w:iCs w:val="0"/>
                <w:color w:val="000000"/>
                <w:sz w:val="20"/>
                <w:szCs w:val="20"/>
                <w:u w:val="none"/>
              </w:rPr>
            </w:pPr>
          </w:p>
        </w:tc>
      </w:tr>
      <w:tr w14:paraId="530149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735" w:type="dxa"/>
            <w:vMerge w:val="continue"/>
            <w:tcBorders>
              <w:tl2br w:val="nil"/>
              <w:tr2bl w:val="nil"/>
            </w:tcBorders>
            <w:shd w:val="clear" w:color="auto" w:fill="auto"/>
            <w:vAlign w:val="center"/>
          </w:tcPr>
          <w:p w14:paraId="0D4857C2">
            <w:pPr>
              <w:jc w:val="center"/>
              <w:rPr>
                <w:rFonts w:hint="eastAsia" w:ascii="宋体" w:hAnsi="宋体" w:eastAsia="宋体" w:cs="宋体"/>
                <w:i w:val="0"/>
                <w:iCs w:val="0"/>
                <w:color w:val="000000"/>
                <w:sz w:val="20"/>
                <w:szCs w:val="20"/>
                <w:u w:val="none"/>
              </w:rPr>
            </w:pPr>
          </w:p>
        </w:tc>
        <w:tc>
          <w:tcPr>
            <w:tcW w:w="705" w:type="dxa"/>
            <w:vMerge w:val="restart"/>
            <w:tcBorders>
              <w:tl2br w:val="nil"/>
              <w:tr2bl w:val="nil"/>
            </w:tcBorders>
            <w:shd w:val="clear" w:color="auto" w:fill="auto"/>
            <w:vAlign w:val="center"/>
          </w:tcPr>
          <w:p w14:paraId="567B66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02" w:type="dxa"/>
            <w:tcBorders>
              <w:tl2br w:val="nil"/>
              <w:tr2bl w:val="nil"/>
            </w:tcBorders>
            <w:shd w:val="clear" w:color="auto" w:fill="auto"/>
            <w:vAlign w:val="center"/>
          </w:tcPr>
          <w:p w14:paraId="5BCE13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208" w:type="dxa"/>
            <w:tcBorders>
              <w:tl2br w:val="nil"/>
              <w:tr2bl w:val="nil"/>
            </w:tcBorders>
            <w:shd w:val="clear" w:color="auto" w:fill="auto"/>
            <w:vAlign w:val="center"/>
          </w:tcPr>
          <w:p w14:paraId="3D0775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保障幼儿园各项工作平稳进行</w:t>
            </w:r>
          </w:p>
        </w:tc>
        <w:tc>
          <w:tcPr>
            <w:tcW w:w="1090" w:type="dxa"/>
            <w:tcBorders>
              <w:tl2br w:val="nil"/>
              <w:tr2bl w:val="nil"/>
            </w:tcBorders>
            <w:shd w:val="clear" w:color="auto" w:fill="auto"/>
            <w:vAlign w:val="center"/>
          </w:tcPr>
          <w:p w14:paraId="1A31B0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853" w:type="dxa"/>
            <w:tcBorders>
              <w:tl2br w:val="nil"/>
              <w:tr2bl w:val="nil"/>
            </w:tcBorders>
            <w:shd w:val="clear" w:color="auto" w:fill="auto"/>
            <w:vAlign w:val="center"/>
          </w:tcPr>
          <w:p w14:paraId="49DE2A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08" w:type="dxa"/>
            <w:tcBorders>
              <w:tl2br w:val="nil"/>
              <w:tr2bl w:val="nil"/>
            </w:tcBorders>
            <w:shd w:val="clear" w:color="auto" w:fill="auto"/>
            <w:vAlign w:val="center"/>
          </w:tcPr>
          <w:p w14:paraId="70F979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926" w:type="dxa"/>
            <w:tcBorders>
              <w:tl2br w:val="nil"/>
              <w:tr2bl w:val="nil"/>
            </w:tcBorders>
            <w:shd w:val="clear" w:color="auto" w:fill="auto"/>
            <w:vAlign w:val="center"/>
          </w:tcPr>
          <w:p w14:paraId="696904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7" w:type="dxa"/>
            <w:tcBorders>
              <w:tl2br w:val="nil"/>
              <w:tr2bl w:val="nil"/>
            </w:tcBorders>
            <w:shd w:val="clear" w:color="auto" w:fill="auto"/>
            <w:vAlign w:val="center"/>
          </w:tcPr>
          <w:p w14:paraId="33CB5A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33" w:type="dxa"/>
            <w:tcBorders>
              <w:tl2br w:val="nil"/>
              <w:tr2bl w:val="nil"/>
            </w:tcBorders>
            <w:shd w:val="clear" w:color="auto" w:fill="auto"/>
            <w:vAlign w:val="center"/>
          </w:tcPr>
          <w:p w14:paraId="0AEE8A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89" w:type="dxa"/>
            <w:tcBorders>
              <w:tl2br w:val="nil"/>
              <w:tr2bl w:val="nil"/>
            </w:tcBorders>
            <w:shd w:val="clear" w:color="auto" w:fill="auto"/>
            <w:vAlign w:val="center"/>
          </w:tcPr>
          <w:p w14:paraId="08F2AC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l2br w:val="nil"/>
              <w:tr2bl w:val="nil"/>
            </w:tcBorders>
            <w:shd w:val="clear" w:color="auto" w:fill="auto"/>
            <w:vAlign w:val="center"/>
          </w:tcPr>
          <w:p w14:paraId="33038D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14:paraId="3387C2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20" w:type="dxa"/>
            <w:tcBorders>
              <w:tl2br w:val="nil"/>
              <w:tr2bl w:val="nil"/>
            </w:tcBorders>
            <w:shd w:val="clear" w:color="auto" w:fill="auto"/>
            <w:vAlign w:val="center"/>
          </w:tcPr>
          <w:p w14:paraId="7BE6C78B">
            <w:pPr>
              <w:jc w:val="center"/>
              <w:rPr>
                <w:rFonts w:hint="eastAsia" w:ascii="宋体" w:hAnsi="宋体" w:eastAsia="宋体" w:cs="宋体"/>
                <w:i w:val="0"/>
                <w:iCs w:val="0"/>
                <w:color w:val="000000"/>
                <w:sz w:val="20"/>
                <w:szCs w:val="20"/>
                <w:u w:val="none"/>
              </w:rPr>
            </w:pPr>
          </w:p>
        </w:tc>
      </w:tr>
      <w:tr w14:paraId="63857B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40" w:hRule="atLeast"/>
        </w:trPr>
        <w:tc>
          <w:tcPr>
            <w:tcW w:w="735" w:type="dxa"/>
            <w:vMerge w:val="continue"/>
            <w:tcBorders>
              <w:tl2br w:val="nil"/>
              <w:tr2bl w:val="nil"/>
            </w:tcBorders>
            <w:shd w:val="clear" w:color="auto" w:fill="auto"/>
            <w:vAlign w:val="center"/>
          </w:tcPr>
          <w:p w14:paraId="363B9A15">
            <w:pPr>
              <w:jc w:val="center"/>
              <w:rPr>
                <w:rFonts w:hint="eastAsia" w:ascii="宋体" w:hAnsi="宋体" w:eastAsia="宋体" w:cs="宋体"/>
                <w:i w:val="0"/>
                <w:iCs w:val="0"/>
                <w:color w:val="000000"/>
                <w:sz w:val="20"/>
                <w:szCs w:val="20"/>
                <w:u w:val="none"/>
              </w:rPr>
            </w:pPr>
          </w:p>
        </w:tc>
        <w:tc>
          <w:tcPr>
            <w:tcW w:w="705" w:type="dxa"/>
            <w:vMerge w:val="continue"/>
            <w:tcBorders>
              <w:tl2br w:val="nil"/>
              <w:tr2bl w:val="nil"/>
            </w:tcBorders>
            <w:shd w:val="clear" w:color="auto" w:fill="auto"/>
            <w:vAlign w:val="center"/>
          </w:tcPr>
          <w:p w14:paraId="3EEEBACB">
            <w:pPr>
              <w:jc w:val="center"/>
              <w:rPr>
                <w:rFonts w:hint="eastAsia" w:ascii="宋体" w:hAnsi="宋体" w:eastAsia="宋体" w:cs="宋体"/>
                <w:i w:val="0"/>
                <w:iCs w:val="0"/>
                <w:color w:val="000000"/>
                <w:sz w:val="20"/>
                <w:szCs w:val="20"/>
                <w:u w:val="none"/>
              </w:rPr>
            </w:pPr>
          </w:p>
        </w:tc>
        <w:tc>
          <w:tcPr>
            <w:tcW w:w="702" w:type="dxa"/>
            <w:tcBorders>
              <w:tl2br w:val="nil"/>
              <w:tr2bl w:val="nil"/>
            </w:tcBorders>
            <w:shd w:val="clear" w:color="auto" w:fill="auto"/>
            <w:vAlign w:val="center"/>
          </w:tcPr>
          <w:p w14:paraId="167ED5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08" w:type="dxa"/>
            <w:tcBorders>
              <w:tl2br w:val="nil"/>
              <w:tr2bl w:val="nil"/>
            </w:tcBorders>
            <w:shd w:val="clear" w:color="auto" w:fill="auto"/>
            <w:vAlign w:val="center"/>
          </w:tcPr>
          <w:p w14:paraId="440BF9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校园环境和条件进一步改善</w:t>
            </w:r>
          </w:p>
        </w:tc>
        <w:tc>
          <w:tcPr>
            <w:tcW w:w="1090" w:type="dxa"/>
            <w:tcBorders>
              <w:tl2br w:val="nil"/>
              <w:tr2bl w:val="nil"/>
            </w:tcBorders>
            <w:shd w:val="clear" w:color="auto" w:fill="auto"/>
            <w:vAlign w:val="center"/>
          </w:tcPr>
          <w:p w14:paraId="2A7DE4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853" w:type="dxa"/>
            <w:tcBorders>
              <w:tl2br w:val="nil"/>
              <w:tr2bl w:val="nil"/>
            </w:tcBorders>
            <w:shd w:val="clear" w:color="auto" w:fill="auto"/>
            <w:vAlign w:val="center"/>
          </w:tcPr>
          <w:p w14:paraId="739417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08" w:type="dxa"/>
            <w:tcBorders>
              <w:tl2br w:val="nil"/>
              <w:tr2bl w:val="nil"/>
            </w:tcBorders>
            <w:shd w:val="clear" w:color="auto" w:fill="auto"/>
            <w:vAlign w:val="center"/>
          </w:tcPr>
          <w:p w14:paraId="3F02D5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926" w:type="dxa"/>
            <w:tcBorders>
              <w:tl2br w:val="nil"/>
              <w:tr2bl w:val="nil"/>
            </w:tcBorders>
            <w:shd w:val="clear" w:color="auto" w:fill="auto"/>
            <w:vAlign w:val="center"/>
          </w:tcPr>
          <w:p w14:paraId="163C20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7" w:type="dxa"/>
            <w:tcBorders>
              <w:tl2br w:val="nil"/>
              <w:tr2bl w:val="nil"/>
            </w:tcBorders>
            <w:shd w:val="clear" w:color="auto" w:fill="auto"/>
            <w:vAlign w:val="center"/>
          </w:tcPr>
          <w:p w14:paraId="1AD9B5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33" w:type="dxa"/>
            <w:tcBorders>
              <w:tl2br w:val="nil"/>
              <w:tr2bl w:val="nil"/>
            </w:tcBorders>
            <w:shd w:val="clear" w:color="auto" w:fill="auto"/>
            <w:vAlign w:val="center"/>
          </w:tcPr>
          <w:p w14:paraId="61CEA4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89" w:type="dxa"/>
            <w:tcBorders>
              <w:tl2br w:val="nil"/>
              <w:tr2bl w:val="nil"/>
            </w:tcBorders>
            <w:shd w:val="clear" w:color="auto" w:fill="auto"/>
            <w:vAlign w:val="center"/>
          </w:tcPr>
          <w:p w14:paraId="6FEB11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l2br w:val="nil"/>
              <w:tr2bl w:val="nil"/>
            </w:tcBorders>
            <w:shd w:val="clear" w:color="auto" w:fill="auto"/>
            <w:vAlign w:val="center"/>
          </w:tcPr>
          <w:p w14:paraId="198C80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14:paraId="134DCC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20" w:type="dxa"/>
            <w:tcBorders>
              <w:tl2br w:val="nil"/>
              <w:tr2bl w:val="nil"/>
            </w:tcBorders>
            <w:shd w:val="clear" w:color="auto" w:fill="auto"/>
            <w:vAlign w:val="center"/>
          </w:tcPr>
          <w:p w14:paraId="22A31456">
            <w:pPr>
              <w:jc w:val="center"/>
              <w:rPr>
                <w:rFonts w:hint="eastAsia" w:ascii="宋体" w:hAnsi="宋体" w:eastAsia="宋体" w:cs="宋体"/>
                <w:i w:val="0"/>
                <w:iCs w:val="0"/>
                <w:color w:val="000000"/>
                <w:sz w:val="20"/>
                <w:szCs w:val="20"/>
                <w:u w:val="none"/>
              </w:rPr>
            </w:pPr>
          </w:p>
        </w:tc>
      </w:tr>
      <w:tr w14:paraId="166FD5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80" w:hRule="atLeast"/>
        </w:trPr>
        <w:tc>
          <w:tcPr>
            <w:tcW w:w="735" w:type="dxa"/>
            <w:vMerge w:val="continue"/>
            <w:tcBorders>
              <w:tl2br w:val="nil"/>
              <w:tr2bl w:val="nil"/>
            </w:tcBorders>
            <w:shd w:val="clear" w:color="auto" w:fill="auto"/>
            <w:vAlign w:val="center"/>
          </w:tcPr>
          <w:p w14:paraId="36ADE537">
            <w:pPr>
              <w:jc w:val="center"/>
              <w:rPr>
                <w:rFonts w:hint="eastAsia" w:ascii="宋体" w:hAnsi="宋体" w:eastAsia="宋体" w:cs="宋体"/>
                <w:i w:val="0"/>
                <w:iCs w:val="0"/>
                <w:color w:val="000000"/>
                <w:sz w:val="20"/>
                <w:szCs w:val="20"/>
                <w:u w:val="none"/>
              </w:rPr>
            </w:pPr>
          </w:p>
        </w:tc>
        <w:tc>
          <w:tcPr>
            <w:tcW w:w="705" w:type="dxa"/>
            <w:tcBorders>
              <w:tl2br w:val="nil"/>
              <w:tr2bl w:val="nil"/>
            </w:tcBorders>
            <w:shd w:val="clear" w:color="auto" w:fill="auto"/>
            <w:vAlign w:val="center"/>
          </w:tcPr>
          <w:p w14:paraId="7CFE10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02" w:type="dxa"/>
            <w:tcBorders>
              <w:tl2br w:val="nil"/>
              <w:tr2bl w:val="nil"/>
            </w:tcBorders>
            <w:shd w:val="clear" w:color="auto" w:fill="auto"/>
            <w:vAlign w:val="center"/>
          </w:tcPr>
          <w:p w14:paraId="33BB63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08" w:type="dxa"/>
            <w:tcBorders>
              <w:tl2br w:val="nil"/>
              <w:tr2bl w:val="nil"/>
            </w:tcBorders>
            <w:shd w:val="clear" w:color="auto" w:fill="auto"/>
            <w:vAlign w:val="center"/>
          </w:tcPr>
          <w:p w14:paraId="21B271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家长及教师满意度</w:t>
            </w:r>
          </w:p>
        </w:tc>
        <w:tc>
          <w:tcPr>
            <w:tcW w:w="1090" w:type="dxa"/>
            <w:tcBorders>
              <w:tl2br w:val="nil"/>
              <w:tr2bl w:val="nil"/>
            </w:tcBorders>
            <w:shd w:val="clear" w:color="auto" w:fill="auto"/>
            <w:vAlign w:val="center"/>
          </w:tcPr>
          <w:p w14:paraId="548BC0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53" w:type="dxa"/>
            <w:tcBorders>
              <w:tl2br w:val="nil"/>
              <w:tr2bl w:val="nil"/>
            </w:tcBorders>
            <w:shd w:val="clear" w:color="auto" w:fill="auto"/>
            <w:vAlign w:val="center"/>
          </w:tcPr>
          <w:p w14:paraId="7DD9F7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其他标准</w:t>
            </w:r>
          </w:p>
        </w:tc>
        <w:tc>
          <w:tcPr>
            <w:tcW w:w="1208" w:type="dxa"/>
            <w:tcBorders>
              <w:tl2br w:val="nil"/>
              <w:tr2bl w:val="nil"/>
            </w:tcBorders>
            <w:shd w:val="clear" w:color="auto" w:fill="auto"/>
            <w:vAlign w:val="center"/>
          </w:tcPr>
          <w:p w14:paraId="6F103F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26" w:type="dxa"/>
            <w:tcBorders>
              <w:tl2br w:val="nil"/>
              <w:tr2bl w:val="nil"/>
            </w:tcBorders>
            <w:shd w:val="clear" w:color="auto" w:fill="auto"/>
            <w:vAlign w:val="center"/>
          </w:tcPr>
          <w:p w14:paraId="0556E0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7" w:type="dxa"/>
            <w:tcBorders>
              <w:tl2br w:val="nil"/>
              <w:tr2bl w:val="nil"/>
            </w:tcBorders>
            <w:shd w:val="clear" w:color="auto" w:fill="auto"/>
            <w:vAlign w:val="center"/>
          </w:tcPr>
          <w:p w14:paraId="48FF16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33" w:type="dxa"/>
            <w:tcBorders>
              <w:tl2br w:val="nil"/>
              <w:tr2bl w:val="nil"/>
            </w:tcBorders>
            <w:shd w:val="clear" w:color="auto" w:fill="auto"/>
            <w:vAlign w:val="center"/>
          </w:tcPr>
          <w:p w14:paraId="7F70E5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89" w:type="dxa"/>
            <w:tcBorders>
              <w:tl2br w:val="nil"/>
              <w:tr2bl w:val="nil"/>
            </w:tcBorders>
            <w:shd w:val="clear" w:color="auto" w:fill="auto"/>
            <w:vAlign w:val="center"/>
          </w:tcPr>
          <w:p w14:paraId="7CDF10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96" w:type="dxa"/>
            <w:tcBorders>
              <w:tl2br w:val="nil"/>
              <w:tr2bl w:val="nil"/>
            </w:tcBorders>
            <w:shd w:val="clear" w:color="auto" w:fill="auto"/>
            <w:vAlign w:val="center"/>
          </w:tcPr>
          <w:p w14:paraId="48B95F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tcBorders>
              <w:tl2br w:val="nil"/>
              <w:tr2bl w:val="nil"/>
            </w:tcBorders>
            <w:shd w:val="clear" w:color="auto" w:fill="auto"/>
            <w:vAlign w:val="center"/>
          </w:tcPr>
          <w:p w14:paraId="2CAC26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20" w:type="dxa"/>
            <w:tcBorders>
              <w:tl2br w:val="nil"/>
              <w:tr2bl w:val="nil"/>
            </w:tcBorders>
            <w:shd w:val="clear" w:color="auto" w:fill="auto"/>
            <w:vAlign w:val="center"/>
          </w:tcPr>
          <w:p w14:paraId="24DFF1A1">
            <w:pPr>
              <w:jc w:val="center"/>
              <w:rPr>
                <w:rFonts w:hint="eastAsia" w:ascii="宋体" w:hAnsi="宋体" w:eastAsia="宋体" w:cs="宋体"/>
                <w:i w:val="0"/>
                <w:iCs w:val="0"/>
                <w:color w:val="000000"/>
                <w:sz w:val="20"/>
                <w:szCs w:val="20"/>
                <w:u w:val="none"/>
              </w:rPr>
            </w:pPr>
          </w:p>
        </w:tc>
      </w:tr>
      <w:tr w14:paraId="0779FE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0" w:hRule="atLeast"/>
        </w:trPr>
        <w:tc>
          <w:tcPr>
            <w:tcW w:w="3350" w:type="dxa"/>
            <w:gridSpan w:val="4"/>
            <w:tcBorders>
              <w:tl2br w:val="nil"/>
              <w:tr2bl w:val="nil"/>
            </w:tcBorders>
            <w:shd w:val="clear" w:color="auto" w:fill="auto"/>
            <w:vAlign w:val="center"/>
          </w:tcPr>
          <w:p w14:paraId="23D17C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90" w:type="dxa"/>
            <w:tcBorders>
              <w:tl2br w:val="nil"/>
              <w:tr2bl w:val="nil"/>
            </w:tcBorders>
            <w:shd w:val="clear" w:color="auto" w:fill="auto"/>
            <w:vAlign w:val="center"/>
          </w:tcPr>
          <w:p w14:paraId="5AB71E65">
            <w:pPr>
              <w:jc w:val="center"/>
              <w:rPr>
                <w:rFonts w:hint="eastAsia" w:ascii="宋体" w:hAnsi="宋体" w:eastAsia="宋体" w:cs="宋体"/>
                <w:i w:val="0"/>
                <w:iCs w:val="0"/>
                <w:color w:val="000000"/>
                <w:sz w:val="20"/>
                <w:szCs w:val="20"/>
                <w:u w:val="none"/>
              </w:rPr>
            </w:pPr>
          </w:p>
        </w:tc>
        <w:tc>
          <w:tcPr>
            <w:tcW w:w="853" w:type="dxa"/>
            <w:tcBorders>
              <w:tl2br w:val="nil"/>
              <w:tr2bl w:val="nil"/>
            </w:tcBorders>
            <w:shd w:val="clear" w:color="auto" w:fill="auto"/>
            <w:vAlign w:val="center"/>
          </w:tcPr>
          <w:p w14:paraId="24ED5794">
            <w:pPr>
              <w:jc w:val="center"/>
              <w:rPr>
                <w:rFonts w:hint="eastAsia" w:ascii="宋体" w:hAnsi="宋体" w:eastAsia="宋体" w:cs="宋体"/>
                <w:b/>
                <w:bCs/>
                <w:i w:val="0"/>
                <w:iCs w:val="0"/>
                <w:color w:val="000000"/>
                <w:sz w:val="20"/>
                <w:szCs w:val="20"/>
                <w:u w:val="none"/>
              </w:rPr>
            </w:pPr>
          </w:p>
        </w:tc>
        <w:tc>
          <w:tcPr>
            <w:tcW w:w="1208" w:type="dxa"/>
            <w:tcBorders>
              <w:tl2br w:val="nil"/>
              <w:tr2bl w:val="nil"/>
            </w:tcBorders>
            <w:shd w:val="clear" w:color="auto" w:fill="auto"/>
            <w:vAlign w:val="center"/>
          </w:tcPr>
          <w:p w14:paraId="5FD52D44">
            <w:pPr>
              <w:jc w:val="center"/>
              <w:rPr>
                <w:rFonts w:hint="eastAsia" w:ascii="宋体" w:hAnsi="宋体" w:eastAsia="宋体" w:cs="宋体"/>
                <w:i w:val="0"/>
                <w:iCs w:val="0"/>
                <w:color w:val="000000"/>
                <w:sz w:val="20"/>
                <w:szCs w:val="20"/>
                <w:u w:val="none"/>
              </w:rPr>
            </w:pPr>
          </w:p>
        </w:tc>
        <w:tc>
          <w:tcPr>
            <w:tcW w:w="926" w:type="dxa"/>
            <w:tcBorders>
              <w:tl2br w:val="nil"/>
              <w:tr2bl w:val="nil"/>
            </w:tcBorders>
            <w:shd w:val="clear" w:color="auto" w:fill="auto"/>
            <w:vAlign w:val="center"/>
          </w:tcPr>
          <w:p w14:paraId="69E35B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27" w:type="dxa"/>
            <w:tcBorders>
              <w:tl2br w:val="nil"/>
              <w:tr2bl w:val="nil"/>
            </w:tcBorders>
            <w:shd w:val="clear" w:color="auto" w:fill="auto"/>
            <w:vAlign w:val="center"/>
          </w:tcPr>
          <w:p w14:paraId="4897C108">
            <w:pPr>
              <w:jc w:val="center"/>
              <w:rPr>
                <w:rFonts w:hint="eastAsia" w:ascii="宋体" w:hAnsi="宋体" w:eastAsia="宋体" w:cs="宋体"/>
                <w:i w:val="0"/>
                <w:iCs w:val="0"/>
                <w:color w:val="000000"/>
                <w:sz w:val="20"/>
                <w:szCs w:val="20"/>
                <w:u w:val="none"/>
              </w:rPr>
            </w:pPr>
          </w:p>
        </w:tc>
        <w:tc>
          <w:tcPr>
            <w:tcW w:w="1033" w:type="dxa"/>
            <w:tcBorders>
              <w:tl2br w:val="nil"/>
              <w:tr2bl w:val="nil"/>
            </w:tcBorders>
            <w:shd w:val="clear" w:color="auto" w:fill="auto"/>
            <w:vAlign w:val="center"/>
          </w:tcPr>
          <w:p w14:paraId="03F19E5E">
            <w:pPr>
              <w:jc w:val="center"/>
              <w:rPr>
                <w:rFonts w:hint="eastAsia" w:ascii="宋体" w:hAnsi="宋体" w:eastAsia="宋体" w:cs="宋体"/>
                <w:i w:val="0"/>
                <w:iCs w:val="0"/>
                <w:color w:val="000000"/>
                <w:sz w:val="20"/>
                <w:szCs w:val="20"/>
                <w:u w:val="none"/>
              </w:rPr>
            </w:pPr>
          </w:p>
        </w:tc>
        <w:tc>
          <w:tcPr>
            <w:tcW w:w="989" w:type="dxa"/>
            <w:tcBorders>
              <w:tl2br w:val="nil"/>
              <w:tr2bl w:val="nil"/>
            </w:tcBorders>
            <w:shd w:val="clear" w:color="auto" w:fill="auto"/>
            <w:vAlign w:val="center"/>
          </w:tcPr>
          <w:p w14:paraId="63E271AB">
            <w:pPr>
              <w:jc w:val="center"/>
              <w:rPr>
                <w:rFonts w:hint="eastAsia" w:ascii="宋体" w:hAnsi="宋体" w:eastAsia="宋体" w:cs="宋体"/>
                <w:i w:val="0"/>
                <w:iCs w:val="0"/>
                <w:color w:val="000000"/>
                <w:sz w:val="20"/>
                <w:szCs w:val="20"/>
                <w:u w:val="none"/>
              </w:rPr>
            </w:pPr>
          </w:p>
        </w:tc>
        <w:tc>
          <w:tcPr>
            <w:tcW w:w="1096" w:type="dxa"/>
            <w:tcBorders>
              <w:tl2br w:val="nil"/>
              <w:tr2bl w:val="nil"/>
            </w:tcBorders>
            <w:shd w:val="clear" w:color="auto" w:fill="auto"/>
            <w:vAlign w:val="center"/>
          </w:tcPr>
          <w:p w14:paraId="5FFDBC20">
            <w:pPr>
              <w:jc w:val="center"/>
              <w:rPr>
                <w:rFonts w:hint="eastAsia" w:ascii="宋体" w:hAnsi="宋体" w:eastAsia="宋体" w:cs="宋体"/>
                <w:i w:val="0"/>
                <w:iCs w:val="0"/>
                <w:color w:val="000000"/>
                <w:sz w:val="20"/>
                <w:szCs w:val="20"/>
                <w:u w:val="none"/>
              </w:rPr>
            </w:pPr>
          </w:p>
        </w:tc>
        <w:tc>
          <w:tcPr>
            <w:tcW w:w="982" w:type="dxa"/>
            <w:tcBorders>
              <w:tl2br w:val="nil"/>
              <w:tr2bl w:val="nil"/>
            </w:tcBorders>
            <w:shd w:val="clear" w:color="auto" w:fill="auto"/>
            <w:vAlign w:val="center"/>
          </w:tcPr>
          <w:p w14:paraId="337E0C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720" w:type="dxa"/>
            <w:tcBorders>
              <w:tl2br w:val="nil"/>
              <w:tr2bl w:val="nil"/>
            </w:tcBorders>
            <w:shd w:val="clear" w:color="auto" w:fill="auto"/>
            <w:vAlign w:val="center"/>
          </w:tcPr>
          <w:p w14:paraId="4BCFF734">
            <w:pPr>
              <w:rPr>
                <w:rFonts w:hint="eastAsia" w:ascii="宋体" w:hAnsi="宋体" w:eastAsia="宋体" w:cs="宋体"/>
                <w:i w:val="0"/>
                <w:iCs w:val="0"/>
                <w:color w:val="000000"/>
                <w:sz w:val="20"/>
                <w:szCs w:val="20"/>
                <w:u w:val="none"/>
              </w:rPr>
            </w:pPr>
          </w:p>
        </w:tc>
      </w:tr>
    </w:tbl>
    <w:p w14:paraId="5C6E98A3">
      <w:pPr>
        <w:bidi w:val="0"/>
        <w:ind w:left="0" w:leftChars="0" w:firstLine="0" w:firstLineChars="0"/>
        <w:rPr>
          <w:rFonts w:hint="default" w:cs="宋体"/>
          <w:b/>
          <w:bCs/>
          <w:color w:val="auto"/>
          <w:sz w:val="32"/>
          <w:szCs w:val="32"/>
          <w:highlight w:val="none"/>
          <w:shd w:val="clear" w:color="auto" w:fill="auto"/>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pPr>
    </w:p>
    <w:bookmarkEnd w:id="84"/>
    <w:p w14:paraId="6DA4B735">
      <w:pPr>
        <w:pStyle w:val="2"/>
        <w:bidi w:val="0"/>
        <w:ind w:left="0" w:leftChars="0" w:firstLine="0" w:firstLineChars="0"/>
        <w:rPr>
          <w:rFonts w:hint="eastAsia"/>
          <w:color w:val="auto"/>
          <w:highlight w:val="none"/>
          <w:lang w:val="en-US" w:eastAsia="zh-CN"/>
        </w:rPr>
      </w:pPr>
      <w:bookmarkStart w:id="85" w:name="_Toc15067"/>
      <w:r>
        <w:rPr>
          <w:rFonts w:hint="eastAsia"/>
          <w:color w:val="auto"/>
          <w:highlight w:val="none"/>
          <w:lang w:val="en-US" w:eastAsia="zh-CN"/>
        </w:rPr>
        <w:t>附件二、项目支出绩效评价指标体系打分表</w:t>
      </w:r>
      <w:bookmarkEnd w:id="85"/>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4F1928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133D2176">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690F734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29422ABF">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1F7EA725">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578081A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39D01900">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4A25BBD5">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2D1A63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3DEEBE5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5DDE41B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05916195">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7D29B01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44FF06D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6AAAB4D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40E65C0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25D74FB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920801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0FEBEBB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6579CB9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051C91C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6D3F5EC6">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102CFC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B6CF001">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2A0D40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21EA9D40">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18D8C8C">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3B78247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45CE2CF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2C21C40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051DEBB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611B00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2BA4955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033E4039">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085A3E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05328EDD">
            <w:pPr>
              <w:keepNext w:val="0"/>
              <w:keepLines w:val="0"/>
              <w:pageBreakBefore w:val="0"/>
              <w:widowControl/>
              <w:kinsoku/>
              <w:wordWrap/>
              <w:overflowPunct/>
              <w:topLinePunct w:val="0"/>
              <w:autoSpaceDE/>
              <w:autoSpaceDN/>
              <w:bidi w:val="0"/>
              <w:adjustRightInd/>
              <w:snapToGrid/>
              <w:spacing w:line="200" w:lineRule="exact"/>
              <w:ind w:firstLine="0" w:firstLineChars="0"/>
              <w:jc w:val="center"/>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2.2</w:t>
            </w:r>
          </w:p>
        </w:tc>
      </w:tr>
      <w:tr w14:paraId="120529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62A47383">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0F78CF1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09B6F13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7115356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15A26D4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65FFF12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624230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71EC769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07257DA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7DD15351">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7CB92547">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32EB06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444DBE2D">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70262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057EE4A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3BD9004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27338E9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0EAFBCC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332437C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63E3523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46A38F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4EC6FE3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157EF8B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74A4A5D8">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5138D4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776F174D">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EF840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13CB78E6">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49E5CC3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082C7D48">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00AB27B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602F192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3D86B1B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4F30594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350A52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441139C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612B207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2F68321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220889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0A61CD57">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429943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7B5E021A">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E422A25">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4D03B77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491E224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6BDDE8D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374F031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EC03CC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53C7C1A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4F7EF0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6A84FE3B">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1BF9E4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67A022B4">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73E0349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177C53B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2ABD760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5355AB5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62BE4B9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768B9BB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0CFA14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F9B88E7">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028CE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1A9C9B1D">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9CFA628">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62D218C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27643E0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56A3998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6F5E41B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51FEF5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1AEBEFB">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BBEE6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73FA14D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1DCEEE7E">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0DD424A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284C120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23DB597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4652005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5029C68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A43DDC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62C82F4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5940C65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7824D8F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55F0E7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B6BD90F">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675F4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0D34D81A">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1D1F463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11BB17CD">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2580316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16C4F03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5DED003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7E2B6CF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5B019E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6624693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35F867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80BA16D">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7FCC0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4B943B05">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BE5B640">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4AD9059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1F42DE2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7D00417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561161F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193DBB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359B1B8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7BC4929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7D88B01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093A16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C53A94A">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C27CC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735F981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7AEAE1D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3CDF031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实际完成率</w:t>
            </w:r>
          </w:p>
        </w:tc>
        <w:tc>
          <w:tcPr>
            <w:tcW w:w="2141" w:type="dxa"/>
            <w:shd w:val="clear" w:color="auto" w:fill="auto"/>
            <w:noWrap w:val="0"/>
            <w:vAlign w:val="center"/>
          </w:tcPr>
          <w:p w14:paraId="266EB8A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10C3E05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3B57677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363205B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6860FD72">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13</w:t>
            </w:r>
          </w:p>
        </w:tc>
        <w:tc>
          <w:tcPr>
            <w:tcW w:w="769" w:type="dxa"/>
            <w:shd w:val="clear" w:color="auto" w:fill="auto"/>
            <w:noWrap w:val="0"/>
            <w:vAlign w:val="center"/>
          </w:tcPr>
          <w:p w14:paraId="3C1A0663">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13</w:t>
            </w:r>
          </w:p>
        </w:tc>
      </w:tr>
      <w:tr w14:paraId="366F03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602DAEA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0CF01D9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auto"/>
            <w:noWrap w:val="0"/>
            <w:vAlign w:val="center"/>
          </w:tcPr>
          <w:p w14:paraId="20B1A24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w:t>
            </w:r>
          </w:p>
        </w:tc>
        <w:tc>
          <w:tcPr>
            <w:tcW w:w="2141" w:type="dxa"/>
            <w:shd w:val="clear" w:color="auto" w:fill="auto"/>
            <w:noWrap w:val="0"/>
            <w:vAlign w:val="center"/>
          </w:tcPr>
          <w:p w14:paraId="1E6DBAC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2CC28C1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34D445A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259CDB6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62EAA4E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19E2C9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56473BA4">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7CEF6B44">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14:paraId="6F55B5D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完成及时性</w:t>
            </w:r>
          </w:p>
        </w:tc>
        <w:tc>
          <w:tcPr>
            <w:tcW w:w="2141" w:type="dxa"/>
            <w:shd w:val="clear" w:color="auto" w:fill="auto"/>
            <w:noWrap w:val="0"/>
            <w:vAlign w:val="center"/>
          </w:tcPr>
          <w:p w14:paraId="0C74467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164B09F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441822A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2A941C3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8</w:t>
            </w:r>
          </w:p>
        </w:tc>
        <w:tc>
          <w:tcPr>
            <w:tcW w:w="769" w:type="dxa"/>
            <w:shd w:val="clear" w:color="auto" w:fill="auto"/>
            <w:noWrap w:val="0"/>
            <w:vAlign w:val="center"/>
          </w:tcPr>
          <w:p w14:paraId="6D91B59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8</w:t>
            </w:r>
          </w:p>
        </w:tc>
      </w:tr>
      <w:tr w14:paraId="1FFA52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3EFEE317">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484A358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14:paraId="4C9F8C3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成本节约率</w:t>
            </w:r>
          </w:p>
        </w:tc>
        <w:tc>
          <w:tcPr>
            <w:tcW w:w="2141" w:type="dxa"/>
            <w:shd w:val="clear" w:color="auto" w:fill="auto"/>
            <w:noWrap w:val="0"/>
            <w:vAlign w:val="center"/>
          </w:tcPr>
          <w:p w14:paraId="720071F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1CA51CB8">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7B96EF1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23213DE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6E2F541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0DCBC60C">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057128FA">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045AE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7E1B070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439141F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14:paraId="50541AC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经济效益指标</w:t>
            </w:r>
          </w:p>
        </w:tc>
        <w:tc>
          <w:tcPr>
            <w:tcW w:w="2141" w:type="dxa"/>
            <w:shd w:val="clear" w:color="auto" w:fill="auto"/>
            <w:noWrap w:val="0"/>
            <w:vAlign w:val="center"/>
          </w:tcPr>
          <w:p w14:paraId="73DE64F1">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2BD87FA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0B0EFA0B">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c>
          <w:tcPr>
            <w:tcW w:w="769" w:type="dxa"/>
            <w:shd w:val="clear" w:color="auto" w:fill="auto"/>
            <w:noWrap w:val="0"/>
            <w:vAlign w:val="center"/>
          </w:tcPr>
          <w:p w14:paraId="100CB660">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r>
      <w:tr w14:paraId="573966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3E280B30">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0BD3685">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3D118DC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w:t>
            </w:r>
          </w:p>
        </w:tc>
        <w:tc>
          <w:tcPr>
            <w:tcW w:w="2141" w:type="dxa"/>
            <w:shd w:val="clear" w:color="auto" w:fill="auto"/>
            <w:noWrap w:val="0"/>
            <w:vAlign w:val="center"/>
          </w:tcPr>
          <w:p w14:paraId="3E80FA08">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4B65652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13ADD0C5">
            <w:pPr>
              <w:widowControl/>
              <w:spacing w:line="0" w:lineRule="atLeast"/>
              <w:ind w:firstLine="0" w:firstLineChars="0"/>
              <w:jc w:val="center"/>
              <w:rPr>
                <w:rFonts w:hint="eastAsia" w:cs="宋体"/>
                <w:color w:val="auto"/>
                <w:kern w:val="0"/>
                <w:sz w:val="22"/>
                <w:szCs w:val="22"/>
                <w:highlight w:val="none"/>
                <w:lang w:val="en-US" w:eastAsia="zh-CN"/>
              </w:rPr>
            </w:pPr>
          </w:p>
        </w:tc>
        <w:tc>
          <w:tcPr>
            <w:tcW w:w="769" w:type="dxa"/>
            <w:shd w:val="clear" w:color="auto" w:fill="auto"/>
            <w:noWrap w:val="0"/>
            <w:vAlign w:val="center"/>
          </w:tcPr>
          <w:p w14:paraId="453EEE0C">
            <w:pPr>
              <w:widowControl/>
              <w:spacing w:line="0" w:lineRule="atLeast"/>
              <w:ind w:firstLine="0" w:firstLineChars="0"/>
              <w:jc w:val="center"/>
              <w:rPr>
                <w:rFonts w:hint="eastAsia" w:cs="宋体"/>
                <w:color w:val="auto"/>
                <w:kern w:val="0"/>
                <w:sz w:val="22"/>
                <w:szCs w:val="22"/>
                <w:highlight w:val="none"/>
                <w:lang w:val="en-US" w:eastAsia="zh-CN"/>
              </w:rPr>
            </w:pPr>
          </w:p>
        </w:tc>
      </w:tr>
      <w:tr w14:paraId="62D31F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4D64E6CA">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F539173">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67FAE2E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14:paraId="685519C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09131A4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311CDF98">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1372A46C">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513EB0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345E7B22">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4255BC37">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1EF6E673">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1742DB9C">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99.2</w:t>
            </w:r>
          </w:p>
        </w:tc>
      </w:tr>
    </w:tbl>
    <w:p w14:paraId="369150B0">
      <w:pPr>
        <w:spacing w:line="240" w:lineRule="auto"/>
        <w:ind w:firstLine="0" w:firstLineChars="0"/>
        <w:rPr>
          <w:rFonts w:ascii="Times New Roman" w:hAnsi="Times New Roman" w:eastAsia="仿宋_GB2312" w:cs="Times New Roman"/>
          <w:color w:val="auto"/>
          <w:sz w:val="30"/>
          <w:szCs w:val="24"/>
          <w:highlight w:val="none"/>
        </w:rPr>
      </w:pPr>
    </w:p>
    <w:p w14:paraId="5F91F4C6">
      <w:pPr>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A1F059">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AA526F">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AAA526F">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A0333E49"/>
    <w:multiLevelType w:val="singleLevel"/>
    <w:tmpl w:val="A0333E49"/>
    <w:lvl w:ilvl="0" w:tentative="0">
      <w:start w:val="2"/>
      <w:numFmt w:val="decimal"/>
      <w:suff w:val="nothing"/>
      <w:lvlText w:val="（%1）"/>
      <w:lvlJc w:val="left"/>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29A5BB38"/>
    <w:multiLevelType w:val="singleLevel"/>
    <w:tmpl w:val="29A5BB38"/>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3MmI4ODZmMjljZWZhNGFkN2U2N2Y4ODgwYjM5ZGIifQ=="/>
  </w:docVars>
  <w:rsids>
    <w:rsidRoot w:val="68291A1A"/>
    <w:rsid w:val="004B0D73"/>
    <w:rsid w:val="004E2611"/>
    <w:rsid w:val="007D6A04"/>
    <w:rsid w:val="008226D3"/>
    <w:rsid w:val="00BC3A1F"/>
    <w:rsid w:val="00D72607"/>
    <w:rsid w:val="00E23C81"/>
    <w:rsid w:val="00E40880"/>
    <w:rsid w:val="01253350"/>
    <w:rsid w:val="01282E62"/>
    <w:rsid w:val="014029CF"/>
    <w:rsid w:val="01470C4C"/>
    <w:rsid w:val="014D0B1B"/>
    <w:rsid w:val="01F30850"/>
    <w:rsid w:val="02200440"/>
    <w:rsid w:val="02284B43"/>
    <w:rsid w:val="02445A7A"/>
    <w:rsid w:val="02B015E2"/>
    <w:rsid w:val="02DC08FA"/>
    <w:rsid w:val="03073938"/>
    <w:rsid w:val="033B569D"/>
    <w:rsid w:val="03455F4E"/>
    <w:rsid w:val="0348159A"/>
    <w:rsid w:val="03991DF6"/>
    <w:rsid w:val="039C3BA0"/>
    <w:rsid w:val="03A845BB"/>
    <w:rsid w:val="03B24C65"/>
    <w:rsid w:val="03B45AD1"/>
    <w:rsid w:val="03D1158F"/>
    <w:rsid w:val="03D64DF8"/>
    <w:rsid w:val="03F139E0"/>
    <w:rsid w:val="03F16302"/>
    <w:rsid w:val="04CE1F73"/>
    <w:rsid w:val="04D12EE4"/>
    <w:rsid w:val="04D37589"/>
    <w:rsid w:val="04D56E5D"/>
    <w:rsid w:val="04D63993"/>
    <w:rsid w:val="0534627A"/>
    <w:rsid w:val="05B80C59"/>
    <w:rsid w:val="05CF58D5"/>
    <w:rsid w:val="06104908"/>
    <w:rsid w:val="06952D48"/>
    <w:rsid w:val="07155C37"/>
    <w:rsid w:val="072E0AA7"/>
    <w:rsid w:val="07890F4F"/>
    <w:rsid w:val="0858402D"/>
    <w:rsid w:val="08785AF9"/>
    <w:rsid w:val="08892439"/>
    <w:rsid w:val="08DD09D6"/>
    <w:rsid w:val="08EB30F3"/>
    <w:rsid w:val="09237408"/>
    <w:rsid w:val="09371E95"/>
    <w:rsid w:val="09781BD6"/>
    <w:rsid w:val="09811362"/>
    <w:rsid w:val="09F359DF"/>
    <w:rsid w:val="0A575E65"/>
    <w:rsid w:val="0A5A18A6"/>
    <w:rsid w:val="0A7D5FCD"/>
    <w:rsid w:val="0ACA0AB6"/>
    <w:rsid w:val="0B212DFC"/>
    <w:rsid w:val="0BA15CEB"/>
    <w:rsid w:val="0C032502"/>
    <w:rsid w:val="0C1C7A68"/>
    <w:rsid w:val="0C27698C"/>
    <w:rsid w:val="0C9814B5"/>
    <w:rsid w:val="0CC56FFE"/>
    <w:rsid w:val="0CC9374C"/>
    <w:rsid w:val="0CDB522D"/>
    <w:rsid w:val="0CF77E51"/>
    <w:rsid w:val="0D166265"/>
    <w:rsid w:val="0D4252AC"/>
    <w:rsid w:val="0D4452F3"/>
    <w:rsid w:val="0D906017"/>
    <w:rsid w:val="0D9A0C44"/>
    <w:rsid w:val="0DE87C01"/>
    <w:rsid w:val="0DF2282E"/>
    <w:rsid w:val="0E2624D8"/>
    <w:rsid w:val="0E884F40"/>
    <w:rsid w:val="0F5E5042"/>
    <w:rsid w:val="0FA062BA"/>
    <w:rsid w:val="0FA718CA"/>
    <w:rsid w:val="0FCD3553"/>
    <w:rsid w:val="0FD91E9D"/>
    <w:rsid w:val="0FE95707"/>
    <w:rsid w:val="1010343F"/>
    <w:rsid w:val="10303AE2"/>
    <w:rsid w:val="10510571"/>
    <w:rsid w:val="10787A20"/>
    <w:rsid w:val="108672DE"/>
    <w:rsid w:val="108F6A5A"/>
    <w:rsid w:val="10947BCD"/>
    <w:rsid w:val="10EC685A"/>
    <w:rsid w:val="10F5757C"/>
    <w:rsid w:val="111B209C"/>
    <w:rsid w:val="112A22DF"/>
    <w:rsid w:val="117D68B3"/>
    <w:rsid w:val="11943BFC"/>
    <w:rsid w:val="11FA6155"/>
    <w:rsid w:val="12192A7F"/>
    <w:rsid w:val="122F22A3"/>
    <w:rsid w:val="124949E7"/>
    <w:rsid w:val="126C6E25"/>
    <w:rsid w:val="127B54E8"/>
    <w:rsid w:val="12CF0947"/>
    <w:rsid w:val="12D1335A"/>
    <w:rsid w:val="12D270D2"/>
    <w:rsid w:val="12F1313F"/>
    <w:rsid w:val="134933C7"/>
    <w:rsid w:val="135D4BEE"/>
    <w:rsid w:val="136C678E"/>
    <w:rsid w:val="137433EE"/>
    <w:rsid w:val="13884FC1"/>
    <w:rsid w:val="13CB5D21"/>
    <w:rsid w:val="13EA459B"/>
    <w:rsid w:val="13EB2FF5"/>
    <w:rsid w:val="14123C2A"/>
    <w:rsid w:val="1441006B"/>
    <w:rsid w:val="14860174"/>
    <w:rsid w:val="14C91E0F"/>
    <w:rsid w:val="14FC0436"/>
    <w:rsid w:val="152534E9"/>
    <w:rsid w:val="152C2AC9"/>
    <w:rsid w:val="15853F88"/>
    <w:rsid w:val="15A1784D"/>
    <w:rsid w:val="15A46B04"/>
    <w:rsid w:val="15E52C78"/>
    <w:rsid w:val="15ED3873"/>
    <w:rsid w:val="162639BD"/>
    <w:rsid w:val="165825BC"/>
    <w:rsid w:val="165F0C7D"/>
    <w:rsid w:val="166E7112"/>
    <w:rsid w:val="16A86180"/>
    <w:rsid w:val="16BC5D73"/>
    <w:rsid w:val="16C84A74"/>
    <w:rsid w:val="170830C2"/>
    <w:rsid w:val="176F36D7"/>
    <w:rsid w:val="17824C23"/>
    <w:rsid w:val="1795226D"/>
    <w:rsid w:val="17A76FCB"/>
    <w:rsid w:val="17DB07D7"/>
    <w:rsid w:val="180970F2"/>
    <w:rsid w:val="180E4708"/>
    <w:rsid w:val="18223F93"/>
    <w:rsid w:val="18456B1E"/>
    <w:rsid w:val="1864257A"/>
    <w:rsid w:val="18822A00"/>
    <w:rsid w:val="18B2778A"/>
    <w:rsid w:val="19045B0B"/>
    <w:rsid w:val="194B373A"/>
    <w:rsid w:val="195E6FCA"/>
    <w:rsid w:val="19C5529B"/>
    <w:rsid w:val="1A9B54D6"/>
    <w:rsid w:val="1AE85583"/>
    <w:rsid w:val="1AF35E37"/>
    <w:rsid w:val="1B0C7993"/>
    <w:rsid w:val="1B0F622D"/>
    <w:rsid w:val="1B2D1349"/>
    <w:rsid w:val="1B3E3557"/>
    <w:rsid w:val="1B813443"/>
    <w:rsid w:val="1B99253B"/>
    <w:rsid w:val="1BDE3555"/>
    <w:rsid w:val="1C085913"/>
    <w:rsid w:val="1C0D6A33"/>
    <w:rsid w:val="1C1171C5"/>
    <w:rsid w:val="1C4D12F5"/>
    <w:rsid w:val="1C6F3C17"/>
    <w:rsid w:val="1C7D1E5D"/>
    <w:rsid w:val="1C8E5E18"/>
    <w:rsid w:val="1CD37CCF"/>
    <w:rsid w:val="1D265138"/>
    <w:rsid w:val="1D7B6BCA"/>
    <w:rsid w:val="1DA41A79"/>
    <w:rsid w:val="1DF53469"/>
    <w:rsid w:val="1E241751"/>
    <w:rsid w:val="1E2F24F2"/>
    <w:rsid w:val="1E58492F"/>
    <w:rsid w:val="1E5B6757"/>
    <w:rsid w:val="1ED10AC6"/>
    <w:rsid w:val="1EF83A1C"/>
    <w:rsid w:val="1F3F789D"/>
    <w:rsid w:val="1F4D3D68"/>
    <w:rsid w:val="1F6B7C4E"/>
    <w:rsid w:val="1F86369D"/>
    <w:rsid w:val="1F89225F"/>
    <w:rsid w:val="1F900A1F"/>
    <w:rsid w:val="1FA94D17"/>
    <w:rsid w:val="1FBF278C"/>
    <w:rsid w:val="1FC0575D"/>
    <w:rsid w:val="20370574"/>
    <w:rsid w:val="20452C91"/>
    <w:rsid w:val="206132C7"/>
    <w:rsid w:val="209B4FA7"/>
    <w:rsid w:val="20C462AC"/>
    <w:rsid w:val="210668C5"/>
    <w:rsid w:val="21B00C1D"/>
    <w:rsid w:val="220B3A67"/>
    <w:rsid w:val="221F0F05"/>
    <w:rsid w:val="226F2247"/>
    <w:rsid w:val="22CC58EC"/>
    <w:rsid w:val="23031BEB"/>
    <w:rsid w:val="236B0C61"/>
    <w:rsid w:val="23700025"/>
    <w:rsid w:val="23917691"/>
    <w:rsid w:val="23983A20"/>
    <w:rsid w:val="23F23130"/>
    <w:rsid w:val="240D62E5"/>
    <w:rsid w:val="24174945"/>
    <w:rsid w:val="244D65B8"/>
    <w:rsid w:val="245E1E24"/>
    <w:rsid w:val="24653902"/>
    <w:rsid w:val="250F1AC0"/>
    <w:rsid w:val="251470D6"/>
    <w:rsid w:val="25184E18"/>
    <w:rsid w:val="25421E95"/>
    <w:rsid w:val="25AD5E5D"/>
    <w:rsid w:val="265E685B"/>
    <w:rsid w:val="26962E44"/>
    <w:rsid w:val="26C64244"/>
    <w:rsid w:val="270F224B"/>
    <w:rsid w:val="2732478D"/>
    <w:rsid w:val="2765234A"/>
    <w:rsid w:val="27661469"/>
    <w:rsid w:val="277D0F63"/>
    <w:rsid w:val="27900EAD"/>
    <w:rsid w:val="279462AC"/>
    <w:rsid w:val="279B538A"/>
    <w:rsid w:val="280A09C1"/>
    <w:rsid w:val="28341F69"/>
    <w:rsid w:val="28377363"/>
    <w:rsid w:val="286F545C"/>
    <w:rsid w:val="28C36E49"/>
    <w:rsid w:val="290A5002"/>
    <w:rsid w:val="29314FBC"/>
    <w:rsid w:val="29714AF7"/>
    <w:rsid w:val="29A70519"/>
    <w:rsid w:val="29C412F1"/>
    <w:rsid w:val="29F714A0"/>
    <w:rsid w:val="29FF65A7"/>
    <w:rsid w:val="2A0C65CE"/>
    <w:rsid w:val="2A297180"/>
    <w:rsid w:val="2A5F7045"/>
    <w:rsid w:val="2AD74E2E"/>
    <w:rsid w:val="2AD96DF8"/>
    <w:rsid w:val="2AFA28CA"/>
    <w:rsid w:val="2B54647E"/>
    <w:rsid w:val="2B5E72FD"/>
    <w:rsid w:val="2B7153EE"/>
    <w:rsid w:val="2B935E6C"/>
    <w:rsid w:val="2BA80578"/>
    <w:rsid w:val="2BC058C2"/>
    <w:rsid w:val="2BC71BD7"/>
    <w:rsid w:val="2C024B86"/>
    <w:rsid w:val="2C131E96"/>
    <w:rsid w:val="2C4958B7"/>
    <w:rsid w:val="2C631659"/>
    <w:rsid w:val="2C6607BC"/>
    <w:rsid w:val="2C927671"/>
    <w:rsid w:val="2CB216AE"/>
    <w:rsid w:val="2CFA3055"/>
    <w:rsid w:val="2D137721"/>
    <w:rsid w:val="2D3863B8"/>
    <w:rsid w:val="2D7C5CD6"/>
    <w:rsid w:val="2DA3288D"/>
    <w:rsid w:val="2DD83397"/>
    <w:rsid w:val="2DE57862"/>
    <w:rsid w:val="2E162111"/>
    <w:rsid w:val="2E285B38"/>
    <w:rsid w:val="2E483E7E"/>
    <w:rsid w:val="2E690493"/>
    <w:rsid w:val="2E8D18BB"/>
    <w:rsid w:val="2E9279E9"/>
    <w:rsid w:val="2E9854BD"/>
    <w:rsid w:val="2EC043F5"/>
    <w:rsid w:val="2ED26038"/>
    <w:rsid w:val="2EDC122E"/>
    <w:rsid w:val="2F0D407F"/>
    <w:rsid w:val="2F1C3757"/>
    <w:rsid w:val="2F454B19"/>
    <w:rsid w:val="2FC260AC"/>
    <w:rsid w:val="300C7328"/>
    <w:rsid w:val="306453B6"/>
    <w:rsid w:val="30980BBB"/>
    <w:rsid w:val="30C96FC7"/>
    <w:rsid w:val="30EC0F07"/>
    <w:rsid w:val="310224D9"/>
    <w:rsid w:val="31293F09"/>
    <w:rsid w:val="31321010"/>
    <w:rsid w:val="315E1E05"/>
    <w:rsid w:val="31A041CB"/>
    <w:rsid w:val="31B4621C"/>
    <w:rsid w:val="31D64091"/>
    <w:rsid w:val="31E3230A"/>
    <w:rsid w:val="320346B4"/>
    <w:rsid w:val="32075FF9"/>
    <w:rsid w:val="32087FC3"/>
    <w:rsid w:val="324E00CB"/>
    <w:rsid w:val="32747406"/>
    <w:rsid w:val="330957E0"/>
    <w:rsid w:val="33125600"/>
    <w:rsid w:val="33356F64"/>
    <w:rsid w:val="333F17C2"/>
    <w:rsid w:val="33437504"/>
    <w:rsid w:val="33437E6D"/>
    <w:rsid w:val="33944516"/>
    <w:rsid w:val="33D95F3C"/>
    <w:rsid w:val="33DB773D"/>
    <w:rsid w:val="33F95E15"/>
    <w:rsid w:val="340A0022"/>
    <w:rsid w:val="345968B4"/>
    <w:rsid w:val="3491429F"/>
    <w:rsid w:val="349D0E96"/>
    <w:rsid w:val="34A264AC"/>
    <w:rsid w:val="34B62907"/>
    <w:rsid w:val="34CB7B3B"/>
    <w:rsid w:val="34D33E29"/>
    <w:rsid w:val="360F1920"/>
    <w:rsid w:val="36483084"/>
    <w:rsid w:val="366B28CE"/>
    <w:rsid w:val="36983186"/>
    <w:rsid w:val="36A4475E"/>
    <w:rsid w:val="36A91D74"/>
    <w:rsid w:val="36BD137C"/>
    <w:rsid w:val="36CF7301"/>
    <w:rsid w:val="373D27A4"/>
    <w:rsid w:val="377D6D5D"/>
    <w:rsid w:val="378B147A"/>
    <w:rsid w:val="379E73FF"/>
    <w:rsid w:val="37CD55EE"/>
    <w:rsid w:val="382B0567"/>
    <w:rsid w:val="385D37E7"/>
    <w:rsid w:val="3862463B"/>
    <w:rsid w:val="38782EDD"/>
    <w:rsid w:val="38934A8A"/>
    <w:rsid w:val="38BE13DB"/>
    <w:rsid w:val="38C8225A"/>
    <w:rsid w:val="38C84008"/>
    <w:rsid w:val="38D46E50"/>
    <w:rsid w:val="38DE1A7D"/>
    <w:rsid w:val="38FB43DD"/>
    <w:rsid w:val="394915ED"/>
    <w:rsid w:val="397C3770"/>
    <w:rsid w:val="39C779F1"/>
    <w:rsid w:val="3A175247"/>
    <w:rsid w:val="3A7A7584"/>
    <w:rsid w:val="3AC72CFB"/>
    <w:rsid w:val="3B00687A"/>
    <w:rsid w:val="3B42664A"/>
    <w:rsid w:val="3B47390A"/>
    <w:rsid w:val="3BF13876"/>
    <w:rsid w:val="3C1A7270"/>
    <w:rsid w:val="3C261771"/>
    <w:rsid w:val="3C5207B8"/>
    <w:rsid w:val="3CA134EE"/>
    <w:rsid w:val="3CD64F45"/>
    <w:rsid w:val="3D121CF5"/>
    <w:rsid w:val="3D424389"/>
    <w:rsid w:val="3D7D7AB7"/>
    <w:rsid w:val="3D836A4E"/>
    <w:rsid w:val="3DED2CD7"/>
    <w:rsid w:val="3DFA4C63"/>
    <w:rsid w:val="3DFD7742"/>
    <w:rsid w:val="3E496C8B"/>
    <w:rsid w:val="3E5C14D9"/>
    <w:rsid w:val="3EA37E97"/>
    <w:rsid w:val="3EB94B1E"/>
    <w:rsid w:val="3ED71449"/>
    <w:rsid w:val="3ED96F6F"/>
    <w:rsid w:val="3F056677"/>
    <w:rsid w:val="3F965633"/>
    <w:rsid w:val="3FA255B3"/>
    <w:rsid w:val="3FBE0BC5"/>
    <w:rsid w:val="3FD91CE7"/>
    <w:rsid w:val="4000052B"/>
    <w:rsid w:val="40012B51"/>
    <w:rsid w:val="401F09B1"/>
    <w:rsid w:val="4048103A"/>
    <w:rsid w:val="40736643"/>
    <w:rsid w:val="40956EC5"/>
    <w:rsid w:val="409D4500"/>
    <w:rsid w:val="40AE5488"/>
    <w:rsid w:val="40BA4B7E"/>
    <w:rsid w:val="40C652D1"/>
    <w:rsid w:val="40D24A7A"/>
    <w:rsid w:val="41281798"/>
    <w:rsid w:val="414B60ED"/>
    <w:rsid w:val="417C1E80"/>
    <w:rsid w:val="418036D2"/>
    <w:rsid w:val="41B415CD"/>
    <w:rsid w:val="42072045"/>
    <w:rsid w:val="42621029"/>
    <w:rsid w:val="4285541F"/>
    <w:rsid w:val="42E371E5"/>
    <w:rsid w:val="43076D23"/>
    <w:rsid w:val="43244531"/>
    <w:rsid w:val="435241E2"/>
    <w:rsid w:val="437870FF"/>
    <w:rsid w:val="43975C51"/>
    <w:rsid w:val="439E3FA7"/>
    <w:rsid w:val="43C024AB"/>
    <w:rsid w:val="43EC32A0"/>
    <w:rsid w:val="44B32266"/>
    <w:rsid w:val="44D2693A"/>
    <w:rsid w:val="44FC64F4"/>
    <w:rsid w:val="45723C79"/>
    <w:rsid w:val="45BC4EF4"/>
    <w:rsid w:val="45C75D73"/>
    <w:rsid w:val="46396545"/>
    <w:rsid w:val="467F4585"/>
    <w:rsid w:val="468A6DA0"/>
    <w:rsid w:val="469519CD"/>
    <w:rsid w:val="46DD3374"/>
    <w:rsid w:val="46E2098A"/>
    <w:rsid w:val="470628CB"/>
    <w:rsid w:val="474B5445"/>
    <w:rsid w:val="47555BD4"/>
    <w:rsid w:val="4766336A"/>
    <w:rsid w:val="478A7053"/>
    <w:rsid w:val="47A3636C"/>
    <w:rsid w:val="47E96399"/>
    <w:rsid w:val="481C1C7A"/>
    <w:rsid w:val="48696F5E"/>
    <w:rsid w:val="48945CB4"/>
    <w:rsid w:val="48BD345D"/>
    <w:rsid w:val="48E12B50"/>
    <w:rsid w:val="492B6619"/>
    <w:rsid w:val="49552EA8"/>
    <w:rsid w:val="497C50C6"/>
    <w:rsid w:val="499441BE"/>
    <w:rsid w:val="499A6C1C"/>
    <w:rsid w:val="49A60395"/>
    <w:rsid w:val="49B44860"/>
    <w:rsid w:val="4A064990"/>
    <w:rsid w:val="4A1E0464"/>
    <w:rsid w:val="4A2138F0"/>
    <w:rsid w:val="4A5120AF"/>
    <w:rsid w:val="4A583887"/>
    <w:rsid w:val="4A745D9D"/>
    <w:rsid w:val="4A8741CA"/>
    <w:rsid w:val="4A8F2BD7"/>
    <w:rsid w:val="4AB4263E"/>
    <w:rsid w:val="4AC7411F"/>
    <w:rsid w:val="4AF15640"/>
    <w:rsid w:val="4B520BF6"/>
    <w:rsid w:val="4B773841"/>
    <w:rsid w:val="4B9009B5"/>
    <w:rsid w:val="4B9F6E02"/>
    <w:rsid w:val="4C6E5600"/>
    <w:rsid w:val="4C89637B"/>
    <w:rsid w:val="4CA50490"/>
    <w:rsid w:val="4CA74208"/>
    <w:rsid w:val="4CD82614"/>
    <w:rsid w:val="4D1D271C"/>
    <w:rsid w:val="4D7560B4"/>
    <w:rsid w:val="4D97427D"/>
    <w:rsid w:val="4DE1199C"/>
    <w:rsid w:val="4DE82D2A"/>
    <w:rsid w:val="4E037B64"/>
    <w:rsid w:val="4E3917D8"/>
    <w:rsid w:val="4E6E48A8"/>
    <w:rsid w:val="4EA03605"/>
    <w:rsid w:val="4EDB3AAB"/>
    <w:rsid w:val="4EEC036B"/>
    <w:rsid w:val="4EF92D15"/>
    <w:rsid w:val="4F7D1610"/>
    <w:rsid w:val="4F8031E5"/>
    <w:rsid w:val="4FD95020"/>
    <w:rsid w:val="501D2673"/>
    <w:rsid w:val="50573E5A"/>
    <w:rsid w:val="50591CBD"/>
    <w:rsid w:val="50C80BF1"/>
    <w:rsid w:val="513444D8"/>
    <w:rsid w:val="513D15DF"/>
    <w:rsid w:val="51452242"/>
    <w:rsid w:val="51695F30"/>
    <w:rsid w:val="516A7EFA"/>
    <w:rsid w:val="51852833"/>
    <w:rsid w:val="51A67184"/>
    <w:rsid w:val="51AE428B"/>
    <w:rsid w:val="51BC0756"/>
    <w:rsid w:val="51C15D6C"/>
    <w:rsid w:val="51DB1BB9"/>
    <w:rsid w:val="521C7446"/>
    <w:rsid w:val="526E7576"/>
    <w:rsid w:val="5292175C"/>
    <w:rsid w:val="52C673B2"/>
    <w:rsid w:val="52DB2E5E"/>
    <w:rsid w:val="52EA3B7F"/>
    <w:rsid w:val="52F11AC8"/>
    <w:rsid w:val="5314255F"/>
    <w:rsid w:val="53202F66"/>
    <w:rsid w:val="533662E6"/>
    <w:rsid w:val="534704F3"/>
    <w:rsid w:val="534F49D9"/>
    <w:rsid w:val="53555F0F"/>
    <w:rsid w:val="535D23D5"/>
    <w:rsid w:val="536C61AC"/>
    <w:rsid w:val="53723CD6"/>
    <w:rsid w:val="538D69F3"/>
    <w:rsid w:val="53963229"/>
    <w:rsid w:val="53CB1124"/>
    <w:rsid w:val="54324CFF"/>
    <w:rsid w:val="54B24092"/>
    <w:rsid w:val="5545011C"/>
    <w:rsid w:val="554A6079"/>
    <w:rsid w:val="555D5DAC"/>
    <w:rsid w:val="561843C9"/>
    <w:rsid w:val="56332621"/>
    <w:rsid w:val="56381F7E"/>
    <w:rsid w:val="568451E8"/>
    <w:rsid w:val="56982E14"/>
    <w:rsid w:val="56F4341A"/>
    <w:rsid w:val="572A5116"/>
    <w:rsid w:val="575A7321"/>
    <w:rsid w:val="578F06BB"/>
    <w:rsid w:val="57A316AD"/>
    <w:rsid w:val="57E74053"/>
    <w:rsid w:val="580C3AB9"/>
    <w:rsid w:val="58134E48"/>
    <w:rsid w:val="583C7AE0"/>
    <w:rsid w:val="58405511"/>
    <w:rsid w:val="584274DB"/>
    <w:rsid w:val="585316E8"/>
    <w:rsid w:val="586C1E9A"/>
    <w:rsid w:val="586C27AA"/>
    <w:rsid w:val="586E0800"/>
    <w:rsid w:val="58823D7B"/>
    <w:rsid w:val="58FC1D80"/>
    <w:rsid w:val="59103135"/>
    <w:rsid w:val="59162E41"/>
    <w:rsid w:val="59216F96"/>
    <w:rsid w:val="59521812"/>
    <w:rsid w:val="59525DE4"/>
    <w:rsid w:val="596D2336"/>
    <w:rsid w:val="597E4543"/>
    <w:rsid w:val="59886BA2"/>
    <w:rsid w:val="598C4145"/>
    <w:rsid w:val="59957D1B"/>
    <w:rsid w:val="59A73760"/>
    <w:rsid w:val="59C50460"/>
    <w:rsid w:val="59D4294E"/>
    <w:rsid w:val="59E56370"/>
    <w:rsid w:val="5A90452E"/>
    <w:rsid w:val="5ABF12B7"/>
    <w:rsid w:val="5AEE56F8"/>
    <w:rsid w:val="5AF947C9"/>
    <w:rsid w:val="5B01367D"/>
    <w:rsid w:val="5B2867BC"/>
    <w:rsid w:val="5B634312"/>
    <w:rsid w:val="5B8D3163"/>
    <w:rsid w:val="5B9462A0"/>
    <w:rsid w:val="5B9D2CCD"/>
    <w:rsid w:val="5B9E71EA"/>
    <w:rsid w:val="5BEA7974"/>
    <w:rsid w:val="5BF925A6"/>
    <w:rsid w:val="5C423F4D"/>
    <w:rsid w:val="5C9127DF"/>
    <w:rsid w:val="5CBF7984"/>
    <w:rsid w:val="5D4810F0"/>
    <w:rsid w:val="5D4C2EF3"/>
    <w:rsid w:val="5D647EF4"/>
    <w:rsid w:val="5D682F18"/>
    <w:rsid w:val="5DDB01B6"/>
    <w:rsid w:val="5E226FBC"/>
    <w:rsid w:val="5E2356B9"/>
    <w:rsid w:val="5E3873B6"/>
    <w:rsid w:val="5E602469"/>
    <w:rsid w:val="5EB84053"/>
    <w:rsid w:val="5EC95DF3"/>
    <w:rsid w:val="5EEA5E68"/>
    <w:rsid w:val="5EF05EE3"/>
    <w:rsid w:val="5F047298"/>
    <w:rsid w:val="5F1871E8"/>
    <w:rsid w:val="5FC058B5"/>
    <w:rsid w:val="5FE72BD2"/>
    <w:rsid w:val="60120613"/>
    <w:rsid w:val="60575AEE"/>
    <w:rsid w:val="60591866"/>
    <w:rsid w:val="60673F83"/>
    <w:rsid w:val="607246D5"/>
    <w:rsid w:val="609808DC"/>
    <w:rsid w:val="60A56859"/>
    <w:rsid w:val="611D0AE5"/>
    <w:rsid w:val="611F4533"/>
    <w:rsid w:val="612400C6"/>
    <w:rsid w:val="61363955"/>
    <w:rsid w:val="61720E31"/>
    <w:rsid w:val="617248B3"/>
    <w:rsid w:val="618D5292"/>
    <w:rsid w:val="622A170C"/>
    <w:rsid w:val="622B272B"/>
    <w:rsid w:val="622B33AF"/>
    <w:rsid w:val="622E78FA"/>
    <w:rsid w:val="625A7327"/>
    <w:rsid w:val="626369CC"/>
    <w:rsid w:val="62972B7A"/>
    <w:rsid w:val="62CA25A7"/>
    <w:rsid w:val="62D60F4C"/>
    <w:rsid w:val="62F022F5"/>
    <w:rsid w:val="63100901"/>
    <w:rsid w:val="63163A3E"/>
    <w:rsid w:val="63343F70"/>
    <w:rsid w:val="63520F1A"/>
    <w:rsid w:val="636D5D54"/>
    <w:rsid w:val="63A744C1"/>
    <w:rsid w:val="63F052D0"/>
    <w:rsid w:val="64296E1C"/>
    <w:rsid w:val="643B19AE"/>
    <w:rsid w:val="645C1924"/>
    <w:rsid w:val="649E64A2"/>
    <w:rsid w:val="64BB489D"/>
    <w:rsid w:val="65044496"/>
    <w:rsid w:val="654A0B9D"/>
    <w:rsid w:val="65CE23AE"/>
    <w:rsid w:val="65E5270A"/>
    <w:rsid w:val="66187ACD"/>
    <w:rsid w:val="663D3C54"/>
    <w:rsid w:val="667440DC"/>
    <w:rsid w:val="66862C89"/>
    <w:rsid w:val="668B146C"/>
    <w:rsid w:val="6692787F"/>
    <w:rsid w:val="66BB486D"/>
    <w:rsid w:val="66D659BE"/>
    <w:rsid w:val="66FC2F4B"/>
    <w:rsid w:val="67394C7D"/>
    <w:rsid w:val="67A2130F"/>
    <w:rsid w:val="67C27CF0"/>
    <w:rsid w:val="67DD2D7C"/>
    <w:rsid w:val="68126B38"/>
    <w:rsid w:val="68291A1A"/>
    <w:rsid w:val="68352BB8"/>
    <w:rsid w:val="68572B2F"/>
    <w:rsid w:val="68914293"/>
    <w:rsid w:val="68994EF5"/>
    <w:rsid w:val="68F24605"/>
    <w:rsid w:val="691B1594"/>
    <w:rsid w:val="69342E70"/>
    <w:rsid w:val="693A016B"/>
    <w:rsid w:val="69472BA3"/>
    <w:rsid w:val="694F3806"/>
    <w:rsid w:val="698C6909"/>
    <w:rsid w:val="69A51678"/>
    <w:rsid w:val="6A17429C"/>
    <w:rsid w:val="6A567EA3"/>
    <w:rsid w:val="6AAB0F10"/>
    <w:rsid w:val="6B4B4368"/>
    <w:rsid w:val="6B5275DD"/>
    <w:rsid w:val="6B79100E"/>
    <w:rsid w:val="6B99331C"/>
    <w:rsid w:val="6BB12556"/>
    <w:rsid w:val="6BD80EE5"/>
    <w:rsid w:val="6BE272A9"/>
    <w:rsid w:val="6C621AA2"/>
    <w:rsid w:val="6C844C00"/>
    <w:rsid w:val="6CBA48BC"/>
    <w:rsid w:val="6D036DE1"/>
    <w:rsid w:val="6D6F45CA"/>
    <w:rsid w:val="6DDD5884"/>
    <w:rsid w:val="6DE210EC"/>
    <w:rsid w:val="6E10212C"/>
    <w:rsid w:val="6E43561A"/>
    <w:rsid w:val="6E557973"/>
    <w:rsid w:val="6E9568DB"/>
    <w:rsid w:val="6EB72579"/>
    <w:rsid w:val="6F0D6C22"/>
    <w:rsid w:val="6F2E3EBD"/>
    <w:rsid w:val="6F307C36"/>
    <w:rsid w:val="6F47657F"/>
    <w:rsid w:val="6F6049BF"/>
    <w:rsid w:val="6F875D67"/>
    <w:rsid w:val="6F8A1A3C"/>
    <w:rsid w:val="6FA128E1"/>
    <w:rsid w:val="6FAF23D9"/>
    <w:rsid w:val="70384FF4"/>
    <w:rsid w:val="705B5186"/>
    <w:rsid w:val="70635CF6"/>
    <w:rsid w:val="70670707"/>
    <w:rsid w:val="70741DA4"/>
    <w:rsid w:val="70980188"/>
    <w:rsid w:val="709A3F00"/>
    <w:rsid w:val="709D3531"/>
    <w:rsid w:val="70DB5DA0"/>
    <w:rsid w:val="70F27898"/>
    <w:rsid w:val="71125059"/>
    <w:rsid w:val="712612F0"/>
    <w:rsid w:val="716A4FBF"/>
    <w:rsid w:val="71A4709A"/>
    <w:rsid w:val="720E3691"/>
    <w:rsid w:val="72473C14"/>
    <w:rsid w:val="724E244C"/>
    <w:rsid w:val="72A42E14"/>
    <w:rsid w:val="72A852AD"/>
    <w:rsid w:val="72DA6946"/>
    <w:rsid w:val="72F35B4A"/>
    <w:rsid w:val="732301DD"/>
    <w:rsid w:val="732764B3"/>
    <w:rsid w:val="735F7AEC"/>
    <w:rsid w:val="737E18B7"/>
    <w:rsid w:val="73F12089"/>
    <w:rsid w:val="74026044"/>
    <w:rsid w:val="74393A30"/>
    <w:rsid w:val="743C0E2B"/>
    <w:rsid w:val="74746410"/>
    <w:rsid w:val="75B95B1A"/>
    <w:rsid w:val="75D94B83"/>
    <w:rsid w:val="75E5007C"/>
    <w:rsid w:val="75E659CC"/>
    <w:rsid w:val="75EA4FE2"/>
    <w:rsid w:val="76191423"/>
    <w:rsid w:val="76553877"/>
    <w:rsid w:val="76946CFC"/>
    <w:rsid w:val="775F37AE"/>
    <w:rsid w:val="775F555C"/>
    <w:rsid w:val="77813724"/>
    <w:rsid w:val="77861774"/>
    <w:rsid w:val="77FC2DAB"/>
    <w:rsid w:val="783A241E"/>
    <w:rsid w:val="78E11F34"/>
    <w:rsid w:val="78F31435"/>
    <w:rsid w:val="79300B45"/>
    <w:rsid w:val="794C03EA"/>
    <w:rsid w:val="794D3E18"/>
    <w:rsid w:val="795135CA"/>
    <w:rsid w:val="79607369"/>
    <w:rsid w:val="798412AA"/>
    <w:rsid w:val="799A0ACD"/>
    <w:rsid w:val="79BF0534"/>
    <w:rsid w:val="79F3729A"/>
    <w:rsid w:val="79FA156C"/>
    <w:rsid w:val="7A230AC3"/>
    <w:rsid w:val="7A340F22"/>
    <w:rsid w:val="7A4D3D91"/>
    <w:rsid w:val="7A880722"/>
    <w:rsid w:val="7ACB0498"/>
    <w:rsid w:val="7AD973D3"/>
    <w:rsid w:val="7AED0B4D"/>
    <w:rsid w:val="7B000E04"/>
    <w:rsid w:val="7B5F5B2A"/>
    <w:rsid w:val="7B7610C6"/>
    <w:rsid w:val="7BA23C69"/>
    <w:rsid w:val="7BD04C7A"/>
    <w:rsid w:val="7C1E4487"/>
    <w:rsid w:val="7C215E02"/>
    <w:rsid w:val="7C745605"/>
    <w:rsid w:val="7C7F5DE4"/>
    <w:rsid w:val="7CA67C38"/>
    <w:rsid w:val="7CC83BA3"/>
    <w:rsid w:val="7CF23764"/>
    <w:rsid w:val="7D285992"/>
    <w:rsid w:val="7D4476CE"/>
    <w:rsid w:val="7D5176F5"/>
    <w:rsid w:val="7D6815C0"/>
    <w:rsid w:val="7DF509C8"/>
    <w:rsid w:val="7E797F74"/>
    <w:rsid w:val="7E7E09BD"/>
    <w:rsid w:val="7E9975A5"/>
    <w:rsid w:val="7EC64112"/>
    <w:rsid w:val="7EC65EC0"/>
    <w:rsid w:val="7ED700CE"/>
    <w:rsid w:val="7EDC7492"/>
    <w:rsid w:val="7F141322"/>
    <w:rsid w:val="7F2B413E"/>
    <w:rsid w:val="7F5D17FD"/>
    <w:rsid w:val="7F74591C"/>
    <w:rsid w:val="7F924011"/>
    <w:rsid w:val="7FC52DC2"/>
    <w:rsid w:val="7FF64583"/>
    <w:rsid w:val="7FFF2C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 w:type="paragraph" w:styleId="18">
    <w:name w:val="List Paragraph"/>
    <w:basedOn w:val="1"/>
    <w:autoRedefine/>
    <w:qFormat/>
    <w:uiPriority w:val="99"/>
    <w:pPr>
      <w:spacing w:line="560" w:lineRule="exact"/>
      <w:ind w:firstLine="420"/>
    </w:pPr>
    <w:rPr>
      <w:rFonts w:ascii="仿宋" w:hAnsi="仿宋" w:eastAsia="仿宋"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7768</Words>
  <Characters>8152</Characters>
  <Lines>0</Lines>
  <Paragraphs>0</Paragraphs>
  <TotalTime>0</TotalTime>
  <ScaleCrop>false</ScaleCrop>
  <LinksUpToDate>false</LinksUpToDate>
  <CharactersWithSpaces>8255</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苞米</cp:lastModifiedBy>
  <dcterms:modified xsi:type="dcterms:W3CDTF">2024-10-15T07:52:44Z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1D17C581B7B649E79D2BCA767FA9A472_13</vt:lpwstr>
  </property>
</Properties>
</file>