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4B4A3">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lang w:val="en-US" w:eastAsia="zh-CN"/>
        </w:rPr>
      </w:pPr>
    </w:p>
    <w:p w14:paraId="624001C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498E51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7C4BF5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2023年自治区广播电视节目无线覆盖运行</w:t>
      </w:r>
    </w:p>
    <w:p w14:paraId="655EB25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维护经费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12F28F4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E8A2D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0EE21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BA329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D2C7AA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4C0A9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2044BE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524C793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项目名称：昌州财办教[2022]69号-2023年自治区广播电视节目无线覆盖运行维护经费</w:t>
      </w:r>
    </w:p>
    <w:p w14:paraId="553AA95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阜康市融媒体中心</w:t>
      </w:r>
    </w:p>
    <w:p w14:paraId="0BA3264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阜康市融媒体中心</w:t>
      </w:r>
    </w:p>
    <w:p w14:paraId="76D28531">
      <w:pPr>
        <w:pStyle w:val="11"/>
        <w:outlineLvl w:val="9"/>
        <w:rPr>
          <w:rFonts w:hint="eastAsia" w:ascii="宋体" w:hAnsi="宋体" w:eastAsia="宋体" w:cs="宋体"/>
          <w:b/>
          <w:color w:val="auto"/>
          <w:kern w:val="2"/>
          <w:sz w:val="28"/>
          <w:szCs w:val="28"/>
          <w:highlight w:val="none"/>
          <w:shd w:val="clear" w:color="auto" w:fill="auto"/>
          <w:lang w:val="en-US" w:eastAsia="zh-CN"/>
        </w:rPr>
      </w:pPr>
    </w:p>
    <w:p w14:paraId="2698B69D">
      <w:pPr>
        <w:rPr>
          <w:rFonts w:hint="eastAsia"/>
          <w:color w:val="auto"/>
          <w:highlight w:val="none"/>
          <w:lang w:val="en-US" w:eastAsia="zh-CN"/>
        </w:rPr>
      </w:pPr>
      <w:r>
        <w:rPr>
          <w:rFonts w:hint="eastAsia"/>
          <w:color w:val="auto"/>
          <w:highlight w:val="none"/>
          <w:lang w:val="en-US" w:eastAsia="zh-CN"/>
        </w:rPr>
        <w:br w:type="page"/>
      </w:r>
    </w:p>
    <w:p w14:paraId="3993209E">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592AAF10">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7C0A1A9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EF4FD3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4975F7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77C637C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2E62C7F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168ECA9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490D198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0617CCF0">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3D06C01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2B2695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9F8D2CE">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6830943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067BA1F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735766D0">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377862E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F35A11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4B55CBF">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3B428885">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22</w:t>
          </w:r>
          <w:r>
            <w:rPr>
              <w:color w:val="auto"/>
              <w:sz w:val="28"/>
              <w:szCs w:val="28"/>
              <w:highlight w:val="none"/>
            </w:rPr>
            <w:fldChar w:fldCharType="end"/>
          </w:r>
          <w:r>
            <w:rPr>
              <w:rFonts w:hint="eastAsia"/>
              <w:color w:val="auto"/>
              <w:sz w:val="28"/>
              <w:szCs w:val="28"/>
              <w:highlight w:val="none"/>
              <w:lang w:val="en-US" w:eastAsia="zh-CN"/>
            </w:rPr>
            <w:fldChar w:fldCharType="end"/>
          </w:r>
        </w:p>
        <w:p w14:paraId="4ADDDFF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B4EDAD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5286061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2655209B">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2DF089C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cs="宋体"/>
          <w:b/>
          <w:bCs/>
          <w:color w:val="auto"/>
          <w:sz w:val="36"/>
          <w:szCs w:val="36"/>
          <w:highlight w:val="none"/>
          <w:shd w:val="clear" w:color="auto" w:fill="auto"/>
          <w:lang w:val="en-US" w:eastAsia="zh-CN"/>
        </w:rPr>
      </w:pPr>
      <w:bookmarkStart w:id="1" w:name="_Toc1194"/>
      <w:r>
        <w:rPr>
          <w:rFonts w:hint="eastAsia" w:cs="宋体"/>
          <w:b/>
          <w:bCs/>
          <w:color w:val="auto"/>
          <w:sz w:val="36"/>
          <w:szCs w:val="36"/>
          <w:highlight w:val="none"/>
          <w:shd w:val="clear" w:color="auto" w:fill="auto"/>
          <w:lang w:val="en-US" w:eastAsia="zh-CN"/>
        </w:rPr>
        <w:t>2023年自治区广播电视节目无线覆盖运行</w:t>
      </w:r>
    </w:p>
    <w:p w14:paraId="5D3E383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cs="宋体"/>
          <w:b/>
          <w:bCs/>
          <w:color w:val="auto"/>
          <w:sz w:val="36"/>
          <w:szCs w:val="36"/>
          <w:highlight w:val="none"/>
          <w:shd w:val="clear" w:color="auto" w:fill="auto"/>
          <w:lang w:val="en-US" w:eastAsia="zh-CN"/>
        </w:rPr>
        <w:t>维护经费项目</w:t>
      </w:r>
      <w:r>
        <w:rPr>
          <w:rFonts w:hint="eastAsia" w:ascii="宋体" w:hAnsi="宋体" w:eastAsia="宋体" w:cs="宋体"/>
          <w:b/>
          <w:bCs/>
          <w:color w:val="auto"/>
          <w:sz w:val="36"/>
          <w:szCs w:val="36"/>
          <w:highlight w:val="none"/>
          <w:shd w:val="clear" w:color="auto" w:fill="auto"/>
        </w:rPr>
        <w:t>支出绩效评价报告</w:t>
      </w:r>
      <w:bookmarkEnd w:id="1"/>
    </w:p>
    <w:p w14:paraId="3FBCB19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179D82BF">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5146E37E">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4A8D62A6">
      <w:pPr>
        <w:bidi w:val="0"/>
        <w:rPr>
          <w:rFonts w:hint="default"/>
          <w:color w:val="auto"/>
          <w:highlight w:val="none"/>
          <w:lang w:val="en-US" w:eastAsia="zh-CN"/>
        </w:rPr>
      </w:pPr>
      <w:r>
        <w:rPr>
          <w:rFonts w:hint="eastAsia"/>
          <w:color w:val="auto"/>
          <w:highlight w:val="none"/>
          <w:lang w:val="en-US" w:eastAsia="zh-CN"/>
        </w:rPr>
        <w:t>根据</w:t>
      </w:r>
      <w:r>
        <w:rPr>
          <w:rFonts w:hint="eastAsia"/>
          <w:color w:val="auto"/>
          <w:highlight w:val="none"/>
        </w:rPr>
        <w:t>昌州财教[2022]69号</w:t>
      </w:r>
      <w:r>
        <w:rPr>
          <w:rFonts w:hint="eastAsia"/>
          <w:color w:val="auto"/>
          <w:highlight w:val="none"/>
          <w:lang w:eastAsia="zh-CN"/>
        </w:rPr>
        <w:t>《</w:t>
      </w:r>
      <w:r>
        <w:rPr>
          <w:rFonts w:hint="eastAsia"/>
          <w:color w:val="auto"/>
          <w:highlight w:val="none"/>
          <w:lang w:val="en-US" w:eastAsia="zh-CN"/>
        </w:rPr>
        <w:t>关于提前下达</w:t>
      </w:r>
      <w:r>
        <w:rPr>
          <w:rFonts w:hint="eastAsia"/>
          <w:color w:val="auto"/>
          <w:highlight w:val="none"/>
        </w:rPr>
        <w:t>2023年自治区广播电视节目无线覆盖运行维护经费</w:t>
      </w:r>
      <w:r>
        <w:rPr>
          <w:rFonts w:hint="eastAsia"/>
          <w:color w:val="auto"/>
          <w:highlight w:val="none"/>
          <w:lang w:val="en-US" w:eastAsia="zh-CN"/>
        </w:rPr>
        <w:t>预算的通知》文件精神，为了使广大农村各族群众及时收听看到中央和自治区的广播节目需求，确保自治区无线覆盖工程配备的转播自治区节目的调频发射机正常运转，从而巩固自治区广播电视无线覆盖工程实施效果，实现各发射台站按规定完整转播好自治区广播节目，做到“满功率、慢调幅度、满时间”安全播出。</w:t>
      </w:r>
    </w:p>
    <w:p w14:paraId="0B82CA6E">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5EC7B3C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color w:val="auto"/>
          <w:highlight w:val="none"/>
          <w:shd w:val="clear" w:color="auto" w:fill="auto"/>
          <w:lang w:val="en-US" w:eastAsia="zh-CN"/>
        </w:rPr>
        <w:t>主要内容：</w:t>
      </w:r>
      <w:r>
        <w:rPr>
          <w:rFonts w:hint="eastAsia" w:ascii="宋体" w:hAnsi="宋体" w:eastAsia="宋体" w:cs="宋体"/>
          <w:b w:val="0"/>
          <w:bCs w:val="0"/>
          <w:color w:val="auto"/>
          <w:highlight w:val="none"/>
          <w:shd w:val="clear" w:color="auto" w:fill="auto"/>
          <w:lang w:val="en-US" w:eastAsia="zh-CN"/>
        </w:rPr>
        <w:t>2023年自治区广播电视节目无线覆盖运行维护经费项目预算安排21万元，其中财政资金21万元，其他资金0万元，2023年实际收到预算资金21万元。</w:t>
      </w:r>
      <w:bookmarkEnd w:id="6"/>
    </w:p>
    <w:p w14:paraId="05070AB9">
      <w:pPr>
        <w:pStyle w:val="2"/>
        <w:rPr>
          <w:rFonts w:hint="default" w:ascii="宋体" w:hAnsi="宋体" w:eastAsia="宋体" w:cs="宋体"/>
          <w:color w:val="auto"/>
          <w:sz w:val="28"/>
          <w:szCs w:val="28"/>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w:t>
      </w:r>
      <w:r>
        <w:rPr>
          <w:rFonts w:hint="eastAsia" w:cs="宋体"/>
          <w:color w:val="auto"/>
          <w:sz w:val="28"/>
          <w:szCs w:val="28"/>
          <w:highlight w:val="none"/>
          <w:shd w:val="clear" w:color="auto" w:fill="auto"/>
          <w:lang w:val="en-US" w:eastAsia="zh-CN"/>
        </w:rPr>
        <w:t>本项目根据</w:t>
      </w:r>
      <w:r>
        <w:rPr>
          <w:rFonts w:hint="eastAsia"/>
          <w:color w:val="auto"/>
          <w:highlight w:val="none"/>
          <w:lang w:val="en-US" w:eastAsia="zh-CN"/>
        </w:rPr>
        <w:t>新财教[2022]172号文《关于提前下达2023年广播电视节目无线覆盖运行维护经费预算的通知》及昌州财教[2022]69号文《关于提前下达2023年广播电视节目无线覆盖运行维护经费预算的通知》，经阜康市融媒体中心三重一大会议，确定了项目领导小组，明确了责任分工，组长为田峰，副组长为张晶，项目</w:t>
      </w:r>
      <w:r>
        <w:rPr>
          <w:rFonts w:hint="eastAsia" w:cs="宋体"/>
          <w:color w:val="auto"/>
          <w:sz w:val="28"/>
          <w:szCs w:val="28"/>
          <w:highlight w:val="none"/>
          <w:shd w:val="clear" w:color="auto" w:fill="auto"/>
          <w:lang w:val="en-US" w:eastAsia="zh-CN"/>
        </w:rPr>
        <w:t>负责人为文广，组员为曾向军，邢远超，其中文广负责监管工作，邢远超负责项目档案资料，单位出纳负责资金支付工作。本项目主要完成了发射铁塔检测费用、机房维修维护备品备件采购，</w:t>
      </w:r>
      <w:r>
        <w:rPr>
          <w:rFonts w:hint="eastAsia" w:ascii="仿宋_GB2312" w:hAnsi="Times New Roman" w:cs="Times New Roman"/>
          <w:color w:val="auto"/>
          <w:sz w:val="28"/>
          <w:szCs w:val="28"/>
          <w:highlight w:val="none"/>
          <w:lang w:val="en-US" w:eastAsia="zh-CN"/>
        </w:rPr>
        <w:t>保障无线数字化覆盖发射机房正常运行的电费等方面。</w:t>
      </w:r>
    </w:p>
    <w:p w14:paraId="41936FC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14:paraId="377A58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053EC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rPr>
        <w:t>2023年自治区广播电视节目无线覆盖运行维护经费</w:t>
      </w:r>
      <w:r>
        <w:rPr>
          <w:rFonts w:hint="eastAsia"/>
          <w:color w:val="auto"/>
          <w:highlight w:val="none"/>
          <w:lang w:val="en-US" w:eastAsia="zh-CN"/>
        </w:rPr>
        <w:t>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21</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金21</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21</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A1A7F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FB1BF2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w:t>
      </w:r>
      <w:r>
        <w:rPr>
          <w:rFonts w:hint="eastAsia"/>
          <w:color w:val="auto"/>
          <w:highlight w:val="none"/>
        </w:rPr>
        <w:t>2023年自治区广播电视节目无线覆盖运行维护经费</w:t>
      </w:r>
      <w:r>
        <w:rPr>
          <w:rFonts w:hint="eastAsia"/>
          <w:color w:val="auto"/>
          <w:highlight w:val="none"/>
          <w:lang w:val="en-US" w:eastAsia="zh-CN"/>
        </w:rPr>
        <w:t>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20.99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99.95</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0.01</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sz w:val="28"/>
          <w:szCs w:val="28"/>
          <w:highlight w:val="none"/>
          <w:shd w:val="clear" w:color="auto" w:fill="auto"/>
          <w:lang w:val="en-US" w:eastAsia="zh-CN"/>
        </w:rPr>
        <w:t>主要用于发射铁塔检测费用、机房维修维护备品备件采购，</w:t>
      </w:r>
      <w:r>
        <w:rPr>
          <w:rFonts w:hint="eastAsia" w:ascii="仿宋_GB2312" w:hAnsi="Times New Roman" w:cs="Times New Roman"/>
          <w:color w:val="auto"/>
          <w:sz w:val="28"/>
          <w:szCs w:val="28"/>
          <w:highlight w:val="none"/>
          <w:lang w:val="en-US" w:eastAsia="zh-CN"/>
        </w:rPr>
        <w:t>保障无线数字化覆盖发射机房正常运行的电费等方面。</w:t>
      </w:r>
    </w:p>
    <w:p w14:paraId="3D7CB4DE">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54C30F6C">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7C9FE322">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olor w:val="auto"/>
          <w:highlight w:val="none"/>
        </w:rPr>
        <w:t>2023年自治区广播电视节目无线覆盖运行维护经费</w:t>
      </w:r>
      <w:r>
        <w:rPr>
          <w:rFonts w:hint="eastAsia"/>
          <w:color w:val="auto"/>
          <w:highlight w:val="none"/>
          <w:lang w:val="en-US" w:eastAsia="zh-CN"/>
        </w:rPr>
        <w:t>项目</w:t>
      </w:r>
      <w:r>
        <w:rPr>
          <w:rFonts w:hint="eastAsia" w:cs="宋体"/>
          <w:color w:val="auto"/>
          <w:highlight w:val="none"/>
          <w:shd w:val="clear" w:color="auto" w:fill="auto"/>
          <w:lang w:val="en-US" w:eastAsia="zh-CN"/>
        </w:rPr>
        <w:t>绩效总体目标为：针对此项目的部门职能阜康市融媒体中心2023年预计完成6部发射机“满功率、满调幅度、满时间”安全播出。为了保障发射机及附属设备设施完好，确保自治区无线覆盖工程配备的转播自治区节目的调频发射机正常运转，使用年初提前下达无线覆盖运行维护专项资金21万元，对发射机及附属设备正常运行电费7万元、铁塔定期维修及质量检测9万元、维修维护所需备品备件的采购5万元，提供了最有力的资金支持。项目的实施预计达到：使广大农村及各族群众，及时通过中央、行业、地方主要媒体，收听收看到中央和自治区的广播节目、了解重要事件及民生政策的需求，从而巩固自治区广播电视无线覆盖工程实施效果,实现各发射台站按规定完整转播好自治区广播节目，为农村地区广播基本公共服务提供无线传输保障作用，丰富人民群众精神文化生活。</w:t>
      </w:r>
    </w:p>
    <w:p w14:paraId="42D0BFF6">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39EBC745">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auto"/>
          <w:kern w:val="0"/>
          <w:sz w:val="28"/>
          <w:szCs w:val="32"/>
          <w:highlight w:val="none"/>
          <w:shd w:val="clear" w:color="auto" w:fill="auto"/>
          <w:lang w:val="en-US" w:eastAsia="zh-CN" w:bidi="ar-SA"/>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685D67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148FE8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23E907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发射机维护数量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default" w:ascii="Arial" w:hAnsi="Arial" w:cs="Arial"/>
          <w:color w:val="auto"/>
          <w:highlight w:val="none"/>
          <w:shd w:val="clear" w:color="auto" w:fill="auto"/>
          <w:lang w:val="en-US" w:eastAsia="zh-CN"/>
        </w:rPr>
        <w:t>≥</w:t>
      </w:r>
      <w:r>
        <w:rPr>
          <w:rFonts w:hint="eastAsia" w:cs="宋体"/>
          <w:color w:val="auto"/>
          <w:highlight w:val="none"/>
          <w:shd w:val="clear" w:color="auto" w:fill="auto"/>
          <w:lang w:val="en-US" w:eastAsia="zh-CN"/>
        </w:rPr>
        <w:t>6部</w:t>
      </w:r>
      <w:r>
        <w:rPr>
          <w:rFonts w:hint="eastAsia" w:ascii="宋体" w:hAnsi="宋体" w:eastAsia="宋体" w:cs="宋体"/>
          <w:color w:val="auto"/>
          <w:highlight w:val="none"/>
          <w:shd w:val="clear" w:color="auto" w:fill="auto"/>
          <w:lang w:val="en-US" w:eastAsia="zh-CN"/>
        </w:rPr>
        <w:t>；</w:t>
      </w:r>
    </w:p>
    <w:p w14:paraId="66D180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无线覆盖免费收听自治区广播节目数量</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default" w:ascii="Arial" w:hAnsi="Arial" w:cs="Arial"/>
          <w:color w:val="auto"/>
          <w:highlight w:val="none"/>
          <w:shd w:val="clear" w:color="auto" w:fill="auto"/>
          <w:lang w:val="en-US" w:eastAsia="zh-CN"/>
        </w:rPr>
        <w:t>≥</w:t>
      </w:r>
      <w:r>
        <w:rPr>
          <w:rFonts w:hint="eastAsia" w:cs="宋体"/>
          <w:color w:val="auto"/>
          <w:highlight w:val="none"/>
          <w:shd w:val="clear" w:color="auto" w:fill="auto"/>
          <w:lang w:val="en-US" w:eastAsia="zh-CN"/>
        </w:rPr>
        <w:t>3套</w:t>
      </w:r>
      <w:r>
        <w:rPr>
          <w:rFonts w:hint="eastAsia" w:ascii="宋体" w:hAnsi="宋体" w:eastAsia="宋体" w:cs="宋体"/>
          <w:color w:val="auto"/>
          <w:highlight w:val="none"/>
          <w:shd w:val="clear" w:color="auto" w:fill="auto"/>
          <w:lang w:val="en-US" w:eastAsia="zh-CN"/>
        </w:rPr>
        <w:t>；</w:t>
      </w:r>
    </w:p>
    <w:p w14:paraId="7D953FF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开展专项运行维护次数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default" w:ascii="Arial" w:hAnsi="Arial" w:cs="Arial"/>
          <w:color w:val="auto"/>
          <w:highlight w:val="none"/>
          <w:shd w:val="clear" w:color="auto" w:fill="auto"/>
          <w:lang w:val="en-US" w:eastAsia="zh-CN"/>
        </w:rPr>
        <w:t>≥</w:t>
      </w:r>
      <w:r>
        <w:rPr>
          <w:rFonts w:hint="eastAsia" w:cs="宋体"/>
          <w:color w:val="auto"/>
          <w:highlight w:val="none"/>
          <w:shd w:val="clear" w:color="auto" w:fill="auto"/>
          <w:lang w:val="en-US" w:eastAsia="zh-CN"/>
        </w:rPr>
        <w:t>18次</w:t>
      </w:r>
    </w:p>
    <w:p w14:paraId="73C92B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70FF13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发射机满功率播出率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default" w:ascii="Arial" w:hAnsi="Arial" w:cs="Arial"/>
          <w:color w:val="auto"/>
          <w:highlight w:val="none"/>
          <w:shd w:val="clear" w:color="auto" w:fill="auto"/>
          <w:lang w:val="en-US" w:eastAsia="zh-CN"/>
        </w:rPr>
        <w:t>≥</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4910CD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发射机满调制播出率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default" w:ascii="Arial" w:hAnsi="Arial" w:cs="Arial"/>
          <w:color w:val="auto"/>
          <w:highlight w:val="none"/>
          <w:shd w:val="clear" w:color="auto" w:fill="auto"/>
          <w:lang w:val="en-US" w:eastAsia="zh-CN"/>
        </w:rPr>
        <w:t>≥</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23D169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发射机满时间播出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default" w:ascii="Arial" w:hAnsi="Arial" w:cs="Arial"/>
          <w:color w:val="auto"/>
          <w:highlight w:val="none"/>
          <w:shd w:val="clear" w:color="auto" w:fill="auto"/>
          <w:lang w:val="en-US" w:eastAsia="zh-CN"/>
        </w:rPr>
        <w:t>≥</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B066A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发射机及附属设备设施完好率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≥95%</w:t>
      </w:r>
      <w:r>
        <w:rPr>
          <w:rFonts w:hint="eastAsia" w:ascii="宋体" w:hAnsi="宋体" w:eastAsia="宋体" w:cs="宋体"/>
          <w:color w:val="auto"/>
          <w:highlight w:val="none"/>
          <w:shd w:val="clear" w:color="auto" w:fill="auto"/>
          <w:lang w:val="en-US" w:eastAsia="zh-CN"/>
        </w:rPr>
        <w:t>；</w:t>
      </w:r>
    </w:p>
    <w:p w14:paraId="67DB50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682B39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资金到位率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56F7CB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运行维护完成及时性</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≥95%</w:t>
      </w:r>
      <w:r>
        <w:rPr>
          <w:rFonts w:hint="eastAsia" w:ascii="宋体" w:hAnsi="宋体" w:eastAsia="宋体" w:cs="宋体"/>
          <w:color w:val="auto"/>
          <w:highlight w:val="none"/>
          <w:shd w:val="clear" w:color="auto" w:fill="auto"/>
          <w:lang w:val="en-US" w:eastAsia="zh-CN"/>
        </w:rPr>
        <w:t>；</w:t>
      </w:r>
    </w:p>
    <w:p w14:paraId="3A738C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设备运行维护响应时间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default" w:ascii="Arial" w:hAnsi="Arial" w:cs="Arial"/>
          <w:color w:val="auto"/>
          <w:highlight w:val="none"/>
          <w:shd w:val="clear" w:color="auto" w:fill="auto"/>
          <w:lang w:val="en-US" w:eastAsia="zh-CN"/>
        </w:rPr>
        <w:t>≤</w:t>
      </w:r>
      <w:r>
        <w:rPr>
          <w:rFonts w:hint="eastAsia" w:cs="宋体"/>
          <w:color w:val="auto"/>
          <w:highlight w:val="none"/>
          <w:shd w:val="clear" w:color="auto" w:fill="auto"/>
          <w:lang w:val="en-US" w:eastAsia="zh-CN"/>
        </w:rPr>
        <w:t>72小时</w:t>
      </w:r>
      <w:r>
        <w:rPr>
          <w:rFonts w:hint="eastAsia" w:ascii="宋体" w:hAnsi="宋体" w:eastAsia="宋体" w:cs="宋体"/>
          <w:color w:val="auto"/>
          <w:highlight w:val="none"/>
          <w:shd w:val="clear" w:color="auto" w:fill="auto"/>
          <w:lang w:val="en-US" w:eastAsia="zh-CN"/>
        </w:rPr>
        <w:t>；</w:t>
      </w:r>
    </w:p>
    <w:p w14:paraId="7B159C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543836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发射机运行维护电费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&lt;=7万元</w:t>
      </w:r>
      <w:r>
        <w:rPr>
          <w:rFonts w:hint="eastAsia" w:ascii="宋体" w:hAnsi="宋体" w:eastAsia="宋体" w:cs="宋体"/>
          <w:color w:val="auto"/>
          <w:highlight w:val="none"/>
          <w:shd w:val="clear" w:color="auto" w:fill="auto"/>
          <w:lang w:val="en-US" w:eastAsia="zh-CN"/>
        </w:rPr>
        <w:t>；</w:t>
      </w:r>
    </w:p>
    <w:p w14:paraId="743A50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无线覆盖设备铁塔质量检测费</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&lt;=9万元</w:t>
      </w:r>
      <w:r>
        <w:rPr>
          <w:rFonts w:hint="eastAsia" w:ascii="宋体" w:hAnsi="宋体" w:eastAsia="宋体" w:cs="宋体"/>
          <w:color w:val="auto"/>
          <w:highlight w:val="none"/>
          <w:shd w:val="clear" w:color="auto" w:fill="auto"/>
          <w:lang w:val="en-US" w:eastAsia="zh-CN"/>
        </w:rPr>
        <w:t>；</w:t>
      </w:r>
    </w:p>
    <w:p w14:paraId="72F616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发射机运行维护备品备件采购</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&lt;=5万元</w:t>
      </w:r>
      <w:r>
        <w:rPr>
          <w:rFonts w:hint="eastAsia" w:ascii="宋体" w:hAnsi="宋体" w:eastAsia="宋体" w:cs="宋体"/>
          <w:color w:val="auto"/>
          <w:highlight w:val="none"/>
          <w:shd w:val="clear" w:color="auto" w:fill="auto"/>
          <w:lang w:val="en-US" w:eastAsia="zh-CN"/>
        </w:rPr>
        <w:t>；</w:t>
      </w:r>
    </w:p>
    <w:p w14:paraId="73A893A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450FA60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6777B7BD">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2FD26EA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7AD8CE4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中央/行业/地方主要媒体刊发图文、短视频</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&lt;=2000条</w:t>
      </w:r>
      <w:r>
        <w:rPr>
          <w:rFonts w:hint="eastAsia" w:ascii="宋体" w:hAnsi="宋体" w:eastAsia="宋体" w:cs="宋体"/>
          <w:color w:val="auto"/>
          <w:highlight w:val="none"/>
          <w:shd w:val="clear" w:color="auto" w:fill="auto"/>
          <w:lang w:val="en-US" w:eastAsia="zh-CN"/>
        </w:rPr>
        <w:t>；</w:t>
      </w:r>
    </w:p>
    <w:p w14:paraId="7960D35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广播频率公益广告播出时长达标率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&lt;=95%</w:t>
      </w:r>
      <w:r>
        <w:rPr>
          <w:rFonts w:hint="eastAsia" w:ascii="宋体" w:hAnsi="宋体" w:eastAsia="宋体" w:cs="宋体"/>
          <w:color w:val="auto"/>
          <w:highlight w:val="none"/>
          <w:shd w:val="clear" w:color="auto" w:fill="auto"/>
          <w:lang w:val="en-US" w:eastAsia="zh-CN"/>
        </w:rPr>
        <w:t>；</w:t>
      </w:r>
    </w:p>
    <w:p w14:paraId="2794CDC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电视频道公益广告播出时长达标率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&lt;=95%</w:t>
      </w:r>
      <w:r>
        <w:rPr>
          <w:rFonts w:hint="eastAsia" w:ascii="宋体" w:hAnsi="宋体" w:eastAsia="宋体" w:cs="宋体"/>
          <w:color w:val="auto"/>
          <w:highlight w:val="none"/>
          <w:shd w:val="clear" w:color="auto" w:fill="auto"/>
          <w:lang w:val="en-US" w:eastAsia="zh-CN"/>
        </w:rPr>
        <w:t>；</w:t>
      </w:r>
    </w:p>
    <w:p w14:paraId="644AF05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记录主题专栏、反映重要事件发布图文、海报、原创短视频</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&lt;=2000条</w:t>
      </w:r>
      <w:r>
        <w:rPr>
          <w:rFonts w:hint="eastAsia" w:ascii="宋体" w:hAnsi="宋体" w:eastAsia="宋体" w:cs="宋体"/>
          <w:color w:val="auto"/>
          <w:highlight w:val="none"/>
          <w:shd w:val="clear" w:color="auto" w:fill="auto"/>
          <w:lang w:val="en-US" w:eastAsia="zh-CN"/>
        </w:rPr>
        <w:t>；</w:t>
      </w:r>
    </w:p>
    <w:p w14:paraId="45A1231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设备正常运行率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≥95%</w:t>
      </w:r>
      <w:r>
        <w:rPr>
          <w:rFonts w:hint="eastAsia" w:ascii="宋体" w:hAnsi="宋体" w:eastAsia="宋体" w:cs="宋体"/>
          <w:color w:val="auto"/>
          <w:highlight w:val="none"/>
          <w:shd w:val="clear" w:color="auto" w:fill="auto"/>
          <w:lang w:val="en-US" w:eastAsia="zh-CN"/>
        </w:rPr>
        <w:t>；</w:t>
      </w:r>
    </w:p>
    <w:p w14:paraId="1D4AC65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丰富人民群众精神文化生活</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长期</w:t>
      </w:r>
      <w:r>
        <w:rPr>
          <w:rFonts w:hint="eastAsia" w:ascii="宋体" w:hAnsi="宋体" w:eastAsia="宋体" w:cs="宋体"/>
          <w:color w:val="auto"/>
          <w:highlight w:val="none"/>
          <w:shd w:val="clear" w:color="auto" w:fill="auto"/>
          <w:lang w:val="en-US" w:eastAsia="zh-CN"/>
        </w:rPr>
        <w:t>；</w:t>
      </w:r>
    </w:p>
    <w:p w14:paraId="3A666DB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收听收看群众人数增长率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≥85%</w:t>
      </w:r>
      <w:r>
        <w:rPr>
          <w:rFonts w:hint="eastAsia" w:ascii="宋体" w:hAnsi="宋体" w:eastAsia="宋体" w:cs="宋体"/>
          <w:color w:val="auto"/>
          <w:highlight w:val="none"/>
          <w:shd w:val="clear" w:color="auto" w:fill="auto"/>
          <w:lang w:val="en-US" w:eastAsia="zh-CN"/>
        </w:rPr>
        <w:t>；</w:t>
      </w:r>
    </w:p>
    <w:p w14:paraId="52CC3B9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 xml:space="preserve">为农村地区广播基本公共服务提供无线传输保障 </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为逐步提升；</w:t>
      </w:r>
    </w:p>
    <w:p w14:paraId="4CBB4F32">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055106A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环境友好无污染</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良好</w:t>
      </w:r>
      <w:r>
        <w:rPr>
          <w:rFonts w:hint="eastAsia" w:ascii="宋体" w:hAnsi="宋体" w:eastAsia="宋体" w:cs="宋体"/>
          <w:color w:val="auto"/>
          <w:highlight w:val="none"/>
          <w:shd w:val="clear" w:color="auto" w:fill="auto"/>
          <w:lang w:val="en-US" w:eastAsia="zh-CN"/>
        </w:rPr>
        <w:t>；</w:t>
      </w:r>
    </w:p>
    <w:p w14:paraId="6A1FCDE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3435B2D2">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3A2C2F2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19BCD117">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群众满意度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≥90%。</w:t>
      </w:r>
    </w:p>
    <w:p w14:paraId="2E3F1E7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2A8D03FC">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5462343"/>
      <w:bookmarkStart w:id="14" w:name="_Toc12868"/>
      <w:bookmarkStart w:id="15" w:name="_Toc26632"/>
      <w:bookmarkStart w:id="16" w:name="_Toc22169_WPSOffice_Level2"/>
      <w:bookmarkStart w:id="17" w:name="_Toc21664"/>
      <w:bookmarkStart w:id="18" w:name="_Toc480473081"/>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0D34AB2A">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7BDFDF8E">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304ADB4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57E947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年度我单位实施的自治区广播电视节目无线覆盖运行维护</w:t>
      </w:r>
      <w:r>
        <w:rPr>
          <w:rFonts w:hint="eastAsia" w:cs="宋体"/>
          <w:color w:val="auto"/>
          <w:highlight w:val="none"/>
          <w:shd w:val="clear" w:color="auto" w:fill="auto"/>
          <w:lang w:val="en-US" w:eastAsia="zh-CN"/>
        </w:rPr>
        <w:t>经费</w:t>
      </w:r>
      <w:r>
        <w:rPr>
          <w:rFonts w:hint="eastAsia" w:ascii="宋体" w:hAnsi="宋体" w:eastAsia="宋体" w:cs="宋体"/>
          <w:color w:val="auto"/>
          <w:highlight w:val="none"/>
          <w:shd w:val="clear" w:color="auto" w:fill="auto"/>
          <w:lang w:val="en-US" w:eastAsia="zh-CN"/>
        </w:rPr>
        <w:t>项目开展部门绩效评价。</w:t>
      </w:r>
    </w:p>
    <w:p w14:paraId="454A0B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467A95E">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1F79459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0CD86E9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2023年</w:t>
      </w:r>
      <w:r>
        <w:rPr>
          <w:rFonts w:hint="eastAsia" w:ascii="宋体" w:hAnsi="宋体" w:eastAsia="宋体" w:cs="宋体"/>
          <w:color w:val="auto"/>
          <w:highlight w:val="none"/>
          <w:shd w:val="clear" w:color="auto" w:fill="auto"/>
          <w:lang w:val="en-US" w:eastAsia="zh-CN"/>
        </w:rPr>
        <w:t>自治区广播电视节目无线覆盖运行维护</w:t>
      </w:r>
      <w:r>
        <w:rPr>
          <w:rFonts w:hint="eastAsia" w:cs="宋体"/>
          <w:color w:val="auto"/>
          <w:highlight w:val="none"/>
          <w:shd w:val="clear" w:color="auto" w:fill="auto"/>
          <w:lang w:val="en-US" w:eastAsia="zh-CN"/>
        </w:rPr>
        <w:t>经费</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225E300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3F66567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6A6E10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37377F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30C4F9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79F28F17">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1913"/>
      <w:bookmarkStart w:id="27" w:name="_Toc419984722"/>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711E116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571A0CCD">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14BF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57322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75F90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42451A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118A15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FE514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0FB0A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83A01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66B991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7A41EF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0D87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01E3453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41A787A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E93D72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7906C88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4CD18FF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5EF6A3C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2C51F6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44874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274E25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9408B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C8953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362BDB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4D7F7F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3ABCF1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AE485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5267759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0D411C3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04B3A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1EE3ADA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A2DE7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60349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1ADE62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8336C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56DCA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46DF70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11A5A1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6150D02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525296E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4D07F11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33C7A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A838F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5F348E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1EC67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05460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4A5B55C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4D1D01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BD176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7EC2CB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424763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44D53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2BAE38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522B81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9AE2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7CF002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1D989E9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6CA04CF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64738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4188B6E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33BF162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585640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664D0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2977D2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87F95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67D79F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323F25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98CFF6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72EF4AC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EA2CC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2CF3DF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7B356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115CC15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4650D4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07C4A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6EC1B2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1945F8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30BDF4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359A43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12E8D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F0C707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22F48E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3D925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241B676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29F7A58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2937D12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5330B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393BF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4D662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D93C9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6C6FB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2BC3E8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3F427C5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4D67FF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5D974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5037E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295F54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5940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1ADA6E9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483FB0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7EFB1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0D217F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1166304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577107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1BE1D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6DADDC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0A295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49CA2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76D29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33A4A4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0FDF87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48C9A4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0A9BBC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5A8A9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7361B8A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77604AC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01F498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32572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117D2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496687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36F646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0C8BD5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000050A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762B8BF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77AA22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718C0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5334B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59AC2D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75A69C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014E0F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63C1CF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427CB5F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A0FF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EB3DE0F">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7CBDE17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2672FA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711B59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5FF1735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3BBDC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3F00B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047CC8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1D0F3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428E7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6F01CA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6C424BC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754881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4C5F1F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72D70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E9E4F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611C45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0845BB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5B4F2D9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1B0BFF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4EABF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8275E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14614C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BD3C1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5942C8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506E21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2213F7D6">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485E0F7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2023年</w:t>
      </w:r>
      <w:r>
        <w:rPr>
          <w:rFonts w:hint="eastAsia" w:ascii="宋体" w:hAnsi="宋体" w:eastAsia="宋体" w:cs="宋体"/>
          <w:color w:val="auto"/>
          <w:highlight w:val="none"/>
          <w:shd w:val="clear" w:color="auto" w:fill="auto"/>
          <w:lang w:val="en-US" w:eastAsia="zh-CN"/>
        </w:rPr>
        <w:t>自治区广播电视节目无线覆盖运行维护</w:t>
      </w:r>
      <w:r>
        <w:rPr>
          <w:rFonts w:hint="eastAsia" w:cs="宋体"/>
          <w:color w:val="auto"/>
          <w:highlight w:val="none"/>
          <w:shd w:val="clear" w:color="auto" w:fill="auto"/>
          <w:lang w:val="en-US" w:eastAsia="zh-CN"/>
        </w:rPr>
        <w:t>经费</w:t>
      </w:r>
      <w:r>
        <w:rPr>
          <w:rFonts w:hint="eastAsia" w:ascii="宋体" w:hAnsi="宋体" w:eastAsia="宋体" w:cs="宋体"/>
          <w:color w:val="auto"/>
          <w:highlight w:val="none"/>
          <w:shd w:val="clear" w:color="auto" w:fill="auto"/>
          <w:lang w:val="en-US" w:eastAsia="zh-CN"/>
        </w:rPr>
        <w:t>项目进行评价。</w:t>
      </w:r>
      <w:bookmarkStart w:id="31" w:name="_Toc25391"/>
    </w:p>
    <w:p w14:paraId="1E9665B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4.评价标准</w:t>
      </w:r>
      <w:bookmarkEnd w:id="31"/>
    </w:p>
    <w:p w14:paraId="6D187C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2553BA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C91E8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22895F65">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4FB8CDE">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C2D8619">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67E80BF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64238AA">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53C77FC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1D8BF64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Theme="minorEastAsia" w:hAnsiTheme="minorEastAsia" w:eastAsiaTheme="minorEastAsia" w:cstheme="minorEastAsia"/>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Theme="minorEastAsia" w:hAnsiTheme="minorEastAsia" w:eastAsiaTheme="minorEastAsia" w:cstheme="minorEastAsia"/>
          <w:b w:val="0"/>
          <w:bCs w:val="0"/>
          <w:color w:val="auto"/>
          <w:sz w:val="28"/>
          <w:szCs w:val="28"/>
          <w:highlight w:val="none"/>
          <w:shd w:val="clear" w:color="auto" w:fill="auto"/>
          <w:lang w:val="en-US" w:eastAsia="zh-CN"/>
        </w:rPr>
        <w:t>2023年自治区广播电视节目无线覆盖运行维护经费</w:t>
      </w:r>
      <w:r>
        <w:rPr>
          <w:rFonts w:hint="eastAsia" w:asciiTheme="minorEastAsia" w:hAnsiTheme="minorEastAsia" w:eastAsiaTheme="minorEastAsia" w:cstheme="minorEastAsia"/>
          <w:b w:val="0"/>
          <w:bCs w:val="0"/>
          <w:color w:val="auto"/>
          <w:kern w:val="2"/>
          <w:sz w:val="28"/>
          <w:szCs w:val="28"/>
          <w:highlight w:val="none"/>
          <w:shd w:val="clear" w:color="auto" w:fill="auto"/>
          <w:lang w:val="en-US" w:eastAsia="zh-CN" w:bidi="ar-SA"/>
        </w:rPr>
        <w:t>项目实施内容、目标信息、预算</w:t>
      </w:r>
      <w:r>
        <w:rPr>
          <w:rFonts w:hint="eastAsia" w:asciiTheme="minorEastAsia" w:hAnsiTheme="minorEastAsia" w:eastAsiaTheme="minorEastAsia" w:cstheme="minorEastAsia"/>
          <w:b w:val="0"/>
          <w:bCs w:val="0"/>
          <w:color w:val="auto"/>
          <w:kern w:val="2"/>
          <w:sz w:val="28"/>
          <w:szCs w:val="24"/>
          <w:highlight w:val="none"/>
          <w:shd w:val="clear" w:color="auto" w:fill="auto"/>
          <w:lang w:val="en-US" w:eastAsia="zh-CN" w:bidi="ar-SA"/>
        </w:rPr>
        <w:t>信息以及其他的一些项目基本信息，有了初步了解，为制定绩效评价工作方案做好准备。</w:t>
      </w:r>
      <w:bookmarkEnd w:id="35"/>
    </w:p>
    <w:p w14:paraId="35AADB2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0DE4F55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6B492B3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66079D10">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23998752">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51A56D1D">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2221184F">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31F47714">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33EA527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56DA12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590E669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3B9D9ABC">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4DA6DC17">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123C0CCE">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280600F5">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689D13A8">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74979011">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5C559DDA">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10441D83">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61595025">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07330F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2023年</w:t>
      </w:r>
      <w:r>
        <w:rPr>
          <w:rFonts w:hint="eastAsia" w:ascii="宋体" w:hAnsi="宋体" w:eastAsia="宋体" w:cs="宋体"/>
          <w:color w:val="auto"/>
          <w:highlight w:val="none"/>
          <w:shd w:val="clear" w:color="auto" w:fill="auto"/>
          <w:lang w:val="en-US" w:eastAsia="zh-CN"/>
        </w:rPr>
        <w:t>自治区广播电视节目无线覆盖运行维护</w:t>
      </w:r>
      <w:r>
        <w:rPr>
          <w:rFonts w:hint="eastAsia" w:cs="宋体"/>
          <w:color w:val="auto"/>
          <w:highlight w:val="none"/>
          <w:shd w:val="clear" w:color="auto" w:fill="auto"/>
          <w:lang w:val="en-US" w:eastAsia="zh-CN"/>
        </w:rPr>
        <w:t>经费</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98.998.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优秀</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202C9182">
        <w:tblPrEx>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CCDCD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bCs/>
                <w:color w:val="auto"/>
                <w:highlight w:val="none"/>
                <w:shd w:val="clear" w:color="auto" w:fill="auto"/>
                <w:lang w:val="en-US" w:eastAsia="zh-CN"/>
              </w:rPr>
              <w:t>自治区广播电视节目无线覆盖运行维护</w:t>
            </w:r>
            <w:r>
              <w:rPr>
                <w:rFonts w:hint="eastAsia" w:cs="宋体"/>
                <w:b/>
                <w:bCs/>
                <w:color w:val="auto"/>
                <w:highlight w:val="none"/>
                <w:shd w:val="clear" w:color="auto" w:fill="auto"/>
                <w:lang w:val="en-US" w:eastAsia="zh-CN"/>
              </w:rPr>
              <w:t>经费</w:t>
            </w:r>
            <w:r>
              <w:rPr>
                <w:rFonts w:hint="eastAsia" w:ascii="宋体" w:hAnsi="宋体" w:eastAsia="宋体" w:cs="宋体"/>
                <w:b/>
                <w:bCs/>
                <w:color w:val="auto"/>
                <w:kern w:val="0"/>
                <w:sz w:val="28"/>
                <w:szCs w:val="28"/>
                <w:highlight w:val="none"/>
                <w:shd w:val="clear" w:color="auto" w:fill="auto"/>
                <w:lang w:val="en-US" w:eastAsia="zh-CN"/>
              </w:rPr>
              <w:t>项目得分表</w:t>
            </w:r>
          </w:p>
          <w:p w14:paraId="78B09C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4"/>
                <w:szCs w:val="24"/>
                <w:highlight w:val="none"/>
                <w:shd w:val="clear" w:color="auto" w:fill="auto"/>
              </w:rPr>
            </w:pPr>
          </w:p>
        </w:tc>
      </w:tr>
      <w:tr w14:paraId="2FEF30F9">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98D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E0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A78D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768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A3D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01D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2FFFD2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3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C4F0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8C0C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056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879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E0D6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60B19B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567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FCE1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551B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19.998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917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92D9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67E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98.998</w:t>
            </w:r>
          </w:p>
        </w:tc>
      </w:tr>
      <w:tr w14:paraId="052B1BDE">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C79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1D5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3924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99.99</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DD14BE">
            <w:pPr>
              <w:keepNext w:val="0"/>
              <w:keepLines w:val="0"/>
              <w:pageBreakBefore w:val="0"/>
              <w:widowControl/>
              <w:kinsoku/>
              <w:wordWrap/>
              <w:overflowPunct/>
              <w:topLinePunct w:val="0"/>
              <w:autoSpaceDE/>
              <w:autoSpaceDN/>
              <w:bidi w:val="0"/>
              <w:adjustRightInd/>
              <w:snapToGrid w:val="0"/>
              <w:spacing w:line="240" w:lineRule="auto"/>
              <w:ind w:firstLine="420" w:firstLineChars="200"/>
              <w:jc w:val="both"/>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C0BB1">
            <w:pPr>
              <w:keepNext w:val="0"/>
              <w:keepLines w:val="0"/>
              <w:pageBreakBefore w:val="0"/>
              <w:widowControl/>
              <w:kinsoku/>
              <w:wordWrap/>
              <w:overflowPunct/>
              <w:topLinePunct w:val="0"/>
              <w:autoSpaceDE/>
              <w:autoSpaceDN/>
              <w:bidi w:val="0"/>
              <w:adjustRightInd/>
              <w:snapToGrid w:val="0"/>
              <w:spacing w:line="240" w:lineRule="auto"/>
              <w:ind w:left="0" w:leftChars="0"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74B5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98.998</w:t>
            </w:r>
            <w:r>
              <w:rPr>
                <w:rFonts w:hint="eastAsia" w:ascii="宋体" w:hAnsi="宋体" w:eastAsia="宋体" w:cs="宋体"/>
                <w:color w:val="auto"/>
                <w:kern w:val="0"/>
                <w:sz w:val="21"/>
                <w:szCs w:val="21"/>
                <w:highlight w:val="none"/>
                <w:shd w:val="clear" w:color="auto" w:fill="auto"/>
                <w:lang w:val="en-US" w:eastAsia="zh-CN"/>
              </w:rPr>
              <w:t>%</w:t>
            </w:r>
          </w:p>
        </w:tc>
      </w:tr>
    </w:tbl>
    <w:p w14:paraId="4C8DC16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039AC37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0A357A34">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1E24F08">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zh-TW" w:eastAsia="zh-TW"/>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p w14:paraId="24343BB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p>
    <w:tbl>
      <w:tblPr>
        <w:tblStyle w:val="12"/>
        <w:tblW w:w="8447" w:type="dxa"/>
        <w:jc w:val="center"/>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2368BBB4">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6F18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CA09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D853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B75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D3E1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CE14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7F4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40C47A8">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5484A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F5D77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157E4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AD0F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D745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127D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67C4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432C50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DC40E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8B79B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592B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87B5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8AF7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4EF1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444F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99C880C">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8D3E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DF22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1613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D556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EB4A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09E6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3DC7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2BA913E">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CC64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0778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0726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4CFA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B6E5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C9A9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3CAE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409CBE0">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B8B01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30191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DDCD5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A5110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EA32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E14C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257A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E2D81AB">
        <w:tblPrEx>
          <w:shd w:val="clear" w:color="auto" w:fill="auto"/>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80C4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4133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EC3A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C059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526B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76CF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D3AF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28D8018">
        <w:tblPrEx>
          <w:shd w:val="clear" w:color="auto" w:fill="auto"/>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3760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502D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F30C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03C3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FB0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304C318B">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560396D3">
      <w:pPr>
        <w:bidi w:val="0"/>
        <w:rPr>
          <w:rFonts w:hint="default"/>
          <w:color w:val="auto"/>
          <w:highlight w:val="none"/>
          <w:lang w:val="en-US" w:eastAsia="zh-CN"/>
        </w:rPr>
      </w:pPr>
      <w:r>
        <w:rPr>
          <w:rFonts w:hint="eastAsia"/>
          <w:color w:val="auto"/>
          <w:highlight w:val="none"/>
          <w:lang w:eastAsia="zh-CN"/>
        </w:rPr>
        <w:t>①项目立项符合国家法律法规、国民经济发展规划和相关政策；</w:t>
      </w:r>
    </w:p>
    <w:p w14:paraId="0B06BC4B">
      <w:pPr>
        <w:pStyle w:val="2"/>
        <w:rPr>
          <w:rFonts w:hint="default"/>
          <w:color w:val="auto"/>
          <w:highlight w:val="none"/>
          <w:lang w:val="en-US" w:eastAsia="zh-CN"/>
        </w:rPr>
      </w:pPr>
      <w:r>
        <w:rPr>
          <w:rFonts w:hint="eastAsia"/>
          <w:color w:val="auto"/>
          <w:highlight w:val="none"/>
          <w:lang w:val="en-US" w:eastAsia="zh-CN"/>
        </w:rPr>
        <w:t>新财教[2022]172号文《关于提前下达2023年广播电视节目无线覆盖运行维护经费预算的通知》</w:t>
      </w:r>
    </w:p>
    <w:p w14:paraId="52DC3F03">
      <w:pPr>
        <w:bidi w:val="0"/>
        <w:rPr>
          <w:rFonts w:hint="default"/>
          <w:color w:val="auto"/>
          <w:highlight w:val="none"/>
          <w:lang w:val="en-US" w:eastAsia="zh-CN"/>
        </w:rPr>
      </w:pPr>
      <w:r>
        <w:rPr>
          <w:rFonts w:hint="eastAsia"/>
          <w:color w:val="auto"/>
          <w:highlight w:val="none"/>
          <w:lang w:eastAsia="zh-CN"/>
        </w:rPr>
        <w:t>②项目立项符合行业发展规划和政策要求；</w:t>
      </w:r>
    </w:p>
    <w:p w14:paraId="0122E03B">
      <w:pPr>
        <w:pStyle w:val="2"/>
        <w:rPr>
          <w:rFonts w:hint="eastAsia"/>
          <w:color w:val="auto"/>
          <w:highlight w:val="none"/>
          <w:lang w:val="en-US" w:eastAsia="zh-CN"/>
        </w:rPr>
      </w:pPr>
      <w:r>
        <w:rPr>
          <w:rFonts w:hint="eastAsia"/>
          <w:color w:val="auto"/>
          <w:highlight w:val="none"/>
          <w:lang w:val="en-US" w:eastAsia="zh-CN"/>
        </w:rPr>
        <w:t>新财教[2022]172号文《关于提前下达2023年广播电视节目无线覆盖运行维护经费预算的通知》</w:t>
      </w:r>
    </w:p>
    <w:p w14:paraId="6B65502C">
      <w:pPr>
        <w:pStyle w:val="2"/>
        <w:rPr>
          <w:rFonts w:hint="default"/>
          <w:color w:val="auto"/>
          <w:highlight w:val="none"/>
          <w:lang w:val="en-US" w:eastAsia="zh-CN"/>
        </w:rPr>
      </w:pPr>
      <w:r>
        <w:rPr>
          <w:rFonts w:hint="eastAsia"/>
          <w:color w:val="auto"/>
          <w:highlight w:val="none"/>
          <w:lang w:val="en-US" w:eastAsia="zh-CN"/>
        </w:rPr>
        <w:t>昌州财教[2022]69号文《关于提前下达2023年广播电视节目无线覆盖运行维护经费预算的通知》</w:t>
      </w:r>
    </w:p>
    <w:p w14:paraId="4982732C">
      <w:pPr>
        <w:bidi w:val="0"/>
        <w:rPr>
          <w:rFonts w:hint="eastAsia"/>
          <w:color w:val="auto"/>
          <w:highlight w:val="none"/>
          <w:lang w:eastAsia="zh-CN"/>
        </w:rPr>
      </w:pPr>
      <w:r>
        <w:rPr>
          <w:rFonts w:hint="eastAsia"/>
          <w:color w:val="auto"/>
          <w:highlight w:val="none"/>
          <w:lang w:eastAsia="zh-CN"/>
        </w:rPr>
        <w:t>③</w:t>
      </w:r>
      <w:r>
        <w:rPr>
          <w:rFonts w:hint="eastAsia"/>
          <w:color w:val="auto"/>
          <w:highlight w:val="none"/>
          <w:lang w:val="en-US" w:eastAsia="zh-CN"/>
        </w:rPr>
        <w:t>融媒体中心</w:t>
      </w:r>
      <w:r>
        <w:rPr>
          <w:rFonts w:hint="eastAsia" w:asciiTheme="minorEastAsia" w:hAnsiTheme="minorEastAsia" w:eastAsiaTheme="minorEastAsia" w:cstheme="minorEastAsia"/>
          <w:color w:val="auto"/>
          <w:sz w:val="28"/>
          <w:szCs w:val="28"/>
          <w:highlight w:val="none"/>
          <w:lang w:eastAsia="zh-CN"/>
        </w:rPr>
        <w:t>负责建设全媒体矩阵，综合运用广播、电视、农村大喇叭、“两微一端”、户外大屏等多个终端，引导服务群众，扩大传播效果；</w:t>
      </w:r>
      <w:r>
        <w:rPr>
          <w:rFonts w:hint="eastAsia" w:asciiTheme="minorEastAsia" w:hAnsiTheme="minorEastAsia" w:eastAsiaTheme="minorEastAsia" w:cstheme="minorEastAsia"/>
          <w:color w:val="auto"/>
          <w:sz w:val="28"/>
          <w:szCs w:val="28"/>
          <w:highlight w:val="none"/>
          <w:lang w:val="en-US" w:eastAsia="zh-CN"/>
        </w:rPr>
        <w:t>负责</w:t>
      </w:r>
      <w:r>
        <w:rPr>
          <w:rFonts w:hint="eastAsia" w:asciiTheme="minorEastAsia" w:hAnsiTheme="minorEastAsia" w:eastAsiaTheme="minorEastAsia" w:cstheme="minorEastAsia"/>
          <w:color w:val="auto"/>
          <w:sz w:val="28"/>
          <w:szCs w:val="28"/>
          <w:highlight w:val="none"/>
          <w:lang w:eastAsia="zh-CN"/>
        </w:rPr>
        <w:t>全媒体矩阵内容生产审核、分发及运营维护。严格遵守广播电视、互联网行业法规，转播中央和区州广播电视节目与网络视听节目，</w:t>
      </w:r>
      <w:r>
        <w:rPr>
          <w:rFonts w:hint="eastAsia" w:asciiTheme="minorEastAsia" w:hAnsiTheme="minorEastAsia" w:eastAsiaTheme="minorEastAsia" w:cstheme="minorEastAsia"/>
          <w:color w:val="auto"/>
          <w:sz w:val="28"/>
          <w:szCs w:val="28"/>
          <w:highlight w:val="none"/>
          <w:lang w:val="en-US" w:eastAsia="zh-CN"/>
        </w:rPr>
        <w:t>该</w:t>
      </w:r>
      <w:r>
        <w:rPr>
          <w:rFonts w:hint="eastAsia"/>
          <w:color w:val="auto"/>
          <w:highlight w:val="none"/>
          <w:lang w:eastAsia="zh-CN"/>
        </w:rPr>
        <w:t>项目立项与</w:t>
      </w:r>
      <w:r>
        <w:rPr>
          <w:rFonts w:hint="eastAsia"/>
          <w:color w:val="auto"/>
          <w:highlight w:val="none"/>
          <w:lang w:val="en-US" w:eastAsia="zh-CN"/>
        </w:rPr>
        <w:t>融媒体中心上述</w:t>
      </w:r>
      <w:r>
        <w:rPr>
          <w:rFonts w:hint="eastAsia"/>
          <w:color w:val="auto"/>
          <w:highlight w:val="none"/>
          <w:lang w:eastAsia="zh-CN"/>
        </w:rPr>
        <w:t>职责范围相符，属于部门履职所需；</w:t>
      </w:r>
    </w:p>
    <w:p w14:paraId="06F17CF9">
      <w:pPr>
        <w:bidi w:val="0"/>
        <w:rPr>
          <w:rFonts w:hint="eastAsia"/>
          <w:color w:val="auto"/>
          <w:highlight w:val="none"/>
          <w:lang w:eastAsia="zh-CN"/>
        </w:rPr>
      </w:pPr>
      <w:r>
        <w:rPr>
          <w:rFonts w:hint="eastAsia" w:asciiTheme="minorEastAsia" w:hAnsiTheme="minorEastAsia" w:eastAsiaTheme="minorEastAsia" w:cstheme="minorEastAsia"/>
          <w:color w:val="auto"/>
          <w:sz w:val="28"/>
          <w:szCs w:val="28"/>
          <w:highlight w:val="none"/>
          <w:lang w:eastAsia="zh-CN"/>
        </w:rPr>
        <w:t>④项目属于公共财政支持</w:t>
      </w:r>
      <w:r>
        <w:rPr>
          <w:rFonts w:hint="eastAsia"/>
          <w:color w:val="auto"/>
          <w:highlight w:val="none"/>
          <w:lang w:eastAsia="zh-CN"/>
        </w:rPr>
        <w:t>范围，符合中央、地方事权支出责任划分原则；</w:t>
      </w:r>
    </w:p>
    <w:p w14:paraId="1F62D1D4">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2F3D1D48">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3855E6E3">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086FEA1D">
      <w:pPr>
        <w:bidi w:val="0"/>
        <w:rPr>
          <w:rFonts w:hint="eastAsia"/>
          <w:color w:val="auto"/>
          <w:highlight w:val="none"/>
          <w:lang w:eastAsia="zh-CN"/>
        </w:rPr>
      </w:pPr>
      <w:r>
        <w:rPr>
          <w:rFonts w:hint="eastAsia"/>
          <w:color w:val="auto"/>
          <w:highlight w:val="none"/>
          <w:lang w:eastAsia="zh-CN"/>
        </w:rPr>
        <w:t>①项目按照规定的程序申请设立；</w:t>
      </w:r>
    </w:p>
    <w:p w14:paraId="6E7195AB">
      <w:pPr>
        <w:bidi w:val="0"/>
        <w:rPr>
          <w:rFonts w:hint="eastAsia"/>
          <w:color w:val="auto"/>
          <w:highlight w:val="none"/>
          <w:lang w:eastAsia="zh-CN"/>
        </w:rPr>
      </w:pPr>
      <w:r>
        <w:rPr>
          <w:rFonts w:hint="eastAsia"/>
          <w:color w:val="auto"/>
          <w:highlight w:val="none"/>
          <w:lang w:eastAsia="zh-CN"/>
        </w:rPr>
        <w:t>②审批文件、材料符合相关要求；</w:t>
      </w:r>
    </w:p>
    <w:p w14:paraId="40447FFC">
      <w:pPr>
        <w:bidi w:val="0"/>
        <w:rPr>
          <w:rFonts w:hint="default" w:eastAsia="宋体"/>
          <w:color w:val="auto"/>
          <w:highlight w:val="none"/>
          <w:lang w:val="en-US" w:eastAsia="zh-CN"/>
        </w:rPr>
      </w:pPr>
      <w:r>
        <w:rPr>
          <w:rFonts w:hint="eastAsia"/>
          <w:color w:val="auto"/>
          <w:highlight w:val="none"/>
          <w:lang w:eastAsia="zh-CN"/>
        </w:rPr>
        <w:t>③事前</w:t>
      </w:r>
      <w:r>
        <w:rPr>
          <w:rFonts w:hint="eastAsia"/>
          <w:color w:val="auto"/>
          <w:highlight w:val="none"/>
          <w:lang w:val="en-US" w:eastAsia="zh-CN"/>
        </w:rPr>
        <w:t>未</w:t>
      </w:r>
      <w:r>
        <w:rPr>
          <w:rFonts w:hint="eastAsia"/>
          <w:color w:val="auto"/>
          <w:highlight w:val="none"/>
          <w:lang w:eastAsia="zh-CN"/>
        </w:rPr>
        <w:t>经过必要的可行性研究、专家论证、风险评估、绩效评估、集体决策。</w:t>
      </w:r>
      <w:r>
        <w:rPr>
          <w:rFonts w:hint="eastAsia"/>
          <w:color w:val="auto"/>
          <w:highlight w:val="none"/>
          <w:lang w:val="en-US" w:eastAsia="zh-CN"/>
        </w:rPr>
        <w:t>该项扣1分</w:t>
      </w:r>
    </w:p>
    <w:p w14:paraId="513A2306">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3FCA82CF">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415A47C9">
      <w:pPr>
        <w:bidi w:val="0"/>
        <w:rPr>
          <w:rFonts w:hint="eastAsia"/>
          <w:color w:val="auto"/>
          <w:highlight w:val="none"/>
          <w:lang w:eastAsia="zh-CN"/>
        </w:rPr>
      </w:pPr>
      <w:r>
        <w:rPr>
          <w:rFonts w:hint="eastAsia"/>
          <w:color w:val="auto"/>
          <w:highlight w:val="none"/>
          <w:lang w:eastAsia="zh-CN"/>
        </w:rPr>
        <w:t>①项目有绩效目标；</w:t>
      </w:r>
    </w:p>
    <w:p w14:paraId="46A47B5A">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50B447B1">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09BAC9FC">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6A4AF89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079D12E">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216BAC3C">
      <w:pPr>
        <w:bidi w:val="0"/>
        <w:rPr>
          <w:rFonts w:hint="eastAsia"/>
          <w:color w:val="auto"/>
          <w:highlight w:val="none"/>
          <w:lang w:val="en-US" w:eastAsia="zh-CN"/>
        </w:rPr>
      </w:pPr>
      <w:r>
        <w:rPr>
          <w:rFonts w:hint="eastAsia"/>
          <w:color w:val="auto"/>
          <w:highlight w:val="none"/>
          <w:lang w:eastAsia="zh-CN"/>
        </w:rPr>
        <w:t>①将项目绩效目标细化分解为具体的绩效指标；</w:t>
      </w:r>
      <w:r>
        <w:rPr>
          <w:rFonts w:hint="eastAsia"/>
          <w:color w:val="auto"/>
          <w:highlight w:val="none"/>
          <w:lang w:val="en-US" w:eastAsia="zh-CN"/>
        </w:rPr>
        <w:t>该项目共设置一级指标4个，二级指标7个，三级指标23个</w:t>
      </w:r>
    </w:p>
    <w:p w14:paraId="298CB4A7">
      <w:pPr>
        <w:bidi w:val="0"/>
        <w:rPr>
          <w:rFonts w:hint="default"/>
          <w:color w:val="auto"/>
          <w:highlight w:val="none"/>
          <w:lang w:val="en-US" w:eastAsia="zh-CN"/>
        </w:rPr>
      </w:pPr>
      <w:r>
        <w:rPr>
          <w:rFonts w:hint="eastAsia"/>
          <w:color w:val="auto"/>
          <w:highlight w:val="none"/>
          <w:lang w:eastAsia="zh-CN"/>
        </w:rPr>
        <w:t>②通过清晰、可衡量的指标值予以体现；</w:t>
      </w:r>
      <w:r>
        <w:rPr>
          <w:rFonts w:hint="eastAsia"/>
          <w:color w:val="auto"/>
          <w:highlight w:val="none"/>
          <w:lang w:val="en-US" w:eastAsia="zh-CN"/>
        </w:rPr>
        <w:t>该项目指标量化率为86.96%</w:t>
      </w:r>
    </w:p>
    <w:p w14:paraId="3E64AC63">
      <w:pPr>
        <w:bidi w:val="0"/>
        <w:rPr>
          <w:rFonts w:hint="eastAsia"/>
          <w:color w:val="auto"/>
          <w:highlight w:val="none"/>
          <w:lang w:eastAsia="zh-CN"/>
        </w:rPr>
      </w:pPr>
      <w:r>
        <w:rPr>
          <w:rFonts w:hint="eastAsia"/>
          <w:color w:val="auto"/>
          <w:highlight w:val="none"/>
          <w:lang w:eastAsia="zh-CN"/>
        </w:rPr>
        <w:t>③与项目目标任务数或计划数相对应。</w:t>
      </w:r>
    </w:p>
    <w:p w14:paraId="435764C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8D78DDF">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15735C0D">
      <w:pPr>
        <w:bidi w:val="0"/>
        <w:rPr>
          <w:rFonts w:hint="eastAsia"/>
          <w:color w:val="auto"/>
          <w:highlight w:val="none"/>
          <w:lang w:eastAsia="zh-CN"/>
        </w:rPr>
      </w:pPr>
      <w:r>
        <w:rPr>
          <w:rFonts w:hint="eastAsia"/>
          <w:color w:val="auto"/>
          <w:highlight w:val="none"/>
          <w:lang w:eastAsia="zh-CN"/>
        </w:rPr>
        <w:t>①预算编制经过科学论证；</w:t>
      </w:r>
    </w:p>
    <w:p w14:paraId="233BDB9B">
      <w:pPr>
        <w:bidi w:val="0"/>
        <w:rPr>
          <w:rFonts w:hint="eastAsia"/>
          <w:color w:val="auto"/>
          <w:highlight w:val="none"/>
          <w:lang w:eastAsia="zh-CN"/>
        </w:rPr>
      </w:pPr>
      <w:r>
        <w:rPr>
          <w:rFonts w:hint="eastAsia"/>
          <w:color w:val="auto"/>
          <w:highlight w:val="none"/>
          <w:lang w:eastAsia="zh-CN"/>
        </w:rPr>
        <w:t>②预算内容与项目内容匹配；</w:t>
      </w:r>
    </w:p>
    <w:p w14:paraId="74D9B78F">
      <w:pPr>
        <w:bidi w:val="0"/>
        <w:rPr>
          <w:rFonts w:hint="eastAsia"/>
          <w:color w:val="auto"/>
          <w:highlight w:val="none"/>
          <w:lang w:eastAsia="zh-CN"/>
        </w:rPr>
      </w:pPr>
      <w:r>
        <w:rPr>
          <w:rFonts w:hint="eastAsia"/>
          <w:color w:val="auto"/>
          <w:highlight w:val="none"/>
          <w:lang w:eastAsia="zh-CN"/>
        </w:rPr>
        <w:t>③预算额度测算依据充分，按照标准编制；</w:t>
      </w:r>
    </w:p>
    <w:p w14:paraId="13CF75B6">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52C117B7">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61843C45">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70D3B517">
      <w:pPr>
        <w:bidi w:val="0"/>
        <w:rPr>
          <w:rFonts w:hint="eastAsia"/>
          <w:color w:val="auto"/>
          <w:highlight w:val="none"/>
          <w:lang w:eastAsia="zh-CN"/>
        </w:rPr>
      </w:pPr>
      <w:r>
        <w:rPr>
          <w:rFonts w:hint="eastAsia"/>
          <w:color w:val="auto"/>
          <w:highlight w:val="none"/>
          <w:lang w:eastAsia="zh-CN"/>
        </w:rPr>
        <w:t>①预算资金分配依据充分；</w:t>
      </w:r>
    </w:p>
    <w:p w14:paraId="7BBA0E57">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0D2EB51B">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68B06FD3">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023BDB90">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19.998</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3520C209">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6181DCBB">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563C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818F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F62B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805E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77CC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FDC3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2EE3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48CDE6E">
        <w:tblPrEx>
          <w:shd w:val="clear" w:color="auto" w:fill="auto"/>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842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B537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35BB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91C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1719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0396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2D5F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0A23D3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5B45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CCAF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F20A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FB53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9201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0FAF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8357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3.998</w:t>
            </w:r>
          </w:p>
        </w:tc>
      </w:tr>
      <w:tr w14:paraId="1A8C55B5">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E7AB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7E4C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BE4A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D739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3BDC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569B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103C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ACF1EBE">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278B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D311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4C17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31E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6AA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11A6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86C5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D4AE433">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BBA2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65E5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139C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3112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CF7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8547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3997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9799587">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837B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9AE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F891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E7E4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AFB3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19.998</w:t>
            </w:r>
          </w:p>
        </w:tc>
      </w:tr>
    </w:tbl>
    <w:p w14:paraId="7DF377F9">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6846AF3E">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21万元</w:t>
      </w:r>
      <w:r>
        <w:rPr>
          <w:rFonts w:hint="eastAsia"/>
          <w:color w:val="auto"/>
          <w:highlight w:val="none"/>
          <w:lang w:eastAsia="zh-CN"/>
        </w:rPr>
        <w:t>/</w:t>
      </w:r>
      <w:r>
        <w:rPr>
          <w:rFonts w:hint="eastAsia"/>
          <w:color w:val="auto"/>
          <w:highlight w:val="none"/>
          <w:lang w:val="en-US" w:eastAsia="zh-CN"/>
        </w:rPr>
        <w:t>21万元</w:t>
      </w:r>
      <w:r>
        <w:rPr>
          <w:rFonts w:hint="eastAsia"/>
          <w:color w:val="auto"/>
          <w:highlight w:val="none"/>
          <w:lang w:eastAsia="zh-CN"/>
        </w:rPr>
        <w:t>）×100%</w:t>
      </w:r>
      <w:r>
        <w:rPr>
          <w:rFonts w:hint="eastAsia"/>
          <w:b/>
          <w:bCs/>
          <w:color w:val="auto"/>
          <w:highlight w:val="none"/>
          <w:lang w:val="en-US" w:eastAsia="zh-CN"/>
        </w:rPr>
        <w:t>=100%</w:t>
      </w:r>
    </w:p>
    <w:p w14:paraId="1BDB599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236BD8A">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6D2D5D8A">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20.99万元</w:t>
      </w:r>
      <w:r>
        <w:rPr>
          <w:rFonts w:hint="eastAsia"/>
          <w:color w:val="auto"/>
          <w:highlight w:val="none"/>
          <w:lang w:eastAsia="zh-CN"/>
        </w:rPr>
        <w:t>/</w:t>
      </w:r>
      <w:r>
        <w:rPr>
          <w:rFonts w:hint="eastAsia"/>
          <w:color w:val="auto"/>
          <w:highlight w:val="none"/>
          <w:lang w:val="en-US" w:eastAsia="zh-CN"/>
        </w:rPr>
        <w:t>21万元</w:t>
      </w:r>
      <w:r>
        <w:rPr>
          <w:rFonts w:hint="eastAsia"/>
          <w:color w:val="auto"/>
          <w:highlight w:val="none"/>
          <w:lang w:eastAsia="zh-CN"/>
        </w:rPr>
        <w:t>）×100%</w:t>
      </w:r>
      <w:r>
        <w:rPr>
          <w:rFonts w:hint="eastAsia"/>
          <w:b/>
          <w:bCs/>
          <w:color w:val="auto"/>
          <w:highlight w:val="none"/>
          <w:lang w:val="en-US" w:eastAsia="zh-CN"/>
        </w:rPr>
        <w:t>=99.95%</w:t>
      </w:r>
    </w:p>
    <w:p w14:paraId="249988E1">
      <w:pPr>
        <w:bidi w:val="0"/>
        <w:rPr>
          <w:rFonts w:hint="eastAsia"/>
          <w:color w:val="auto"/>
          <w:highlight w:val="none"/>
          <w:lang w:eastAsia="zh-CN"/>
        </w:rPr>
      </w:pPr>
      <w:r>
        <w:rPr>
          <w:rFonts w:hint="eastAsia"/>
          <w:b/>
          <w:bCs/>
          <w:color w:val="auto"/>
          <w:highlight w:val="none"/>
          <w:lang w:val="en-US" w:eastAsia="zh-CN"/>
        </w:rPr>
        <w:t>综上，该项指标满分4分，得分3.998分。</w:t>
      </w:r>
    </w:p>
    <w:p w14:paraId="0615AD7E">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CC51AC9">
      <w:pPr>
        <w:bidi w:val="0"/>
        <w:rPr>
          <w:rFonts w:hint="eastAsia"/>
          <w:color w:val="auto"/>
          <w:highlight w:val="none"/>
          <w:lang w:eastAsia="zh-CN"/>
        </w:rPr>
      </w:pPr>
      <w:r>
        <w:rPr>
          <w:rFonts w:hint="eastAsia"/>
          <w:color w:val="auto"/>
          <w:highlight w:val="none"/>
          <w:lang w:eastAsia="zh-CN"/>
        </w:rPr>
        <w:t>①符合国家财经法规和《</w:t>
      </w:r>
      <w:r>
        <w:rPr>
          <w:rFonts w:hint="eastAsia"/>
          <w:color w:val="auto"/>
          <w:highlight w:val="none"/>
          <w:lang w:val="en-US" w:eastAsia="zh-CN"/>
        </w:rPr>
        <w:t>阜康市融媒体中心财务管理制度</w:t>
      </w:r>
      <w:r>
        <w:rPr>
          <w:rFonts w:hint="eastAsia"/>
          <w:color w:val="auto"/>
          <w:highlight w:val="none"/>
          <w:lang w:eastAsia="zh-CN"/>
        </w:rPr>
        <w:t>》以及《</w:t>
      </w:r>
      <w:r>
        <w:rPr>
          <w:rFonts w:hint="eastAsia"/>
          <w:color w:val="auto"/>
          <w:highlight w:val="none"/>
          <w:lang w:val="en-US" w:eastAsia="zh-CN"/>
        </w:rPr>
        <w:t>新疆新闻出版广播影视公共服务运行维护保障专项资金管理制度</w:t>
      </w:r>
      <w:r>
        <w:rPr>
          <w:rFonts w:hint="eastAsia"/>
          <w:color w:val="auto"/>
          <w:highlight w:val="none"/>
          <w:lang w:eastAsia="zh-CN"/>
        </w:rPr>
        <w:t>》的规定；</w:t>
      </w:r>
    </w:p>
    <w:p w14:paraId="396A3888">
      <w:pPr>
        <w:bidi w:val="0"/>
        <w:rPr>
          <w:rFonts w:hint="eastAsia"/>
          <w:color w:val="auto"/>
          <w:highlight w:val="none"/>
          <w:lang w:eastAsia="zh-CN"/>
        </w:rPr>
      </w:pPr>
      <w:r>
        <w:rPr>
          <w:rFonts w:hint="eastAsia"/>
          <w:color w:val="auto"/>
          <w:highlight w:val="none"/>
          <w:lang w:eastAsia="zh-CN"/>
        </w:rPr>
        <w:t>②资金的拨付有完整的审批程序和手续；</w:t>
      </w:r>
    </w:p>
    <w:p w14:paraId="76DD3AD2">
      <w:pPr>
        <w:bidi w:val="0"/>
        <w:rPr>
          <w:rFonts w:hint="eastAsia"/>
          <w:color w:val="auto"/>
          <w:highlight w:val="none"/>
          <w:lang w:eastAsia="zh-CN"/>
        </w:rPr>
      </w:pPr>
      <w:r>
        <w:rPr>
          <w:rFonts w:hint="eastAsia"/>
          <w:color w:val="auto"/>
          <w:highlight w:val="none"/>
          <w:lang w:eastAsia="zh-CN"/>
        </w:rPr>
        <w:t>③符合项目预算批复或合同规定的用途；</w:t>
      </w:r>
    </w:p>
    <w:p w14:paraId="744EFFC5">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1686565D">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29A479B">
      <w:pPr>
        <w:numPr>
          <w:ilvl w:val="0"/>
          <w:numId w:val="0"/>
        </w:numPr>
        <w:bidi w:val="0"/>
        <w:ind w:firstLine="562" w:firstLineChars="200"/>
        <w:rPr>
          <w:rFonts w:hint="eastAsia"/>
          <w:b/>
          <w:bCs/>
          <w:color w:val="auto"/>
          <w:highlight w:val="none"/>
          <w:lang w:val="en-US" w:eastAsia="zh-CN"/>
        </w:rPr>
      </w:pPr>
      <w:r>
        <w:rPr>
          <w:rFonts w:hint="eastAsia"/>
          <w:b/>
          <w:bCs/>
          <w:color w:val="auto"/>
          <w:highlight w:val="none"/>
          <w:lang w:val="en-US" w:eastAsia="zh-CN"/>
        </w:rPr>
        <w:t>4.管理制度健全性</w:t>
      </w:r>
    </w:p>
    <w:p w14:paraId="3ADC643D">
      <w:pPr>
        <w:pStyle w:val="2"/>
        <w:rPr>
          <w:rFonts w:hint="default"/>
          <w:color w:val="auto"/>
          <w:highlight w:val="none"/>
          <w:lang w:val="en-US" w:eastAsia="zh-CN"/>
        </w:rPr>
      </w:pPr>
      <w:r>
        <w:rPr>
          <w:rFonts w:hint="eastAsia"/>
          <w:color w:val="auto"/>
          <w:highlight w:val="none"/>
          <w:lang w:eastAsia="zh-CN"/>
        </w:rPr>
        <w:t>①已制定《</w:t>
      </w:r>
      <w:r>
        <w:rPr>
          <w:rFonts w:hint="eastAsia"/>
          <w:color w:val="auto"/>
          <w:highlight w:val="none"/>
          <w:lang w:val="en-US" w:eastAsia="zh-CN"/>
        </w:rPr>
        <w:t>阜康市融媒体中心财务管理制度</w:t>
      </w:r>
      <w:r>
        <w:rPr>
          <w:rFonts w:hint="eastAsia"/>
          <w:color w:val="auto"/>
          <w:highlight w:val="none"/>
          <w:lang w:eastAsia="zh-CN"/>
        </w:rPr>
        <w:t>》《</w:t>
      </w:r>
      <w:r>
        <w:rPr>
          <w:rFonts w:hint="eastAsia"/>
          <w:color w:val="auto"/>
          <w:highlight w:val="none"/>
          <w:lang w:val="en-US" w:eastAsia="zh-CN"/>
        </w:rPr>
        <w:t>机房检修制度</w:t>
      </w:r>
      <w:r>
        <w:rPr>
          <w:rFonts w:hint="eastAsia"/>
          <w:color w:val="auto"/>
          <w:highlight w:val="none"/>
          <w:lang w:eastAsia="zh-CN"/>
        </w:rPr>
        <w:t>》《</w:t>
      </w:r>
      <w:r>
        <w:rPr>
          <w:rFonts w:hint="eastAsia"/>
          <w:color w:val="auto"/>
          <w:highlight w:val="none"/>
          <w:lang w:val="en-US" w:eastAsia="zh-CN"/>
        </w:rPr>
        <w:t>交接班制度</w:t>
      </w:r>
      <w:r>
        <w:rPr>
          <w:rFonts w:hint="eastAsia"/>
          <w:color w:val="auto"/>
          <w:highlight w:val="none"/>
          <w:lang w:eastAsia="zh-CN"/>
        </w:rPr>
        <w:t>》《</w:t>
      </w:r>
      <w:r>
        <w:rPr>
          <w:rFonts w:hint="eastAsia"/>
          <w:color w:val="auto"/>
          <w:highlight w:val="none"/>
          <w:lang w:val="en-US" w:eastAsia="zh-CN"/>
        </w:rPr>
        <w:t>三审三校制度》等相关业务管理制度</w:t>
      </w:r>
    </w:p>
    <w:p w14:paraId="613A0594">
      <w:pPr>
        <w:bidi w:val="0"/>
        <w:rPr>
          <w:rFonts w:hint="eastAsia"/>
          <w:color w:val="auto"/>
          <w:highlight w:val="none"/>
          <w:lang w:eastAsia="zh-CN"/>
        </w:rPr>
      </w:pPr>
      <w:r>
        <w:rPr>
          <w:rFonts w:hint="eastAsia"/>
          <w:color w:val="auto"/>
          <w:highlight w:val="none"/>
          <w:lang w:eastAsia="zh-CN"/>
        </w:rPr>
        <w:t>②财务和业务管理制度合法、合规、完整。</w:t>
      </w:r>
    </w:p>
    <w:p w14:paraId="23351777">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38D1142">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068B12D6">
      <w:pPr>
        <w:bidi w:val="0"/>
        <w:rPr>
          <w:rFonts w:hint="eastAsia"/>
          <w:color w:val="auto"/>
          <w:highlight w:val="none"/>
          <w:lang w:eastAsia="zh-CN"/>
        </w:rPr>
      </w:pPr>
      <w:r>
        <w:rPr>
          <w:rFonts w:hint="eastAsia"/>
          <w:color w:val="auto"/>
          <w:highlight w:val="none"/>
          <w:lang w:eastAsia="zh-CN"/>
        </w:rPr>
        <w:t>①遵守相关法律法规和相关管理规定；</w:t>
      </w:r>
    </w:p>
    <w:p w14:paraId="4E6EF9D0">
      <w:pPr>
        <w:bidi w:val="0"/>
        <w:rPr>
          <w:rFonts w:hint="default" w:eastAsia="宋体"/>
          <w:color w:val="auto"/>
          <w:highlight w:val="none"/>
          <w:lang w:val="en-US" w:eastAsia="zh-CN"/>
        </w:rPr>
      </w:pPr>
      <w:r>
        <w:rPr>
          <w:rFonts w:hint="eastAsia"/>
          <w:color w:val="auto"/>
          <w:highlight w:val="none"/>
          <w:lang w:eastAsia="zh-CN"/>
        </w:rPr>
        <w:t>②</w:t>
      </w:r>
      <w:r>
        <w:rPr>
          <w:rFonts w:hint="eastAsia"/>
          <w:color w:val="auto"/>
          <w:highlight w:val="none"/>
          <w:lang w:val="en-US" w:eastAsia="zh-CN"/>
        </w:rPr>
        <w:t>本项目支出无调整</w:t>
      </w:r>
    </w:p>
    <w:p w14:paraId="519D4689">
      <w:pPr>
        <w:bidi w:val="0"/>
        <w:rPr>
          <w:rFonts w:hint="eastAsia"/>
          <w:color w:val="auto"/>
          <w:highlight w:val="none"/>
          <w:lang w:eastAsia="zh-CN"/>
        </w:rPr>
      </w:pPr>
      <w:r>
        <w:rPr>
          <w:rFonts w:hint="eastAsia"/>
          <w:color w:val="auto"/>
          <w:highlight w:val="none"/>
          <w:lang w:eastAsia="zh-CN"/>
        </w:rPr>
        <w:t>③项目合同书、验收报告、技术鉴定等资料齐全并及时归档；</w:t>
      </w:r>
    </w:p>
    <w:p w14:paraId="234F0654">
      <w:pPr>
        <w:rPr>
          <w:rFonts w:hint="default"/>
          <w:color w:val="auto"/>
          <w:highlight w:val="none"/>
          <w:lang w:val="en-US" w:eastAsia="zh-CN"/>
        </w:rPr>
      </w:pPr>
      <w:r>
        <w:rPr>
          <w:rFonts w:hint="eastAsia"/>
          <w:color w:val="auto"/>
          <w:highlight w:val="none"/>
          <w:lang w:val="en-US" w:eastAsia="zh-CN"/>
        </w:rPr>
        <w:t>《机房备件采购合同》、《验收单》、《发射铁塔检测服务合同》、</w:t>
      </w:r>
    </w:p>
    <w:p w14:paraId="54979E6A">
      <w:pPr>
        <w:bidi w:val="0"/>
        <w:rPr>
          <w:rFonts w:hint="eastAsia"/>
          <w:color w:val="auto"/>
          <w:highlight w:val="none"/>
          <w:lang w:eastAsia="zh-CN"/>
        </w:rPr>
      </w:pPr>
      <w:r>
        <w:rPr>
          <w:rFonts w:hint="eastAsia"/>
          <w:color w:val="auto"/>
          <w:highlight w:val="none"/>
          <w:lang w:eastAsia="zh-CN"/>
        </w:rPr>
        <w:t>④项目实施的人员条件</w:t>
      </w:r>
      <w:r>
        <w:rPr>
          <w:rFonts w:hint="eastAsia"/>
          <w:color w:val="auto"/>
          <w:highlight w:val="none"/>
          <w:shd w:val="clear"/>
          <w:lang w:eastAsia="zh-CN"/>
        </w:rPr>
        <w:t>、场地设备、信息支撑等落实到</w:t>
      </w:r>
      <w:r>
        <w:rPr>
          <w:rFonts w:hint="eastAsia"/>
          <w:color w:val="auto"/>
          <w:highlight w:val="none"/>
          <w:lang w:eastAsia="zh-CN"/>
        </w:rPr>
        <w:t>位。</w:t>
      </w:r>
    </w:p>
    <w:p w14:paraId="42768B5F">
      <w:pPr>
        <w:pStyle w:val="2"/>
        <w:rPr>
          <w:rFonts w:hint="default"/>
          <w:color w:val="auto"/>
          <w:highlight w:val="none"/>
          <w:lang w:val="en-US" w:eastAsia="zh-CN"/>
        </w:rPr>
      </w:pPr>
      <w:r>
        <w:rPr>
          <w:rFonts w:hint="eastAsia"/>
          <w:color w:val="auto"/>
          <w:highlight w:val="none"/>
          <w:lang w:val="en-US" w:eastAsia="zh-CN"/>
        </w:rPr>
        <w:t>该项目</w:t>
      </w:r>
      <w:r>
        <w:rPr>
          <w:rFonts w:hint="eastAsia" w:cs="宋体"/>
          <w:color w:val="auto"/>
          <w:sz w:val="28"/>
          <w:szCs w:val="28"/>
          <w:highlight w:val="none"/>
          <w:shd w:val="clear" w:color="auto" w:fill="auto"/>
          <w:lang w:val="en-US" w:eastAsia="zh-CN"/>
        </w:rPr>
        <w:t>负责人为本单位专业技术人员文广，对项目进行具体的计划和实施。确保自治区无线覆盖工程配备的转播自治区广播电视节目调频发射机能够正常运转，使广大农村及各族群众及时收听收看到中央和自治区的广播电视节目、及时了解国家及地方等重要事件和民生政策内容的需求，从而巩固自治区广播电视无线覆盖工程实施效果,实现各发射台站按规定完整转播好自治区广播节目。</w:t>
      </w:r>
    </w:p>
    <w:p w14:paraId="6BF51BD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157326C">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3FF151C9">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F86CF27">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2FD4BC2">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068F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E9B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AF8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187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D6AF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C59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2B2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641E3DC4">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8BBAC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5902F5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D9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发射机维护数量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D7C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≥6部</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7A7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8A5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6部</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C63F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3213436D">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F611D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E8522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763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无线覆盖免费收听自治区广播节目数量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D0A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≥3套</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296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1D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3套</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C48C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3F14CD6">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18793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3CA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1865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开展专项运行维护次数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016B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≥18次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694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DBD5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27B0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r>
      <w:tr w14:paraId="222EA615">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DF5D3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27230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43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发射机满功率播出率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116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601F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5BD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F08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r>
      <w:tr w14:paraId="51CFE761">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94F73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3FCE5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1AC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发射机满调制播出率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073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D2BB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C55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54A3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7B514078">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18AA1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21D2CA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4F4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发射机满时间播出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058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D85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4AD0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588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r>
      <w:tr w14:paraId="0673C27D">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4FDDE5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4DD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EA20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发射机及附属设备设施完好率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C22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93F5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49D1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4AF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0A8C1224">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5E047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20FAB2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AAB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DD1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86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FCA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01A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657302FD">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AE37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CE949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825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运行维护完成及时性</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921E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9F83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9B1A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E73B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0FA7FD37">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769021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7A4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D25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设备运行维护响应时间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EB6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≤72小时</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816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ADBB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2.25小时</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109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w:t>
            </w:r>
          </w:p>
        </w:tc>
      </w:tr>
      <w:tr w14:paraId="2BB725CF">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16CF9A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E8824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805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发射机运行维护电费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BEBE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06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606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7.55万元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5041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3</w:t>
            </w:r>
          </w:p>
        </w:tc>
      </w:tr>
      <w:tr w14:paraId="5F703BF7">
        <w:tblPrEx>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BA6E1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0D6DF7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7D9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无线覆盖设备铁塔质量检测费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031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D4B2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2851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4FE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14:paraId="0E2F80F9">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F1B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39A4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982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发射机运行维护备品备件采购费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CFF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DDFD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9304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4.94万元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63D0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756CB118">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BA5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3C0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518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5FB1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2DE4550D">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5FD85DA4">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发射机维护数量</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0"/>
          <w:szCs w:val="20"/>
          <w:highlight w:val="none"/>
          <w:shd w:val="clear" w:color="auto" w:fill="auto"/>
          <w:lang w:val="en-US" w:eastAsia="zh-CN"/>
        </w:rPr>
        <w:t>≥</w:t>
      </w:r>
      <w:r>
        <w:rPr>
          <w:rFonts w:hint="eastAsia"/>
          <w:color w:val="auto"/>
          <w:highlight w:val="none"/>
          <w:lang w:val="en-US" w:eastAsia="zh-CN"/>
        </w:rPr>
        <w:t>6部，实际完成为6部。实际完成率=（6部/6部）×100%=100%。</w:t>
      </w:r>
    </w:p>
    <w:p w14:paraId="59BC59D0">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无线覆盖免费收听自治区广播节目数量</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0"/>
          <w:szCs w:val="20"/>
          <w:highlight w:val="none"/>
          <w:shd w:val="clear" w:color="auto" w:fill="auto"/>
          <w:lang w:val="en-US" w:eastAsia="zh-CN"/>
        </w:rPr>
        <w:t>≥</w:t>
      </w:r>
      <w:r>
        <w:rPr>
          <w:rFonts w:hint="eastAsia"/>
          <w:color w:val="auto"/>
          <w:highlight w:val="none"/>
          <w:lang w:val="en-US" w:eastAsia="zh-CN"/>
        </w:rPr>
        <w:t>3套，实际完成为3套。实际完成率=（3套/3套）×100%=100%。</w:t>
      </w:r>
    </w:p>
    <w:p w14:paraId="2834988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开展专项运行维护次数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0"/>
          <w:szCs w:val="20"/>
          <w:highlight w:val="none"/>
          <w:shd w:val="clear" w:color="auto" w:fill="auto"/>
          <w:lang w:val="en-US" w:eastAsia="zh-CN"/>
        </w:rPr>
        <w:t>≥</w:t>
      </w:r>
      <w:r>
        <w:rPr>
          <w:rFonts w:hint="eastAsia"/>
          <w:color w:val="auto"/>
          <w:highlight w:val="none"/>
          <w:lang w:val="en-US" w:eastAsia="zh-CN"/>
        </w:rPr>
        <w:t>18次，实际完成为20次。实际完成率=（20次/18次）×100%=111%。</w:t>
      </w:r>
    </w:p>
    <w:p w14:paraId="7DDA1EE6">
      <w:pPr>
        <w:bidi w:val="0"/>
        <w:rPr>
          <w:rFonts w:hint="eastAsia"/>
          <w:color w:val="auto"/>
          <w:highlight w:val="none"/>
          <w:lang w:eastAsia="zh-CN"/>
        </w:rPr>
      </w:pPr>
      <w:r>
        <w:rPr>
          <w:rFonts w:hint="eastAsia"/>
          <w:b/>
          <w:bCs/>
          <w:color w:val="auto"/>
          <w:highlight w:val="none"/>
          <w:lang w:val="en-US" w:eastAsia="zh-CN"/>
        </w:rPr>
        <w:t>综上，该项指标满分8分，得分8分。</w:t>
      </w:r>
    </w:p>
    <w:p w14:paraId="6A350351">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DF538AB">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发射机满功率播出率</w:t>
      </w:r>
      <w:r>
        <w:rPr>
          <w:rFonts w:hint="eastAsia"/>
          <w:color w:val="auto"/>
          <w:highlight w:val="none"/>
          <w:lang w:eastAsia="zh-CN"/>
        </w:rPr>
        <w:t>”</w:t>
      </w:r>
      <w:r>
        <w:rPr>
          <w:rFonts w:hint="eastAsia"/>
          <w:color w:val="auto"/>
          <w:highlight w:val="none"/>
          <w:lang w:val="en-US" w:eastAsia="zh-CN"/>
        </w:rPr>
        <w:t>指标，预期目标值为</w:t>
      </w:r>
      <w:r>
        <w:rPr>
          <w:rFonts w:hint="eastAsia" w:asciiTheme="minorEastAsia" w:hAnsiTheme="minorEastAsia" w:eastAsiaTheme="minorEastAsia" w:cstheme="minorEastAsia"/>
          <w:color w:val="auto"/>
          <w:highlight w:val="none"/>
          <w:lang w:val="en-US" w:eastAsia="zh-CN"/>
        </w:rPr>
        <w:t>≥</w:t>
      </w:r>
      <w:r>
        <w:rPr>
          <w:rFonts w:hint="eastAsia"/>
          <w:color w:val="auto"/>
          <w:highlight w:val="none"/>
          <w:lang w:val="en-US" w:eastAsia="zh-CN"/>
        </w:rPr>
        <w:t>100%，实际完成为100%。</w:t>
      </w:r>
    </w:p>
    <w:p w14:paraId="5256912D">
      <w:pPr>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发射机满调制播出率</w:t>
      </w:r>
      <w:r>
        <w:rPr>
          <w:rFonts w:hint="eastAsia"/>
          <w:color w:val="auto"/>
          <w:highlight w:val="none"/>
          <w:lang w:eastAsia="zh-CN"/>
        </w:rPr>
        <w:t>”</w:t>
      </w:r>
      <w:r>
        <w:rPr>
          <w:rFonts w:hint="eastAsia"/>
          <w:color w:val="auto"/>
          <w:highlight w:val="none"/>
          <w:lang w:val="en-US" w:eastAsia="zh-CN"/>
        </w:rPr>
        <w:t>指标，预期目标值为</w:t>
      </w:r>
      <w:r>
        <w:rPr>
          <w:rFonts w:hint="eastAsia" w:asciiTheme="minorEastAsia" w:hAnsiTheme="minorEastAsia" w:eastAsiaTheme="minorEastAsia" w:cstheme="minorEastAsia"/>
          <w:color w:val="auto"/>
          <w:highlight w:val="none"/>
          <w:lang w:val="en-US" w:eastAsia="zh-CN"/>
        </w:rPr>
        <w:t>≥</w:t>
      </w:r>
      <w:r>
        <w:rPr>
          <w:rFonts w:hint="eastAsia"/>
          <w:color w:val="auto"/>
          <w:highlight w:val="none"/>
          <w:lang w:val="en-US" w:eastAsia="zh-CN"/>
        </w:rPr>
        <w:t>100%，实际完成为100%。</w:t>
      </w:r>
    </w:p>
    <w:p w14:paraId="6E236568">
      <w:pPr>
        <w:pStyle w:val="2"/>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发射机满时间播出</w:t>
      </w:r>
      <w:r>
        <w:rPr>
          <w:rFonts w:hint="eastAsia"/>
          <w:color w:val="auto"/>
          <w:highlight w:val="none"/>
          <w:lang w:eastAsia="zh-CN"/>
        </w:rPr>
        <w:t>”</w:t>
      </w:r>
      <w:r>
        <w:rPr>
          <w:rFonts w:hint="eastAsia"/>
          <w:color w:val="auto"/>
          <w:highlight w:val="none"/>
          <w:lang w:val="en-US" w:eastAsia="zh-CN"/>
        </w:rPr>
        <w:t>指标，预期目标值为</w:t>
      </w:r>
      <w:r>
        <w:rPr>
          <w:rFonts w:hint="eastAsia" w:asciiTheme="minorEastAsia" w:hAnsiTheme="minorEastAsia" w:eastAsiaTheme="minorEastAsia" w:cstheme="minorEastAsia"/>
          <w:color w:val="auto"/>
          <w:highlight w:val="none"/>
          <w:lang w:val="en-US" w:eastAsia="zh-CN"/>
        </w:rPr>
        <w:t>≥</w:t>
      </w:r>
      <w:r>
        <w:rPr>
          <w:rFonts w:hint="eastAsia"/>
          <w:color w:val="auto"/>
          <w:highlight w:val="none"/>
          <w:lang w:val="en-US" w:eastAsia="zh-CN"/>
        </w:rPr>
        <w:t>100%，实际完成为100%。</w:t>
      </w:r>
    </w:p>
    <w:p w14:paraId="12A4CA0C">
      <w:pPr>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发射机及附属设备设施完好率</w:t>
      </w:r>
      <w:r>
        <w:rPr>
          <w:rFonts w:hint="eastAsia"/>
          <w:color w:val="auto"/>
          <w:highlight w:val="none"/>
          <w:lang w:eastAsia="zh-CN"/>
        </w:rPr>
        <w:t>”</w:t>
      </w:r>
      <w:r>
        <w:rPr>
          <w:rFonts w:hint="eastAsia"/>
          <w:color w:val="auto"/>
          <w:highlight w:val="none"/>
          <w:lang w:val="en-US" w:eastAsia="zh-CN"/>
        </w:rPr>
        <w:t>指标，预期目标值为</w:t>
      </w:r>
      <w:r>
        <w:rPr>
          <w:rFonts w:hint="eastAsia" w:asciiTheme="minorEastAsia" w:hAnsiTheme="minorEastAsia" w:eastAsiaTheme="minorEastAsia" w:cstheme="minorEastAsia"/>
          <w:color w:val="auto"/>
          <w:highlight w:val="none"/>
          <w:lang w:val="en-US" w:eastAsia="zh-CN"/>
        </w:rPr>
        <w:t>≥</w:t>
      </w:r>
      <w:r>
        <w:rPr>
          <w:rFonts w:hint="eastAsia"/>
          <w:color w:val="auto"/>
          <w:highlight w:val="none"/>
          <w:lang w:val="en-US" w:eastAsia="zh-CN"/>
        </w:rPr>
        <w:t>95%，实际完成为100%。</w:t>
      </w:r>
    </w:p>
    <w:p w14:paraId="79767EB3">
      <w:pPr>
        <w:bidi w:val="0"/>
        <w:rPr>
          <w:rFonts w:hint="eastAsia"/>
          <w:color w:val="auto"/>
          <w:highlight w:val="none"/>
          <w:lang w:eastAsia="zh-CN"/>
        </w:rPr>
      </w:pPr>
      <w:r>
        <w:rPr>
          <w:rFonts w:hint="eastAsia"/>
          <w:b/>
          <w:bCs/>
          <w:color w:val="auto"/>
          <w:highlight w:val="none"/>
          <w:lang w:val="en-US" w:eastAsia="zh-CN"/>
        </w:rPr>
        <w:t>综上，该项指标满分7分，得分7分。</w:t>
      </w:r>
    </w:p>
    <w:p w14:paraId="52DDFDF5">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094B2CCD">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资金到位率</w:t>
      </w:r>
      <w:r>
        <w:rPr>
          <w:rFonts w:hint="eastAsia"/>
          <w:color w:val="auto"/>
          <w:highlight w:val="none"/>
          <w:lang w:eastAsia="zh-CN"/>
        </w:rPr>
        <w:t>”</w:t>
      </w:r>
      <w:r>
        <w:rPr>
          <w:rFonts w:hint="eastAsia"/>
          <w:color w:val="auto"/>
          <w:highlight w:val="none"/>
          <w:lang w:val="en-US" w:eastAsia="zh-CN"/>
        </w:rPr>
        <w:t>指标，预期目标值为100%，实际完成为100%。</w:t>
      </w:r>
    </w:p>
    <w:p w14:paraId="18ABFB2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运行维护完成及时性</w:t>
      </w:r>
      <w:r>
        <w:rPr>
          <w:rFonts w:hint="eastAsia"/>
          <w:color w:val="auto"/>
          <w:highlight w:val="none"/>
          <w:lang w:eastAsia="zh-CN"/>
        </w:rPr>
        <w:t>”</w:t>
      </w:r>
      <w:r>
        <w:rPr>
          <w:rFonts w:hint="eastAsia"/>
          <w:color w:val="auto"/>
          <w:highlight w:val="none"/>
          <w:lang w:val="en-US" w:eastAsia="zh-CN"/>
        </w:rPr>
        <w:t>指标，预期目标值为</w:t>
      </w:r>
      <w:r>
        <w:rPr>
          <w:rFonts w:hint="default" w:ascii="Arial" w:hAnsi="Arial" w:cs="Arial"/>
          <w:color w:val="auto"/>
          <w:highlight w:val="none"/>
          <w:lang w:val="en-US" w:eastAsia="zh-CN"/>
        </w:rPr>
        <w:t>≥</w:t>
      </w:r>
      <w:r>
        <w:rPr>
          <w:rFonts w:hint="eastAsia"/>
          <w:color w:val="auto"/>
          <w:highlight w:val="none"/>
          <w:lang w:val="en-US" w:eastAsia="zh-CN"/>
        </w:rPr>
        <w:t>95%，实际完成为100%。</w:t>
      </w:r>
    </w:p>
    <w:p w14:paraId="73D5C074">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设备运行维护响应时间</w:t>
      </w:r>
      <w:r>
        <w:rPr>
          <w:rFonts w:hint="eastAsia"/>
          <w:color w:val="auto"/>
          <w:highlight w:val="none"/>
          <w:lang w:eastAsia="zh-CN"/>
        </w:rPr>
        <w:t>”</w:t>
      </w:r>
      <w:r>
        <w:rPr>
          <w:rFonts w:hint="eastAsia"/>
          <w:color w:val="auto"/>
          <w:highlight w:val="none"/>
          <w:lang w:val="en-US" w:eastAsia="zh-CN"/>
        </w:rPr>
        <w:t>指标，预期目标值为</w:t>
      </w:r>
      <w:r>
        <w:rPr>
          <w:rFonts w:hint="default" w:ascii="Arial" w:hAnsi="Arial" w:cs="Arial"/>
          <w:color w:val="auto"/>
          <w:highlight w:val="none"/>
          <w:lang w:val="en-US" w:eastAsia="zh-CN"/>
        </w:rPr>
        <w:t>≤</w:t>
      </w:r>
      <w:r>
        <w:rPr>
          <w:rFonts w:hint="eastAsia"/>
          <w:color w:val="auto"/>
          <w:highlight w:val="none"/>
          <w:lang w:val="en-US" w:eastAsia="zh-CN"/>
        </w:rPr>
        <w:t>75小时，实际完成为2.25小时。</w:t>
      </w:r>
    </w:p>
    <w:p w14:paraId="2AEB0F15">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51A1197E">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12218A9E">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发射机运行维护电费</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highlight w:val="none"/>
          <w:lang w:val="en-US" w:eastAsia="zh-CN"/>
        </w:rPr>
        <w:t>≤</w:t>
      </w:r>
      <w:r>
        <w:rPr>
          <w:rFonts w:hint="eastAsia"/>
          <w:color w:val="auto"/>
          <w:highlight w:val="none"/>
          <w:lang w:val="en-US" w:eastAsia="zh-CN"/>
        </w:rPr>
        <w:t>7万元，实际完成为7.55万元。实际完成率=（7.55万元/7万元）×100%=108%。</w:t>
      </w:r>
    </w:p>
    <w:p w14:paraId="6192B046">
      <w:pPr>
        <w:pStyle w:val="2"/>
        <w:rPr>
          <w:rFonts w:hint="eastAsia"/>
          <w:color w:val="auto"/>
          <w:highlight w:val="none"/>
          <w:lang w:val="en-US" w:eastAsia="zh-CN"/>
        </w:rPr>
      </w:pPr>
      <w:r>
        <w:rPr>
          <w:rFonts w:hint="eastAsia"/>
          <w:color w:val="auto"/>
          <w:highlight w:val="none"/>
          <w:lang w:eastAsia="zh-CN"/>
        </w:rPr>
        <w:t>“无线覆盖设备铁塔质量检测费”</w:t>
      </w:r>
      <w:r>
        <w:rPr>
          <w:rFonts w:hint="eastAsia"/>
          <w:color w:val="auto"/>
          <w:highlight w:val="none"/>
          <w:lang w:val="en-US" w:eastAsia="zh-CN"/>
        </w:rPr>
        <w:t>指标，预期目标值为</w:t>
      </w:r>
      <w:r>
        <w:rPr>
          <w:rFonts w:hint="eastAsia" w:ascii="宋体" w:hAnsi="宋体" w:eastAsia="宋体" w:cs="宋体"/>
          <w:color w:val="auto"/>
          <w:highlight w:val="none"/>
          <w:lang w:val="en-US" w:eastAsia="zh-CN"/>
        </w:rPr>
        <w:t>≤</w:t>
      </w:r>
      <w:r>
        <w:rPr>
          <w:rFonts w:hint="eastAsia"/>
          <w:color w:val="auto"/>
          <w:highlight w:val="none"/>
          <w:lang w:val="en-US" w:eastAsia="zh-CN"/>
        </w:rPr>
        <w:t>9万元，实际完成为8.5万元。实际完成率=（8.5万元/9万元）×100%=94%。</w:t>
      </w:r>
    </w:p>
    <w:p w14:paraId="2AC2B0B2">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发射机运行维护备品备件采购费</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highlight w:val="none"/>
          <w:lang w:val="en-US" w:eastAsia="zh-CN"/>
        </w:rPr>
        <w:t>≤</w:t>
      </w:r>
      <w:r>
        <w:rPr>
          <w:rFonts w:hint="eastAsia"/>
          <w:color w:val="auto"/>
          <w:highlight w:val="none"/>
          <w:lang w:val="en-US" w:eastAsia="zh-CN"/>
        </w:rPr>
        <w:t>5万元，实际完成为4.94万元。实际完成率=（4.94万元/5万元）×100%=98.8%</w:t>
      </w:r>
    </w:p>
    <w:p w14:paraId="1317DB64">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55457923">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6D90E622">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04ADEE87">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85"/>
        <w:gridCol w:w="1725"/>
        <w:gridCol w:w="2482"/>
        <w:gridCol w:w="1132"/>
        <w:gridCol w:w="645"/>
        <w:gridCol w:w="1050"/>
        <w:gridCol w:w="653"/>
      </w:tblGrid>
      <w:tr w14:paraId="5370A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6" w:hRule="atLeast"/>
          <w:jc w:val="center"/>
        </w:trPr>
        <w:tc>
          <w:tcPr>
            <w:tcW w:w="685" w:type="dxa"/>
            <w:shd w:val="clear" w:color="auto" w:fill="auto"/>
            <w:tcMar>
              <w:top w:w="15" w:type="dxa"/>
              <w:left w:w="15" w:type="dxa"/>
              <w:right w:w="15" w:type="dxa"/>
            </w:tcMar>
            <w:vAlign w:val="center"/>
          </w:tcPr>
          <w:p w14:paraId="22C511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1E527E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shd w:val="clear" w:color="auto" w:fill="auto"/>
            <w:tcMar>
              <w:top w:w="15" w:type="dxa"/>
              <w:left w:w="15" w:type="dxa"/>
              <w:right w:w="15" w:type="dxa"/>
            </w:tcMar>
            <w:vAlign w:val="center"/>
          </w:tcPr>
          <w:p w14:paraId="37F4CF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482" w:type="dxa"/>
            <w:shd w:val="clear" w:color="auto" w:fill="auto"/>
            <w:tcMar>
              <w:top w:w="15" w:type="dxa"/>
              <w:left w:w="15" w:type="dxa"/>
              <w:right w:w="15" w:type="dxa"/>
            </w:tcMar>
            <w:vAlign w:val="center"/>
          </w:tcPr>
          <w:p w14:paraId="53888E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132" w:type="dxa"/>
            <w:shd w:val="clear" w:color="auto" w:fill="auto"/>
            <w:tcMar>
              <w:top w:w="15" w:type="dxa"/>
              <w:left w:w="15" w:type="dxa"/>
              <w:right w:w="15" w:type="dxa"/>
            </w:tcMar>
            <w:vAlign w:val="center"/>
          </w:tcPr>
          <w:p w14:paraId="4EB1AA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0CC8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shd w:val="clear" w:color="auto" w:fill="auto"/>
            <w:tcMar>
              <w:top w:w="15" w:type="dxa"/>
              <w:left w:w="15" w:type="dxa"/>
              <w:right w:w="15" w:type="dxa"/>
            </w:tcMar>
            <w:vAlign w:val="center"/>
          </w:tcPr>
          <w:p w14:paraId="5BBBC0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60AA4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shd w:val="clear" w:color="auto" w:fill="auto"/>
            <w:tcMar>
              <w:top w:w="15" w:type="dxa"/>
              <w:left w:w="15" w:type="dxa"/>
              <w:right w:w="15" w:type="dxa"/>
            </w:tcMar>
            <w:vAlign w:val="center"/>
          </w:tcPr>
          <w:p w14:paraId="0CCC14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A2D72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shd w:val="clear" w:color="auto" w:fill="auto"/>
            <w:tcMar>
              <w:top w:w="15" w:type="dxa"/>
              <w:left w:w="15" w:type="dxa"/>
              <w:right w:w="15" w:type="dxa"/>
            </w:tcMar>
            <w:vAlign w:val="center"/>
          </w:tcPr>
          <w:p w14:paraId="7D303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31308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BB49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restart"/>
            <w:shd w:val="clear" w:color="auto" w:fill="auto"/>
            <w:tcMar>
              <w:top w:w="15" w:type="dxa"/>
              <w:left w:w="15" w:type="dxa"/>
              <w:right w:w="15" w:type="dxa"/>
            </w:tcMar>
            <w:vAlign w:val="center"/>
          </w:tcPr>
          <w:p w14:paraId="06ADC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shd w:val="clear" w:color="auto" w:fill="auto"/>
            <w:tcMar>
              <w:top w:w="15" w:type="dxa"/>
              <w:left w:w="15" w:type="dxa"/>
              <w:right w:w="15" w:type="dxa"/>
            </w:tcMar>
            <w:vAlign w:val="center"/>
          </w:tcPr>
          <w:p w14:paraId="50449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482" w:type="dxa"/>
            <w:shd w:val="clear" w:color="auto" w:fill="auto"/>
            <w:tcMar>
              <w:top w:w="15" w:type="dxa"/>
              <w:left w:w="15" w:type="dxa"/>
              <w:right w:w="15" w:type="dxa"/>
            </w:tcMar>
            <w:vAlign w:val="center"/>
          </w:tcPr>
          <w:p w14:paraId="263AB2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132" w:type="dxa"/>
            <w:shd w:val="clear" w:color="auto" w:fill="auto"/>
            <w:tcMar>
              <w:top w:w="15" w:type="dxa"/>
              <w:left w:w="15" w:type="dxa"/>
              <w:right w:w="15" w:type="dxa"/>
            </w:tcMar>
            <w:vAlign w:val="center"/>
          </w:tcPr>
          <w:p w14:paraId="45935D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3BB697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617C0B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6B2E0C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792AA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6DC37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shd w:val="clear" w:color="auto" w:fill="auto"/>
            <w:tcMar>
              <w:top w:w="15" w:type="dxa"/>
              <w:left w:w="15" w:type="dxa"/>
              <w:right w:w="15" w:type="dxa"/>
            </w:tcMar>
            <w:vAlign w:val="center"/>
          </w:tcPr>
          <w:p w14:paraId="1426DB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482" w:type="dxa"/>
            <w:shd w:val="clear" w:color="auto" w:fill="auto"/>
            <w:tcMar>
              <w:top w:w="15" w:type="dxa"/>
              <w:left w:w="15" w:type="dxa"/>
              <w:right w:w="15" w:type="dxa"/>
            </w:tcMar>
            <w:vAlign w:val="center"/>
          </w:tcPr>
          <w:p w14:paraId="77F05B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中央/行业/地方主要媒体刊发图文、短视频</w:t>
            </w:r>
          </w:p>
        </w:tc>
        <w:tc>
          <w:tcPr>
            <w:tcW w:w="1132" w:type="dxa"/>
            <w:shd w:val="clear" w:color="auto" w:fill="auto"/>
            <w:tcMar>
              <w:top w:w="15" w:type="dxa"/>
              <w:left w:w="15" w:type="dxa"/>
              <w:right w:w="15" w:type="dxa"/>
            </w:tcMar>
            <w:vAlign w:val="center"/>
          </w:tcPr>
          <w:p w14:paraId="120AEF1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≤2000条</w:t>
            </w:r>
          </w:p>
        </w:tc>
        <w:tc>
          <w:tcPr>
            <w:tcW w:w="645" w:type="dxa"/>
            <w:shd w:val="clear" w:color="auto" w:fill="auto"/>
            <w:tcMar>
              <w:top w:w="15" w:type="dxa"/>
              <w:left w:w="15" w:type="dxa"/>
              <w:right w:w="15" w:type="dxa"/>
            </w:tcMar>
            <w:vAlign w:val="center"/>
          </w:tcPr>
          <w:p w14:paraId="560D501C">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3</w:t>
            </w:r>
          </w:p>
        </w:tc>
        <w:tc>
          <w:tcPr>
            <w:tcW w:w="1050" w:type="dxa"/>
            <w:shd w:val="clear" w:color="auto" w:fill="auto"/>
            <w:tcMar>
              <w:top w:w="15" w:type="dxa"/>
              <w:left w:w="15" w:type="dxa"/>
              <w:right w:w="15" w:type="dxa"/>
            </w:tcMar>
            <w:vAlign w:val="center"/>
          </w:tcPr>
          <w:p w14:paraId="50DDFB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2000条</w:t>
            </w:r>
          </w:p>
        </w:tc>
        <w:tc>
          <w:tcPr>
            <w:tcW w:w="653" w:type="dxa"/>
            <w:shd w:val="clear" w:color="auto" w:fill="auto"/>
            <w:tcMar>
              <w:top w:w="15" w:type="dxa"/>
              <w:left w:w="15" w:type="dxa"/>
              <w:right w:w="15" w:type="dxa"/>
            </w:tcMar>
            <w:vAlign w:val="center"/>
          </w:tcPr>
          <w:p w14:paraId="134D3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964F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51AF3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29E9DE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82" w:type="dxa"/>
            <w:shd w:val="clear" w:color="auto" w:fill="auto"/>
            <w:tcMar>
              <w:top w:w="15" w:type="dxa"/>
              <w:left w:w="15" w:type="dxa"/>
              <w:right w:w="15" w:type="dxa"/>
            </w:tcMar>
            <w:vAlign w:val="center"/>
          </w:tcPr>
          <w:p w14:paraId="355F95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广播频率公益广告播出时长达标率</w:t>
            </w:r>
          </w:p>
        </w:tc>
        <w:tc>
          <w:tcPr>
            <w:tcW w:w="1132" w:type="dxa"/>
            <w:shd w:val="clear" w:color="auto" w:fill="auto"/>
            <w:tcMar>
              <w:top w:w="15" w:type="dxa"/>
              <w:left w:w="15" w:type="dxa"/>
              <w:right w:w="15" w:type="dxa"/>
            </w:tcMar>
            <w:vAlign w:val="center"/>
          </w:tcPr>
          <w:p w14:paraId="322EBE2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≤95%</w:t>
            </w:r>
          </w:p>
        </w:tc>
        <w:tc>
          <w:tcPr>
            <w:tcW w:w="645" w:type="dxa"/>
            <w:shd w:val="clear" w:color="auto" w:fill="auto"/>
            <w:tcMar>
              <w:top w:w="15" w:type="dxa"/>
              <w:left w:w="15" w:type="dxa"/>
              <w:right w:w="15" w:type="dxa"/>
            </w:tcMar>
            <w:vAlign w:val="center"/>
          </w:tcPr>
          <w:p w14:paraId="50C6E5B8">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w:t>
            </w:r>
          </w:p>
        </w:tc>
        <w:tc>
          <w:tcPr>
            <w:tcW w:w="1050" w:type="dxa"/>
            <w:shd w:val="clear" w:color="auto" w:fill="auto"/>
            <w:tcMar>
              <w:top w:w="15" w:type="dxa"/>
              <w:left w:w="15" w:type="dxa"/>
              <w:right w:w="15" w:type="dxa"/>
            </w:tcMar>
            <w:vAlign w:val="center"/>
          </w:tcPr>
          <w:p w14:paraId="3968E2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95%</w:t>
            </w:r>
          </w:p>
        </w:tc>
        <w:tc>
          <w:tcPr>
            <w:tcW w:w="653" w:type="dxa"/>
            <w:shd w:val="clear" w:color="auto" w:fill="auto"/>
            <w:tcMar>
              <w:top w:w="15" w:type="dxa"/>
              <w:left w:w="15" w:type="dxa"/>
              <w:right w:w="15" w:type="dxa"/>
            </w:tcMar>
            <w:vAlign w:val="center"/>
          </w:tcPr>
          <w:p w14:paraId="057D0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62F9C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394E5A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06241A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82" w:type="dxa"/>
            <w:shd w:val="clear" w:color="auto" w:fill="auto"/>
            <w:tcMar>
              <w:top w:w="15" w:type="dxa"/>
              <w:left w:w="15" w:type="dxa"/>
              <w:right w:w="15" w:type="dxa"/>
            </w:tcMar>
            <w:vAlign w:val="center"/>
          </w:tcPr>
          <w:p w14:paraId="236CA8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电视频道公益广告播出时长达标率</w:t>
            </w:r>
          </w:p>
        </w:tc>
        <w:tc>
          <w:tcPr>
            <w:tcW w:w="1132" w:type="dxa"/>
            <w:shd w:val="clear" w:color="auto" w:fill="auto"/>
            <w:tcMar>
              <w:top w:w="15" w:type="dxa"/>
              <w:left w:w="15" w:type="dxa"/>
              <w:right w:w="15" w:type="dxa"/>
            </w:tcMar>
            <w:vAlign w:val="center"/>
          </w:tcPr>
          <w:p w14:paraId="32BD127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≤95%</w:t>
            </w:r>
          </w:p>
        </w:tc>
        <w:tc>
          <w:tcPr>
            <w:tcW w:w="645" w:type="dxa"/>
            <w:shd w:val="clear" w:color="auto" w:fill="auto"/>
            <w:tcMar>
              <w:top w:w="15" w:type="dxa"/>
              <w:left w:w="15" w:type="dxa"/>
              <w:right w:w="15" w:type="dxa"/>
            </w:tcMar>
            <w:vAlign w:val="center"/>
          </w:tcPr>
          <w:p w14:paraId="543D6595">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w:t>
            </w:r>
          </w:p>
        </w:tc>
        <w:tc>
          <w:tcPr>
            <w:tcW w:w="1050" w:type="dxa"/>
            <w:shd w:val="clear" w:color="auto" w:fill="auto"/>
            <w:tcMar>
              <w:top w:w="15" w:type="dxa"/>
              <w:left w:w="15" w:type="dxa"/>
              <w:right w:w="15" w:type="dxa"/>
            </w:tcMar>
            <w:vAlign w:val="center"/>
          </w:tcPr>
          <w:p w14:paraId="68F54D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highlight w:val="none"/>
                <w:u w:val="none"/>
                <w:lang w:val="en-US" w:eastAsia="zh-CN" w:bidi="ar"/>
              </w:rPr>
              <w:t>95%</w:t>
            </w:r>
          </w:p>
        </w:tc>
        <w:tc>
          <w:tcPr>
            <w:tcW w:w="653" w:type="dxa"/>
            <w:shd w:val="clear" w:color="auto" w:fill="auto"/>
            <w:tcMar>
              <w:top w:w="15" w:type="dxa"/>
              <w:left w:w="15" w:type="dxa"/>
              <w:right w:w="15" w:type="dxa"/>
            </w:tcMar>
            <w:vAlign w:val="center"/>
          </w:tcPr>
          <w:p w14:paraId="770D9D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E1B7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6CE869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1203AE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82" w:type="dxa"/>
            <w:shd w:val="clear" w:color="auto" w:fill="auto"/>
            <w:tcMar>
              <w:top w:w="15" w:type="dxa"/>
              <w:left w:w="15" w:type="dxa"/>
              <w:right w:w="15" w:type="dxa"/>
            </w:tcMar>
            <w:vAlign w:val="center"/>
          </w:tcPr>
          <w:p w14:paraId="65B863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记录主题专栏、反映重要事件发布图文、海报、原创短视频</w:t>
            </w:r>
          </w:p>
        </w:tc>
        <w:tc>
          <w:tcPr>
            <w:tcW w:w="1132" w:type="dxa"/>
            <w:shd w:val="clear" w:color="auto" w:fill="auto"/>
            <w:tcMar>
              <w:top w:w="15" w:type="dxa"/>
              <w:left w:w="15" w:type="dxa"/>
              <w:right w:w="15" w:type="dxa"/>
            </w:tcMar>
            <w:vAlign w:val="center"/>
          </w:tcPr>
          <w:p w14:paraId="62D166AB">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≤2000条</w:t>
            </w:r>
          </w:p>
        </w:tc>
        <w:tc>
          <w:tcPr>
            <w:tcW w:w="645" w:type="dxa"/>
            <w:shd w:val="clear" w:color="auto" w:fill="auto"/>
            <w:tcMar>
              <w:top w:w="15" w:type="dxa"/>
              <w:left w:w="15" w:type="dxa"/>
              <w:right w:w="15" w:type="dxa"/>
            </w:tcMar>
            <w:vAlign w:val="center"/>
          </w:tcPr>
          <w:p w14:paraId="290FBC52">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3</w:t>
            </w:r>
          </w:p>
        </w:tc>
        <w:tc>
          <w:tcPr>
            <w:tcW w:w="1050" w:type="dxa"/>
            <w:shd w:val="clear" w:color="auto" w:fill="auto"/>
            <w:tcMar>
              <w:top w:w="15" w:type="dxa"/>
              <w:left w:w="15" w:type="dxa"/>
              <w:right w:w="15" w:type="dxa"/>
            </w:tcMar>
            <w:vAlign w:val="center"/>
          </w:tcPr>
          <w:p w14:paraId="21F773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2000条</w:t>
            </w:r>
          </w:p>
        </w:tc>
        <w:tc>
          <w:tcPr>
            <w:tcW w:w="653" w:type="dxa"/>
            <w:shd w:val="clear" w:color="auto" w:fill="auto"/>
            <w:tcMar>
              <w:top w:w="15" w:type="dxa"/>
              <w:left w:w="15" w:type="dxa"/>
              <w:right w:w="15" w:type="dxa"/>
            </w:tcMar>
            <w:vAlign w:val="center"/>
          </w:tcPr>
          <w:p w14:paraId="5771BD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F5DB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78BD91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655E4D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82" w:type="dxa"/>
            <w:shd w:val="clear" w:color="auto" w:fill="auto"/>
            <w:tcMar>
              <w:top w:w="15" w:type="dxa"/>
              <w:left w:w="15" w:type="dxa"/>
              <w:right w:w="15" w:type="dxa"/>
            </w:tcMar>
            <w:vAlign w:val="center"/>
          </w:tcPr>
          <w:p w14:paraId="0692FD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设备正常运行率</w:t>
            </w:r>
          </w:p>
        </w:tc>
        <w:tc>
          <w:tcPr>
            <w:tcW w:w="1132" w:type="dxa"/>
            <w:shd w:val="clear" w:color="auto" w:fill="auto"/>
            <w:tcMar>
              <w:top w:w="15" w:type="dxa"/>
              <w:left w:w="15" w:type="dxa"/>
              <w:right w:w="15" w:type="dxa"/>
            </w:tcMar>
            <w:vAlign w:val="center"/>
          </w:tcPr>
          <w:p w14:paraId="6F10494F">
            <w:pPr>
              <w:keepNext w:val="0"/>
              <w:keepLines w:val="0"/>
              <w:widowControl/>
              <w:suppressLineNumbers w:val="0"/>
              <w:ind w:firstLine="400" w:firstLineChars="200"/>
              <w:jc w:val="both"/>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≥95%</w:t>
            </w:r>
          </w:p>
        </w:tc>
        <w:tc>
          <w:tcPr>
            <w:tcW w:w="645" w:type="dxa"/>
            <w:shd w:val="clear" w:color="auto" w:fill="auto"/>
            <w:tcMar>
              <w:top w:w="15" w:type="dxa"/>
              <w:left w:w="15" w:type="dxa"/>
              <w:right w:w="15" w:type="dxa"/>
            </w:tcMar>
            <w:vAlign w:val="center"/>
          </w:tcPr>
          <w:p w14:paraId="3ECA1805">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4</w:t>
            </w:r>
          </w:p>
        </w:tc>
        <w:tc>
          <w:tcPr>
            <w:tcW w:w="1050" w:type="dxa"/>
            <w:shd w:val="clear" w:color="auto" w:fill="auto"/>
            <w:tcMar>
              <w:top w:w="15" w:type="dxa"/>
              <w:left w:w="15" w:type="dxa"/>
              <w:right w:w="15" w:type="dxa"/>
            </w:tcMar>
            <w:vAlign w:val="center"/>
          </w:tcPr>
          <w:p w14:paraId="60CDE5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99.98%</w:t>
            </w:r>
          </w:p>
        </w:tc>
        <w:tc>
          <w:tcPr>
            <w:tcW w:w="653" w:type="dxa"/>
            <w:shd w:val="clear" w:color="auto" w:fill="auto"/>
            <w:tcMar>
              <w:top w:w="15" w:type="dxa"/>
              <w:left w:w="15" w:type="dxa"/>
              <w:right w:w="15" w:type="dxa"/>
            </w:tcMar>
            <w:vAlign w:val="center"/>
          </w:tcPr>
          <w:p w14:paraId="537461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16499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25030E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4872B4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82" w:type="dxa"/>
            <w:shd w:val="clear" w:color="auto" w:fill="auto"/>
            <w:tcMar>
              <w:top w:w="15" w:type="dxa"/>
              <w:left w:w="15" w:type="dxa"/>
              <w:right w:w="15" w:type="dxa"/>
            </w:tcMar>
            <w:vAlign w:val="center"/>
          </w:tcPr>
          <w:p w14:paraId="6E1F97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丰富人民群众精神文化生活</w:t>
            </w:r>
          </w:p>
        </w:tc>
        <w:tc>
          <w:tcPr>
            <w:tcW w:w="1132" w:type="dxa"/>
            <w:shd w:val="clear" w:color="auto" w:fill="auto"/>
            <w:tcMar>
              <w:top w:w="15" w:type="dxa"/>
              <w:left w:w="15" w:type="dxa"/>
              <w:right w:w="15" w:type="dxa"/>
            </w:tcMar>
            <w:vAlign w:val="center"/>
          </w:tcPr>
          <w:p w14:paraId="4B888BB4">
            <w:pPr>
              <w:keepNext w:val="0"/>
              <w:keepLines w:val="0"/>
              <w:widowControl/>
              <w:suppressLineNumbers w:val="0"/>
              <w:ind w:firstLine="400" w:firstLineChars="200"/>
              <w:jc w:val="both"/>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长期</w:t>
            </w:r>
          </w:p>
        </w:tc>
        <w:tc>
          <w:tcPr>
            <w:tcW w:w="645" w:type="dxa"/>
            <w:shd w:val="clear" w:color="auto" w:fill="auto"/>
            <w:tcMar>
              <w:top w:w="15" w:type="dxa"/>
              <w:left w:w="15" w:type="dxa"/>
              <w:right w:w="15" w:type="dxa"/>
            </w:tcMar>
            <w:vAlign w:val="center"/>
          </w:tcPr>
          <w:p w14:paraId="2619DEF3">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w:t>
            </w:r>
          </w:p>
        </w:tc>
        <w:tc>
          <w:tcPr>
            <w:tcW w:w="1050" w:type="dxa"/>
            <w:shd w:val="clear" w:color="auto" w:fill="auto"/>
            <w:tcMar>
              <w:top w:w="15" w:type="dxa"/>
              <w:left w:w="15" w:type="dxa"/>
              <w:right w:w="15" w:type="dxa"/>
            </w:tcMar>
            <w:vAlign w:val="center"/>
          </w:tcPr>
          <w:p w14:paraId="74FD81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612BC9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782FB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714994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54DC08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82" w:type="dxa"/>
            <w:shd w:val="clear" w:color="auto" w:fill="auto"/>
            <w:tcMar>
              <w:top w:w="15" w:type="dxa"/>
              <w:left w:w="15" w:type="dxa"/>
              <w:right w:w="15" w:type="dxa"/>
            </w:tcMar>
            <w:vAlign w:val="center"/>
          </w:tcPr>
          <w:p w14:paraId="22AF16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收听收看群众人数增长率</w:t>
            </w:r>
          </w:p>
        </w:tc>
        <w:tc>
          <w:tcPr>
            <w:tcW w:w="1132" w:type="dxa"/>
            <w:shd w:val="clear" w:color="auto" w:fill="auto"/>
            <w:tcMar>
              <w:top w:w="15" w:type="dxa"/>
              <w:left w:w="15" w:type="dxa"/>
              <w:right w:w="15" w:type="dxa"/>
            </w:tcMar>
            <w:vAlign w:val="center"/>
          </w:tcPr>
          <w:p w14:paraId="27B1ED37">
            <w:pPr>
              <w:keepNext w:val="0"/>
              <w:keepLines w:val="0"/>
              <w:widowControl/>
              <w:suppressLineNumbers w:val="0"/>
              <w:ind w:firstLine="440" w:firstLineChars="200"/>
              <w:jc w:val="both"/>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≥85%</w:t>
            </w:r>
          </w:p>
        </w:tc>
        <w:tc>
          <w:tcPr>
            <w:tcW w:w="645" w:type="dxa"/>
            <w:shd w:val="clear" w:color="auto" w:fill="auto"/>
            <w:tcMar>
              <w:top w:w="15" w:type="dxa"/>
              <w:left w:w="15" w:type="dxa"/>
              <w:right w:w="15" w:type="dxa"/>
            </w:tcMar>
            <w:vAlign w:val="center"/>
          </w:tcPr>
          <w:p w14:paraId="4AF28297">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4</w:t>
            </w:r>
          </w:p>
        </w:tc>
        <w:tc>
          <w:tcPr>
            <w:tcW w:w="1050" w:type="dxa"/>
            <w:shd w:val="clear" w:color="auto" w:fill="auto"/>
            <w:tcMar>
              <w:top w:w="15" w:type="dxa"/>
              <w:left w:w="15" w:type="dxa"/>
              <w:right w:w="15" w:type="dxa"/>
            </w:tcMar>
            <w:vAlign w:val="center"/>
          </w:tcPr>
          <w:p w14:paraId="6994F3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85%</w:t>
            </w:r>
          </w:p>
        </w:tc>
        <w:tc>
          <w:tcPr>
            <w:tcW w:w="653" w:type="dxa"/>
            <w:shd w:val="clear" w:color="auto" w:fill="auto"/>
            <w:tcMar>
              <w:top w:w="15" w:type="dxa"/>
              <w:left w:w="15" w:type="dxa"/>
              <w:right w:w="15" w:type="dxa"/>
            </w:tcMar>
            <w:vAlign w:val="center"/>
          </w:tcPr>
          <w:p w14:paraId="548DED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BFBD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3C650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shd w:val="clear" w:color="auto" w:fill="auto"/>
            <w:tcMar>
              <w:top w:w="15" w:type="dxa"/>
              <w:left w:w="15" w:type="dxa"/>
              <w:right w:w="15" w:type="dxa"/>
            </w:tcMar>
            <w:vAlign w:val="center"/>
          </w:tcPr>
          <w:p w14:paraId="778D1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482" w:type="dxa"/>
            <w:shd w:val="clear" w:color="auto" w:fill="auto"/>
            <w:tcMar>
              <w:top w:w="15" w:type="dxa"/>
              <w:left w:w="15" w:type="dxa"/>
              <w:right w:w="15" w:type="dxa"/>
            </w:tcMar>
            <w:vAlign w:val="center"/>
          </w:tcPr>
          <w:p w14:paraId="011969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为农村地区广播基本公共服务提供无线传输保障 </w:t>
            </w:r>
          </w:p>
        </w:tc>
        <w:tc>
          <w:tcPr>
            <w:tcW w:w="1132" w:type="dxa"/>
            <w:shd w:val="clear" w:color="auto" w:fill="auto"/>
            <w:tcMar>
              <w:top w:w="15" w:type="dxa"/>
              <w:left w:w="15" w:type="dxa"/>
              <w:right w:w="15" w:type="dxa"/>
            </w:tcMar>
            <w:vAlign w:val="center"/>
          </w:tcPr>
          <w:p w14:paraId="4A1872F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逐步提升</w:t>
            </w:r>
          </w:p>
        </w:tc>
        <w:tc>
          <w:tcPr>
            <w:tcW w:w="645" w:type="dxa"/>
            <w:shd w:val="clear" w:color="auto" w:fill="auto"/>
            <w:tcMar>
              <w:top w:w="15" w:type="dxa"/>
              <w:left w:w="15" w:type="dxa"/>
              <w:right w:w="15" w:type="dxa"/>
            </w:tcMar>
            <w:vAlign w:val="center"/>
          </w:tcPr>
          <w:p w14:paraId="37E6F160">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0"/>
                <w:sz w:val="22"/>
                <w:szCs w:val="22"/>
                <w:highlight w:val="none"/>
                <w:u w:val="none"/>
                <w:lang w:val="en-US" w:eastAsia="zh-CN" w:bidi="ar"/>
              </w:rPr>
              <w:t>1</w:t>
            </w:r>
          </w:p>
        </w:tc>
        <w:tc>
          <w:tcPr>
            <w:tcW w:w="1050" w:type="dxa"/>
            <w:shd w:val="clear" w:color="auto" w:fill="auto"/>
            <w:tcMar>
              <w:top w:w="15" w:type="dxa"/>
              <w:left w:w="15" w:type="dxa"/>
              <w:right w:w="15" w:type="dxa"/>
            </w:tcMar>
            <w:vAlign w:val="center"/>
          </w:tcPr>
          <w:p w14:paraId="3CC703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026E63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415FC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341F4E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2EA59B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482" w:type="dxa"/>
            <w:shd w:val="clear" w:color="auto" w:fill="auto"/>
            <w:tcMar>
              <w:top w:w="15" w:type="dxa"/>
              <w:left w:w="15" w:type="dxa"/>
              <w:right w:w="15" w:type="dxa"/>
            </w:tcMar>
            <w:vAlign w:val="center"/>
          </w:tcPr>
          <w:p w14:paraId="7D2247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环境友好无污染</w:t>
            </w:r>
          </w:p>
        </w:tc>
        <w:tc>
          <w:tcPr>
            <w:tcW w:w="1132" w:type="dxa"/>
            <w:shd w:val="clear" w:color="auto" w:fill="auto"/>
            <w:tcMar>
              <w:top w:w="15" w:type="dxa"/>
              <w:left w:w="15" w:type="dxa"/>
              <w:right w:w="15" w:type="dxa"/>
            </w:tcMar>
            <w:vAlign w:val="center"/>
          </w:tcPr>
          <w:p w14:paraId="244E9CB4">
            <w:pPr>
              <w:keepNext w:val="0"/>
              <w:keepLines w:val="0"/>
              <w:widowControl/>
              <w:suppressLineNumbers w:val="0"/>
              <w:ind w:firstLine="400" w:firstLineChars="200"/>
              <w:jc w:val="both"/>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良好</w:t>
            </w:r>
          </w:p>
        </w:tc>
        <w:tc>
          <w:tcPr>
            <w:tcW w:w="645" w:type="dxa"/>
            <w:shd w:val="clear" w:color="auto" w:fill="auto"/>
            <w:tcMar>
              <w:top w:w="15" w:type="dxa"/>
              <w:left w:w="15" w:type="dxa"/>
              <w:right w:w="15" w:type="dxa"/>
            </w:tcMar>
            <w:vAlign w:val="center"/>
          </w:tcPr>
          <w:p w14:paraId="46B654BC">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w:t>
            </w:r>
          </w:p>
        </w:tc>
        <w:tc>
          <w:tcPr>
            <w:tcW w:w="1050" w:type="dxa"/>
            <w:shd w:val="clear" w:color="auto" w:fill="auto"/>
            <w:tcMar>
              <w:top w:w="15" w:type="dxa"/>
              <w:left w:w="15" w:type="dxa"/>
              <w:right w:w="15" w:type="dxa"/>
            </w:tcMar>
            <w:vAlign w:val="center"/>
          </w:tcPr>
          <w:p w14:paraId="5189AE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shd w:val="clear" w:color="auto" w:fill="auto"/>
            <w:tcMar>
              <w:top w:w="15" w:type="dxa"/>
              <w:left w:w="15" w:type="dxa"/>
              <w:right w:w="15" w:type="dxa"/>
            </w:tcMar>
            <w:vAlign w:val="center"/>
          </w:tcPr>
          <w:p w14:paraId="7D79B8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00E06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5AB752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3E164C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482" w:type="dxa"/>
            <w:shd w:val="clear" w:color="auto" w:fill="auto"/>
            <w:tcMar>
              <w:top w:w="15" w:type="dxa"/>
              <w:left w:w="15" w:type="dxa"/>
              <w:right w:w="15" w:type="dxa"/>
            </w:tcMar>
            <w:vAlign w:val="center"/>
          </w:tcPr>
          <w:p w14:paraId="4412ED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132" w:type="dxa"/>
            <w:shd w:val="clear" w:color="auto" w:fill="auto"/>
            <w:tcMar>
              <w:top w:w="15" w:type="dxa"/>
              <w:left w:w="15" w:type="dxa"/>
              <w:right w:w="15" w:type="dxa"/>
            </w:tcMar>
            <w:vAlign w:val="center"/>
          </w:tcPr>
          <w:p w14:paraId="47892C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shd w:val="clear" w:color="auto" w:fill="auto"/>
            <w:tcMar>
              <w:top w:w="15" w:type="dxa"/>
              <w:left w:w="15" w:type="dxa"/>
              <w:right w:w="15" w:type="dxa"/>
            </w:tcMar>
            <w:vAlign w:val="center"/>
          </w:tcPr>
          <w:p w14:paraId="0111E5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shd w:val="clear" w:color="auto" w:fill="auto"/>
            <w:tcMar>
              <w:top w:w="15" w:type="dxa"/>
              <w:left w:w="15" w:type="dxa"/>
              <w:right w:w="15" w:type="dxa"/>
            </w:tcMar>
            <w:vAlign w:val="center"/>
          </w:tcPr>
          <w:p w14:paraId="4CABA0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shd w:val="clear" w:color="auto" w:fill="auto"/>
            <w:tcMar>
              <w:top w:w="15" w:type="dxa"/>
              <w:left w:w="15" w:type="dxa"/>
              <w:right w:w="15" w:type="dxa"/>
            </w:tcMar>
            <w:vAlign w:val="center"/>
          </w:tcPr>
          <w:p w14:paraId="03DD12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3E8A4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00546A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shd w:val="clear" w:color="auto" w:fill="auto"/>
            <w:tcMar>
              <w:top w:w="15" w:type="dxa"/>
              <w:left w:w="15" w:type="dxa"/>
              <w:right w:w="15" w:type="dxa"/>
            </w:tcMar>
            <w:vAlign w:val="center"/>
          </w:tcPr>
          <w:p w14:paraId="2F0D1C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482" w:type="dxa"/>
            <w:shd w:val="clear" w:color="auto" w:fill="auto"/>
            <w:tcMar>
              <w:top w:w="15" w:type="dxa"/>
              <w:left w:w="15" w:type="dxa"/>
              <w:right w:w="15" w:type="dxa"/>
            </w:tcMar>
            <w:vAlign w:val="center"/>
          </w:tcPr>
          <w:p w14:paraId="67CDCC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群众满意度</w:t>
            </w:r>
          </w:p>
        </w:tc>
        <w:tc>
          <w:tcPr>
            <w:tcW w:w="1132" w:type="dxa"/>
            <w:shd w:val="clear" w:color="auto" w:fill="auto"/>
            <w:tcMar>
              <w:top w:w="15" w:type="dxa"/>
              <w:left w:w="15" w:type="dxa"/>
              <w:right w:w="15" w:type="dxa"/>
            </w:tcMar>
            <w:vAlign w:val="center"/>
          </w:tcPr>
          <w:p w14:paraId="67CB5C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w:t>
            </w:r>
          </w:p>
        </w:tc>
        <w:tc>
          <w:tcPr>
            <w:tcW w:w="645" w:type="dxa"/>
            <w:shd w:val="clear" w:color="auto" w:fill="auto"/>
            <w:tcMar>
              <w:top w:w="15" w:type="dxa"/>
              <w:left w:w="15" w:type="dxa"/>
              <w:right w:w="15" w:type="dxa"/>
            </w:tcMar>
            <w:vAlign w:val="center"/>
          </w:tcPr>
          <w:p w14:paraId="0DB6D2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0E94F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97.6%</w:t>
            </w:r>
          </w:p>
        </w:tc>
        <w:tc>
          <w:tcPr>
            <w:tcW w:w="653" w:type="dxa"/>
            <w:shd w:val="clear" w:color="auto" w:fill="auto"/>
            <w:tcMar>
              <w:top w:w="15" w:type="dxa"/>
              <w:left w:w="15" w:type="dxa"/>
              <w:right w:w="15" w:type="dxa"/>
            </w:tcMar>
            <w:vAlign w:val="center"/>
          </w:tcPr>
          <w:p w14:paraId="5DD6F1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321C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9" w:hRule="atLeast"/>
          <w:jc w:val="center"/>
        </w:trPr>
        <w:tc>
          <w:tcPr>
            <w:tcW w:w="6024" w:type="dxa"/>
            <w:gridSpan w:val="4"/>
            <w:shd w:val="clear" w:color="auto" w:fill="auto"/>
            <w:tcMar>
              <w:top w:w="15" w:type="dxa"/>
              <w:left w:w="15" w:type="dxa"/>
              <w:right w:w="15" w:type="dxa"/>
            </w:tcMar>
            <w:vAlign w:val="center"/>
          </w:tcPr>
          <w:p w14:paraId="4A5458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shd w:val="clear" w:color="auto" w:fill="auto"/>
            <w:tcMar>
              <w:top w:w="15" w:type="dxa"/>
              <w:left w:w="15" w:type="dxa"/>
              <w:right w:w="15" w:type="dxa"/>
            </w:tcMar>
            <w:vAlign w:val="center"/>
          </w:tcPr>
          <w:p w14:paraId="376AB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shd w:val="clear" w:color="auto" w:fill="auto"/>
            <w:tcMar>
              <w:top w:w="15" w:type="dxa"/>
              <w:left w:w="15" w:type="dxa"/>
              <w:right w:w="15" w:type="dxa"/>
            </w:tcMar>
            <w:vAlign w:val="center"/>
          </w:tcPr>
          <w:p w14:paraId="35D689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shd w:val="clear" w:color="auto" w:fill="auto"/>
            <w:tcMar>
              <w:top w:w="15" w:type="dxa"/>
              <w:left w:w="15" w:type="dxa"/>
              <w:right w:w="15" w:type="dxa"/>
            </w:tcMar>
            <w:vAlign w:val="center"/>
          </w:tcPr>
          <w:p w14:paraId="1FE323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55A643B9">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7E9D482">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s="宋体"/>
          <w:color w:val="auto"/>
          <w:highlight w:val="none"/>
          <w:shd w:val="clear" w:color="auto" w:fill="auto"/>
          <w:lang w:val="en-US" w:eastAsia="zh-CN"/>
        </w:rPr>
        <w:t>本项目不存在经济效益</w:t>
      </w:r>
    </w:p>
    <w:p w14:paraId="5A457705">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0E7FE10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中央/行业/地方主要媒体刊发图文、短视频</w:t>
      </w:r>
      <w:r>
        <w:rPr>
          <w:rFonts w:hint="eastAsia"/>
          <w:color w:val="auto"/>
          <w:highlight w:val="none"/>
          <w:lang w:eastAsia="zh-CN"/>
        </w:rPr>
        <w:t>”</w:t>
      </w:r>
      <w:r>
        <w:rPr>
          <w:rFonts w:hint="eastAsia"/>
          <w:color w:val="auto"/>
          <w:highlight w:val="none"/>
          <w:lang w:val="en-US" w:eastAsia="zh-CN"/>
        </w:rPr>
        <w:t>指标，预期目标值为≤2000条，实际完成为2000条。</w:t>
      </w:r>
    </w:p>
    <w:p w14:paraId="6E45729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广播频率公益广告播出时长达标率</w:t>
      </w:r>
      <w:r>
        <w:rPr>
          <w:rFonts w:hint="eastAsia"/>
          <w:color w:val="auto"/>
          <w:highlight w:val="none"/>
          <w:lang w:eastAsia="zh-CN"/>
        </w:rPr>
        <w:t>”</w:t>
      </w:r>
      <w:r>
        <w:rPr>
          <w:rFonts w:hint="eastAsia"/>
          <w:color w:val="auto"/>
          <w:highlight w:val="none"/>
          <w:lang w:val="en-US" w:eastAsia="zh-CN"/>
        </w:rPr>
        <w:t>指标，预期目标值为≤95%，实际完成为95%。</w:t>
      </w:r>
    </w:p>
    <w:p w14:paraId="6223FCE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电视频道公益广告播出时长达标率</w:t>
      </w:r>
      <w:r>
        <w:rPr>
          <w:rFonts w:hint="eastAsia"/>
          <w:color w:val="auto"/>
          <w:highlight w:val="none"/>
          <w:lang w:eastAsia="zh-CN"/>
        </w:rPr>
        <w:t>”</w:t>
      </w:r>
      <w:r>
        <w:rPr>
          <w:rFonts w:hint="eastAsia"/>
          <w:color w:val="auto"/>
          <w:highlight w:val="none"/>
          <w:lang w:val="en-US" w:eastAsia="zh-CN"/>
        </w:rPr>
        <w:t>指标，预期目标值为≤95%，实际完成为95%。</w:t>
      </w:r>
    </w:p>
    <w:p w14:paraId="46D8DC57">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记录主题专栏、反映重要事件发布图文、海报、原创短视频</w:t>
      </w:r>
      <w:r>
        <w:rPr>
          <w:rFonts w:hint="eastAsia"/>
          <w:color w:val="auto"/>
          <w:highlight w:val="none"/>
          <w:lang w:eastAsia="zh-CN"/>
        </w:rPr>
        <w:t>”</w:t>
      </w:r>
      <w:r>
        <w:rPr>
          <w:rFonts w:hint="eastAsia"/>
          <w:color w:val="auto"/>
          <w:highlight w:val="none"/>
          <w:lang w:val="en-US" w:eastAsia="zh-CN"/>
        </w:rPr>
        <w:t>指标，预期目标值为≤2000条，实际完成为2000条。</w:t>
      </w:r>
    </w:p>
    <w:p w14:paraId="7CC19BD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设备正常运行率</w:t>
      </w:r>
      <w:r>
        <w:rPr>
          <w:rFonts w:hint="eastAsia"/>
          <w:color w:val="auto"/>
          <w:highlight w:val="none"/>
          <w:lang w:eastAsia="zh-CN"/>
        </w:rPr>
        <w:t>”</w:t>
      </w:r>
      <w:r>
        <w:rPr>
          <w:rFonts w:hint="eastAsia"/>
          <w:color w:val="auto"/>
          <w:highlight w:val="none"/>
          <w:lang w:val="en-US" w:eastAsia="zh-CN"/>
        </w:rPr>
        <w:t>指标，预期目标值为≥95%，实际完成为99.98%。</w:t>
      </w:r>
    </w:p>
    <w:p w14:paraId="408D3F68">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丰富人民群众精神文化生活</w:t>
      </w:r>
      <w:r>
        <w:rPr>
          <w:rFonts w:hint="eastAsia"/>
          <w:color w:val="auto"/>
          <w:highlight w:val="none"/>
          <w:lang w:eastAsia="zh-CN"/>
        </w:rPr>
        <w:t>”</w:t>
      </w:r>
      <w:r>
        <w:rPr>
          <w:rFonts w:hint="eastAsia"/>
          <w:color w:val="auto"/>
          <w:highlight w:val="none"/>
          <w:lang w:val="en-US" w:eastAsia="zh-CN"/>
        </w:rPr>
        <w:t>指标，预期目标值为长期，实际完成为100%。</w:t>
      </w:r>
    </w:p>
    <w:p w14:paraId="4AF6299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收听收看群众人数增长率</w:t>
      </w:r>
      <w:r>
        <w:rPr>
          <w:rFonts w:hint="eastAsia"/>
          <w:color w:val="auto"/>
          <w:highlight w:val="none"/>
          <w:lang w:eastAsia="zh-CN"/>
        </w:rPr>
        <w:t>”</w:t>
      </w:r>
      <w:r>
        <w:rPr>
          <w:rFonts w:hint="eastAsia"/>
          <w:color w:val="auto"/>
          <w:highlight w:val="none"/>
          <w:lang w:val="en-US" w:eastAsia="zh-CN"/>
        </w:rPr>
        <w:t>指标，预期目标值为≥85%，实际完成为85%。</w:t>
      </w:r>
    </w:p>
    <w:p w14:paraId="7ECF978D">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 xml:space="preserve">为农村地区广播基本公共服务提供无线传输保障 </w:t>
      </w:r>
      <w:r>
        <w:rPr>
          <w:rFonts w:hint="eastAsia"/>
          <w:color w:val="auto"/>
          <w:highlight w:val="none"/>
          <w:lang w:eastAsia="zh-CN"/>
        </w:rPr>
        <w:t>”</w:t>
      </w:r>
      <w:r>
        <w:rPr>
          <w:rFonts w:hint="eastAsia"/>
          <w:color w:val="auto"/>
          <w:highlight w:val="none"/>
          <w:lang w:val="en-US" w:eastAsia="zh-CN"/>
        </w:rPr>
        <w:t>指标，预期目标值为逐步提升，实际完成为100%。</w:t>
      </w:r>
    </w:p>
    <w:p w14:paraId="304A3E97">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使广大农村及各族群众及时通过中央、行业、地方主要媒体，收听收看到中央和自治区的广播电视节目、及时了解国家及地方等重要事件和民生政策内容的需求，为农村地区广播基本公共服务提供无线传输保障作用，达到了丰富人民群众精神文化生活的效益。</w:t>
      </w:r>
    </w:p>
    <w:p w14:paraId="2060636E">
      <w:pPr>
        <w:bidi w:val="0"/>
        <w:rPr>
          <w:rFonts w:hint="eastAsia"/>
          <w:color w:val="auto"/>
          <w:highlight w:val="none"/>
          <w:lang w:val="en-US" w:eastAsia="zh-CN"/>
        </w:rPr>
      </w:pPr>
      <w:r>
        <w:rPr>
          <w:rFonts w:hint="eastAsia"/>
          <w:b/>
          <w:bCs/>
          <w:color w:val="auto"/>
          <w:highlight w:val="none"/>
          <w:lang w:val="en-US" w:eastAsia="zh-CN"/>
        </w:rPr>
        <w:t>综上，该项指标满分19分，得分19分。</w:t>
      </w:r>
    </w:p>
    <w:p w14:paraId="775DFA2F">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648066FA">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环境友好无污染</w:t>
      </w:r>
      <w:r>
        <w:rPr>
          <w:rFonts w:hint="eastAsia"/>
          <w:color w:val="auto"/>
          <w:highlight w:val="none"/>
          <w:lang w:eastAsia="zh-CN"/>
        </w:rPr>
        <w:t>”</w:t>
      </w:r>
      <w:r>
        <w:rPr>
          <w:rFonts w:hint="eastAsia"/>
          <w:color w:val="auto"/>
          <w:highlight w:val="none"/>
          <w:lang w:val="en-US" w:eastAsia="zh-CN"/>
        </w:rPr>
        <w:t>指标，预期目标值为良好，实际完成为100%。</w:t>
      </w:r>
    </w:p>
    <w:p w14:paraId="23B42012">
      <w:pPr>
        <w:bidi w:val="0"/>
        <w:rPr>
          <w:rFonts w:hint="default"/>
          <w:color w:val="auto"/>
          <w:highlight w:val="none"/>
          <w:lang w:val="en-US" w:eastAsia="zh-CN"/>
        </w:rPr>
      </w:pPr>
      <w:r>
        <w:rPr>
          <w:rFonts w:hint="eastAsia"/>
          <w:b w:val="0"/>
          <w:bCs w:val="0"/>
          <w:color w:val="auto"/>
          <w:highlight w:val="none"/>
          <w:lang w:val="en-US" w:eastAsia="zh-CN"/>
        </w:rPr>
        <w:t>通过项目的实施，完成了</w:t>
      </w:r>
      <w:r>
        <w:rPr>
          <w:rFonts w:hint="eastAsia"/>
          <w:color w:val="auto"/>
          <w:highlight w:val="none"/>
          <w:lang w:val="en-US" w:eastAsia="zh-CN"/>
        </w:rPr>
        <w:t>我区广大农村各族群众能够持续收听收看到中央和自治区广播电视节目，整个发射系统无有害物质排放。</w:t>
      </w:r>
    </w:p>
    <w:p w14:paraId="144CDD75">
      <w:pPr>
        <w:bidi w:val="0"/>
        <w:rPr>
          <w:rFonts w:hint="eastAsia"/>
          <w:color w:val="auto"/>
          <w:highlight w:val="none"/>
          <w:lang w:val="en-US" w:eastAsia="zh-CN"/>
        </w:rPr>
      </w:pPr>
      <w:r>
        <w:rPr>
          <w:rFonts w:hint="eastAsia"/>
          <w:b/>
          <w:bCs/>
          <w:color w:val="auto"/>
          <w:highlight w:val="none"/>
          <w:lang w:val="en-US" w:eastAsia="zh-CN"/>
        </w:rPr>
        <w:t>综上，该项指标满分1分，得分1分。</w:t>
      </w:r>
    </w:p>
    <w:p w14:paraId="20C446C9">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14:paraId="59CE2174">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群众满意度</w:t>
      </w:r>
      <w:r>
        <w:rPr>
          <w:rFonts w:hint="eastAsia"/>
          <w:color w:val="auto"/>
          <w:highlight w:val="none"/>
          <w:lang w:eastAsia="zh-CN"/>
        </w:rPr>
        <w:t>”</w:t>
      </w:r>
      <w:r>
        <w:rPr>
          <w:rFonts w:hint="eastAsia"/>
          <w:color w:val="auto"/>
          <w:highlight w:val="none"/>
          <w:lang w:val="en-US" w:eastAsia="zh-CN"/>
        </w:rPr>
        <w:t>指标，预期目标值为≥90%，实际完成为97.6%。</w:t>
      </w:r>
    </w:p>
    <w:p w14:paraId="059CF398">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5C431B0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1A412B95">
      <w:pPr>
        <w:pStyle w:val="6"/>
        <w:numPr>
          <w:ilvl w:val="0"/>
          <w:numId w:val="0"/>
        </w:numPr>
        <w:ind w:firstLine="560" w:firstLineChars="200"/>
        <w:rPr>
          <w:rFonts w:hint="default" w:ascii="宋体" w:hAnsi="宋体" w:eastAsia="宋体" w:cs="仿宋_GB2312"/>
          <w:b w:val="0"/>
          <w:bCs w:val="0"/>
          <w:color w:val="auto"/>
          <w:kern w:val="2"/>
          <w:sz w:val="28"/>
          <w:szCs w:val="28"/>
          <w:highlight w:val="none"/>
          <w:lang w:val="en-US" w:eastAsia="zh-CN" w:bidi="ar-SA"/>
        </w:rPr>
      </w:pPr>
      <w:r>
        <w:rPr>
          <w:rFonts w:hint="eastAsia" w:ascii="宋体" w:hAnsi="宋体" w:eastAsia="宋体" w:cs="仿宋_GB2312"/>
          <w:color w:val="auto"/>
          <w:kern w:val="2"/>
          <w:sz w:val="28"/>
          <w:szCs w:val="28"/>
          <w:highlight w:val="none"/>
          <w:lang w:val="en-US" w:eastAsia="zh-CN" w:bidi="ar-SA"/>
        </w:rPr>
        <w:t>该项目预算</w:t>
      </w:r>
      <w:r>
        <w:rPr>
          <w:rFonts w:hint="eastAsia" w:ascii="宋体" w:hAnsi="宋体" w:eastAsia="宋体" w:cs="仿宋_GB2312"/>
          <w:b w:val="0"/>
          <w:bCs w:val="0"/>
          <w:color w:val="auto"/>
          <w:kern w:val="2"/>
          <w:sz w:val="28"/>
          <w:szCs w:val="28"/>
          <w:highlight w:val="none"/>
          <w:lang w:val="en-US" w:eastAsia="zh-CN" w:bidi="ar-SA"/>
        </w:rPr>
        <w:t>资金总额为</w:t>
      </w:r>
      <w:r>
        <w:rPr>
          <w:rFonts w:hint="eastAsia" w:cs="宋体"/>
          <w:b w:val="0"/>
          <w:bCs w:val="0"/>
          <w:color w:val="auto"/>
          <w:kern w:val="2"/>
          <w:sz w:val="28"/>
          <w:szCs w:val="28"/>
          <w:highlight w:val="none"/>
          <w:lang w:val="en-US" w:eastAsia="zh-CN" w:bidi="ar-SA"/>
        </w:rPr>
        <w:t>21</w:t>
      </w:r>
      <w:r>
        <w:rPr>
          <w:rFonts w:hint="eastAsia" w:ascii="宋体" w:hAnsi="宋体" w:eastAsia="宋体" w:cs="仿宋_GB2312"/>
          <w:b w:val="0"/>
          <w:bCs w:val="0"/>
          <w:color w:val="auto"/>
          <w:kern w:val="2"/>
          <w:sz w:val="28"/>
          <w:szCs w:val="28"/>
          <w:highlight w:val="none"/>
          <w:lang w:val="en-US" w:eastAsia="zh-CN" w:bidi="ar-SA"/>
        </w:rPr>
        <w:t>万元，全年</w:t>
      </w:r>
      <w:bookmarkStart w:id="89" w:name="_GoBack"/>
      <w:r>
        <w:rPr>
          <w:rFonts w:hint="eastAsia" w:ascii="宋体" w:hAnsi="宋体" w:eastAsia="宋体" w:cs="仿宋_GB2312"/>
          <w:b w:val="0"/>
          <w:bCs w:val="0"/>
          <w:color w:val="auto"/>
          <w:kern w:val="2"/>
          <w:sz w:val="28"/>
          <w:szCs w:val="28"/>
          <w:highlight w:val="none"/>
          <w:lang w:val="en-US" w:eastAsia="zh-CN" w:bidi="ar-SA"/>
        </w:rPr>
        <w:t>执行数</w:t>
      </w:r>
      <w:bookmarkEnd w:id="89"/>
      <w:r>
        <w:rPr>
          <w:rFonts w:hint="eastAsia" w:ascii="宋体" w:hAnsi="宋体" w:eastAsia="宋体" w:cs="仿宋_GB2312"/>
          <w:b w:val="0"/>
          <w:bCs w:val="0"/>
          <w:color w:val="auto"/>
          <w:kern w:val="2"/>
          <w:sz w:val="28"/>
          <w:szCs w:val="28"/>
          <w:highlight w:val="none"/>
          <w:lang w:val="en-US" w:eastAsia="zh-CN" w:bidi="ar-SA"/>
        </w:rPr>
        <w:t>为</w:t>
      </w:r>
      <w:r>
        <w:rPr>
          <w:rFonts w:hint="eastAsia" w:cs="宋体"/>
          <w:b w:val="0"/>
          <w:bCs w:val="0"/>
          <w:color w:val="auto"/>
          <w:kern w:val="2"/>
          <w:sz w:val="28"/>
          <w:szCs w:val="28"/>
          <w:highlight w:val="none"/>
          <w:lang w:val="en-US" w:eastAsia="zh-CN" w:bidi="ar-SA"/>
        </w:rPr>
        <w:t>20.99</w:t>
      </w:r>
      <w:r>
        <w:rPr>
          <w:rFonts w:hint="eastAsia" w:ascii="宋体" w:hAnsi="宋体" w:eastAsia="宋体" w:cs="仿宋_GB2312"/>
          <w:b w:val="0"/>
          <w:bCs w:val="0"/>
          <w:color w:val="auto"/>
          <w:kern w:val="2"/>
          <w:sz w:val="28"/>
          <w:szCs w:val="28"/>
          <w:highlight w:val="none"/>
          <w:lang w:val="en-US" w:eastAsia="zh-CN" w:bidi="ar-SA"/>
        </w:rPr>
        <w:t>万元，预算执行率为</w:t>
      </w:r>
      <w:r>
        <w:rPr>
          <w:rFonts w:hint="eastAsia" w:cs="仿宋_GB2312"/>
          <w:b w:val="0"/>
          <w:bCs w:val="0"/>
          <w:color w:val="auto"/>
          <w:kern w:val="2"/>
          <w:sz w:val="28"/>
          <w:szCs w:val="28"/>
          <w:highlight w:val="none"/>
          <w:lang w:val="en-US" w:eastAsia="zh-CN" w:bidi="ar-SA"/>
        </w:rPr>
        <w:t>99.95</w:t>
      </w:r>
      <w:r>
        <w:rPr>
          <w:rFonts w:hint="eastAsia" w:ascii="宋体" w:hAnsi="宋体" w:eastAsia="宋体" w:cs="宋体"/>
          <w:b w:val="0"/>
          <w:bCs w:val="0"/>
          <w:color w:val="auto"/>
          <w:kern w:val="2"/>
          <w:sz w:val="28"/>
          <w:szCs w:val="28"/>
          <w:highlight w:val="none"/>
          <w:lang w:val="en-US" w:eastAsia="zh-CN" w:bidi="ar-SA"/>
        </w:rPr>
        <w:t>%</w:t>
      </w:r>
      <w:r>
        <w:rPr>
          <w:rFonts w:hint="eastAsia" w:ascii="宋体" w:hAnsi="宋体" w:eastAsia="宋体" w:cs="仿宋_GB2312"/>
          <w:b w:val="0"/>
          <w:bCs w:val="0"/>
          <w:color w:val="auto"/>
          <w:kern w:val="2"/>
          <w:sz w:val="28"/>
          <w:szCs w:val="28"/>
          <w:highlight w:val="none"/>
          <w:lang w:val="en-US" w:eastAsia="zh-CN" w:bidi="ar-SA"/>
        </w:rPr>
        <w:t>，总体完成率为</w:t>
      </w:r>
      <w:r>
        <w:rPr>
          <w:rFonts w:hint="eastAsia" w:cs="宋体"/>
          <w:b w:val="0"/>
          <w:bCs w:val="0"/>
          <w:color w:val="auto"/>
          <w:kern w:val="2"/>
          <w:sz w:val="28"/>
          <w:szCs w:val="28"/>
          <w:highlight w:val="none"/>
          <w:lang w:val="en-US" w:eastAsia="zh-CN" w:bidi="ar-SA"/>
        </w:rPr>
        <w:t>100</w:t>
      </w:r>
      <w:r>
        <w:rPr>
          <w:rFonts w:hint="eastAsia" w:ascii="宋体" w:hAnsi="宋体" w:eastAsia="宋体" w:cs="宋体"/>
          <w:b w:val="0"/>
          <w:bCs w:val="0"/>
          <w:color w:val="auto"/>
          <w:kern w:val="2"/>
          <w:sz w:val="28"/>
          <w:szCs w:val="28"/>
          <w:highlight w:val="none"/>
          <w:lang w:val="zh-TW" w:eastAsia="zh-TW" w:bidi="ar-SA"/>
        </w:rPr>
        <w:t>%</w:t>
      </w:r>
      <w:r>
        <w:rPr>
          <w:rFonts w:hint="eastAsia" w:ascii="宋体" w:hAnsi="宋体" w:eastAsia="宋体" w:cs="仿宋_GB2312"/>
          <w:b w:val="0"/>
          <w:bCs w:val="0"/>
          <w:color w:val="auto"/>
          <w:kern w:val="2"/>
          <w:sz w:val="28"/>
          <w:szCs w:val="28"/>
          <w:highlight w:val="none"/>
          <w:lang w:val="en-US" w:eastAsia="zh-CN" w:bidi="ar-SA"/>
        </w:rPr>
        <w:t>。预算执行率与总体完成率之间的偏差为</w:t>
      </w:r>
      <w:r>
        <w:rPr>
          <w:rFonts w:hint="eastAsia" w:cs="仿宋_GB2312"/>
          <w:b w:val="0"/>
          <w:bCs w:val="0"/>
          <w:color w:val="auto"/>
          <w:kern w:val="2"/>
          <w:sz w:val="28"/>
          <w:szCs w:val="28"/>
          <w:highlight w:val="none"/>
          <w:lang w:val="en-US" w:eastAsia="zh-CN" w:bidi="ar-SA"/>
        </w:rPr>
        <w:t>0.0</w:t>
      </w:r>
      <w:r>
        <w:rPr>
          <w:rFonts w:hint="eastAsia" w:cs="宋体"/>
          <w:b w:val="0"/>
          <w:bCs w:val="0"/>
          <w:color w:val="auto"/>
          <w:kern w:val="2"/>
          <w:sz w:val="28"/>
          <w:szCs w:val="28"/>
          <w:highlight w:val="none"/>
          <w:lang w:val="en-US" w:eastAsia="zh-CN" w:bidi="ar-SA"/>
        </w:rPr>
        <w:t>5</w:t>
      </w:r>
      <w:r>
        <w:rPr>
          <w:rFonts w:hint="eastAsia" w:ascii="宋体" w:hAnsi="宋体" w:eastAsia="宋体" w:cs="宋体"/>
          <w:b w:val="0"/>
          <w:bCs w:val="0"/>
          <w:color w:val="auto"/>
          <w:kern w:val="2"/>
          <w:sz w:val="28"/>
          <w:szCs w:val="28"/>
          <w:highlight w:val="none"/>
          <w:lang w:val="en-US" w:eastAsia="zh-CN" w:bidi="ar-SA"/>
        </w:rPr>
        <w:t>%</w:t>
      </w:r>
      <w:r>
        <w:rPr>
          <w:rFonts w:hint="eastAsia" w:cs="仿宋_GB2312"/>
          <w:b w:val="0"/>
          <w:bCs w:val="0"/>
          <w:color w:val="auto"/>
          <w:kern w:val="2"/>
          <w:sz w:val="28"/>
          <w:szCs w:val="28"/>
          <w:highlight w:val="none"/>
          <w:lang w:val="en-US" w:eastAsia="zh-CN" w:bidi="ar-SA"/>
        </w:rPr>
        <w:t>。</w:t>
      </w:r>
    </w:p>
    <w:p w14:paraId="73CA792C">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default" w:cs="仿宋_GB2312"/>
          <w:b w:val="0"/>
          <w:bCs w:val="0"/>
          <w:color w:val="auto"/>
          <w:sz w:val="28"/>
          <w:szCs w:val="28"/>
          <w:highlight w:val="none"/>
          <w:lang w:val="en-US" w:eastAsia="zh-CN"/>
        </w:rPr>
      </w:pPr>
      <w:r>
        <w:rPr>
          <w:rFonts w:hint="eastAsia" w:cs="仿宋_GB2312"/>
          <w:b w:val="0"/>
          <w:bCs w:val="0"/>
          <w:color w:val="auto"/>
          <w:sz w:val="28"/>
          <w:szCs w:val="28"/>
          <w:highlight w:val="none"/>
          <w:lang w:val="en-US" w:eastAsia="zh-CN"/>
        </w:rPr>
        <w:t>存在偏差情况的原因是：业务人员对预算资金的编制不够合理，，对项目资金使用前瞻性不足，使资金存在五十三元的结余，导致资金达不到100%的利用率。</w:t>
      </w:r>
    </w:p>
    <w:p w14:paraId="1B88FFC1">
      <w:pPr>
        <w:pStyle w:val="3"/>
        <w:pageBreakBefore w:val="0"/>
        <w:kinsoku/>
        <w:wordWrap/>
        <w:overflowPunct/>
        <w:topLinePunct w:val="0"/>
        <w:autoSpaceDE/>
        <w:autoSpaceDN/>
        <w:bidi w:val="0"/>
        <w:adjustRightInd/>
        <w:spacing w:beforeLines="0" w:afterLines="0" w:line="360" w:lineRule="auto"/>
        <w:ind w:left="0" w:leftChars="0" w:firstLine="643" w:firstLineChars="200"/>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15C33679">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0BD92FD4">
      <w:pPr>
        <w:bidi w:val="0"/>
        <w:rPr>
          <w:rFonts w:hint="eastAsia"/>
          <w:color w:val="auto"/>
          <w:highlight w:val="none"/>
          <w:lang w:eastAsia="zh-CN"/>
        </w:rPr>
      </w:pPr>
      <w:r>
        <w:rPr>
          <w:rFonts w:hint="eastAsia"/>
          <w:color w:val="auto"/>
          <w:highlight w:val="none"/>
        </w:rPr>
        <w:t>2023年自治区广播电视节目无线覆盖运行维护经费</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20.99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99.95</w:t>
      </w:r>
      <w:r>
        <w:rPr>
          <w:rFonts w:hint="eastAsia"/>
          <w:color w:val="auto"/>
          <w:highlight w:val="none"/>
          <w:lang w:eastAsia="zh-CN"/>
        </w:rPr>
        <w:t>%。</w:t>
      </w:r>
    </w:p>
    <w:p w14:paraId="41CBBB4E">
      <w:pPr>
        <w:bidi w:val="0"/>
        <w:rPr>
          <w:rFonts w:hint="eastAsia"/>
          <w:color w:val="auto"/>
          <w:highlight w:val="none"/>
          <w:lang w:eastAsia="zh-CN"/>
        </w:rPr>
      </w:pPr>
      <w:r>
        <w:rPr>
          <w:rFonts w:hint="eastAsia"/>
          <w:color w:val="auto"/>
          <w:highlight w:val="none"/>
          <w:lang w:val="en-US" w:eastAsia="zh-CN"/>
        </w:rPr>
        <w:t>阜康市融媒体中心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阜康市融媒体中心</w:t>
      </w:r>
      <w:r>
        <w:rPr>
          <w:rFonts w:hint="eastAsia"/>
          <w:color w:val="auto"/>
          <w:highlight w:val="none"/>
          <w:lang w:eastAsia="zh-CN"/>
        </w:rPr>
        <w:t>事业发展中关系民生与稳定的项目，切实优化资源配置，提高了资金使用的效率和效果。</w:t>
      </w:r>
    </w:p>
    <w:bookmarkEnd w:id="82"/>
    <w:bookmarkEnd w:id="83"/>
    <w:p w14:paraId="4BF7B87D">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0284B668">
      <w:pPr>
        <w:bidi w:val="0"/>
        <w:rPr>
          <w:rFonts w:hint="eastAsia"/>
          <w:b w:val="0"/>
          <w:bCs w:val="0"/>
          <w:color w:val="auto"/>
          <w:highlight w:val="none"/>
          <w:shd w:val="clear" w:color="auto" w:fill="auto"/>
          <w:lang w:val="en-US" w:eastAsia="zh-CN"/>
        </w:rPr>
      </w:pPr>
      <w:r>
        <w:rPr>
          <w:rFonts w:hint="eastAsia"/>
          <w:b w:val="0"/>
          <w:bCs w:val="0"/>
          <w:color w:val="auto"/>
          <w:highlight w:val="none"/>
          <w:lang w:val="en-US" w:eastAsia="zh-CN"/>
        </w:rPr>
        <w:t>1.</w:t>
      </w:r>
      <w:r>
        <w:rPr>
          <w:rFonts w:hint="eastAsia"/>
          <w:b w:val="0"/>
          <w:bCs w:val="0"/>
          <w:color w:val="auto"/>
          <w:highlight w:val="none"/>
          <w:shd w:val="clear" w:color="auto" w:fill="auto"/>
          <w:lang w:val="en-US" w:eastAsia="zh-CN"/>
        </w:rPr>
        <w:t>项目进展稍有迟缓，从而使专项资金结余。主要原因是项目管理方法不够科学，项目预算不够细化，缺乏严谨性。</w:t>
      </w:r>
    </w:p>
    <w:p w14:paraId="008F5970">
      <w:pPr>
        <w:pStyle w:val="2"/>
        <w:rPr>
          <w:rFonts w:hint="default" w:ascii="宋体" w:hAnsi="宋体" w:eastAsia="宋体" w:cs="宋体"/>
          <w:b w:val="0"/>
          <w:bCs w:val="0"/>
          <w:color w:val="auto"/>
          <w:sz w:val="28"/>
          <w:szCs w:val="28"/>
          <w:highlight w:val="none"/>
          <w:lang w:val="en-US" w:eastAsia="zh-CN"/>
        </w:rPr>
      </w:pPr>
      <w:r>
        <w:rPr>
          <w:rFonts w:hint="eastAsia"/>
          <w:b/>
          <w:bCs/>
          <w:color w:val="auto"/>
          <w:highlight w:val="none"/>
          <w:lang w:val="en-US" w:eastAsia="zh-CN"/>
        </w:rPr>
        <w:t>2.</w:t>
      </w:r>
      <w:r>
        <w:rPr>
          <w:rFonts w:hint="eastAsia"/>
          <w:b w:val="0"/>
          <w:bCs w:val="0"/>
          <w:color w:val="auto"/>
          <w:highlight w:val="none"/>
          <w:lang w:val="en-US" w:eastAsia="zh-CN"/>
        </w:rPr>
        <w:t>预算编制不够合理，</w:t>
      </w:r>
      <w:r>
        <w:rPr>
          <w:rFonts w:hint="eastAsia"/>
          <w:b w:val="0"/>
          <w:bCs w:val="0"/>
          <w:color w:val="auto"/>
          <w:sz w:val="28"/>
          <w:szCs w:val="28"/>
          <w:highlight w:val="none"/>
          <w:lang w:val="en-US" w:eastAsia="zh-CN"/>
        </w:rPr>
        <w:t>主要原因</w:t>
      </w:r>
      <w:r>
        <w:rPr>
          <w:rFonts w:hint="eastAsia" w:ascii="宋体" w:hAnsi="宋体" w:eastAsia="宋体" w:cs="宋体"/>
          <w:b w:val="0"/>
          <w:bCs w:val="0"/>
          <w:color w:val="auto"/>
          <w:sz w:val="28"/>
          <w:szCs w:val="28"/>
          <w:highlight w:val="none"/>
          <w:lang w:val="en-US" w:eastAsia="zh-CN"/>
        </w:rPr>
        <w:t>是</w:t>
      </w:r>
      <w:r>
        <w:rPr>
          <w:rFonts w:hint="eastAsia" w:ascii="宋体" w:hAnsi="宋体" w:eastAsia="宋体" w:cs="宋体"/>
          <w:color w:val="auto"/>
          <w:kern w:val="0"/>
          <w:sz w:val="28"/>
          <w:szCs w:val="28"/>
          <w:highlight w:val="none"/>
          <w:lang w:val="en-US" w:eastAsia="zh-CN" w:bidi="ar"/>
        </w:rPr>
        <w:t>对预算编制的认知不足，对预算编制不够重视，对预期工作不能准确预计。</w:t>
      </w:r>
    </w:p>
    <w:p w14:paraId="375273EE">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7B2CC07D">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val="0"/>
          <w:bCs w:val="0"/>
          <w:color w:val="auto"/>
          <w:sz w:val="28"/>
          <w:szCs w:val="28"/>
          <w:highlight w:val="none"/>
          <w:lang w:val="en-US" w:eastAsia="zh-CN"/>
        </w:rPr>
      </w:pPr>
      <w:bookmarkStart w:id="86" w:name="_Toc15618"/>
      <w:r>
        <w:rPr>
          <w:rFonts w:hint="eastAsia" w:ascii="宋体" w:hAnsi="宋体" w:eastAsia="宋体" w:cs="宋体"/>
          <w:b w:val="0"/>
          <w:bCs w:val="0"/>
          <w:color w:val="auto"/>
          <w:sz w:val="28"/>
          <w:szCs w:val="28"/>
          <w:highlight w:val="none"/>
          <w:lang w:val="en-US" w:eastAsia="zh-CN"/>
        </w:rPr>
        <w:t>（一）加强《预算法》及《预算法实施条例》的培训学习，严格按照自治区专项资金管理制度要求，结合本单位实际，合理分配项目资金，进一步提高预算的准确性和科学性，减少预算编制的随意性，提高资金使用效率，确保资金发挥更大效益，防止资金浪费和滥用。</w:t>
      </w:r>
    </w:p>
    <w:p w14:paraId="4B4C7FAC">
      <w:pPr>
        <w:rPr>
          <w:rFonts w:hint="default"/>
          <w:b w:val="0"/>
          <w:bCs w:val="0"/>
          <w:color w:val="auto"/>
          <w:highlight w:val="none"/>
          <w:lang w:val="en-US" w:eastAsia="zh-CN"/>
        </w:rPr>
      </w:pPr>
      <w:r>
        <w:rPr>
          <w:rFonts w:hint="eastAsia" w:ascii="宋体" w:hAnsi="宋体" w:eastAsia="宋体" w:cs="宋体"/>
          <w:b w:val="0"/>
          <w:bCs w:val="0"/>
          <w:color w:val="auto"/>
          <w:sz w:val="28"/>
          <w:szCs w:val="28"/>
          <w:highlight w:val="none"/>
          <w:lang w:val="en-US" w:eastAsia="zh-CN"/>
        </w:rPr>
        <w:t>（</w:t>
      </w:r>
      <w:r>
        <w:rPr>
          <w:rFonts w:hint="eastAsia" w:cs="宋体"/>
          <w:b w:val="0"/>
          <w:bCs w:val="0"/>
          <w:color w:val="auto"/>
          <w:sz w:val="28"/>
          <w:szCs w:val="28"/>
          <w:highlight w:val="none"/>
          <w:lang w:val="en-US" w:eastAsia="zh-CN"/>
        </w:rPr>
        <w:t>二</w:t>
      </w:r>
      <w:r>
        <w:rPr>
          <w:rFonts w:hint="eastAsia" w:ascii="宋体" w:hAnsi="宋体" w:eastAsia="宋体" w:cs="宋体"/>
          <w:b w:val="0"/>
          <w:bCs w:val="0"/>
          <w:color w:val="auto"/>
          <w:sz w:val="28"/>
          <w:szCs w:val="28"/>
          <w:highlight w:val="none"/>
          <w:lang w:val="en-US" w:eastAsia="zh-CN"/>
        </w:rPr>
        <w:t>）</w:t>
      </w:r>
      <w:r>
        <w:rPr>
          <w:rFonts w:hint="eastAsia" w:cs="宋体"/>
          <w:b w:val="0"/>
          <w:bCs w:val="0"/>
          <w:color w:val="auto"/>
          <w:sz w:val="28"/>
          <w:szCs w:val="28"/>
          <w:highlight w:val="none"/>
          <w:lang w:val="en-US" w:eastAsia="zh-CN"/>
        </w:rPr>
        <w:t>合理安排预算资金，加强项目管理，细化业务预算，对预期工作能够提前安排，确保资金达到有效利用率</w:t>
      </w:r>
      <w:r>
        <w:rPr>
          <w:rFonts w:hint="eastAsia" w:ascii="宋体" w:hAnsi="宋体" w:eastAsia="宋体" w:cs="宋体"/>
          <w:b w:val="0"/>
          <w:bCs w:val="0"/>
          <w:color w:val="auto"/>
          <w:sz w:val="28"/>
          <w:szCs w:val="28"/>
          <w:highlight w:val="none"/>
          <w:lang w:val="en-US" w:eastAsia="zh-CN"/>
        </w:rPr>
        <w:t>。</w:t>
      </w:r>
    </w:p>
    <w:p w14:paraId="161B2A2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660AA153">
      <w:pPr>
        <w:bidi w:val="0"/>
        <w:rPr>
          <w:rFonts w:hint="eastAsia" w:ascii="宋体" w:hAnsi="宋体" w:eastAsia="宋体" w:cs="宋体"/>
          <w:color w:val="auto"/>
          <w:highlight w:val="none"/>
          <w:lang w:val="en-US" w:eastAsia="zh-CN"/>
        </w:rPr>
        <w:sectPr>
          <w:footerReference r:id="rId5"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14:paraId="1D1DC7AC">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492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20"/>
        <w:gridCol w:w="920"/>
        <w:gridCol w:w="920"/>
        <w:gridCol w:w="920"/>
        <w:gridCol w:w="1290"/>
        <w:gridCol w:w="920"/>
        <w:gridCol w:w="1290"/>
        <w:gridCol w:w="1012"/>
        <w:gridCol w:w="920"/>
        <w:gridCol w:w="920"/>
        <w:gridCol w:w="1105"/>
        <w:gridCol w:w="1105"/>
        <w:gridCol w:w="1012"/>
        <w:gridCol w:w="920"/>
      </w:tblGrid>
      <w:tr w14:paraId="61940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70E558A">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1BA60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05DD6DA5">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A5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trPr>
        <w:tc>
          <w:tcPr>
            <w:tcW w:w="1350" w:type="dxa"/>
            <w:gridSpan w:val="2"/>
            <w:tcBorders>
              <w:top w:val="single" w:color="auto" w:sz="4" w:space="0"/>
            </w:tcBorders>
            <w:shd w:val="clear" w:color="auto" w:fill="auto"/>
            <w:vAlign w:val="center"/>
          </w:tcPr>
          <w:p w14:paraId="253BEE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824" w:type="dxa"/>
            <w:gridSpan w:val="12"/>
            <w:tcBorders>
              <w:top w:val="single" w:color="auto" w:sz="4" w:space="0"/>
            </w:tcBorders>
            <w:shd w:val="clear" w:color="auto" w:fill="auto"/>
            <w:vAlign w:val="center"/>
          </w:tcPr>
          <w:p w14:paraId="4E0036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昌州财办教[2022]69号-2023年自治区广播电视节目无线覆盖运行维护经费</w:t>
            </w:r>
          </w:p>
        </w:tc>
      </w:tr>
      <w:tr w14:paraId="15576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350" w:type="dxa"/>
            <w:gridSpan w:val="2"/>
            <w:shd w:val="clear" w:color="auto" w:fill="auto"/>
            <w:vAlign w:val="center"/>
          </w:tcPr>
          <w:p w14:paraId="3FD154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63" w:type="dxa"/>
            <w:gridSpan w:val="5"/>
            <w:shd w:val="clear" w:color="auto" w:fill="auto"/>
            <w:vAlign w:val="center"/>
          </w:tcPr>
          <w:p w14:paraId="07B6CE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阜康市融媒体中心</w:t>
            </w:r>
          </w:p>
        </w:tc>
        <w:tc>
          <w:tcPr>
            <w:tcW w:w="1988" w:type="dxa"/>
            <w:gridSpan w:val="2"/>
            <w:shd w:val="clear" w:color="auto" w:fill="auto"/>
            <w:vAlign w:val="center"/>
          </w:tcPr>
          <w:p w14:paraId="4F8349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673" w:type="dxa"/>
            <w:gridSpan w:val="5"/>
            <w:shd w:val="clear" w:color="auto" w:fill="auto"/>
            <w:vAlign w:val="center"/>
          </w:tcPr>
          <w:p w14:paraId="59311F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阜康市融媒体中心</w:t>
            </w:r>
          </w:p>
        </w:tc>
      </w:tr>
      <w:tr w14:paraId="7C877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350" w:type="dxa"/>
            <w:gridSpan w:val="2"/>
            <w:vMerge w:val="restart"/>
            <w:shd w:val="clear" w:color="auto" w:fill="auto"/>
            <w:vAlign w:val="center"/>
          </w:tcPr>
          <w:p w14:paraId="1B67DE7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78" w:type="dxa"/>
            <w:gridSpan w:val="2"/>
            <w:shd w:val="clear" w:color="auto" w:fill="auto"/>
            <w:vAlign w:val="center"/>
          </w:tcPr>
          <w:p w14:paraId="63DDA6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06" w:type="dxa"/>
            <w:shd w:val="clear" w:color="auto" w:fill="auto"/>
            <w:vAlign w:val="center"/>
          </w:tcPr>
          <w:p w14:paraId="7739BC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79" w:type="dxa"/>
            <w:gridSpan w:val="2"/>
            <w:shd w:val="clear" w:color="auto" w:fill="auto"/>
            <w:vAlign w:val="center"/>
          </w:tcPr>
          <w:p w14:paraId="76CC48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88" w:type="dxa"/>
            <w:gridSpan w:val="2"/>
            <w:shd w:val="clear" w:color="auto" w:fill="auto"/>
            <w:vAlign w:val="center"/>
          </w:tcPr>
          <w:p w14:paraId="68CD33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904" w:type="dxa"/>
            <w:gridSpan w:val="2"/>
            <w:shd w:val="clear" w:color="auto" w:fill="auto"/>
            <w:vAlign w:val="center"/>
          </w:tcPr>
          <w:p w14:paraId="0F6881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712" w:type="dxa"/>
            <w:gridSpan w:val="2"/>
            <w:shd w:val="clear" w:color="auto" w:fill="auto"/>
            <w:vAlign w:val="center"/>
          </w:tcPr>
          <w:p w14:paraId="0D1E92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2057" w:type="dxa"/>
            <w:shd w:val="clear" w:color="auto" w:fill="auto"/>
            <w:vAlign w:val="center"/>
          </w:tcPr>
          <w:p w14:paraId="760EBCA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93AB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350" w:type="dxa"/>
            <w:gridSpan w:val="2"/>
            <w:vMerge w:val="continue"/>
            <w:shd w:val="clear" w:color="auto" w:fill="auto"/>
            <w:vAlign w:val="center"/>
          </w:tcPr>
          <w:p w14:paraId="515842CF">
            <w:pPr>
              <w:jc w:val="center"/>
              <w:rPr>
                <w:rFonts w:hint="eastAsia" w:ascii="宋体" w:hAnsi="宋体" w:eastAsia="宋体" w:cs="宋体"/>
                <w:i w:val="0"/>
                <w:iCs w:val="0"/>
                <w:color w:val="000000"/>
                <w:sz w:val="20"/>
                <w:szCs w:val="20"/>
                <w:u w:val="none"/>
              </w:rPr>
            </w:pPr>
          </w:p>
        </w:tc>
        <w:tc>
          <w:tcPr>
            <w:tcW w:w="2578" w:type="dxa"/>
            <w:gridSpan w:val="2"/>
            <w:shd w:val="clear" w:color="auto" w:fill="auto"/>
            <w:vAlign w:val="center"/>
          </w:tcPr>
          <w:p w14:paraId="388FDA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06" w:type="dxa"/>
            <w:shd w:val="clear" w:color="auto" w:fill="auto"/>
            <w:vAlign w:val="center"/>
          </w:tcPr>
          <w:p w14:paraId="0FCF60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21.00 </w:t>
            </w:r>
          </w:p>
        </w:tc>
        <w:tc>
          <w:tcPr>
            <w:tcW w:w="1679" w:type="dxa"/>
            <w:gridSpan w:val="2"/>
            <w:shd w:val="clear" w:color="auto" w:fill="auto"/>
            <w:vAlign w:val="center"/>
          </w:tcPr>
          <w:p w14:paraId="316352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21.00 </w:t>
            </w:r>
          </w:p>
        </w:tc>
        <w:tc>
          <w:tcPr>
            <w:tcW w:w="1988" w:type="dxa"/>
            <w:gridSpan w:val="2"/>
            <w:shd w:val="clear" w:color="auto" w:fill="auto"/>
            <w:vAlign w:val="center"/>
          </w:tcPr>
          <w:p w14:paraId="6E731D2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20.99 </w:t>
            </w:r>
          </w:p>
        </w:tc>
        <w:tc>
          <w:tcPr>
            <w:tcW w:w="1904" w:type="dxa"/>
            <w:gridSpan w:val="2"/>
            <w:shd w:val="clear" w:color="auto" w:fill="auto"/>
            <w:vAlign w:val="center"/>
          </w:tcPr>
          <w:p w14:paraId="2E9ACB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12" w:type="dxa"/>
            <w:gridSpan w:val="2"/>
            <w:shd w:val="clear" w:color="auto" w:fill="auto"/>
            <w:vAlign w:val="center"/>
          </w:tcPr>
          <w:p w14:paraId="78ED55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99.95%%</w:t>
            </w:r>
          </w:p>
        </w:tc>
        <w:tc>
          <w:tcPr>
            <w:tcW w:w="2057" w:type="dxa"/>
            <w:shd w:val="clear" w:color="auto" w:fill="auto"/>
            <w:vAlign w:val="center"/>
          </w:tcPr>
          <w:p w14:paraId="7FF1D8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2C3F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1350" w:type="dxa"/>
            <w:gridSpan w:val="2"/>
            <w:vMerge w:val="continue"/>
            <w:shd w:val="clear" w:color="auto" w:fill="auto"/>
            <w:vAlign w:val="center"/>
          </w:tcPr>
          <w:p w14:paraId="61096BF1">
            <w:pPr>
              <w:jc w:val="center"/>
              <w:rPr>
                <w:rFonts w:hint="eastAsia" w:ascii="宋体" w:hAnsi="宋体" w:eastAsia="宋体" w:cs="宋体"/>
                <w:i w:val="0"/>
                <w:iCs w:val="0"/>
                <w:color w:val="000000"/>
                <w:sz w:val="20"/>
                <w:szCs w:val="20"/>
                <w:u w:val="none"/>
              </w:rPr>
            </w:pPr>
          </w:p>
        </w:tc>
        <w:tc>
          <w:tcPr>
            <w:tcW w:w="2578" w:type="dxa"/>
            <w:gridSpan w:val="2"/>
            <w:shd w:val="clear" w:color="auto" w:fill="auto"/>
            <w:vAlign w:val="center"/>
          </w:tcPr>
          <w:p w14:paraId="6CC5BC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06" w:type="dxa"/>
            <w:shd w:val="clear" w:color="auto" w:fill="auto"/>
            <w:vAlign w:val="center"/>
          </w:tcPr>
          <w:p w14:paraId="44A5C3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21.00 </w:t>
            </w:r>
          </w:p>
        </w:tc>
        <w:tc>
          <w:tcPr>
            <w:tcW w:w="1679" w:type="dxa"/>
            <w:gridSpan w:val="2"/>
            <w:shd w:val="clear" w:color="auto" w:fill="auto"/>
            <w:vAlign w:val="center"/>
          </w:tcPr>
          <w:p w14:paraId="177CB5F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21.00 </w:t>
            </w:r>
          </w:p>
        </w:tc>
        <w:tc>
          <w:tcPr>
            <w:tcW w:w="1988" w:type="dxa"/>
            <w:gridSpan w:val="2"/>
            <w:shd w:val="clear" w:color="auto" w:fill="auto"/>
            <w:vAlign w:val="center"/>
          </w:tcPr>
          <w:p w14:paraId="1313D0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20.99 </w:t>
            </w:r>
          </w:p>
        </w:tc>
        <w:tc>
          <w:tcPr>
            <w:tcW w:w="1904" w:type="dxa"/>
            <w:gridSpan w:val="2"/>
            <w:shd w:val="clear" w:color="auto" w:fill="auto"/>
            <w:vAlign w:val="center"/>
          </w:tcPr>
          <w:p w14:paraId="318F44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2" w:type="dxa"/>
            <w:gridSpan w:val="2"/>
            <w:shd w:val="clear" w:color="auto" w:fill="auto"/>
            <w:vAlign w:val="center"/>
          </w:tcPr>
          <w:p w14:paraId="7DA06B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57" w:type="dxa"/>
            <w:shd w:val="clear" w:color="auto" w:fill="auto"/>
            <w:vAlign w:val="center"/>
          </w:tcPr>
          <w:p w14:paraId="30E8B5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EF9C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350" w:type="dxa"/>
            <w:gridSpan w:val="2"/>
            <w:vMerge w:val="continue"/>
            <w:shd w:val="clear" w:color="auto" w:fill="auto"/>
            <w:vAlign w:val="center"/>
          </w:tcPr>
          <w:p w14:paraId="2DD6F9F4">
            <w:pPr>
              <w:jc w:val="center"/>
              <w:rPr>
                <w:rFonts w:hint="eastAsia" w:ascii="宋体" w:hAnsi="宋体" w:eastAsia="宋体" w:cs="宋体"/>
                <w:i w:val="0"/>
                <w:iCs w:val="0"/>
                <w:color w:val="000000"/>
                <w:sz w:val="20"/>
                <w:szCs w:val="20"/>
                <w:u w:val="none"/>
              </w:rPr>
            </w:pPr>
          </w:p>
        </w:tc>
        <w:tc>
          <w:tcPr>
            <w:tcW w:w="2578" w:type="dxa"/>
            <w:gridSpan w:val="2"/>
            <w:shd w:val="clear" w:color="auto" w:fill="auto"/>
            <w:vAlign w:val="center"/>
          </w:tcPr>
          <w:p w14:paraId="374398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06" w:type="dxa"/>
            <w:shd w:val="clear" w:color="auto" w:fill="auto"/>
            <w:vAlign w:val="center"/>
          </w:tcPr>
          <w:p w14:paraId="53FB69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79" w:type="dxa"/>
            <w:gridSpan w:val="2"/>
            <w:shd w:val="clear" w:color="auto" w:fill="auto"/>
            <w:vAlign w:val="center"/>
          </w:tcPr>
          <w:p w14:paraId="1F1671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88" w:type="dxa"/>
            <w:gridSpan w:val="2"/>
            <w:shd w:val="clear" w:color="auto" w:fill="auto"/>
            <w:vAlign w:val="center"/>
          </w:tcPr>
          <w:p w14:paraId="37B7FE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04" w:type="dxa"/>
            <w:gridSpan w:val="2"/>
            <w:shd w:val="clear" w:color="auto" w:fill="auto"/>
            <w:vAlign w:val="center"/>
          </w:tcPr>
          <w:p w14:paraId="03B6B9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2" w:type="dxa"/>
            <w:gridSpan w:val="2"/>
            <w:shd w:val="clear" w:color="auto" w:fill="auto"/>
            <w:vAlign w:val="center"/>
          </w:tcPr>
          <w:p w14:paraId="171A51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057" w:type="dxa"/>
            <w:shd w:val="clear" w:color="auto" w:fill="auto"/>
            <w:vAlign w:val="center"/>
          </w:tcPr>
          <w:p w14:paraId="775ACD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D887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10" w:type="dxa"/>
            <w:vMerge w:val="restart"/>
            <w:shd w:val="clear" w:color="auto" w:fill="auto"/>
            <w:vAlign w:val="center"/>
          </w:tcPr>
          <w:p w14:paraId="0AA699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91" w:type="dxa"/>
            <w:gridSpan w:val="8"/>
            <w:shd w:val="clear" w:color="auto" w:fill="auto"/>
            <w:vAlign w:val="center"/>
          </w:tcPr>
          <w:p w14:paraId="42B7DE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673" w:type="dxa"/>
            <w:gridSpan w:val="5"/>
            <w:shd w:val="clear" w:color="auto" w:fill="auto"/>
            <w:vAlign w:val="center"/>
          </w:tcPr>
          <w:p w14:paraId="3CCCBB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47EEB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40" w:hRule="atLeast"/>
        </w:trPr>
        <w:tc>
          <w:tcPr>
            <w:tcW w:w="310" w:type="dxa"/>
            <w:vMerge w:val="continue"/>
            <w:shd w:val="clear" w:color="auto" w:fill="auto"/>
            <w:vAlign w:val="center"/>
          </w:tcPr>
          <w:p w14:paraId="05CE1E0A">
            <w:pPr>
              <w:jc w:val="center"/>
              <w:rPr>
                <w:rFonts w:hint="eastAsia" w:ascii="宋体" w:hAnsi="宋体" w:eastAsia="宋体" w:cs="宋体"/>
                <w:i w:val="0"/>
                <w:iCs w:val="0"/>
                <w:color w:val="000000"/>
                <w:sz w:val="20"/>
                <w:szCs w:val="20"/>
                <w:u w:val="none"/>
              </w:rPr>
            </w:pPr>
          </w:p>
        </w:tc>
        <w:tc>
          <w:tcPr>
            <w:tcW w:w="8191" w:type="dxa"/>
            <w:gridSpan w:val="8"/>
            <w:shd w:val="clear" w:color="auto" w:fill="auto"/>
            <w:vAlign w:val="center"/>
          </w:tcPr>
          <w:p w14:paraId="45E1E4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针对此项目的部门职能阜康市融媒体中心2023年预计完成6部发射机“满功率、满调幅度、满时间”安全播出。为了保障发射机及附属设备设施完好，确保自治区无线覆盖工程配备的转播自治区节目的调频发射机正常运转，使用年初提前下达无线覆盖运行维护专项资金21万元，对发射机及附属设备正常运行电费7万元、铁塔定期维修及质量检测9万元、维修维护所需备品备件的采购5万元，提供了最有力的资金支持。项目的实施预计达到：使广大农村及各族群众，及时通过中央、行业、地方主要媒体，收听收看到中央和自治区的广播节目、了解重要事件及民生政策的需求，从而巩固自治区广播电视无线覆盖工程实施效果,实现各发射台站按规定完整转播好自治区广播节目，为农村地区广播基本公共服务提供无线传输保障作用，丰富人民群众精神文化生活。</w:t>
            </w:r>
          </w:p>
        </w:tc>
        <w:tc>
          <w:tcPr>
            <w:tcW w:w="5673" w:type="dxa"/>
            <w:gridSpan w:val="5"/>
            <w:shd w:val="clear" w:color="auto" w:fill="auto"/>
            <w:vAlign w:val="center"/>
          </w:tcPr>
          <w:p w14:paraId="772771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了融媒体中心6部发射机“满功率、满调幅度、满时间”的安全播出任务。保障了发射机及附属设备设施的完好，确保了自治区无线覆盖工程配备的转播自治区广播电视节目调频发射机的正常运转，使广大农村及各族群众及时通过中央、行业、地方主要媒体，收听收看到中央和自治区的广播电视节目、及时了解国家及地方等重要事件和民生政策内容的需求，从而巩固自治区广播电视无线覆盖工程实施效果,实现了各发射台站按规定完整转播好自治区广播节目，为农村地区广播基本公共服务提供无线传输保障作用，达到了丰富人民群众精神文化生活的效益。</w:t>
            </w:r>
          </w:p>
        </w:tc>
      </w:tr>
      <w:tr w14:paraId="6829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310" w:type="dxa"/>
            <w:shd w:val="clear" w:color="auto" w:fill="auto"/>
            <w:vAlign w:val="center"/>
          </w:tcPr>
          <w:p w14:paraId="1621AC49">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7E6D0E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68" w:type="dxa"/>
            <w:shd w:val="clear" w:color="auto" w:fill="auto"/>
            <w:vAlign w:val="center"/>
          </w:tcPr>
          <w:p w14:paraId="17B247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10" w:type="dxa"/>
            <w:shd w:val="clear" w:color="auto" w:fill="auto"/>
            <w:vAlign w:val="center"/>
          </w:tcPr>
          <w:p w14:paraId="66C80CA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06" w:type="dxa"/>
            <w:shd w:val="clear" w:color="auto" w:fill="auto"/>
            <w:vAlign w:val="center"/>
          </w:tcPr>
          <w:p w14:paraId="5704BD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898" w:type="dxa"/>
            <w:shd w:val="clear" w:color="auto" w:fill="auto"/>
            <w:vAlign w:val="center"/>
          </w:tcPr>
          <w:p w14:paraId="2C629D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81" w:type="dxa"/>
            <w:shd w:val="clear" w:color="auto" w:fill="auto"/>
            <w:vAlign w:val="center"/>
          </w:tcPr>
          <w:p w14:paraId="56E56D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31" w:type="dxa"/>
            <w:shd w:val="clear" w:color="auto" w:fill="auto"/>
            <w:vAlign w:val="center"/>
          </w:tcPr>
          <w:p w14:paraId="015A86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7" w:type="dxa"/>
            <w:shd w:val="clear" w:color="auto" w:fill="auto"/>
            <w:vAlign w:val="center"/>
          </w:tcPr>
          <w:p w14:paraId="55141F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23" w:type="dxa"/>
            <w:shd w:val="clear" w:color="auto" w:fill="auto"/>
            <w:vAlign w:val="center"/>
          </w:tcPr>
          <w:p w14:paraId="1C4B7B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881" w:type="dxa"/>
            <w:shd w:val="clear" w:color="auto" w:fill="auto"/>
            <w:vAlign w:val="center"/>
          </w:tcPr>
          <w:p w14:paraId="21439C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931" w:type="dxa"/>
            <w:shd w:val="clear" w:color="auto" w:fill="auto"/>
            <w:vAlign w:val="center"/>
          </w:tcPr>
          <w:p w14:paraId="121B13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781" w:type="dxa"/>
            <w:shd w:val="clear" w:color="auto" w:fill="auto"/>
            <w:vAlign w:val="center"/>
          </w:tcPr>
          <w:p w14:paraId="0790306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2057" w:type="dxa"/>
            <w:shd w:val="clear" w:color="auto" w:fill="auto"/>
            <w:vAlign w:val="center"/>
          </w:tcPr>
          <w:p w14:paraId="709D03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6DBE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restart"/>
            <w:shd w:val="clear" w:color="auto" w:fill="auto"/>
            <w:vAlign w:val="center"/>
          </w:tcPr>
          <w:p w14:paraId="3751EA5C">
            <w:pPr>
              <w:jc w:val="center"/>
              <w:rPr>
                <w:rFonts w:hint="eastAsia" w:ascii="宋体" w:hAnsi="宋体" w:eastAsia="宋体" w:cs="宋体"/>
                <w:i w:val="0"/>
                <w:iCs w:val="0"/>
                <w:color w:val="000000"/>
                <w:sz w:val="20"/>
                <w:szCs w:val="20"/>
                <w:u w:val="none"/>
              </w:rPr>
            </w:pPr>
          </w:p>
        </w:tc>
        <w:tc>
          <w:tcPr>
            <w:tcW w:w="1040" w:type="dxa"/>
            <w:vMerge w:val="restart"/>
            <w:shd w:val="clear" w:color="auto" w:fill="auto"/>
            <w:vAlign w:val="center"/>
          </w:tcPr>
          <w:p w14:paraId="35D149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68" w:type="dxa"/>
            <w:vMerge w:val="restart"/>
            <w:shd w:val="clear" w:color="auto" w:fill="auto"/>
            <w:vAlign w:val="center"/>
          </w:tcPr>
          <w:p w14:paraId="335405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10" w:type="dxa"/>
            <w:shd w:val="clear" w:color="auto" w:fill="auto"/>
            <w:vAlign w:val="center"/>
          </w:tcPr>
          <w:p w14:paraId="31BD7C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发射机维护数量</w:t>
            </w:r>
          </w:p>
        </w:tc>
        <w:tc>
          <w:tcPr>
            <w:tcW w:w="906" w:type="dxa"/>
            <w:shd w:val="clear" w:color="auto" w:fill="auto"/>
            <w:vAlign w:val="center"/>
          </w:tcPr>
          <w:p w14:paraId="0AA9EB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&gt;=6部</w:t>
            </w:r>
          </w:p>
        </w:tc>
        <w:tc>
          <w:tcPr>
            <w:tcW w:w="898" w:type="dxa"/>
            <w:shd w:val="clear" w:color="auto" w:fill="auto"/>
            <w:vAlign w:val="center"/>
          </w:tcPr>
          <w:p w14:paraId="24070E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22C656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6部</w:t>
            </w:r>
          </w:p>
        </w:tc>
        <w:tc>
          <w:tcPr>
            <w:tcW w:w="1031" w:type="dxa"/>
            <w:shd w:val="clear" w:color="auto" w:fill="auto"/>
            <w:vAlign w:val="center"/>
          </w:tcPr>
          <w:p w14:paraId="52BB56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57" w:type="dxa"/>
            <w:shd w:val="clear" w:color="auto" w:fill="auto"/>
            <w:vAlign w:val="center"/>
          </w:tcPr>
          <w:p w14:paraId="59A78FB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2E4F497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2C0395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6部</w:t>
            </w:r>
          </w:p>
        </w:tc>
        <w:tc>
          <w:tcPr>
            <w:tcW w:w="931" w:type="dxa"/>
            <w:shd w:val="clear" w:color="auto" w:fill="auto"/>
            <w:vAlign w:val="center"/>
          </w:tcPr>
          <w:p w14:paraId="08F212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2E02503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w:t>
            </w:r>
          </w:p>
        </w:tc>
        <w:tc>
          <w:tcPr>
            <w:tcW w:w="2057" w:type="dxa"/>
            <w:shd w:val="clear" w:color="auto" w:fill="auto"/>
            <w:vAlign w:val="center"/>
          </w:tcPr>
          <w:p w14:paraId="564F8D0C">
            <w:pPr>
              <w:jc w:val="center"/>
              <w:rPr>
                <w:rFonts w:hint="eastAsia" w:ascii="宋体" w:hAnsi="宋体" w:eastAsia="宋体" w:cs="宋体"/>
                <w:i w:val="0"/>
                <w:iCs w:val="0"/>
                <w:color w:val="000000"/>
                <w:sz w:val="20"/>
                <w:szCs w:val="20"/>
                <w:u w:val="none"/>
              </w:rPr>
            </w:pPr>
          </w:p>
        </w:tc>
      </w:tr>
      <w:tr w14:paraId="3D2E5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15601E4A">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37B2E341">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04923F10">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18819D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无线覆盖免费收听自治区广播节目数量</w:t>
            </w:r>
          </w:p>
        </w:tc>
        <w:tc>
          <w:tcPr>
            <w:tcW w:w="906" w:type="dxa"/>
            <w:shd w:val="clear" w:color="auto" w:fill="auto"/>
            <w:vAlign w:val="center"/>
          </w:tcPr>
          <w:p w14:paraId="1E0A22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&gt;=3套</w:t>
            </w:r>
          </w:p>
        </w:tc>
        <w:tc>
          <w:tcPr>
            <w:tcW w:w="898" w:type="dxa"/>
            <w:shd w:val="clear" w:color="auto" w:fill="auto"/>
            <w:vAlign w:val="center"/>
          </w:tcPr>
          <w:p w14:paraId="49C91B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0CA746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3套</w:t>
            </w:r>
          </w:p>
        </w:tc>
        <w:tc>
          <w:tcPr>
            <w:tcW w:w="1031" w:type="dxa"/>
            <w:shd w:val="clear" w:color="auto" w:fill="auto"/>
            <w:vAlign w:val="center"/>
          </w:tcPr>
          <w:p w14:paraId="0BE24A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shd w:val="clear" w:color="auto" w:fill="auto"/>
            <w:vAlign w:val="center"/>
          </w:tcPr>
          <w:p w14:paraId="4DF41A4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73C404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3890541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3套</w:t>
            </w:r>
          </w:p>
        </w:tc>
        <w:tc>
          <w:tcPr>
            <w:tcW w:w="931" w:type="dxa"/>
            <w:shd w:val="clear" w:color="auto" w:fill="auto"/>
            <w:vAlign w:val="center"/>
          </w:tcPr>
          <w:p w14:paraId="3C6329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76B2A87B">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057" w:type="dxa"/>
            <w:shd w:val="clear" w:color="auto" w:fill="auto"/>
            <w:vAlign w:val="center"/>
          </w:tcPr>
          <w:p w14:paraId="46654C6E">
            <w:pPr>
              <w:jc w:val="center"/>
              <w:rPr>
                <w:rFonts w:hint="eastAsia" w:ascii="宋体" w:hAnsi="宋体" w:eastAsia="宋体" w:cs="宋体"/>
                <w:i w:val="0"/>
                <w:iCs w:val="0"/>
                <w:color w:val="000000"/>
                <w:sz w:val="20"/>
                <w:szCs w:val="20"/>
                <w:u w:val="none"/>
              </w:rPr>
            </w:pPr>
          </w:p>
        </w:tc>
      </w:tr>
      <w:tr w14:paraId="0C7A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19CDD957">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46230E38">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61BBCC34">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22E0EA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开展专项运行维护次数</w:t>
            </w:r>
          </w:p>
        </w:tc>
        <w:tc>
          <w:tcPr>
            <w:tcW w:w="906" w:type="dxa"/>
            <w:shd w:val="clear" w:color="auto" w:fill="auto"/>
            <w:vAlign w:val="center"/>
          </w:tcPr>
          <w:p w14:paraId="06E82E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&gt;=18次</w:t>
            </w:r>
          </w:p>
        </w:tc>
        <w:tc>
          <w:tcPr>
            <w:tcW w:w="898" w:type="dxa"/>
            <w:shd w:val="clear" w:color="auto" w:fill="auto"/>
            <w:vAlign w:val="center"/>
          </w:tcPr>
          <w:p w14:paraId="278ED3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04D508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18次</w:t>
            </w:r>
          </w:p>
        </w:tc>
        <w:tc>
          <w:tcPr>
            <w:tcW w:w="1031" w:type="dxa"/>
            <w:shd w:val="clear" w:color="auto" w:fill="auto"/>
            <w:vAlign w:val="center"/>
          </w:tcPr>
          <w:p w14:paraId="0CA41D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shd w:val="clear" w:color="auto" w:fill="auto"/>
            <w:vAlign w:val="center"/>
          </w:tcPr>
          <w:p w14:paraId="79A0D5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5E5046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881" w:type="dxa"/>
            <w:shd w:val="clear" w:color="auto" w:fill="auto"/>
            <w:vAlign w:val="center"/>
          </w:tcPr>
          <w:p w14:paraId="4CCF07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c>
          <w:tcPr>
            <w:tcW w:w="931" w:type="dxa"/>
            <w:shd w:val="clear" w:color="auto" w:fill="auto"/>
            <w:vAlign w:val="center"/>
          </w:tcPr>
          <w:p w14:paraId="5E9030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197ABEC2">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2057" w:type="dxa"/>
            <w:shd w:val="clear" w:color="auto" w:fill="auto"/>
            <w:vAlign w:val="center"/>
          </w:tcPr>
          <w:p w14:paraId="10649549">
            <w:pPr>
              <w:jc w:val="center"/>
              <w:rPr>
                <w:rFonts w:hint="eastAsia" w:ascii="宋体" w:hAnsi="宋体" w:eastAsia="宋体" w:cs="宋体"/>
                <w:i w:val="0"/>
                <w:iCs w:val="0"/>
                <w:color w:val="000000"/>
                <w:sz w:val="20"/>
                <w:szCs w:val="20"/>
                <w:u w:val="none"/>
              </w:rPr>
            </w:pPr>
          </w:p>
        </w:tc>
      </w:tr>
      <w:tr w14:paraId="2911A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621642D6">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59410918">
            <w:pPr>
              <w:jc w:val="center"/>
              <w:rPr>
                <w:rFonts w:hint="eastAsia" w:ascii="宋体" w:hAnsi="宋体" w:eastAsia="宋体" w:cs="宋体"/>
                <w:i w:val="0"/>
                <w:iCs w:val="0"/>
                <w:color w:val="000000"/>
                <w:sz w:val="20"/>
                <w:szCs w:val="20"/>
                <w:u w:val="none"/>
              </w:rPr>
            </w:pPr>
          </w:p>
        </w:tc>
        <w:tc>
          <w:tcPr>
            <w:tcW w:w="1068" w:type="dxa"/>
            <w:vMerge w:val="restart"/>
            <w:shd w:val="clear" w:color="auto" w:fill="auto"/>
            <w:vAlign w:val="center"/>
          </w:tcPr>
          <w:p w14:paraId="70FB5F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10" w:type="dxa"/>
            <w:shd w:val="clear" w:color="auto" w:fill="auto"/>
            <w:vAlign w:val="center"/>
          </w:tcPr>
          <w:p w14:paraId="772F97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发射机满功率播出率</w:t>
            </w:r>
          </w:p>
        </w:tc>
        <w:tc>
          <w:tcPr>
            <w:tcW w:w="906" w:type="dxa"/>
            <w:shd w:val="clear" w:color="auto" w:fill="auto"/>
            <w:vAlign w:val="center"/>
          </w:tcPr>
          <w:p w14:paraId="5DB7D9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w:t>
            </w:r>
          </w:p>
        </w:tc>
        <w:tc>
          <w:tcPr>
            <w:tcW w:w="898" w:type="dxa"/>
            <w:shd w:val="clear" w:color="auto" w:fill="auto"/>
            <w:vAlign w:val="center"/>
          </w:tcPr>
          <w:p w14:paraId="409EB2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08F20C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1" w:type="dxa"/>
            <w:shd w:val="clear" w:color="auto" w:fill="auto"/>
            <w:vAlign w:val="center"/>
          </w:tcPr>
          <w:p w14:paraId="2C8CB1C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shd w:val="clear" w:color="auto" w:fill="auto"/>
            <w:vAlign w:val="center"/>
          </w:tcPr>
          <w:p w14:paraId="391B9D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64BBEE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3A5492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064B8E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46AE1F5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2057" w:type="dxa"/>
            <w:shd w:val="clear" w:color="auto" w:fill="auto"/>
            <w:vAlign w:val="center"/>
          </w:tcPr>
          <w:p w14:paraId="4A7FA7DD">
            <w:pPr>
              <w:jc w:val="center"/>
              <w:rPr>
                <w:rFonts w:hint="eastAsia" w:ascii="宋体" w:hAnsi="宋体" w:eastAsia="宋体" w:cs="宋体"/>
                <w:i w:val="0"/>
                <w:iCs w:val="0"/>
                <w:color w:val="000000"/>
                <w:sz w:val="20"/>
                <w:szCs w:val="20"/>
                <w:u w:val="none"/>
              </w:rPr>
            </w:pPr>
          </w:p>
        </w:tc>
      </w:tr>
      <w:tr w14:paraId="7E15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38719A09">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3132E62F">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6C4373C8">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4DF2D3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发射机满调制播出率</w:t>
            </w:r>
          </w:p>
        </w:tc>
        <w:tc>
          <w:tcPr>
            <w:tcW w:w="906" w:type="dxa"/>
            <w:shd w:val="clear" w:color="auto" w:fill="auto"/>
            <w:vAlign w:val="center"/>
          </w:tcPr>
          <w:p w14:paraId="7D2F2D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w:t>
            </w:r>
          </w:p>
        </w:tc>
        <w:tc>
          <w:tcPr>
            <w:tcW w:w="898" w:type="dxa"/>
            <w:shd w:val="clear" w:color="auto" w:fill="auto"/>
            <w:vAlign w:val="center"/>
          </w:tcPr>
          <w:p w14:paraId="373955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2D292A5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1" w:type="dxa"/>
            <w:shd w:val="clear" w:color="auto" w:fill="auto"/>
            <w:vAlign w:val="center"/>
          </w:tcPr>
          <w:p w14:paraId="6AAB1D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7" w:type="dxa"/>
            <w:shd w:val="clear" w:color="auto" w:fill="auto"/>
            <w:vAlign w:val="center"/>
          </w:tcPr>
          <w:p w14:paraId="7E1E57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6E19CA4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787746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28AA5D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223BA2D3">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4</w:t>
            </w:r>
          </w:p>
        </w:tc>
        <w:tc>
          <w:tcPr>
            <w:tcW w:w="2057" w:type="dxa"/>
            <w:shd w:val="clear" w:color="auto" w:fill="auto"/>
            <w:vAlign w:val="center"/>
          </w:tcPr>
          <w:p w14:paraId="1319AFD8">
            <w:pPr>
              <w:jc w:val="center"/>
              <w:rPr>
                <w:rFonts w:hint="eastAsia" w:ascii="宋体" w:hAnsi="宋体" w:eastAsia="宋体" w:cs="宋体"/>
                <w:i w:val="0"/>
                <w:iCs w:val="0"/>
                <w:color w:val="000000"/>
                <w:sz w:val="20"/>
                <w:szCs w:val="20"/>
                <w:u w:val="none"/>
              </w:rPr>
            </w:pPr>
          </w:p>
        </w:tc>
      </w:tr>
      <w:tr w14:paraId="79F36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623691B2">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0DDB80BE">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4A66A7CE">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72EDA0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发射机满时间播出</w:t>
            </w:r>
          </w:p>
        </w:tc>
        <w:tc>
          <w:tcPr>
            <w:tcW w:w="906" w:type="dxa"/>
            <w:shd w:val="clear" w:color="auto" w:fill="auto"/>
            <w:vAlign w:val="center"/>
          </w:tcPr>
          <w:p w14:paraId="7DF0D7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w:t>
            </w:r>
          </w:p>
        </w:tc>
        <w:tc>
          <w:tcPr>
            <w:tcW w:w="898" w:type="dxa"/>
            <w:shd w:val="clear" w:color="auto" w:fill="auto"/>
            <w:vAlign w:val="center"/>
          </w:tcPr>
          <w:p w14:paraId="02573A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3E566E0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1" w:type="dxa"/>
            <w:shd w:val="clear" w:color="auto" w:fill="auto"/>
            <w:vAlign w:val="center"/>
          </w:tcPr>
          <w:p w14:paraId="056974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shd w:val="clear" w:color="auto" w:fill="auto"/>
            <w:vAlign w:val="center"/>
          </w:tcPr>
          <w:p w14:paraId="274A43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6F889A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4BE09D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167944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2CDC876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2057" w:type="dxa"/>
            <w:shd w:val="clear" w:color="auto" w:fill="auto"/>
            <w:vAlign w:val="center"/>
          </w:tcPr>
          <w:p w14:paraId="78A42A3B">
            <w:pPr>
              <w:jc w:val="center"/>
              <w:rPr>
                <w:rFonts w:hint="eastAsia" w:ascii="宋体" w:hAnsi="宋体" w:eastAsia="宋体" w:cs="宋体"/>
                <w:i w:val="0"/>
                <w:iCs w:val="0"/>
                <w:color w:val="000000"/>
                <w:sz w:val="20"/>
                <w:szCs w:val="20"/>
                <w:u w:val="none"/>
              </w:rPr>
            </w:pPr>
          </w:p>
        </w:tc>
      </w:tr>
      <w:tr w14:paraId="515FE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06D46D4D">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06D0E606">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41A93424">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4243E5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发射机及附属设备设施完好率</w:t>
            </w:r>
          </w:p>
        </w:tc>
        <w:tc>
          <w:tcPr>
            <w:tcW w:w="906" w:type="dxa"/>
            <w:shd w:val="clear" w:color="auto" w:fill="auto"/>
            <w:vAlign w:val="center"/>
          </w:tcPr>
          <w:p w14:paraId="4F53D3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8" w:type="dxa"/>
            <w:shd w:val="clear" w:color="auto" w:fill="auto"/>
            <w:vAlign w:val="center"/>
          </w:tcPr>
          <w:p w14:paraId="56E7F7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318FE72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31" w:type="dxa"/>
            <w:shd w:val="clear" w:color="auto" w:fill="auto"/>
            <w:vAlign w:val="center"/>
          </w:tcPr>
          <w:p w14:paraId="7CF492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shd w:val="clear" w:color="auto" w:fill="auto"/>
            <w:vAlign w:val="center"/>
          </w:tcPr>
          <w:p w14:paraId="5A122F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7888AC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08AFB9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3B3BAA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28B27B2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057" w:type="dxa"/>
            <w:shd w:val="clear" w:color="auto" w:fill="auto"/>
            <w:vAlign w:val="center"/>
          </w:tcPr>
          <w:p w14:paraId="75E0653D">
            <w:pPr>
              <w:jc w:val="center"/>
              <w:rPr>
                <w:rFonts w:hint="eastAsia" w:ascii="宋体" w:hAnsi="宋体" w:eastAsia="宋体" w:cs="宋体"/>
                <w:i w:val="0"/>
                <w:iCs w:val="0"/>
                <w:color w:val="000000"/>
                <w:sz w:val="20"/>
                <w:szCs w:val="20"/>
                <w:u w:val="none"/>
              </w:rPr>
            </w:pPr>
          </w:p>
        </w:tc>
      </w:tr>
      <w:tr w14:paraId="16B6D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1D5A0C15">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2594A220">
            <w:pPr>
              <w:jc w:val="center"/>
              <w:rPr>
                <w:rFonts w:hint="eastAsia" w:ascii="宋体" w:hAnsi="宋体" w:eastAsia="宋体" w:cs="宋体"/>
                <w:i w:val="0"/>
                <w:iCs w:val="0"/>
                <w:color w:val="000000"/>
                <w:sz w:val="20"/>
                <w:szCs w:val="20"/>
                <w:u w:val="none"/>
              </w:rPr>
            </w:pPr>
          </w:p>
        </w:tc>
        <w:tc>
          <w:tcPr>
            <w:tcW w:w="1068" w:type="dxa"/>
            <w:vMerge w:val="restart"/>
            <w:shd w:val="clear" w:color="auto" w:fill="auto"/>
            <w:vAlign w:val="center"/>
          </w:tcPr>
          <w:p w14:paraId="574578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10" w:type="dxa"/>
            <w:shd w:val="clear" w:color="auto" w:fill="auto"/>
            <w:vAlign w:val="center"/>
          </w:tcPr>
          <w:p w14:paraId="38DF8D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p>
        </w:tc>
        <w:tc>
          <w:tcPr>
            <w:tcW w:w="906" w:type="dxa"/>
            <w:shd w:val="clear" w:color="auto" w:fill="auto"/>
            <w:vAlign w:val="center"/>
          </w:tcPr>
          <w:p w14:paraId="3C9581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8" w:type="dxa"/>
            <w:shd w:val="clear" w:color="auto" w:fill="auto"/>
            <w:vAlign w:val="center"/>
          </w:tcPr>
          <w:p w14:paraId="798430B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43AFBA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1" w:type="dxa"/>
            <w:shd w:val="clear" w:color="auto" w:fill="auto"/>
            <w:vAlign w:val="center"/>
          </w:tcPr>
          <w:p w14:paraId="52923E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7" w:type="dxa"/>
            <w:shd w:val="clear" w:color="auto" w:fill="auto"/>
            <w:vAlign w:val="center"/>
          </w:tcPr>
          <w:p w14:paraId="077014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30346A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464210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3A31C8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73FD304F">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4</w:t>
            </w:r>
          </w:p>
        </w:tc>
        <w:tc>
          <w:tcPr>
            <w:tcW w:w="2057" w:type="dxa"/>
            <w:shd w:val="clear" w:color="auto" w:fill="auto"/>
            <w:vAlign w:val="center"/>
          </w:tcPr>
          <w:p w14:paraId="2750A620">
            <w:pPr>
              <w:jc w:val="center"/>
              <w:rPr>
                <w:rFonts w:hint="eastAsia" w:ascii="宋体" w:hAnsi="宋体" w:eastAsia="宋体" w:cs="宋体"/>
                <w:i w:val="0"/>
                <w:iCs w:val="0"/>
                <w:color w:val="000000"/>
                <w:sz w:val="20"/>
                <w:szCs w:val="20"/>
                <w:u w:val="none"/>
              </w:rPr>
            </w:pPr>
          </w:p>
        </w:tc>
      </w:tr>
      <w:tr w14:paraId="4C169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0CCFFCD0">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3D098A7D">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1DAD6C4F">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203738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运行维护完成及时性</w:t>
            </w:r>
          </w:p>
        </w:tc>
        <w:tc>
          <w:tcPr>
            <w:tcW w:w="906" w:type="dxa"/>
            <w:shd w:val="clear" w:color="auto" w:fill="auto"/>
            <w:vAlign w:val="center"/>
          </w:tcPr>
          <w:p w14:paraId="6C4CA5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8" w:type="dxa"/>
            <w:shd w:val="clear" w:color="auto" w:fill="auto"/>
            <w:vAlign w:val="center"/>
          </w:tcPr>
          <w:p w14:paraId="76667A6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6D36D0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1" w:type="dxa"/>
            <w:shd w:val="clear" w:color="auto" w:fill="auto"/>
            <w:vAlign w:val="center"/>
          </w:tcPr>
          <w:p w14:paraId="419026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shd w:val="clear" w:color="auto" w:fill="auto"/>
            <w:vAlign w:val="center"/>
          </w:tcPr>
          <w:p w14:paraId="3E8D54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6264D1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04D216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62824D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1624B6E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2057" w:type="dxa"/>
            <w:shd w:val="clear" w:color="auto" w:fill="auto"/>
            <w:vAlign w:val="center"/>
          </w:tcPr>
          <w:p w14:paraId="333198DC">
            <w:pPr>
              <w:jc w:val="center"/>
              <w:rPr>
                <w:rFonts w:hint="eastAsia" w:ascii="宋体" w:hAnsi="宋体" w:eastAsia="宋体" w:cs="宋体"/>
                <w:i w:val="0"/>
                <w:iCs w:val="0"/>
                <w:color w:val="000000"/>
                <w:sz w:val="20"/>
                <w:szCs w:val="20"/>
                <w:u w:val="none"/>
              </w:rPr>
            </w:pPr>
          </w:p>
        </w:tc>
      </w:tr>
      <w:tr w14:paraId="60E55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3785A58D">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60A42D90">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28A72FF3">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2FDF72B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设备运行维护响应时间</w:t>
            </w:r>
          </w:p>
        </w:tc>
        <w:tc>
          <w:tcPr>
            <w:tcW w:w="906" w:type="dxa"/>
            <w:shd w:val="clear" w:color="auto" w:fill="auto"/>
            <w:vAlign w:val="center"/>
          </w:tcPr>
          <w:p w14:paraId="535C6C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&lt;=72小时</w:t>
            </w:r>
          </w:p>
        </w:tc>
        <w:tc>
          <w:tcPr>
            <w:tcW w:w="898" w:type="dxa"/>
            <w:shd w:val="clear" w:color="auto" w:fill="auto"/>
            <w:vAlign w:val="center"/>
          </w:tcPr>
          <w:p w14:paraId="5D4FA0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47DD81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1" w:type="dxa"/>
            <w:shd w:val="clear" w:color="auto" w:fill="auto"/>
            <w:vAlign w:val="center"/>
          </w:tcPr>
          <w:p w14:paraId="69D6D0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shd w:val="clear" w:color="auto" w:fill="auto"/>
            <w:vAlign w:val="center"/>
          </w:tcPr>
          <w:p w14:paraId="1042519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62F31C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7D895FE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2.25小时</w:t>
            </w:r>
          </w:p>
        </w:tc>
        <w:tc>
          <w:tcPr>
            <w:tcW w:w="931" w:type="dxa"/>
            <w:shd w:val="clear" w:color="auto" w:fill="auto"/>
            <w:vAlign w:val="center"/>
          </w:tcPr>
          <w:p w14:paraId="28D2DF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5D88758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2057" w:type="dxa"/>
            <w:shd w:val="clear" w:color="auto" w:fill="auto"/>
            <w:vAlign w:val="center"/>
          </w:tcPr>
          <w:p w14:paraId="459D2E5E">
            <w:pPr>
              <w:jc w:val="center"/>
              <w:rPr>
                <w:rFonts w:hint="eastAsia" w:ascii="宋体" w:hAnsi="宋体" w:eastAsia="宋体" w:cs="宋体"/>
                <w:i w:val="0"/>
                <w:iCs w:val="0"/>
                <w:color w:val="000000"/>
                <w:sz w:val="20"/>
                <w:szCs w:val="20"/>
                <w:u w:val="none"/>
              </w:rPr>
            </w:pPr>
          </w:p>
        </w:tc>
      </w:tr>
      <w:tr w14:paraId="58DE6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3BED932F">
            <w:pPr>
              <w:jc w:val="center"/>
              <w:rPr>
                <w:rFonts w:hint="eastAsia" w:ascii="宋体" w:hAnsi="宋体" w:eastAsia="宋体" w:cs="宋体"/>
                <w:i w:val="0"/>
                <w:iCs w:val="0"/>
                <w:color w:val="000000"/>
                <w:sz w:val="20"/>
                <w:szCs w:val="20"/>
                <w:u w:val="none"/>
              </w:rPr>
            </w:pPr>
          </w:p>
        </w:tc>
        <w:tc>
          <w:tcPr>
            <w:tcW w:w="1040" w:type="dxa"/>
            <w:vMerge w:val="restart"/>
            <w:shd w:val="clear" w:color="auto" w:fill="auto"/>
            <w:vAlign w:val="center"/>
          </w:tcPr>
          <w:p w14:paraId="029519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68" w:type="dxa"/>
            <w:vMerge w:val="restart"/>
            <w:shd w:val="clear" w:color="auto" w:fill="auto"/>
            <w:vAlign w:val="center"/>
          </w:tcPr>
          <w:p w14:paraId="2B209B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10" w:type="dxa"/>
            <w:shd w:val="clear" w:color="auto" w:fill="auto"/>
            <w:vAlign w:val="center"/>
          </w:tcPr>
          <w:p w14:paraId="54FB2A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发射机运行维护电费</w:t>
            </w:r>
          </w:p>
        </w:tc>
        <w:tc>
          <w:tcPr>
            <w:tcW w:w="906" w:type="dxa"/>
            <w:shd w:val="clear" w:color="auto" w:fill="auto"/>
            <w:vAlign w:val="center"/>
          </w:tcPr>
          <w:p w14:paraId="30AAFE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&lt;=7万元</w:t>
            </w:r>
          </w:p>
        </w:tc>
        <w:tc>
          <w:tcPr>
            <w:tcW w:w="898" w:type="dxa"/>
            <w:shd w:val="clear" w:color="auto" w:fill="auto"/>
            <w:vAlign w:val="center"/>
          </w:tcPr>
          <w:p w14:paraId="36D7ED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81" w:type="dxa"/>
            <w:shd w:val="clear" w:color="auto" w:fill="auto"/>
            <w:vAlign w:val="center"/>
          </w:tcPr>
          <w:p w14:paraId="521B5E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&lt;=7万元</w:t>
            </w:r>
          </w:p>
        </w:tc>
        <w:tc>
          <w:tcPr>
            <w:tcW w:w="1031" w:type="dxa"/>
            <w:shd w:val="clear" w:color="auto" w:fill="auto"/>
            <w:vAlign w:val="center"/>
          </w:tcPr>
          <w:p w14:paraId="0E6E7F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shd w:val="clear" w:color="auto" w:fill="auto"/>
            <w:vAlign w:val="center"/>
          </w:tcPr>
          <w:p w14:paraId="118094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2F5907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5C837D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7.55万元</w:t>
            </w:r>
          </w:p>
        </w:tc>
        <w:tc>
          <w:tcPr>
            <w:tcW w:w="931" w:type="dxa"/>
            <w:shd w:val="clear" w:color="auto" w:fill="auto"/>
            <w:vAlign w:val="center"/>
          </w:tcPr>
          <w:p w14:paraId="5C25E8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0FE5C60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057" w:type="dxa"/>
            <w:shd w:val="clear" w:color="auto" w:fill="auto"/>
            <w:vAlign w:val="center"/>
          </w:tcPr>
          <w:p w14:paraId="634237A0">
            <w:pPr>
              <w:jc w:val="center"/>
              <w:rPr>
                <w:rFonts w:hint="eastAsia" w:ascii="宋体" w:hAnsi="宋体" w:eastAsia="宋体" w:cs="宋体"/>
                <w:i w:val="0"/>
                <w:iCs w:val="0"/>
                <w:color w:val="000000"/>
                <w:sz w:val="20"/>
                <w:szCs w:val="20"/>
                <w:u w:val="none"/>
              </w:rPr>
            </w:pPr>
          </w:p>
        </w:tc>
      </w:tr>
      <w:tr w14:paraId="5CAE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004FB27D">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683A2317">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74B6609E">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3A5650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无线覆盖设备铁塔质量检测费</w:t>
            </w:r>
          </w:p>
        </w:tc>
        <w:tc>
          <w:tcPr>
            <w:tcW w:w="906" w:type="dxa"/>
            <w:shd w:val="clear" w:color="auto" w:fill="auto"/>
            <w:vAlign w:val="center"/>
          </w:tcPr>
          <w:p w14:paraId="7F5A86E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&lt;=9万元</w:t>
            </w:r>
          </w:p>
        </w:tc>
        <w:tc>
          <w:tcPr>
            <w:tcW w:w="898" w:type="dxa"/>
            <w:shd w:val="clear" w:color="auto" w:fill="auto"/>
            <w:vAlign w:val="center"/>
          </w:tcPr>
          <w:p w14:paraId="75BBB1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81" w:type="dxa"/>
            <w:shd w:val="clear" w:color="auto" w:fill="auto"/>
            <w:vAlign w:val="center"/>
          </w:tcPr>
          <w:p w14:paraId="7D4ED2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&lt;=9万元</w:t>
            </w:r>
          </w:p>
        </w:tc>
        <w:tc>
          <w:tcPr>
            <w:tcW w:w="1031" w:type="dxa"/>
            <w:shd w:val="clear" w:color="auto" w:fill="auto"/>
            <w:vAlign w:val="center"/>
          </w:tcPr>
          <w:p w14:paraId="13C14D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08E286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7420B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385D9E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8.5万元</w:t>
            </w:r>
          </w:p>
        </w:tc>
        <w:tc>
          <w:tcPr>
            <w:tcW w:w="931" w:type="dxa"/>
            <w:shd w:val="clear" w:color="auto" w:fill="auto"/>
            <w:vAlign w:val="center"/>
          </w:tcPr>
          <w:p w14:paraId="0A8556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18063B9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57" w:type="dxa"/>
            <w:shd w:val="clear" w:color="auto" w:fill="auto"/>
            <w:vAlign w:val="center"/>
          </w:tcPr>
          <w:p w14:paraId="7BC8E011">
            <w:pPr>
              <w:jc w:val="center"/>
              <w:rPr>
                <w:rFonts w:hint="eastAsia" w:ascii="宋体" w:hAnsi="宋体" w:eastAsia="宋体" w:cs="宋体"/>
                <w:i w:val="0"/>
                <w:iCs w:val="0"/>
                <w:color w:val="000000"/>
                <w:sz w:val="20"/>
                <w:szCs w:val="20"/>
                <w:u w:val="none"/>
              </w:rPr>
            </w:pPr>
          </w:p>
        </w:tc>
      </w:tr>
      <w:tr w14:paraId="516CE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7A4FA72D">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7C08C8F4">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52E98584">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768165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发射机运行维护备品备件采购费</w:t>
            </w:r>
          </w:p>
        </w:tc>
        <w:tc>
          <w:tcPr>
            <w:tcW w:w="906" w:type="dxa"/>
            <w:shd w:val="clear" w:color="auto" w:fill="auto"/>
            <w:vAlign w:val="center"/>
          </w:tcPr>
          <w:p w14:paraId="30528F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&lt;=5万元</w:t>
            </w:r>
          </w:p>
        </w:tc>
        <w:tc>
          <w:tcPr>
            <w:tcW w:w="898" w:type="dxa"/>
            <w:shd w:val="clear" w:color="auto" w:fill="auto"/>
            <w:vAlign w:val="center"/>
          </w:tcPr>
          <w:p w14:paraId="0E3851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81" w:type="dxa"/>
            <w:shd w:val="clear" w:color="auto" w:fill="auto"/>
            <w:vAlign w:val="center"/>
          </w:tcPr>
          <w:p w14:paraId="645649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&lt;=5万元</w:t>
            </w:r>
          </w:p>
        </w:tc>
        <w:tc>
          <w:tcPr>
            <w:tcW w:w="1031" w:type="dxa"/>
            <w:shd w:val="clear" w:color="auto" w:fill="auto"/>
            <w:vAlign w:val="center"/>
          </w:tcPr>
          <w:p w14:paraId="0CEE771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7" w:type="dxa"/>
            <w:shd w:val="clear" w:color="auto" w:fill="auto"/>
            <w:vAlign w:val="center"/>
          </w:tcPr>
          <w:p w14:paraId="60E710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27D7AB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620D21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4.94万元</w:t>
            </w:r>
          </w:p>
        </w:tc>
        <w:tc>
          <w:tcPr>
            <w:tcW w:w="931" w:type="dxa"/>
            <w:shd w:val="clear" w:color="auto" w:fill="auto"/>
            <w:vAlign w:val="center"/>
          </w:tcPr>
          <w:p w14:paraId="158559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6C1AA60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2057" w:type="dxa"/>
            <w:shd w:val="clear" w:color="auto" w:fill="auto"/>
            <w:vAlign w:val="center"/>
          </w:tcPr>
          <w:p w14:paraId="7E168F7C">
            <w:pPr>
              <w:jc w:val="center"/>
              <w:rPr>
                <w:rFonts w:hint="eastAsia" w:ascii="宋体" w:hAnsi="宋体" w:eastAsia="宋体" w:cs="宋体"/>
                <w:i w:val="0"/>
                <w:iCs w:val="0"/>
                <w:color w:val="000000"/>
                <w:sz w:val="20"/>
                <w:szCs w:val="20"/>
                <w:u w:val="none"/>
              </w:rPr>
            </w:pPr>
          </w:p>
        </w:tc>
      </w:tr>
      <w:tr w14:paraId="47B9A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310" w:type="dxa"/>
            <w:vMerge w:val="continue"/>
            <w:shd w:val="clear" w:color="auto" w:fill="auto"/>
            <w:vAlign w:val="center"/>
          </w:tcPr>
          <w:p w14:paraId="7D6424A6">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11B9989D">
            <w:pPr>
              <w:jc w:val="center"/>
              <w:rPr>
                <w:rFonts w:hint="eastAsia" w:ascii="宋体" w:hAnsi="宋体" w:eastAsia="宋体" w:cs="宋体"/>
                <w:i w:val="0"/>
                <w:iCs w:val="0"/>
                <w:color w:val="000000"/>
                <w:sz w:val="20"/>
                <w:szCs w:val="20"/>
                <w:u w:val="none"/>
              </w:rPr>
            </w:pPr>
          </w:p>
        </w:tc>
        <w:tc>
          <w:tcPr>
            <w:tcW w:w="1068" w:type="dxa"/>
            <w:shd w:val="clear" w:color="auto" w:fill="auto"/>
            <w:vAlign w:val="center"/>
          </w:tcPr>
          <w:p w14:paraId="4443FC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510" w:type="dxa"/>
            <w:shd w:val="clear" w:color="auto" w:fill="auto"/>
            <w:vAlign w:val="center"/>
          </w:tcPr>
          <w:p w14:paraId="2740DC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6" w:type="dxa"/>
            <w:shd w:val="clear" w:color="auto" w:fill="auto"/>
            <w:vAlign w:val="center"/>
          </w:tcPr>
          <w:p w14:paraId="65B9DE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8" w:type="dxa"/>
            <w:shd w:val="clear" w:color="auto" w:fill="auto"/>
            <w:vAlign w:val="center"/>
          </w:tcPr>
          <w:p w14:paraId="0ECDC4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1" w:type="dxa"/>
            <w:shd w:val="clear" w:color="auto" w:fill="auto"/>
            <w:vAlign w:val="center"/>
          </w:tcPr>
          <w:p w14:paraId="600F59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shd w:val="clear" w:color="auto" w:fill="auto"/>
            <w:vAlign w:val="center"/>
          </w:tcPr>
          <w:p w14:paraId="3947DE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697C2D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shd w:val="clear" w:color="auto" w:fill="auto"/>
            <w:vAlign w:val="center"/>
          </w:tcPr>
          <w:p w14:paraId="3EC557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2EC95F0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shd w:val="clear" w:color="auto" w:fill="auto"/>
            <w:vAlign w:val="center"/>
          </w:tcPr>
          <w:p w14:paraId="56557B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1" w:type="dxa"/>
            <w:shd w:val="clear" w:color="auto" w:fill="auto"/>
            <w:vAlign w:val="center"/>
          </w:tcPr>
          <w:p w14:paraId="056A650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57" w:type="dxa"/>
            <w:shd w:val="clear" w:color="auto" w:fill="auto"/>
            <w:vAlign w:val="center"/>
          </w:tcPr>
          <w:p w14:paraId="4D6BA786">
            <w:pPr>
              <w:jc w:val="center"/>
              <w:rPr>
                <w:rFonts w:hint="eastAsia" w:ascii="宋体" w:hAnsi="宋体" w:eastAsia="宋体" w:cs="宋体"/>
                <w:i w:val="0"/>
                <w:iCs w:val="0"/>
                <w:color w:val="000000"/>
                <w:sz w:val="20"/>
                <w:szCs w:val="20"/>
                <w:u w:val="none"/>
              </w:rPr>
            </w:pPr>
          </w:p>
        </w:tc>
      </w:tr>
      <w:tr w14:paraId="25434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310" w:type="dxa"/>
            <w:vMerge w:val="continue"/>
            <w:shd w:val="clear" w:color="auto" w:fill="auto"/>
            <w:vAlign w:val="center"/>
          </w:tcPr>
          <w:p w14:paraId="7212DD0D">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1A19CFD9">
            <w:pPr>
              <w:jc w:val="center"/>
              <w:rPr>
                <w:rFonts w:hint="eastAsia" w:ascii="宋体" w:hAnsi="宋体" w:eastAsia="宋体" w:cs="宋体"/>
                <w:i w:val="0"/>
                <w:iCs w:val="0"/>
                <w:color w:val="000000"/>
                <w:sz w:val="20"/>
                <w:szCs w:val="20"/>
                <w:u w:val="none"/>
              </w:rPr>
            </w:pPr>
          </w:p>
        </w:tc>
        <w:tc>
          <w:tcPr>
            <w:tcW w:w="1068" w:type="dxa"/>
            <w:shd w:val="clear" w:color="auto" w:fill="auto"/>
            <w:vAlign w:val="center"/>
          </w:tcPr>
          <w:p w14:paraId="2BA368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510" w:type="dxa"/>
            <w:shd w:val="clear" w:color="auto" w:fill="auto"/>
            <w:vAlign w:val="center"/>
          </w:tcPr>
          <w:p w14:paraId="003D9CA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6" w:type="dxa"/>
            <w:shd w:val="clear" w:color="auto" w:fill="auto"/>
            <w:vAlign w:val="center"/>
          </w:tcPr>
          <w:p w14:paraId="3DEBE9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8" w:type="dxa"/>
            <w:shd w:val="clear" w:color="auto" w:fill="auto"/>
            <w:vAlign w:val="center"/>
          </w:tcPr>
          <w:p w14:paraId="5DD7E2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1" w:type="dxa"/>
            <w:shd w:val="clear" w:color="auto" w:fill="auto"/>
            <w:vAlign w:val="center"/>
          </w:tcPr>
          <w:p w14:paraId="22CABC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shd w:val="clear" w:color="auto" w:fill="auto"/>
            <w:vAlign w:val="center"/>
          </w:tcPr>
          <w:p w14:paraId="4F66CE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0C5B2A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shd w:val="clear" w:color="auto" w:fill="auto"/>
            <w:vAlign w:val="center"/>
          </w:tcPr>
          <w:p w14:paraId="1D1C06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28F1C4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shd w:val="clear" w:color="auto" w:fill="auto"/>
            <w:vAlign w:val="center"/>
          </w:tcPr>
          <w:p w14:paraId="120D9A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1" w:type="dxa"/>
            <w:shd w:val="clear" w:color="auto" w:fill="auto"/>
            <w:vAlign w:val="center"/>
          </w:tcPr>
          <w:p w14:paraId="7C3DB6F7">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57" w:type="dxa"/>
            <w:shd w:val="clear" w:color="auto" w:fill="auto"/>
            <w:vAlign w:val="center"/>
          </w:tcPr>
          <w:p w14:paraId="61868321">
            <w:pPr>
              <w:jc w:val="center"/>
              <w:rPr>
                <w:rFonts w:hint="eastAsia" w:ascii="宋体" w:hAnsi="宋体" w:eastAsia="宋体" w:cs="宋体"/>
                <w:i w:val="0"/>
                <w:iCs w:val="0"/>
                <w:color w:val="000000"/>
                <w:sz w:val="20"/>
                <w:szCs w:val="20"/>
                <w:u w:val="none"/>
              </w:rPr>
            </w:pPr>
          </w:p>
        </w:tc>
      </w:tr>
      <w:tr w14:paraId="3ACDA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310" w:type="dxa"/>
            <w:vMerge w:val="continue"/>
            <w:shd w:val="clear" w:color="auto" w:fill="auto"/>
            <w:vAlign w:val="center"/>
          </w:tcPr>
          <w:p w14:paraId="22588F8C">
            <w:pPr>
              <w:jc w:val="center"/>
              <w:rPr>
                <w:rFonts w:hint="eastAsia" w:ascii="宋体" w:hAnsi="宋体" w:eastAsia="宋体" w:cs="宋体"/>
                <w:i w:val="0"/>
                <w:iCs w:val="0"/>
                <w:color w:val="000000"/>
                <w:sz w:val="20"/>
                <w:szCs w:val="20"/>
                <w:u w:val="none"/>
              </w:rPr>
            </w:pPr>
          </w:p>
        </w:tc>
        <w:tc>
          <w:tcPr>
            <w:tcW w:w="1040" w:type="dxa"/>
            <w:vMerge w:val="restart"/>
            <w:shd w:val="clear" w:color="auto" w:fill="auto"/>
            <w:vAlign w:val="center"/>
          </w:tcPr>
          <w:p w14:paraId="404124D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68" w:type="dxa"/>
            <w:shd w:val="clear" w:color="auto" w:fill="auto"/>
            <w:vAlign w:val="center"/>
          </w:tcPr>
          <w:p w14:paraId="4BF4B6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510" w:type="dxa"/>
            <w:shd w:val="clear" w:color="auto" w:fill="auto"/>
            <w:vAlign w:val="center"/>
          </w:tcPr>
          <w:p w14:paraId="37FE860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06" w:type="dxa"/>
            <w:shd w:val="clear" w:color="auto" w:fill="auto"/>
            <w:vAlign w:val="center"/>
          </w:tcPr>
          <w:p w14:paraId="0848B23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8" w:type="dxa"/>
            <w:shd w:val="clear" w:color="auto" w:fill="auto"/>
            <w:vAlign w:val="center"/>
          </w:tcPr>
          <w:p w14:paraId="2988B2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1" w:type="dxa"/>
            <w:shd w:val="clear" w:color="auto" w:fill="auto"/>
            <w:vAlign w:val="center"/>
          </w:tcPr>
          <w:p w14:paraId="6EF053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shd w:val="clear" w:color="auto" w:fill="auto"/>
            <w:vAlign w:val="center"/>
          </w:tcPr>
          <w:p w14:paraId="2467F68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57" w:type="dxa"/>
            <w:shd w:val="clear" w:color="auto" w:fill="auto"/>
            <w:vAlign w:val="center"/>
          </w:tcPr>
          <w:p w14:paraId="0E57F6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3" w:type="dxa"/>
            <w:shd w:val="clear" w:color="auto" w:fill="auto"/>
            <w:vAlign w:val="center"/>
          </w:tcPr>
          <w:p w14:paraId="736A84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81" w:type="dxa"/>
            <w:shd w:val="clear" w:color="auto" w:fill="auto"/>
            <w:vAlign w:val="center"/>
          </w:tcPr>
          <w:p w14:paraId="058883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1" w:type="dxa"/>
            <w:shd w:val="clear" w:color="auto" w:fill="auto"/>
            <w:vAlign w:val="center"/>
          </w:tcPr>
          <w:p w14:paraId="3BB949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81" w:type="dxa"/>
            <w:shd w:val="clear" w:color="auto" w:fill="auto"/>
            <w:vAlign w:val="center"/>
          </w:tcPr>
          <w:p w14:paraId="119B0FE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57" w:type="dxa"/>
            <w:shd w:val="clear" w:color="auto" w:fill="auto"/>
            <w:vAlign w:val="center"/>
          </w:tcPr>
          <w:p w14:paraId="4F4924D2">
            <w:pPr>
              <w:jc w:val="center"/>
              <w:rPr>
                <w:rFonts w:hint="eastAsia" w:ascii="宋体" w:hAnsi="宋体" w:eastAsia="宋体" w:cs="宋体"/>
                <w:i w:val="0"/>
                <w:iCs w:val="0"/>
                <w:color w:val="000000"/>
                <w:sz w:val="20"/>
                <w:szCs w:val="20"/>
                <w:u w:val="none"/>
              </w:rPr>
            </w:pPr>
          </w:p>
        </w:tc>
      </w:tr>
      <w:tr w14:paraId="67299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310" w:type="dxa"/>
            <w:vMerge w:val="continue"/>
            <w:shd w:val="clear" w:color="auto" w:fill="auto"/>
            <w:vAlign w:val="center"/>
          </w:tcPr>
          <w:p w14:paraId="7F776783">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766725E7">
            <w:pPr>
              <w:jc w:val="center"/>
              <w:rPr>
                <w:rFonts w:hint="eastAsia" w:ascii="宋体" w:hAnsi="宋体" w:eastAsia="宋体" w:cs="宋体"/>
                <w:i w:val="0"/>
                <w:iCs w:val="0"/>
                <w:color w:val="000000"/>
                <w:sz w:val="20"/>
                <w:szCs w:val="20"/>
                <w:u w:val="none"/>
              </w:rPr>
            </w:pPr>
          </w:p>
        </w:tc>
        <w:tc>
          <w:tcPr>
            <w:tcW w:w="1068" w:type="dxa"/>
            <w:vMerge w:val="restart"/>
            <w:shd w:val="clear" w:color="auto" w:fill="auto"/>
            <w:vAlign w:val="center"/>
          </w:tcPr>
          <w:p w14:paraId="1056F91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10" w:type="dxa"/>
            <w:shd w:val="clear" w:color="auto" w:fill="auto"/>
            <w:vAlign w:val="center"/>
          </w:tcPr>
          <w:p w14:paraId="7F56D9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中央/行业/地方主要媒体刊发图文、短视频</w:t>
            </w:r>
          </w:p>
        </w:tc>
        <w:tc>
          <w:tcPr>
            <w:tcW w:w="906" w:type="dxa"/>
            <w:shd w:val="clear" w:color="auto" w:fill="auto"/>
            <w:vAlign w:val="center"/>
          </w:tcPr>
          <w:p w14:paraId="0AD7F5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&lt;=2000条</w:t>
            </w:r>
          </w:p>
        </w:tc>
        <w:tc>
          <w:tcPr>
            <w:tcW w:w="898" w:type="dxa"/>
            <w:shd w:val="clear" w:color="auto" w:fill="auto"/>
            <w:vAlign w:val="center"/>
          </w:tcPr>
          <w:p w14:paraId="07C972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6CA8D8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&lt;=2000条</w:t>
            </w:r>
          </w:p>
        </w:tc>
        <w:tc>
          <w:tcPr>
            <w:tcW w:w="1031" w:type="dxa"/>
            <w:shd w:val="clear" w:color="auto" w:fill="auto"/>
            <w:vAlign w:val="center"/>
          </w:tcPr>
          <w:p w14:paraId="00007D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shd w:val="clear" w:color="auto" w:fill="auto"/>
            <w:vAlign w:val="center"/>
          </w:tcPr>
          <w:p w14:paraId="74CF54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2A104E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2D8F3A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2000条</w:t>
            </w:r>
          </w:p>
        </w:tc>
        <w:tc>
          <w:tcPr>
            <w:tcW w:w="931" w:type="dxa"/>
            <w:shd w:val="clear" w:color="auto" w:fill="auto"/>
            <w:vAlign w:val="center"/>
          </w:tcPr>
          <w:p w14:paraId="651B8F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41A74730">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2057" w:type="dxa"/>
            <w:shd w:val="clear" w:color="auto" w:fill="auto"/>
            <w:vAlign w:val="center"/>
          </w:tcPr>
          <w:p w14:paraId="2AE3F449">
            <w:pPr>
              <w:jc w:val="center"/>
              <w:rPr>
                <w:rFonts w:hint="eastAsia" w:ascii="宋体" w:hAnsi="宋体" w:eastAsia="宋体" w:cs="宋体"/>
                <w:i w:val="0"/>
                <w:iCs w:val="0"/>
                <w:color w:val="000000"/>
                <w:sz w:val="20"/>
                <w:szCs w:val="20"/>
                <w:u w:val="none"/>
              </w:rPr>
            </w:pPr>
          </w:p>
        </w:tc>
      </w:tr>
      <w:tr w14:paraId="5F1CA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310" w:type="dxa"/>
            <w:vMerge w:val="continue"/>
            <w:shd w:val="clear" w:color="auto" w:fill="auto"/>
            <w:vAlign w:val="center"/>
          </w:tcPr>
          <w:p w14:paraId="390DF771">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671422EC">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68ABADC9">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3F2D075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广播频率公益广告播出时长达标率</w:t>
            </w:r>
          </w:p>
        </w:tc>
        <w:tc>
          <w:tcPr>
            <w:tcW w:w="906" w:type="dxa"/>
            <w:shd w:val="clear" w:color="auto" w:fill="auto"/>
            <w:vAlign w:val="center"/>
          </w:tcPr>
          <w:p w14:paraId="4C690F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&lt;=95%</w:t>
            </w:r>
          </w:p>
        </w:tc>
        <w:tc>
          <w:tcPr>
            <w:tcW w:w="898" w:type="dxa"/>
            <w:shd w:val="clear" w:color="auto" w:fill="auto"/>
            <w:vAlign w:val="center"/>
          </w:tcPr>
          <w:p w14:paraId="01CDA81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547D53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&lt;=95%</w:t>
            </w:r>
          </w:p>
        </w:tc>
        <w:tc>
          <w:tcPr>
            <w:tcW w:w="1031" w:type="dxa"/>
            <w:shd w:val="clear" w:color="auto" w:fill="auto"/>
            <w:vAlign w:val="center"/>
          </w:tcPr>
          <w:p w14:paraId="1FB0F0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shd w:val="clear" w:color="auto" w:fill="auto"/>
            <w:vAlign w:val="center"/>
          </w:tcPr>
          <w:p w14:paraId="468B6E2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589954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881" w:type="dxa"/>
            <w:shd w:val="clear" w:color="auto" w:fill="auto"/>
            <w:vAlign w:val="center"/>
          </w:tcPr>
          <w:p w14:paraId="391C85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31" w:type="dxa"/>
            <w:shd w:val="clear" w:color="auto" w:fill="auto"/>
            <w:vAlign w:val="center"/>
          </w:tcPr>
          <w:p w14:paraId="6FBDAC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5075A63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2057" w:type="dxa"/>
            <w:shd w:val="clear" w:color="auto" w:fill="auto"/>
            <w:vAlign w:val="center"/>
          </w:tcPr>
          <w:p w14:paraId="4C0F53A4">
            <w:pPr>
              <w:jc w:val="center"/>
              <w:rPr>
                <w:rFonts w:hint="eastAsia" w:ascii="宋体" w:hAnsi="宋体" w:eastAsia="宋体" w:cs="宋体"/>
                <w:i w:val="0"/>
                <w:iCs w:val="0"/>
                <w:color w:val="000000"/>
                <w:sz w:val="20"/>
                <w:szCs w:val="20"/>
                <w:u w:val="none"/>
              </w:rPr>
            </w:pPr>
          </w:p>
        </w:tc>
      </w:tr>
      <w:tr w14:paraId="2C0C3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310" w:type="dxa"/>
            <w:vMerge w:val="continue"/>
            <w:shd w:val="clear" w:color="auto" w:fill="auto"/>
            <w:vAlign w:val="center"/>
          </w:tcPr>
          <w:p w14:paraId="26C76A27">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6C2F4A39">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48DD003B">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15966B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电视频道公益广告播出时长达标率</w:t>
            </w:r>
          </w:p>
        </w:tc>
        <w:tc>
          <w:tcPr>
            <w:tcW w:w="906" w:type="dxa"/>
            <w:shd w:val="clear" w:color="auto" w:fill="auto"/>
            <w:vAlign w:val="center"/>
          </w:tcPr>
          <w:p w14:paraId="54DCBE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&lt;=95%</w:t>
            </w:r>
          </w:p>
        </w:tc>
        <w:tc>
          <w:tcPr>
            <w:tcW w:w="898" w:type="dxa"/>
            <w:shd w:val="clear" w:color="auto" w:fill="auto"/>
            <w:vAlign w:val="center"/>
          </w:tcPr>
          <w:p w14:paraId="0E6E1C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2B2252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&lt;=95%</w:t>
            </w:r>
          </w:p>
        </w:tc>
        <w:tc>
          <w:tcPr>
            <w:tcW w:w="1031" w:type="dxa"/>
            <w:shd w:val="clear" w:color="auto" w:fill="auto"/>
            <w:vAlign w:val="center"/>
          </w:tcPr>
          <w:p w14:paraId="26E9475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957" w:type="dxa"/>
            <w:shd w:val="clear" w:color="auto" w:fill="auto"/>
            <w:vAlign w:val="center"/>
          </w:tcPr>
          <w:p w14:paraId="3D8A6C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49E3ED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30E0BF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31" w:type="dxa"/>
            <w:shd w:val="clear" w:color="auto" w:fill="auto"/>
            <w:vAlign w:val="center"/>
          </w:tcPr>
          <w:p w14:paraId="2A6A7F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52D7191A">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w:t>
            </w:r>
          </w:p>
        </w:tc>
        <w:tc>
          <w:tcPr>
            <w:tcW w:w="2057" w:type="dxa"/>
            <w:shd w:val="clear" w:color="auto" w:fill="auto"/>
            <w:vAlign w:val="center"/>
          </w:tcPr>
          <w:p w14:paraId="254EBA82">
            <w:pPr>
              <w:jc w:val="center"/>
              <w:rPr>
                <w:rFonts w:hint="eastAsia" w:ascii="宋体" w:hAnsi="宋体" w:eastAsia="宋体" w:cs="宋体"/>
                <w:i w:val="0"/>
                <w:iCs w:val="0"/>
                <w:color w:val="000000"/>
                <w:sz w:val="20"/>
                <w:szCs w:val="20"/>
                <w:u w:val="none"/>
              </w:rPr>
            </w:pPr>
          </w:p>
        </w:tc>
      </w:tr>
      <w:tr w14:paraId="566B9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310" w:type="dxa"/>
            <w:vMerge w:val="continue"/>
            <w:shd w:val="clear" w:color="auto" w:fill="auto"/>
            <w:vAlign w:val="center"/>
          </w:tcPr>
          <w:p w14:paraId="59A111AF">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691D00C0">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7F6DC00F">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49B5F2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记录主题专栏、反映重要事件发布图文、海报、原创短视频</w:t>
            </w:r>
          </w:p>
        </w:tc>
        <w:tc>
          <w:tcPr>
            <w:tcW w:w="906" w:type="dxa"/>
            <w:shd w:val="clear" w:color="auto" w:fill="auto"/>
            <w:vAlign w:val="center"/>
          </w:tcPr>
          <w:p w14:paraId="4C7B0B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&lt;=2000条</w:t>
            </w:r>
          </w:p>
        </w:tc>
        <w:tc>
          <w:tcPr>
            <w:tcW w:w="898" w:type="dxa"/>
            <w:shd w:val="clear" w:color="auto" w:fill="auto"/>
            <w:vAlign w:val="center"/>
          </w:tcPr>
          <w:p w14:paraId="6063F3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5F45092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&lt;=2000条</w:t>
            </w:r>
          </w:p>
        </w:tc>
        <w:tc>
          <w:tcPr>
            <w:tcW w:w="1031" w:type="dxa"/>
            <w:shd w:val="clear" w:color="auto" w:fill="auto"/>
            <w:vAlign w:val="center"/>
          </w:tcPr>
          <w:p w14:paraId="2A4D58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957" w:type="dxa"/>
            <w:shd w:val="clear" w:color="auto" w:fill="auto"/>
            <w:vAlign w:val="center"/>
          </w:tcPr>
          <w:p w14:paraId="0F1786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1F59ACA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252613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2000条</w:t>
            </w:r>
          </w:p>
        </w:tc>
        <w:tc>
          <w:tcPr>
            <w:tcW w:w="931" w:type="dxa"/>
            <w:shd w:val="clear" w:color="auto" w:fill="auto"/>
            <w:vAlign w:val="center"/>
          </w:tcPr>
          <w:p w14:paraId="67075C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57E47E54">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3</w:t>
            </w:r>
          </w:p>
        </w:tc>
        <w:tc>
          <w:tcPr>
            <w:tcW w:w="2057" w:type="dxa"/>
            <w:shd w:val="clear" w:color="auto" w:fill="auto"/>
            <w:vAlign w:val="center"/>
          </w:tcPr>
          <w:p w14:paraId="5C590C2D">
            <w:pPr>
              <w:jc w:val="center"/>
              <w:rPr>
                <w:rFonts w:hint="eastAsia" w:ascii="宋体" w:hAnsi="宋体" w:eastAsia="宋体" w:cs="宋体"/>
                <w:i w:val="0"/>
                <w:iCs w:val="0"/>
                <w:color w:val="000000"/>
                <w:sz w:val="20"/>
                <w:szCs w:val="20"/>
                <w:u w:val="none"/>
              </w:rPr>
            </w:pPr>
          </w:p>
        </w:tc>
      </w:tr>
      <w:tr w14:paraId="0E503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310" w:type="dxa"/>
            <w:vMerge w:val="continue"/>
            <w:shd w:val="clear" w:color="auto" w:fill="auto"/>
            <w:vAlign w:val="center"/>
          </w:tcPr>
          <w:p w14:paraId="53E0B1D4">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3B12A8D2">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19FE42B6">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73AA20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设备正常运行率</w:t>
            </w:r>
          </w:p>
        </w:tc>
        <w:tc>
          <w:tcPr>
            <w:tcW w:w="906" w:type="dxa"/>
            <w:shd w:val="clear" w:color="auto" w:fill="auto"/>
            <w:vAlign w:val="center"/>
          </w:tcPr>
          <w:p w14:paraId="610F664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8" w:type="dxa"/>
            <w:shd w:val="clear" w:color="auto" w:fill="auto"/>
            <w:vAlign w:val="center"/>
          </w:tcPr>
          <w:p w14:paraId="618346C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29E394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31" w:type="dxa"/>
            <w:shd w:val="clear" w:color="auto" w:fill="auto"/>
            <w:vAlign w:val="center"/>
          </w:tcPr>
          <w:p w14:paraId="1132E5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7" w:type="dxa"/>
            <w:shd w:val="clear" w:color="auto" w:fill="auto"/>
            <w:vAlign w:val="center"/>
          </w:tcPr>
          <w:p w14:paraId="083845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716AAB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3E85EE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70733CB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4ED62BDD">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4</w:t>
            </w:r>
          </w:p>
        </w:tc>
        <w:tc>
          <w:tcPr>
            <w:tcW w:w="2057" w:type="dxa"/>
            <w:shd w:val="clear" w:color="auto" w:fill="auto"/>
            <w:vAlign w:val="center"/>
          </w:tcPr>
          <w:p w14:paraId="036430E1">
            <w:pPr>
              <w:jc w:val="center"/>
              <w:rPr>
                <w:rFonts w:hint="eastAsia" w:ascii="宋体" w:hAnsi="宋体" w:eastAsia="宋体" w:cs="宋体"/>
                <w:i w:val="0"/>
                <w:iCs w:val="0"/>
                <w:color w:val="000000"/>
                <w:sz w:val="20"/>
                <w:szCs w:val="20"/>
                <w:u w:val="none"/>
              </w:rPr>
            </w:pPr>
          </w:p>
        </w:tc>
      </w:tr>
      <w:tr w14:paraId="47299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trPr>
        <w:tc>
          <w:tcPr>
            <w:tcW w:w="310" w:type="dxa"/>
            <w:vMerge w:val="continue"/>
            <w:shd w:val="clear" w:color="auto" w:fill="auto"/>
            <w:vAlign w:val="center"/>
          </w:tcPr>
          <w:p w14:paraId="024469E5">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3A213888">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6201ACF6">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1EE8BF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丰富人民群众精神文化生活</w:t>
            </w:r>
          </w:p>
        </w:tc>
        <w:tc>
          <w:tcPr>
            <w:tcW w:w="906" w:type="dxa"/>
            <w:shd w:val="clear" w:color="auto" w:fill="auto"/>
            <w:vAlign w:val="center"/>
          </w:tcPr>
          <w:p w14:paraId="6B509E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898" w:type="dxa"/>
            <w:shd w:val="clear" w:color="auto" w:fill="auto"/>
            <w:vAlign w:val="center"/>
          </w:tcPr>
          <w:p w14:paraId="1A1EEE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69D6A1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1031" w:type="dxa"/>
            <w:shd w:val="clear" w:color="auto" w:fill="auto"/>
            <w:vAlign w:val="center"/>
          </w:tcPr>
          <w:p w14:paraId="07AEA7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shd w:val="clear" w:color="auto" w:fill="auto"/>
            <w:vAlign w:val="center"/>
          </w:tcPr>
          <w:p w14:paraId="5BAB73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23" w:type="dxa"/>
            <w:shd w:val="clear" w:color="auto" w:fill="auto"/>
            <w:vAlign w:val="center"/>
          </w:tcPr>
          <w:p w14:paraId="633E06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881" w:type="dxa"/>
            <w:shd w:val="clear" w:color="auto" w:fill="auto"/>
            <w:vAlign w:val="center"/>
          </w:tcPr>
          <w:p w14:paraId="248D5C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0340B17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7E57CBD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2057" w:type="dxa"/>
            <w:shd w:val="clear" w:color="auto" w:fill="auto"/>
            <w:vAlign w:val="center"/>
          </w:tcPr>
          <w:p w14:paraId="7F7B49F5">
            <w:pPr>
              <w:jc w:val="center"/>
              <w:rPr>
                <w:rFonts w:hint="eastAsia" w:ascii="宋体" w:hAnsi="宋体" w:eastAsia="宋体" w:cs="宋体"/>
                <w:i w:val="0"/>
                <w:iCs w:val="0"/>
                <w:color w:val="000000"/>
                <w:sz w:val="20"/>
                <w:szCs w:val="20"/>
                <w:u w:val="none"/>
              </w:rPr>
            </w:pPr>
          </w:p>
        </w:tc>
      </w:tr>
      <w:tr w14:paraId="1B028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310" w:type="dxa"/>
            <w:vMerge w:val="continue"/>
            <w:shd w:val="clear" w:color="auto" w:fill="auto"/>
            <w:vAlign w:val="center"/>
          </w:tcPr>
          <w:p w14:paraId="32335B88">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4C7C94FD">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7A465E54">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7B9779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收听收看群众人数增长率</w:t>
            </w:r>
          </w:p>
        </w:tc>
        <w:tc>
          <w:tcPr>
            <w:tcW w:w="906" w:type="dxa"/>
            <w:shd w:val="clear" w:color="auto" w:fill="auto"/>
            <w:vAlign w:val="center"/>
          </w:tcPr>
          <w:p w14:paraId="7DEE11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898" w:type="dxa"/>
            <w:shd w:val="clear" w:color="auto" w:fill="auto"/>
            <w:vAlign w:val="center"/>
          </w:tcPr>
          <w:p w14:paraId="071D4A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314DD7A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031" w:type="dxa"/>
            <w:shd w:val="clear" w:color="auto" w:fill="auto"/>
            <w:vAlign w:val="center"/>
          </w:tcPr>
          <w:p w14:paraId="78B64A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957" w:type="dxa"/>
            <w:shd w:val="clear" w:color="auto" w:fill="auto"/>
            <w:vAlign w:val="center"/>
          </w:tcPr>
          <w:p w14:paraId="0AF0F7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23" w:type="dxa"/>
            <w:shd w:val="clear" w:color="auto" w:fill="auto"/>
            <w:vAlign w:val="center"/>
          </w:tcPr>
          <w:p w14:paraId="434EB8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881" w:type="dxa"/>
            <w:shd w:val="clear" w:color="auto" w:fill="auto"/>
            <w:vAlign w:val="center"/>
          </w:tcPr>
          <w:p w14:paraId="1683C5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931" w:type="dxa"/>
            <w:shd w:val="clear" w:color="auto" w:fill="auto"/>
            <w:vAlign w:val="center"/>
          </w:tcPr>
          <w:p w14:paraId="723F95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6AAB965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4</w:t>
            </w:r>
          </w:p>
        </w:tc>
        <w:tc>
          <w:tcPr>
            <w:tcW w:w="2057" w:type="dxa"/>
            <w:shd w:val="clear" w:color="auto" w:fill="auto"/>
            <w:vAlign w:val="center"/>
          </w:tcPr>
          <w:p w14:paraId="2005A914">
            <w:pPr>
              <w:jc w:val="center"/>
              <w:rPr>
                <w:rFonts w:hint="eastAsia" w:ascii="宋体" w:hAnsi="宋体" w:eastAsia="宋体" w:cs="宋体"/>
                <w:i w:val="0"/>
                <w:iCs w:val="0"/>
                <w:color w:val="000000"/>
                <w:sz w:val="20"/>
                <w:szCs w:val="20"/>
                <w:u w:val="none"/>
              </w:rPr>
            </w:pPr>
          </w:p>
        </w:tc>
      </w:tr>
      <w:tr w14:paraId="0228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310" w:type="dxa"/>
            <w:vMerge w:val="continue"/>
            <w:shd w:val="clear" w:color="auto" w:fill="auto"/>
            <w:vAlign w:val="center"/>
          </w:tcPr>
          <w:p w14:paraId="536EDC3A">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413106D2">
            <w:pPr>
              <w:jc w:val="center"/>
              <w:rPr>
                <w:rFonts w:hint="eastAsia" w:ascii="宋体" w:hAnsi="宋体" w:eastAsia="宋体" w:cs="宋体"/>
                <w:i w:val="0"/>
                <w:iCs w:val="0"/>
                <w:color w:val="000000"/>
                <w:sz w:val="20"/>
                <w:szCs w:val="20"/>
                <w:u w:val="none"/>
              </w:rPr>
            </w:pPr>
          </w:p>
        </w:tc>
        <w:tc>
          <w:tcPr>
            <w:tcW w:w="1068" w:type="dxa"/>
            <w:vMerge w:val="continue"/>
            <w:shd w:val="clear" w:color="auto" w:fill="auto"/>
            <w:vAlign w:val="center"/>
          </w:tcPr>
          <w:p w14:paraId="34501CFC">
            <w:pPr>
              <w:jc w:val="center"/>
              <w:rPr>
                <w:rFonts w:hint="eastAsia" w:ascii="宋体" w:hAnsi="宋体" w:eastAsia="宋体" w:cs="宋体"/>
                <w:i w:val="0"/>
                <w:iCs w:val="0"/>
                <w:color w:val="000000"/>
                <w:sz w:val="20"/>
                <w:szCs w:val="20"/>
                <w:u w:val="none"/>
              </w:rPr>
            </w:pPr>
          </w:p>
        </w:tc>
        <w:tc>
          <w:tcPr>
            <w:tcW w:w="1510" w:type="dxa"/>
            <w:shd w:val="clear" w:color="auto" w:fill="auto"/>
            <w:vAlign w:val="center"/>
          </w:tcPr>
          <w:p w14:paraId="15C626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为农村地区广播基本公共服务提供无线传输保障</w:t>
            </w:r>
          </w:p>
        </w:tc>
        <w:tc>
          <w:tcPr>
            <w:tcW w:w="906" w:type="dxa"/>
            <w:shd w:val="clear" w:color="auto" w:fill="auto"/>
            <w:vAlign w:val="center"/>
          </w:tcPr>
          <w:p w14:paraId="2A5244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898" w:type="dxa"/>
            <w:shd w:val="clear" w:color="auto" w:fill="auto"/>
            <w:vAlign w:val="center"/>
          </w:tcPr>
          <w:p w14:paraId="5455CF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6475722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1031" w:type="dxa"/>
            <w:shd w:val="clear" w:color="auto" w:fill="auto"/>
            <w:vAlign w:val="center"/>
          </w:tcPr>
          <w:p w14:paraId="4D16F9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shd w:val="clear" w:color="auto" w:fill="auto"/>
            <w:vAlign w:val="center"/>
          </w:tcPr>
          <w:p w14:paraId="40DFA9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23" w:type="dxa"/>
            <w:shd w:val="clear" w:color="auto" w:fill="auto"/>
            <w:vAlign w:val="center"/>
          </w:tcPr>
          <w:p w14:paraId="2F8639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7FC118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544AEAF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65B4C378">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2057" w:type="dxa"/>
            <w:shd w:val="clear" w:color="auto" w:fill="auto"/>
            <w:vAlign w:val="center"/>
          </w:tcPr>
          <w:p w14:paraId="1DBE273D">
            <w:pPr>
              <w:jc w:val="center"/>
              <w:rPr>
                <w:rFonts w:hint="eastAsia" w:ascii="宋体" w:hAnsi="宋体" w:eastAsia="宋体" w:cs="宋体"/>
                <w:i w:val="0"/>
                <w:iCs w:val="0"/>
                <w:color w:val="000000"/>
                <w:sz w:val="20"/>
                <w:szCs w:val="20"/>
                <w:u w:val="none"/>
              </w:rPr>
            </w:pPr>
          </w:p>
        </w:tc>
      </w:tr>
      <w:tr w14:paraId="60806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310" w:type="dxa"/>
            <w:vMerge w:val="continue"/>
            <w:shd w:val="clear" w:color="auto" w:fill="auto"/>
            <w:vAlign w:val="center"/>
          </w:tcPr>
          <w:p w14:paraId="21886320">
            <w:pPr>
              <w:jc w:val="center"/>
              <w:rPr>
                <w:rFonts w:hint="eastAsia" w:ascii="宋体" w:hAnsi="宋体" w:eastAsia="宋体" w:cs="宋体"/>
                <w:i w:val="0"/>
                <w:iCs w:val="0"/>
                <w:color w:val="000000"/>
                <w:sz w:val="20"/>
                <w:szCs w:val="20"/>
                <w:u w:val="none"/>
              </w:rPr>
            </w:pPr>
          </w:p>
        </w:tc>
        <w:tc>
          <w:tcPr>
            <w:tcW w:w="1040" w:type="dxa"/>
            <w:vMerge w:val="continue"/>
            <w:shd w:val="clear" w:color="auto" w:fill="auto"/>
            <w:vAlign w:val="center"/>
          </w:tcPr>
          <w:p w14:paraId="4369CB80">
            <w:pPr>
              <w:jc w:val="center"/>
              <w:rPr>
                <w:rFonts w:hint="eastAsia" w:ascii="宋体" w:hAnsi="宋体" w:eastAsia="宋体" w:cs="宋体"/>
                <w:i w:val="0"/>
                <w:iCs w:val="0"/>
                <w:color w:val="000000"/>
                <w:sz w:val="20"/>
                <w:szCs w:val="20"/>
                <w:u w:val="none"/>
              </w:rPr>
            </w:pPr>
          </w:p>
        </w:tc>
        <w:tc>
          <w:tcPr>
            <w:tcW w:w="1068" w:type="dxa"/>
            <w:shd w:val="clear" w:color="auto" w:fill="auto"/>
            <w:vAlign w:val="center"/>
          </w:tcPr>
          <w:p w14:paraId="1716F35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510" w:type="dxa"/>
            <w:shd w:val="clear" w:color="auto" w:fill="auto"/>
            <w:vAlign w:val="center"/>
          </w:tcPr>
          <w:p w14:paraId="3467AE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环境友好无污染</w:t>
            </w:r>
          </w:p>
        </w:tc>
        <w:tc>
          <w:tcPr>
            <w:tcW w:w="906" w:type="dxa"/>
            <w:shd w:val="clear" w:color="auto" w:fill="auto"/>
            <w:vAlign w:val="center"/>
          </w:tcPr>
          <w:p w14:paraId="785BD9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c>
          <w:tcPr>
            <w:tcW w:w="898" w:type="dxa"/>
            <w:shd w:val="clear" w:color="auto" w:fill="auto"/>
            <w:vAlign w:val="center"/>
          </w:tcPr>
          <w:p w14:paraId="51F2BD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81" w:type="dxa"/>
            <w:shd w:val="clear" w:color="auto" w:fill="auto"/>
            <w:vAlign w:val="center"/>
          </w:tcPr>
          <w:p w14:paraId="1492CBB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c>
          <w:tcPr>
            <w:tcW w:w="1031" w:type="dxa"/>
            <w:shd w:val="clear" w:color="auto" w:fill="auto"/>
            <w:vAlign w:val="center"/>
          </w:tcPr>
          <w:p w14:paraId="2D35C3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57" w:type="dxa"/>
            <w:shd w:val="clear" w:color="auto" w:fill="auto"/>
            <w:vAlign w:val="center"/>
          </w:tcPr>
          <w:p w14:paraId="3C3F53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23" w:type="dxa"/>
            <w:shd w:val="clear" w:color="auto" w:fill="auto"/>
            <w:vAlign w:val="center"/>
          </w:tcPr>
          <w:p w14:paraId="509266D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0165FC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1" w:type="dxa"/>
            <w:shd w:val="clear" w:color="auto" w:fill="auto"/>
            <w:vAlign w:val="center"/>
          </w:tcPr>
          <w:p w14:paraId="041EAF4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5BBAECE1">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w:t>
            </w:r>
          </w:p>
        </w:tc>
        <w:tc>
          <w:tcPr>
            <w:tcW w:w="2057" w:type="dxa"/>
            <w:shd w:val="clear" w:color="auto" w:fill="auto"/>
            <w:vAlign w:val="center"/>
          </w:tcPr>
          <w:p w14:paraId="152C255B">
            <w:pPr>
              <w:jc w:val="center"/>
              <w:rPr>
                <w:rFonts w:hint="eastAsia" w:ascii="宋体" w:hAnsi="宋体" w:eastAsia="宋体" w:cs="宋体"/>
                <w:i w:val="0"/>
                <w:iCs w:val="0"/>
                <w:color w:val="000000"/>
                <w:sz w:val="20"/>
                <w:szCs w:val="20"/>
                <w:u w:val="none"/>
              </w:rPr>
            </w:pPr>
          </w:p>
        </w:tc>
      </w:tr>
      <w:tr w14:paraId="282AE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310" w:type="dxa"/>
            <w:vMerge w:val="continue"/>
            <w:shd w:val="clear" w:color="auto" w:fill="auto"/>
            <w:vAlign w:val="center"/>
          </w:tcPr>
          <w:p w14:paraId="65254E3C">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14:paraId="5DA34B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068" w:type="dxa"/>
            <w:shd w:val="clear" w:color="auto" w:fill="auto"/>
            <w:vAlign w:val="center"/>
          </w:tcPr>
          <w:p w14:paraId="31EC83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10" w:type="dxa"/>
            <w:shd w:val="clear" w:color="auto" w:fill="auto"/>
            <w:vAlign w:val="center"/>
          </w:tcPr>
          <w:p w14:paraId="383D7E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906" w:type="dxa"/>
            <w:shd w:val="clear" w:color="auto" w:fill="auto"/>
            <w:vAlign w:val="center"/>
          </w:tcPr>
          <w:p w14:paraId="2643876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898" w:type="dxa"/>
            <w:shd w:val="clear" w:color="auto" w:fill="auto"/>
            <w:vAlign w:val="center"/>
          </w:tcPr>
          <w:p w14:paraId="3619816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81" w:type="dxa"/>
            <w:shd w:val="clear" w:color="auto" w:fill="auto"/>
            <w:vAlign w:val="center"/>
          </w:tcPr>
          <w:p w14:paraId="325CF1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031" w:type="dxa"/>
            <w:shd w:val="clear" w:color="auto" w:fill="auto"/>
            <w:vAlign w:val="center"/>
          </w:tcPr>
          <w:p w14:paraId="6BB25B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7" w:type="dxa"/>
            <w:shd w:val="clear" w:color="auto" w:fill="auto"/>
            <w:vAlign w:val="center"/>
          </w:tcPr>
          <w:p w14:paraId="6DD4D8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23" w:type="dxa"/>
            <w:shd w:val="clear" w:color="auto" w:fill="auto"/>
            <w:vAlign w:val="center"/>
          </w:tcPr>
          <w:p w14:paraId="640BDE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881" w:type="dxa"/>
            <w:shd w:val="clear" w:color="auto" w:fill="auto"/>
            <w:vAlign w:val="center"/>
          </w:tcPr>
          <w:p w14:paraId="7328F3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31" w:type="dxa"/>
            <w:shd w:val="clear" w:color="auto" w:fill="auto"/>
            <w:vAlign w:val="center"/>
          </w:tcPr>
          <w:p w14:paraId="046E96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81" w:type="dxa"/>
            <w:shd w:val="clear" w:color="auto" w:fill="auto"/>
            <w:vAlign w:val="center"/>
          </w:tcPr>
          <w:p w14:paraId="46CD9BB5">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2057" w:type="dxa"/>
            <w:shd w:val="clear" w:color="auto" w:fill="auto"/>
            <w:vAlign w:val="center"/>
          </w:tcPr>
          <w:p w14:paraId="74296FC6">
            <w:pPr>
              <w:jc w:val="center"/>
              <w:rPr>
                <w:rFonts w:hint="eastAsia" w:ascii="宋体" w:hAnsi="宋体" w:eastAsia="宋体" w:cs="宋体"/>
                <w:i w:val="0"/>
                <w:iCs w:val="0"/>
                <w:color w:val="000000"/>
                <w:sz w:val="20"/>
                <w:szCs w:val="20"/>
                <w:u w:val="none"/>
              </w:rPr>
            </w:pPr>
          </w:p>
        </w:tc>
      </w:tr>
      <w:tr w14:paraId="12D1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0" w:hRule="atLeast"/>
        </w:trPr>
        <w:tc>
          <w:tcPr>
            <w:tcW w:w="3928" w:type="dxa"/>
            <w:gridSpan w:val="4"/>
            <w:shd w:val="clear" w:color="auto" w:fill="auto"/>
            <w:vAlign w:val="center"/>
          </w:tcPr>
          <w:p w14:paraId="75E807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06" w:type="dxa"/>
            <w:shd w:val="clear" w:color="auto" w:fill="auto"/>
            <w:vAlign w:val="center"/>
          </w:tcPr>
          <w:p w14:paraId="67E52416">
            <w:pPr>
              <w:jc w:val="center"/>
              <w:rPr>
                <w:rFonts w:hint="eastAsia" w:ascii="宋体" w:hAnsi="宋体" w:eastAsia="宋体" w:cs="宋体"/>
                <w:i w:val="0"/>
                <w:iCs w:val="0"/>
                <w:color w:val="000000"/>
                <w:sz w:val="20"/>
                <w:szCs w:val="20"/>
                <w:u w:val="none"/>
              </w:rPr>
            </w:pPr>
          </w:p>
        </w:tc>
        <w:tc>
          <w:tcPr>
            <w:tcW w:w="898" w:type="dxa"/>
            <w:shd w:val="clear" w:color="auto" w:fill="auto"/>
            <w:vAlign w:val="center"/>
          </w:tcPr>
          <w:p w14:paraId="35EC17F0">
            <w:pPr>
              <w:rPr>
                <w:rFonts w:hint="eastAsia" w:ascii="宋体" w:hAnsi="宋体" w:eastAsia="宋体" w:cs="宋体"/>
                <w:b/>
                <w:bCs/>
                <w:i w:val="0"/>
                <w:iCs w:val="0"/>
                <w:color w:val="000000"/>
                <w:sz w:val="20"/>
                <w:szCs w:val="20"/>
                <w:u w:val="none"/>
              </w:rPr>
            </w:pPr>
          </w:p>
        </w:tc>
        <w:tc>
          <w:tcPr>
            <w:tcW w:w="781" w:type="dxa"/>
            <w:shd w:val="clear" w:color="auto" w:fill="auto"/>
            <w:vAlign w:val="center"/>
          </w:tcPr>
          <w:p w14:paraId="747848E0">
            <w:pPr>
              <w:jc w:val="center"/>
              <w:rPr>
                <w:rFonts w:hint="eastAsia" w:ascii="宋体" w:hAnsi="宋体" w:eastAsia="宋体" w:cs="宋体"/>
                <w:i w:val="0"/>
                <w:iCs w:val="0"/>
                <w:color w:val="000000"/>
                <w:sz w:val="20"/>
                <w:szCs w:val="20"/>
                <w:u w:val="none"/>
              </w:rPr>
            </w:pPr>
          </w:p>
        </w:tc>
        <w:tc>
          <w:tcPr>
            <w:tcW w:w="1031" w:type="dxa"/>
            <w:shd w:val="clear" w:color="auto" w:fill="auto"/>
            <w:vAlign w:val="center"/>
          </w:tcPr>
          <w:p w14:paraId="56C71C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7" w:type="dxa"/>
            <w:shd w:val="clear" w:color="auto" w:fill="auto"/>
            <w:vAlign w:val="center"/>
          </w:tcPr>
          <w:p w14:paraId="4DD51FCB">
            <w:pPr>
              <w:jc w:val="center"/>
              <w:rPr>
                <w:rFonts w:hint="eastAsia" w:ascii="宋体" w:hAnsi="宋体" w:eastAsia="宋体" w:cs="宋体"/>
                <w:i w:val="0"/>
                <w:iCs w:val="0"/>
                <w:color w:val="000000"/>
                <w:sz w:val="20"/>
                <w:szCs w:val="20"/>
                <w:u w:val="none"/>
              </w:rPr>
            </w:pPr>
          </w:p>
        </w:tc>
        <w:tc>
          <w:tcPr>
            <w:tcW w:w="1023" w:type="dxa"/>
            <w:shd w:val="clear" w:color="auto" w:fill="auto"/>
            <w:vAlign w:val="center"/>
          </w:tcPr>
          <w:p w14:paraId="29B4BE08">
            <w:pPr>
              <w:rPr>
                <w:rFonts w:hint="eastAsia" w:ascii="宋体" w:hAnsi="宋体" w:eastAsia="宋体" w:cs="宋体"/>
                <w:i w:val="0"/>
                <w:iCs w:val="0"/>
                <w:color w:val="000000"/>
                <w:sz w:val="20"/>
                <w:szCs w:val="20"/>
                <w:u w:val="none"/>
              </w:rPr>
            </w:pPr>
          </w:p>
        </w:tc>
        <w:tc>
          <w:tcPr>
            <w:tcW w:w="881" w:type="dxa"/>
            <w:shd w:val="clear" w:color="auto" w:fill="auto"/>
            <w:vAlign w:val="center"/>
          </w:tcPr>
          <w:p w14:paraId="49B3E06E">
            <w:pPr>
              <w:rPr>
                <w:rFonts w:hint="eastAsia" w:ascii="宋体" w:hAnsi="宋体" w:eastAsia="宋体" w:cs="宋体"/>
                <w:i w:val="0"/>
                <w:iCs w:val="0"/>
                <w:color w:val="000000"/>
                <w:sz w:val="20"/>
                <w:szCs w:val="20"/>
                <w:u w:val="none"/>
              </w:rPr>
            </w:pPr>
          </w:p>
        </w:tc>
        <w:tc>
          <w:tcPr>
            <w:tcW w:w="931" w:type="dxa"/>
            <w:shd w:val="clear" w:color="auto" w:fill="auto"/>
            <w:vAlign w:val="center"/>
          </w:tcPr>
          <w:p w14:paraId="4DA526F5">
            <w:pPr>
              <w:rPr>
                <w:rFonts w:hint="eastAsia" w:ascii="宋体" w:hAnsi="宋体" w:eastAsia="宋体" w:cs="宋体"/>
                <w:i w:val="0"/>
                <w:iCs w:val="0"/>
                <w:color w:val="000000"/>
                <w:sz w:val="20"/>
                <w:szCs w:val="20"/>
                <w:u w:val="none"/>
              </w:rPr>
            </w:pPr>
          </w:p>
        </w:tc>
        <w:tc>
          <w:tcPr>
            <w:tcW w:w="781" w:type="dxa"/>
            <w:shd w:val="clear" w:color="auto" w:fill="auto"/>
            <w:vAlign w:val="center"/>
          </w:tcPr>
          <w:p w14:paraId="0539D14C">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2057" w:type="dxa"/>
            <w:shd w:val="clear" w:color="auto" w:fill="auto"/>
            <w:vAlign w:val="center"/>
          </w:tcPr>
          <w:p w14:paraId="52016240">
            <w:pPr>
              <w:rPr>
                <w:rFonts w:hint="eastAsia" w:ascii="宋体" w:hAnsi="宋体" w:eastAsia="宋体" w:cs="宋体"/>
                <w:i w:val="0"/>
                <w:iCs w:val="0"/>
                <w:color w:val="000000"/>
                <w:sz w:val="20"/>
                <w:szCs w:val="20"/>
                <w:u w:val="none"/>
              </w:rPr>
            </w:pPr>
          </w:p>
        </w:tc>
      </w:tr>
    </w:tbl>
    <w:p w14:paraId="0837FA3A">
      <w:pPr>
        <w:ind w:left="0" w:leftChars="0" w:firstLine="0" w:firstLineChars="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2"/>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981"/>
        <w:gridCol w:w="1980"/>
        <w:gridCol w:w="7821"/>
        <w:gridCol w:w="785"/>
        <w:gridCol w:w="769"/>
      </w:tblGrid>
      <w:tr w14:paraId="169E3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2AF20A4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3DA62445">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981" w:type="dxa"/>
            <w:shd w:val="clear" w:color="auto" w:fill="auto"/>
            <w:noWrap w:val="0"/>
            <w:vAlign w:val="center"/>
          </w:tcPr>
          <w:p w14:paraId="299BEF46">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1980" w:type="dxa"/>
            <w:shd w:val="clear" w:color="auto" w:fill="auto"/>
            <w:noWrap w:val="0"/>
            <w:vAlign w:val="center"/>
          </w:tcPr>
          <w:p w14:paraId="47990E4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46ECE70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0DB298C8">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45229F7F">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47AD4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14:paraId="165172C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5224774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48E4CA1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05D304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981" w:type="dxa"/>
            <w:shd w:val="clear" w:color="auto" w:fill="auto"/>
            <w:noWrap w:val="0"/>
            <w:vAlign w:val="center"/>
          </w:tcPr>
          <w:p w14:paraId="6059370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665BE3E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1980" w:type="dxa"/>
            <w:shd w:val="clear" w:color="auto" w:fill="auto"/>
            <w:noWrap w:val="0"/>
            <w:vAlign w:val="center"/>
          </w:tcPr>
          <w:p w14:paraId="28FA500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2F6AB9AF">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9E3B7B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374A5B9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7BDFF51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2F230DDE">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2F65817">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34C9E8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0B9256A7">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33AF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DA42BCD">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FE1D972">
            <w:pPr>
              <w:widowControl/>
              <w:spacing w:line="0" w:lineRule="atLeast"/>
              <w:ind w:firstLine="0" w:firstLineChars="0"/>
              <w:jc w:val="center"/>
              <w:rPr>
                <w:rFonts w:ascii="宋体" w:hAnsi="宋体" w:eastAsia="宋体" w:cs="宋体"/>
                <w:color w:val="auto"/>
                <w:kern w:val="0"/>
                <w:sz w:val="22"/>
                <w:szCs w:val="22"/>
                <w:highlight w:val="none"/>
              </w:rPr>
            </w:pPr>
          </w:p>
        </w:tc>
        <w:tc>
          <w:tcPr>
            <w:tcW w:w="981" w:type="dxa"/>
            <w:shd w:val="clear" w:color="auto" w:fill="auto"/>
            <w:noWrap w:val="0"/>
            <w:vAlign w:val="center"/>
          </w:tcPr>
          <w:p w14:paraId="6579E4B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5CA928E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1980" w:type="dxa"/>
            <w:shd w:val="clear" w:color="auto" w:fill="auto"/>
            <w:noWrap w:val="0"/>
            <w:vAlign w:val="center"/>
          </w:tcPr>
          <w:p w14:paraId="226DCF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50E0691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DD492D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0B6AF63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3EF25662">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62844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5C7C71B4">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8D2E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08760B98">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2711911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981" w:type="dxa"/>
            <w:shd w:val="clear" w:color="auto" w:fill="auto"/>
            <w:noWrap w:val="0"/>
            <w:vAlign w:val="center"/>
          </w:tcPr>
          <w:p w14:paraId="3322E15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1810F9A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980" w:type="dxa"/>
            <w:shd w:val="clear" w:color="auto" w:fill="auto"/>
            <w:noWrap w:val="0"/>
            <w:vAlign w:val="center"/>
          </w:tcPr>
          <w:p w14:paraId="3B3AE70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18CE032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44C63C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0856C8C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5C80475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BB50E83">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388B61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26F05A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68CFFB1">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79E2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126F7A2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6E15215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981" w:type="dxa"/>
            <w:shd w:val="clear" w:color="auto" w:fill="auto"/>
            <w:noWrap w:val="0"/>
            <w:vAlign w:val="center"/>
          </w:tcPr>
          <w:p w14:paraId="59366A9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9FB4D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1980" w:type="dxa"/>
            <w:shd w:val="clear" w:color="auto" w:fill="auto"/>
            <w:noWrap w:val="0"/>
            <w:vAlign w:val="center"/>
          </w:tcPr>
          <w:p w14:paraId="146F075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7B39FA6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779157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60C1136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8EE35D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55E20CEC">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0C5983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5FA3777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1CBB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4D5CE504">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2AB87B0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26E6F619">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981" w:type="dxa"/>
            <w:shd w:val="clear" w:color="auto" w:fill="auto"/>
            <w:noWrap w:val="0"/>
            <w:vAlign w:val="center"/>
          </w:tcPr>
          <w:p w14:paraId="516C9B5F">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79C96FE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1980" w:type="dxa"/>
            <w:shd w:val="clear" w:color="auto" w:fill="auto"/>
            <w:noWrap w:val="0"/>
            <w:vAlign w:val="center"/>
          </w:tcPr>
          <w:p w14:paraId="601769F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49FF8E3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E7DC71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3B4D0C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1F0217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2AAB3F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5C02A1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5B1F66C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4E5D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C143E2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1B5ED90">
            <w:pPr>
              <w:widowControl/>
              <w:spacing w:line="0" w:lineRule="atLeast"/>
              <w:ind w:firstLine="0" w:firstLineChars="0"/>
              <w:jc w:val="center"/>
              <w:rPr>
                <w:rFonts w:ascii="宋体" w:hAnsi="宋体" w:eastAsia="宋体" w:cs="宋体"/>
                <w:color w:val="auto"/>
                <w:kern w:val="0"/>
                <w:sz w:val="22"/>
                <w:szCs w:val="22"/>
                <w:highlight w:val="none"/>
              </w:rPr>
            </w:pPr>
          </w:p>
        </w:tc>
        <w:tc>
          <w:tcPr>
            <w:tcW w:w="981" w:type="dxa"/>
            <w:shd w:val="clear" w:color="auto" w:fill="auto"/>
            <w:noWrap w:val="0"/>
            <w:vAlign w:val="center"/>
          </w:tcPr>
          <w:p w14:paraId="4DE009A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882931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1980" w:type="dxa"/>
            <w:shd w:val="clear" w:color="auto" w:fill="auto"/>
            <w:noWrap w:val="0"/>
            <w:vAlign w:val="center"/>
          </w:tcPr>
          <w:p w14:paraId="3185484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0810B2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03720C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5B32763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7BDCA8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04C2521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EA30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1C5D24C6">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51E1E58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981" w:type="dxa"/>
            <w:shd w:val="clear" w:color="auto" w:fill="auto"/>
            <w:noWrap w:val="0"/>
            <w:vAlign w:val="center"/>
          </w:tcPr>
          <w:p w14:paraId="10C2378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1980" w:type="dxa"/>
            <w:shd w:val="clear" w:color="auto" w:fill="auto"/>
            <w:noWrap w:val="0"/>
            <w:vAlign w:val="center"/>
          </w:tcPr>
          <w:p w14:paraId="50E0714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5361549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21B890C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04318DB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6E013E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306337E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5405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08284BA6">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C9B67EC">
            <w:pPr>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5042EFD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1980" w:type="dxa"/>
            <w:shd w:val="clear" w:color="auto" w:fill="auto"/>
            <w:noWrap w:val="0"/>
            <w:vAlign w:val="center"/>
          </w:tcPr>
          <w:p w14:paraId="6B50443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0ADF1F3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09FBEC7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5BD7C6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339EE2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3.998</w:t>
            </w:r>
          </w:p>
        </w:tc>
      </w:tr>
      <w:tr w14:paraId="1A490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50CB527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78985B7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112A72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981" w:type="dxa"/>
            <w:shd w:val="clear" w:color="auto" w:fill="auto"/>
            <w:noWrap w:val="0"/>
            <w:vAlign w:val="center"/>
          </w:tcPr>
          <w:p w14:paraId="7D36723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492C916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1980" w:type="dxa"/>
            <w:shd w:val="clear" w:color="auto" w:fill="auto"/>
            <w:noWrap w:val="0"/>
            <w:vAlign w:val="center"/>
          </w:tcPr>
          <w:p w14:paraId="7FBD46C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4633871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13A041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3BC553E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717A64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BDA556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7DDAEC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4768E9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4566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5F68F322">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7341228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0E6ACD0B">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981" w:type="dxa"/>
            <w:shd w:val="clear" w:color="auto" w:fill="auto"/>
            <w:noWrap w:val="0"/>
            <w:vAlign w:val="center"/>
          </w:tcPr>
          <w:p w14:paraId="2CC99A6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367776D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1980" w:type="dxa"/>
            <w:shd w:val="clear" w:color="auto" w:fill="auto"/>
            <w:noWrap w:val="0"/>
            <w:vAlign w:val="center"/>
          </w:tcPr>
          <w:p w14:paraId="129FD75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D42A22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A00A48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3D279A0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25E0ED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E44D4F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43F1F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52963E3F">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1166612">
            <w:pPr>
              <w:widowControl/>
              <w:spacing w:line="0" w:lineRule="atLeast"/>
              <w:ind w:firstLine="0" w:firstLineChars="0"/>
              <w:jc w:val="center"/>
              <w:rPr>
                <w:rFonts w:ascii="宋体" w:hAnsi="宋体" w:eastAsia="宋体" w:cs="宋体"/>
                <w:color w:val="auto"/>
                <w:kern w:val="0"/>
                <w:sz w:val="22"/>
                <w:szCs w:val="22"/>
                <w:highlight w:val="none"/>
              </w:rPr>
            </w:pPr>
          </w:p>
        </w:tc>
        <w:tc>
          <w:tcPr>
            <w:tcW w:w="981" w:type="dxa"/>
            <w:shd w:val="clear" w:color="auto" w:fill="auto"/>
            <w:noWrap w:val="0"/>
            <w:vAlign w:val="center"/>
          </w:tcPr>
          <w:p w14:paraId="5CD6022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1987F0B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1980" w:type="dxa"/>
            <w:shd w:val="clear" w:color="auto" w:fill="auto"/>
            <w:noWrap w:val="0"/>
            <w:vAlign w:val="center"/>
          </w:tcPr>
          <w:p w14:paraId="365E9B8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63F0F5E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88F54F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2CC3650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547BC51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1FC5546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0D9BB8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B66249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DA96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77" w:hRule="atLeast"/>
          <w:jc w:val="center"/>
        </w:trPr>
        <w:tc>
          <w:tcPr>
            <w:tcW w:w="861" w:type="dxa"/>
            <w:shd w:val="clear" w:color="auto" w:fill="auto"/>
            <w:noWrap w:val="0"/>
            <w:vAlign w:val="center"/>
          </w:tcPr>
          <w:p w14:paraId="1012A068">
            <w:pPr>
              <w:widowControl/>
              <w:spacing w:line="0" w:lineRule="atLeast"/>
              <w:ind w:firstLine="0" w:firstLineChars="0"/>
              <w:jc w:val="center"/>
              <w:rPr>
                <w:rFonts w:ascii="宋体" w:hAnsi="宋体" w:eastAsia="宋体" w:cs="宋体"/>
                <w:color w:val="auto"/>
                <w:kern w:val="0"/>
                <w:sz w:val="22"/>
                <w:szCs w:val="22"/>
                <w:highlight w:val="none"/>
              </w:rPr>
            </w:pPr>
          </w:p>
          <w:p w14:paraId="759E8FAF">
            <w:pPr>
              <w:pStyle w:val="2"/>
              <w:rPr>
                <w:color w:val="auto"/>
                <w:highlight w:val="none"/>
              </w:rPr>
            </w:pPr>
          </w:p>
        </w:tc>
        <w:tc>
          <w:tcPr>
            <w:tcW w:w="727" w:type="dxa"/>
            <w:vMerge w:val="restart"/>
            <w:shd w:val="clear" w:color="auto" w:fill="auto"/>
            <w:noWrap w:val="0"/>
            <w:vAlign w:val="center"/>
          </w:tcPr>
          <w:p w14:paraId="03937CD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981" w:type="dxa"/>
            <w:shd w:val="clear" w:color="auto" w:fill="auto"/>
            <w:noWrap w:val="0"/>
            <w:vAlign w:val="center"/>
          </w:tcPr>
          <w:p w14:paraId="076713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发射机维护数量</w:t>
            </w:r>
          </w:p>
        </w:tc>
        <w:tc>
          <w:tcPr>
            <w:tcW w:w="1980" w:type="dxa"/>
            <w:vMerge w:val="restart"/>
            <w:shd w:val="clear" w:color="auto" w:fill="auto"/>
            <w:noWrap w:val="0"/>
            <w:vAlign w:val="center"/>
          </w:tcPr>
          <w:p w14:paraId="1FB2720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4878A9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6部</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6部</w:t>
            </w:r>
            <w:r>
              <w:rPr>
                <w:rFonts w:hint="eastAsia" w:ascii="宋体" w:hAnsi="宋体" w:eastAsia="宋体" w:cs="宋体"/>
                <w:color w:val="auto"/>
                <w:kern w:val="0"/>
                <w:sz w:val="22"/>
                <w:szCs w:val="22"/>
                <w:highlight w:val="none"/>
              </w:rPr>
              <w:t>）×100%。</w:t>
            </w:r>
          </w:p>
          <w:p w14:paraId="6E275A7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43FE46D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259911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27DDC9C9">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614AA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67" w:hRule="atLeast"/>
          <w:jc w:val="center"/>
        </w:trPr>
        <w:tc>
          <w:tcPr>
            <w:tcW w:w="861" w:type="dxa"/>
            <w:shd w:val="clear" w:color="auto" w:fill="auto"/>
            <w:noWrap w:val="0"/>
            <w:vAlign w:val="center"/>
          </w:tcPr>
          <w:p w14:paraId="3F2C9E82">
            <w:pPr>
              <w:pStyle w:val="2"/>
              <w:rPr>
                <w:color w:val="auto"/>
                <w:highlight w:val="none"/>
              </w:rPr>
            </w:pPr>
          </w:p>
        </w:tc>
        <w:tc>
          <w:tcPr>
            <w:tcW w:w="727" w:type="dxa"/>
            <w:vMerge w:val="continue"/>
            <w:shd w:val="clear" w:color="auto" w:fill="auto"/>
            <w:noWrap w:val="0"/>
            <w:vAlign w:val="center"/>
          </w:tcPr>
          <w:p w14:paraId="07E385D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63AD6404">
            <w:pPr>
              <w:keepNext w:val="0"/>
              <w:keepLines w:val="0"/>
              <w:pageBreakBefore w:val="0"/>
              <w:widowControl/>
              <w:kinsoku/>
              <w:wordWrap/>
              <w:overflowPunct/>
              <w:topLinePunct w:val="0"/>
              <w:autoSpaceDE/>
              <w:autoSpaceDN/>
              <w:bidi w:val="0"/>
              <w:adjustRightInd/>
              <w:snapToGrid/>
              <w:spacing w:line="0" w:lineRule="atLeast"/>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无线覆盖免费收听自治区广播节目数量</w:t>
            </w:r>
          </w:p>
        </w:tc>
        <w:tc>
          <w:tcPr>
            <w:tcW w:w="1980" w:type="dxa"/>
            <w:vMerge w:val="continue"/>
            <w:shd w:val="clear" w:color="auto" w:fill="auto"/>
            <w:noWrap w:val="0"/>
            <w:vAlign w:val="center"/>
          </w:tcPr>
          <w:p w14:paraId="37B00894">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43D1BF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3套</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3套</w:t>
            </w:r>
            <w:r>
              <w:rPr>
                <w:rFonts w:hint="eastAsia" w:ascii="宋体" w:hAnsi="宋体" w:eastAsia="宋体" w:cs="宋体"/>
                <w:color w:val="auto"/>
                <w:kern w:val="0"/>
                <w:sz w:val="22"/>
                <w:szCs w:val="22"/>
                <w:highlight w:val="none"/>
              </w:rPr>
              <w:t>）×100%。</w:t>
            </w:r>
          </w:p>
          <w:p w14:paraId="1E513B7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78A75A3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7619F9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36CFE8E2">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59B4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jc w:val="center"/>
        </w:trPr>
        <w:tc>
          <w:tcPr>
            <w:tcW w:w="861" w:type="dxa"/>
            <w:shd w:val="clear" w:color="auto" w:fill="auto"/>
            <w:noWrap w:val="0"/>
            <w:vAlign w:val="center"/>
          </w:tcPr>
          <w:p w14:paraId="3CF59629">
            <w:pPr>
              <w:pStyle w:val="2"/>
              <w:rPr>
                <w:color w:val="auto"/>
                <w:highlight w:val="none"/>
              </w:rPr>
            </w:pPr>
          </w:p>
        </w:tc>
        <w:tc>
          <w:tcPr>
            <w:tcW w:w="727" w:type="dxa"/>
            <w:vMerge w:val="continue"/>
            <w:shd w:val="clear" w:color="auto" w:fill="auto"/>
            <w:noWrap w:val="0"/>
            <w:vAlign w:val="center"/>
          </w:tcPr>
          <w:p w14:paraId="2C0D008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6F92358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开展专项运行维护次数</w:t>
            </w:r>
          </w:p>
        </w:tc>
        <w:tc>
          <w:tcPr>
            <w:tcW w:w="1980" w:type="dxa"/>
            <w:vMerge w:val="continue"/>
            <w:shd w:val="clear" w:color="auto" w:fill="auto"/>
            <w:noWrap w:val="0"/>
            <w:vAlign w:val="center"/>
          </w:tcPr>
          <w:p w14:paraId="39972EE4">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0514F6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111%</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20次</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18次</w:t>
            </w:r>
            <w:r>
              <w:rPr>
                <w:rFonts w:hint="eastAsia" w:ascii="宋体" w:hAnsi="宋体" w:eastAsia="宋体" w:cs="宋体"/>
                <w:color w:val="auto"/>
                <w:kern w:val="0"/>
                <w:sz w:val="22"/>
                <w:szCs w:val="22"/>
                <w:highlight w:val="none"/>
              </w:rPr>
              <w:t>）×100%。</w:t>
            </w:r>
          </w:p>
          <w:p w14:paraId="3CEB157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9A7F71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4EACF23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755ECA9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55438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861" w:type="dxa"/>
            <w:vMerge w:val="restart"/>
            <w:shd w:val="clear" w:color="auto" w:fill="auto"/>
            <w:noWrap w:val="0"/>
            <w:vAlign w:val="center"/>
          </w:tcPr>
          <w:p w14:paraId="5C92B0D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14:paraId="742EDF5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981" w:type="dxa"/>
            <w:shd w:val="clear" w:color="auto" w:fill="auto"/>
            <w:noWrap w:val="0"/>
            <w:vAlign w:val="center"/>
          </w:tcPr>
          <w:p w14:paraId="5DEB037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发射机满功率播出率</w:t>
            </w:r>
          </w:p>
        </w:tc>
        <w:tc>
          <w:tcPr>
            <w:tcW w:w="1980" w:type="dxa"/>
            <w:vMerge w:val="restart"/>
            <w:shd w:val="clear" w:color="auto" w:fill="auto"/>
            <w:noWrap w:val="0"/>
            <w:vAlign w:val="center"/>
          </w:tcPr>
          <w:p w14:paraId="59B8F10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1CFE9D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）×100%。</w:t>
            </w:r>
          </w:p>
          <w:p w14:paraId="4638CF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3DBD687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4C3AB2A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0B1A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13" w:hRule="atLeast"/>
          <w:jc w:val="center"/>
        </w:trPr>
        <w:tc>
          <w:tcPr>
            <w:tcW w:w="861" w:type="dxa"/>
            <w:vMerge w:val="continue"/>
            <w:shd w:val="clear" w:color="auto" w:fill="auto"/>
            <w:noWrap w:val="0"/>
            <w:vAlign w:val="center"/>
          </w:tcPr>
          <w:p w14:paraId="1FECDC4E">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DD479B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467E804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发射机满调制播出率</w:t>
            </w:r>
          </w:p>
        </w:tc>
        <w:tc>
          <w:tcPr>
            <w:tcW w:w="1980" w:type="dxa"/>
            <w:vMerge w:val="continue"/>
            <w:shd w:val="clear" w:color="auto" w:fill="auto"/>
            <w:noWrap w:val="0"/>
            <w:vAlign w:val="center"/>
          </w:tcPr>
          <w:p w14:paraId="1041CC1C">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6915267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）×100%。</w:t>
            </w:r>
          </w:p>
          <w:p w14:paraId="05A1592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916BBB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21D6AF4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0428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98" w:hRule="atLeast"/>
          <w:jc w:val="center"/>
        </w:trPr>
        <w:tc>
          <w:tcPr>
            <w:tcW w:w="861" w:type="dxa"/>
            <w:vMerge w:val="continue"/>
            <w:shd w:val="clear" w:color="auto" w:fill="auto"/>
            <w:noWrap w:val="0"/>
            <w:vAlign w:val="center"/>
          </w:tcPr>
          <w:p w14:paraId="0356BAE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06D1EB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5FDB853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发射机满时间播出</w:t>
            </w:r>
          </w:p>
        </w:tc>
        <w:tc>
          <w:tcPr>
            <w:tcW w:w="1980" w:type="dxa"/>
            <w:vMerge w:val="continue"/>
            <w:shd w:val="clear" w:color="auto" w:fill="auto"/>
            <w:noWrap w:val="0"/>
            <w:vAlign w:val="center"/>
          </w:tcPr>
          <w:p w14:paraId="15575E24">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0403F1D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）×100%。</w:t>
            </w:r>
          </w:p>
          <w:p w14:paraId="3AA7EAA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B1375D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45313356">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2B05C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43" w:hRule="atLeast"/>
          <w:jc w:val="center"/>
        </w:trPr>
        <w:tc>
          <w:tcPr>
            <w:tcW w:w="861" w:type="dxa"/>
            <w:vMerge w:val="continue"/>
            <w:shd w:val="clear" w:color="auto" w:fill="auto"/>
            <w:noWrap w:val="0"/>
            <w:vAlign w:val="center"/>
          </w:tcPr>
          <w:p w14:paraId="1FE8CDA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8FD4238">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74D6556C">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发射机及附属设备设施完好率</w:t>
            </w:r>
          </w:p>
        </w:tc>
        <w:tc>
          <w:tcPr>
            <w:tcW w:w="1980" w:type="dxa"/>
            <w:vMerge w:val="continue"/>
            <w:shd w:val="clear" w:color="auto" w:fill="auto"/>
            <w:noWrap w:val="0"/>
            <w:vAlign w:val="center"/>
          </w:tcPr>
          <w:p w14:paraId="2AADE865">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032C7E0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100%</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106台套</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106台套</w:t>
            </w:r>
            <w:r>
              <w:rPr>
                <w:rFonts w:hint="eastAsia" w:ascii="宋体" w:hAnsi="宋体" w:eastAsia="宋体" w:cs="宋体"/>
                <w:color w:val="auto"/>
                <w:kern w:val="0"/>
                <w:sz w:val="22"/>
                <w:szCs w:val="22"/>
                <w:highlight w:val="none"/>
              </w:rPr>
              <w:t>）×100%。</w:t>
            </w:r>
          </w:p>
          <w:p w14:paraId="0773AF99">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1C6CF46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CA04D6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3BAC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861" w:type="dxa"/>
            <w:vMerge w:val="continue"/>
            <w:shd w:val="clear" w:color="auto" w:fill="auto"/>
            <w:noWrap w:val="0"/>
            <w:vAlign w:val="center"/>
          </w:tcPr>
          <w:p w14:paraId="1C64FD87">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93762C6">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981" w:type="dxa"/>
            <w:shd w:val="clear" w:color="auto" w:fill="auto"/>
            <w:noWrap w:val="0"/>
            <w:vAlign w:val="center"/>
          </w:tcPr>
          <w:p w14:paraId="1DF1199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1980" w:type="dxa"/>
            <w:vMerge w:val="restart"/>
            <w:shd w:val="clear" w:color="auto" w:fill="auto"/>
            <w:noWrap w:val="0"/>
            <w:vAlign w:val="center"/>
          </w:tcPr>
          <w:p w14:paraId="3DBD3E5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2FDF5D9">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100%=21万元/21万元*100%</w:t>
            </w:r>
          </w:p>
          <w:p w14:paraId="11D61F3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3D3E51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4A4FD29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205B874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5BBA7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861" w:type="dxa"/>
            <w:vMerge w:val="continue"/>
            <w:shd w:val="clear" w:color="auto" w:fill="auto"/>
            <w:noWrap w:val="0"/>
            <w:vAlign w:val="center"/>
          </w:tcPr>
          <w:p w14:paraId="038DED00">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003D9AB">
            <w:pPr>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776516D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运行维护完成及时性</w:t>
            </w:r>
          </w:p>
        </w:tc>
        <w:tc>
          <w:tcPr>
            <w:tcW w:w="1980" w:type="dxa"/>
            <w:vMerge w:val="continue"/>
            <w:shd w:val="clear" w:color="auto" w:fill="auto"/>
            <w:noWrap w:val="0"/>
            <w:vAlign w:val="center"/>
          </w:tcPr>
          <w:p w14:paraId="21F2A454">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3D0EE3A4">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100%=11363分/60时/84台套</w:t>
            </w:r>
          </w:p>
        </w:tc>
        <w:tc>
          <w:tcPr>
            <w:tcW w:w="785" w:type="dxa"/>
            <w:shd w:val="clear" w:color="auto" w:fill="auto"/>
            <w:noWrap w:val="0"/>
            <w:vAlign w:val="center"/>
          </w:tcPr>
          <w:p w14:paraId="3889FC4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44AE149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11A1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16" w:hRule="atLeast"/>
          <w:jc w:val="center"/>
        </w:trPr>
        <w:tc>
          <w:tcPr>
            <w:tcW w:w="861" w:type="dxa"/>
            <w:vMerge w:val="continue"/>
            <w:shd w:val="clear" w:color="auto" w:fill="auto"/>
            <w:noWrap w:val="0"/>
            <w:vAlign w:val="center"/>
          </w:tcPr>
          <w:p w14:paraId="3CFC74DE">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6E9A67C">
            <w:pPr>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4BF96D1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设备运行维护响应时间</w:t>
            </w:r>
          </w:p>
        </w:tc>
        <w:tc>
          <w:tcPr>
            <w:tcW w:w="1980" w:type="dxa"/>
            <w:vMerge w:val="continue"/>
            <w:shd w:val="clear" w:color="auto" w:fill="auto"/>
            <w:noWrap w:val="0"/>
            <w:vAlign w:val="center"/>
          </w:tcPr>
          <w:p w14:paraId="2AD45079">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31445D53">
            <w:pPr>
              <w:widowControl/>
              <w:spacing w:line="0" w:lineRule="atLeast"/>
              <w:ind w:firstLine="0" w:firstLineChars="0"/>
              <w:rPr>
                <w:rFonts w:hint="eastAsia"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2.25小时=11363分/60时/84台套</w:t>
            </w:r>
          </w:p>
        </w:tc>
        <w:tc>
          <w:tcPr>
            <w:tcW w:w="785" w:type="dxa"/>
            <w:shd w:val="clear" w:color="auto" w:fill="auto"/>
            <w:noWrap w:val="0"/>
            <w:vAlign w:val="center"/>
          </w:tcPr>
          <w:p w14:paraId="2A0F253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1B6B934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3A4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31" w:hRule="atLeast"/>
          <w:jc w:val="center"/>
        </w:trPr>
        <w:tc>
          <w:tcPr>
            <w:tcW w:w="861" w:type="dxa"/>
            <w:vMerge w:val="continue"/>
            <w:shd w:val="clear" w:color="auto" w:fill="auto"/>
            <w:noWrap w:val="0"/>
            <w:vAlign w:val="center"/>
          </w:tcPr>
          <w:p w14:paraId="16B0B1F1">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6928B59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981" w:type="dxa"/>
            <w:shd w:val="clear" w:color="auto" w:fill="auto"/>
            <w:noWrap w:val="0"/>
            <w:vAlign w:val="center"/>
          </w:tcPr>
          <w:p w14:paraId="550983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发射机运行维护电费</w:t>
            </w:r>
          </w:p>
        </w:tc>
        <w:tc>
          <w:tcPr>
            <w:tcW w:w="1980" w:type="dxa"/>
            <w:vMerge w:val="restart"/>
            <w:shd w:val="clear" w:color="auto" w:fill="auto"/>
            <w:noWrap w:val="0"/>
            <w:vAlign w:val="center"/>
          </w:tcPr>
          <w:p w14:paraId="0EF0938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3D256501">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30F83C0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-7.86%</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7万元</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7.55万元</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7万元</w:t>
            </w:r>
            <w:r>
              <w:rPr>
                <w:rFonts w:hint="eastAsia" w:ascii="宋体" w:hAnsi="宋体" w:eastAsia="宋体" w:cs="宋体"/>
                <w:color w:val="auto"/>
                <w:kern w:val="0"/>
                <w:sz w:val="22"/>
                <w:szCs w:val="22"/>
                <w:highlight w:val="none"/>
              </w:rPr>
              <w:t>]×100%。</w:t>
            </w:r>
          </w:p>
          <w:p w14:paraId="423F030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D37EA2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1D8E5AA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67891F3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191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96" w:hRule="atLeast"/>
          <w:jc w:val="center"/>
        </w:trPr>
        <w:tc>
          <w:tcPr>
            <w:tcW w:w="861" w:type="dxa"/>
            <w:vMerge w:val="restart"/>
            <w:shd w:val="clear" w:color="auto" w:fill="auto"/>
            <w:noWrap w:val="0"/>
            <w:vAlign w:val="center"/>
          </w:tcPr>
          <w:p w14:paraId="06E7468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continue"/>
            <w:shd w:val="clear" w:color="auto" w:fill="auto"/>
            <w:noWrap w:val="0"/>
            <w:vAlign w:val="center"/>
          </w:tcPr>
          <w:p w14:paraId="59BEE67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14756E8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无线覆盖设备铁塔质量检测费</w:t>
            </w:r>
          </w:p>
        </w:tc>
        <w:tc>
          <w:tcPr>
            <w:tcW w:w="1980" w:type="dxa"/>
            <w:vMerge w:val="continue"/>
            <w:shd w:val="clear" w:color="auto" w:fill="auto"/>
            <w:noWrap w:val="0"/>
            <w:vAlign w:val="center"/>
          </w:tcPr>
          <w:p w14:paraId="5CBA4C08">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4019FCD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5.56%</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9万元</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8.5万元</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9万元</w:t>
            </w:r>
            <w:r>
              <w:rPr>
                <w:rFonts w:hint="eastAsia" w:ascii="宋体" w:hAnsi="宋体" w:eastAsia="宋体" w:cs="宋体"/>
                <w:color w:val="auto"/>
                <w:kern w:val="0"/>
                <w:sz w:val="22"/>
                <w:szCs w:val="22"/>
                <w:highlight w:val="none"/>
              </w:rPr>
              <w:t>]×100%。</w:t>
            </w:r>
          </w:p>
          <w:p w14:paraId="38D82C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31F58AF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E45C2A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60A111B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E3B3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jc w:val="center"/>
        </w:trPr>
        <w:tc>
          <w:tcPr>
            <w:tcW w:w="861" w:type="dxa"/>
            <w:vMerge w:val="continue"/>
            <w:shd w:val="clear" w:color="auto" w:fill="auto"/>
            <w:noWrap w:val="0"/>
            <w:vAlign w:val="center"/>
          </w:tcPr>
          <w:p w14:paraId="48E37E5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5E1C48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428FF94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发射机运行维护备品备件采购费</w:t>
            </w:r>
          </w:p>
        </w:tc>
        <w:tc>
          <w:tcPr>
            <w:tcW w:w="1980" w:type="dxa"/>
            <w:vMerge w:val="continue"/>
            <w:shd w:val="clear" w:color="auto" w:fill="auto"/>
            <w:noWrap w:val="0"/>
            <w:vAlign w:val="center"/>
          </w:tcPr>
          <w:p w14:paraId="1FD4A062">
            <w:pPr>
              <w:widowControl/>
              <w:spacing w:line="0" w:lineRule="atLeast"/>
              <w:ind w:firstLine="0" w:firstLineChars="0"/>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3FEBC44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1.2%</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5万元</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4.94万元</w:t>
            </w:r>
            <w:r>
              <w:rPr>
                <w:rFonts w:hint="eastAsia" w:ascii="宋体" w:hAnsi="宋体" w:eastAsia="宋体" w:cs="宋体"/>
                <w:color w:val="auto"/>
                <w:kern w:val="0"/>
                <w:sz w:val="22"/>
                <w:szCs w:val="22"/>
                <w:highlight w:val="none"/>
              </w:rPr>
              <w:t>）/</w:t>
            </w:r>
            <w:r>
              <w:rPr>
                <w:rFonts w:hint="eastAsia" w:cs="宋体"/>
                <w:color w:val="auto"/>
                <w:kern w:val="0"/>
                <w:sz w:val="22"/>
                <w:szCs w:val="22"/>
                <w:highlight w:val="none"/>
                <w:lang w:val="en-US" w:eastAsia="zh-CN"/>
              </w:rPr>
              <w:t>5万元</w:t>
            </w:r>
            <w:r>
              <w:rPr>
                <w:rFonts w:hint="eastAsia" w:ascii="宋体" w:hAnsi="宋体" w:eastAsia="宋体" w:cs="宋体"/>
                <w:color w:val="auto"/>
                <w:kern w:val="0"/>
                <w:sz w:val="22"/>
                <w:szCs w:val="22"/>
                <w:highlight w:val="none"/>
              </w:rPr>
              <w:t>]×100%。</w:t>
            </w:r>
          </w:p>
          <w:p w14:paraId="2238714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C04478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04CD3E0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134338C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3DD63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40DC6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14:paraId="3F28641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981" w:type="dxa"/>
            <w:shd w:val="clear" w:color="auto" w:fill="auto"/>
            <w:noWrap w:val="0"/>
            <w:vAlign w:val="center"/>
          </w:tcPr>
          <w:p w14:paraId="3A747F5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中央/行业/地方主要媒体刊发图文、短视频</w:t>
            </w:r>
          </w:p>
        </w:tc>
        <w:tc>
          <w:tcPr>
            <w:tcW w:w="1980" w:type="dxa"/>
            <w:vMerge w:val="restart"/>
            <w:shd w:val="clear" w:color="auto" w:fill="auto"/>
            <w:noWrap w:val="0"/>
            <w:vAlign w:val="center"/>
          </w:tcPr>
          <w:p w14:paraId="72817D58">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14:paraId="05872ED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139766B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2365A34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EBC8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793321F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7F30CA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7ED4DD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广播频率公益广告播出时长达标率</w:t>
            </w:r>
          </w:p>
        </w:tc>
        <w:tc>
          <w:tcPr>
            <w:tcW w:w="1980" w:type="dxa"/>
            <w:vMerge w:val="continue"/>
            <w:shd w:val="clear" w:color="auto" w:fill="auto"/>
            <w:noWrap w:val="0"/>
            <w:vAlign w:val="center"/>
          </w:tcPr>
          <w:p w14:paraId="763D4B3A">
            <w:pPr>
              <w:widowControl/>
              <w:spacing w:line="0" w:lineRule="atLeast"/>
              <w:ind w:firstLine="0" w:firstLineChars="0"/>
              <w:jc w:val="left"/>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08BC8E7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04DC67A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417FA89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5421C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30CCF8C9">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75C223C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04EE75B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电视频道公益广告播出时长达标率</w:t>
            </w:r>
          </w:p>
        </w:tc>
        <w:tc>
          <w:tcPr>
            <w:tcW w:w="1980" w:type="dxa"/>
            <w:vMerge w:val="continue"/>
            <w:shd w:val="clear" w:color="auto" w:fill="auto"/>
            <w:noWrap w:val="0"/>
            <w:vAlign w:val="center"/>
          </w:tcPr>
          <w:p w14:paraId="2E3C2541">
            <w:pPr>
              <w:widowControl/>
              <w:spacing w:line="0" w:lineRule="atLeast"/>
              <w:ind w:firstLine="0" w:firstLineChars="0"/>
              <w:jc w:val="left"/>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78679D6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27E6EA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14:paraId="5B22017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8CFC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1A1384E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12D0404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3C328E8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记录主题专栏、反映重要事件发布图文、海报、原创短视频</w:t>
            </w:r>
          </w:p>
        </w:tc>
        <w:tc>
          <w:tcPr>
            <w:tcW w:w="1980" w:type="dxa"/>
            <w:vMerge w:val="continue"/>
            <w:shd w:val="clear" w:color="auto" w:fill="auto"/>
            <w:noWrap w:val="0"/>
            <w:vAlign w:val="center"/>
          </w:tcPr>
          <w:p w14:paraId="36DDF975">
            <w:pPr>
              <w:widowControl/>
              <w:spacing w:line="0" w:lineRule="atLeast"/>
              <w:ind w:firstLine="0" w:firstLineChars="0"/>
              <w:jc w:val="left"/>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1BDB8E6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A58B5A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14:paraId="7037072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703E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3FD75BD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4C4313D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3B45A3B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设备正常运行率</w:t>
            </w:r>
          </w:p>
        </w:tc>
        <w:tc>
          <w:tcPr>
            <w:tcW w:w="1980" w:type="dxa"/>
            <w:vMerge w:val="continue"/>
            <w:shd w:val="clear" w:color="auto" w:fill="auto"/>
            <w:noWrap w:val="0"/>
            <w:vAlign w:val="center"/>
          </w:tcPr>
          <w:p w14:paraId="38E4E5CE">
            <w:pPr>
              <w:widowControl/>
              <w:spacing w:line="0" w:lineRule="atLeast"/>
              <w:ind w:firstLine="0" w:firstLineChars="0"/>
              <w:jc w:val="left"/>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769C7BF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769BB43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07C3E91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AA61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31A987AF">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0A76604">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359A70C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丰富人民群众精神文化生活</w:t>
            </w:r>
          </w:p>
        </w:tc>
        <w:tc>
          <w:tcPr>
            <w:tcW w:w="1980" w:type="dxa"/>
            <w:vMerge w:val="continue"/>
            <w:shd w:val="clear" w:color="auto" w:fill="auto"/>
            <w:noWrap w:val="0"/>
            <w:vAlign w:val="center"/>
          </w:tcPr>
          <w:p w14:paraId="6A0F2D8E">
            <w:pPr>
              <w:widowControl/>
              <w:spacing w:line="0" w:lineRule="atLeast"/>
              <w:ind w:firstLine="0" w:firstLineChars="0"/>
              <w:jc w:val="left"/>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137FF3B4">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65395FF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5379F0E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540E3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170A63C0">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2A3E407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0562343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收听收看群众人数增长率</w:t>
            </w:r>
          </w:p>
        </w:tc>
        <w:tc>
          <w:tcPr>
            <w:tcW w:w="1980" w:type="dxa"/>
            <w:vMerge w:val="continue"/>
            <w:shd w:val="clear" w:color="auto" w:fill="auto"/>
            <w:noWrap w:val="0"/>
            <w:vAlign w:val="center"/>
          </w:tcPr>
          <w:p w14:paraId="2139C57E">
            <w:pPr>
              <w:widowControl/>
              <w:spacing w:line="0" w:lineRule="atLeast"/>
              <w:ind w:firstLine="0" w:firstLineChars="0"/>
              <w:jc w:val="left"/>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3509737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6DBB1E0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14:paraId="03165A0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7B1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782C36E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91A3B57">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64CA32CB">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为农村地区广播基本公共服务提供无线传输保障 </w:t>
            </w:r>
          </w:p>
        </w:tc>
        <w:tc>
          <w:tcPr>
            <w:tcW w:w="1980" w:type="dxa"/>
            <w:vMerge w:val="continue"/>
            <w:shd w:val="clear" w:color="auto" w:fill="auto"/>
            <w:noWrap w:val="0"/>
            <w:vAlign w:val="center"/>
          </w:tcPr>
          <w:p w14:paraId="5861B538">
            <w:pPr>
              <w:widowControl/>
              <w:spacing w:line="0" w:lineRule="atLeast"/>
              <w:ind w:firstLine="0" w:firstLineChars="0"/>
              <w:jc w:val="left"/>
              <w:rPr>
                <w:rFonts w:hint="eastAsia" w:ascii="宋体" w:hAnsi="宋体" w:eastAsia="宋体" w:cs="宋体"/>
                <w:color w:val="auto"/>
                <w:kern w:val="0"/>
                <w:sz w:val="22"/>
                <w:szCs w:val="22"/>
                <w:highlight w:val="none"/>
              </w:rPr>
            </w:pPr>
          </w:p>
        </w:tc>
        <w:tc>
          <w:tcPr>
            <w:tcW w:w="7821" w:type="dxa"/>
            <w:shd w:val="clear" w:color="auto" w:fill="auto"/>
            <w:noWrap w:val="0"/>
            <w:vAlign w:val="center"/>
          </w:tcPr>
          <w:p w14:paraId="2748C102">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2D4DE75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048A2FBE">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003EA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429C74E5">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B3EABD1">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981" w:type="dxa"/>
            <w:shd w:val="clear" w:color="auto" w:fill="auto"/>
            <w:noWrap w:val="0"/>
            <w:vAlign w:val="center"/>
          </w:tcPr>
          <w:p w14:paraId="64F4538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环境友好无污染</w:t>
            </w:r>
          </w:p>
        </w:tc>
        <w:tc>
          <w:tcPr>
            <w:tcW w:w="1980" w:type="dxa"/>
            <w:shd w:val="clear" w:color="auto" w:fill="auto"/>
            <w:noWrap w:val="0"/>
            <w:vAlign w:val="center"/>
          </w:tcPr>
          <w:p w14:paraId="378F9E65">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生态效益指标</w:t>
            </w:r>
          </w:p>
        </w:tc>
        <w:tc>
          <w:tcPr>
            <w:tcW w:w="7821" w:type="dxa"/>
            <w:shd w:val="clear" w:color="auto" w:fill="auto"/>
            <w:noWrap w:val="0"/>
            <w:vAlign w:val="center"/>
          </w:tcPr>
          <w:p w14:paraId="69CEBA4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0BCA00D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14:paraId="0920B812">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14:paraId="37408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32D8AF19">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5D31A158">
            <w:pPr>
              <w:widowControl/>
              <w:spacing w:line="0" w:lineRule="atLeast"/>
              <w:ind w:firstLine="0" w:firstLineChars="0"/>
              <w:jc w:val="center"/>
              <w:rPr>
                <w:rFonts w:ascii="宋体" w:hAnsi="宋体" w:eastAsia="宋体" w:cs="宋体"/>
                <w:color w:val="auto"/>
                <w:kern w:val="0"/>
                <w:sz w:val="22"/>
                <w:szCs w:val="22"/>
                <w:highlight w:val="none"/>
              </w:rPr>
            </w:pPr>
          </w:p>
        </w:tc>
        <w:tc>
          <w:tcPr>
            <w:tcW w:w="981" w:type="dxa"/>
            <w:shd w:val="clear" w:color="auto" w:fill="auto"/>
            <w:noWrap w:val="0"/>
            <w:vAlign w:val="center"/>
          </w:tcPr>
          <w:p w14:paraId="75C2831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群众满意度</w:t>
            </w:r>
          </w:p>
        </w:tc>
        <w:tc>
          <w:tcPr>
            <w:tcW w:w="1980" w:type="dxa"/>
            <w:shd w:val="clear" w:color="auto" w:fill="auto"/>
            <w:noWrap w:val="0"/>
            <w:vAlign w:val="center"/>
          </w:tcPr>
          <w:p w14:paraId="5C2151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1006594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7CB00B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61A2A117">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1D647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635DB6B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71DF13AE">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0D5DEF0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5FEDED0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98.998</w:t>
            </w:r>
          </w:p>
        </w:tc>
      </w:tr>
    </w:tbl>
    <w:p w14:paraId="233624AE">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577B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091F79">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4091F79">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2D14C0"/>
    <w:rsid w:val="007D6A04"/>
    <w:rsid w:val="00E23C81"/>
    <w:rsid w:val="01253350"/>
    <w:rsid w:val="01282E62"/>
    <w:rsid w:val="014029CF"/>
    <w:rsid w:val="01470C4C"/>
    <w:rsid w:val="01785B98"/>
    <w:rsid w:val="01D9415D"/>
    <w:rsid w:val="02200440"/>
    <w:rsid w:val="02284B43"/>
    <w:rsid w:val="02A5530D"/>
    <w:rsid w:val="02B015E2"/>
    <w:rsid w:val="02B571DE"/>
    <w:rsid w:val="02DC08FA"/>
    <w:rsid w:val="02E95D47"/>
    <w:rsid w:val="02FE0C2D"/>
    <w:rsid w:val="032F5FB2"/>
    <w:rsid w:val="033B569D"/>
    <w:rsid w:val="03911FD6"/>
    <w:rsid w:val="039C3BA0"/>
    <w:rsid w:val="03A845BB"/>
    <w:rsid w:val="03B45AD1"/>
    <w:rsid w:val="04115A20"/>
    <w:rsid w:val="044F241E"/>
    <w:rsid w:val="04804372"/>
    <w:rsid w:val="049563D0"/>
    <w:rsid w:val="04B862AB"/>
    <w:rsid w:val="04D12EE4"/>
    <w:rsid w:val="04D63993"/>
    <w:rsid w:val="05C16312"/>
    <w:rsid w:val="06504B8B"/>
    <w:rsid w:val="06622973"/>
    <w:rsid w:val="07890F4F"/>
    <w:rsid w:val="081859DF"/>
    <w:rsid w:val="08291AC8"/>
    <w:rsid w:val="08892439"/>
    <w:rsid w:val="08B168F7"/>
    <w:rsid w:val="08EB30F3"/>
    <w:rsid w:val="09237408"/>
    <w:rsid w:val="09781BD6"/>
    <w:rsid w:val="09F359DF"/>
    <w:rsid w:val="0A561F69"/>
    <w:rsid w:val="0A575E65"/>
    <w:rsid w:val="0ACA0AB6"/>
    <w:rsid w:val="0AD23448"/>
    <w:rsid w:val="0ADD2F10"/>
    <w:rsid w:val="0B50723E"/>
    <w:rsid w:val="0B745CAC"/>
    <w:rsid w:val="0C032502"/>
    <w:rsid w:val="0C27698C"/>
    <w:rsid w:val="0CDD71F7"/>
    <w:rsid w:val="0CFC1AD7"/>
    <w:rsid w:val="0D4452F3"/>
    <w:rsid w:val="0DF92677"/>
    <w:rsid w:val="0E0C31F2"/>
    <w:rsid w:val="0F3330FE"/>
    <w:rsid w:val="0F5E5042"/>
    <w:rsid w:val="0FE95707"/>
    <w:rsid w:val="10510571"/>
    <w:rsid w:val="10787A20"/>
    <w:rsid w:val="108672DE"/>
    <w:rsid w:val="10C94F85"/>
    <w:rsid w:val="10D06875"/>
    <w:rsid w:val="10EC685A"/>
    <w:rsid w:val="11275BC9"/>
    <w:rsid w:val="11FA6155"/>
    <w:rsid w:val="12061E16"/>
    <w:rsid w:val="12611802"/>
    <w:rsid w:val="12CF0947"/>
    <w:rsid w:val="12F1313F"/>
    <w:rsid w:val="131A7E5B"/>
    <w:rsid w:val="136C678E"/>
    <w:rsid w:val="13A66595"/>
    <w:rsid w:val="13EB2FF5"/>
    <w:rsid w:val="14385491"/>
    <w:rsid w:val="14FF0BB4"/>
    <w:rsid w:val="159E06FC"/>
    <w:rsid w:val="15A46B04"/>
    <w:rsid w:val="15EF58A5"/>
    <w:rsid w:val="165825BC"/>
    <w:rsid w:val="168573F5"/>
    <w:rsid w:val="16B62731"/>
    <w:rsid w:val="16BC5D73"/>
    <w:rsid w:val="16D927DD"/>
    <w:rsid w:val="176F36D7"/>
    <w:rsid w:val="1795226D"/>
    <w:rsid w:val="17A77A0D"/>
    <w:rsid w:val="17DD03B1"/>
    <w:rsid w:val="18456B1E"/>
    <w:rsid w:val="185A3A71"/>
    <w:rsid w:val="18936CEC"/>
    <w:rsid w:val="18E40453"/>
    <w:rsid w:val="18E97769"/>
    <w:rsid w:val="199B0DF1"/>
    <w:rsid w:val="19A35324"/>
    <w:rsid w:val="19CF6119"/>
    <w:rsid w:val="1A092B8B"/>
    <w:rsid w:val="1A284435"/>
    <w:rsid w:val="1AA226AD"/>
    <w:rsid w:val="1AEC6857"/>
    <w:rsid w:val="1B060CDE"/>
    <w:rsid w:val="1B5F527B"/>
    <w:rsid w:val="1B7A446A"/>
    <w:rsid w:val="1BC908CE"/>
    <w:rsid w:val="1C073948"/>
    <w:rsid w:val="1C1171C5"/>
    <w:rsid w:val="1C4B5996"/>
    <w:rsid w:val="1CD221A8"/>
    <w:rsid w:val="1CD95D63"/>
    <w:rsid w:val="1D265138"/>
    <w:rsid w:val="1D7B6BCA"/>
    <w:rsid w:val="1DA41A79"/>
    <w:rsid w:val="1DCA254F"/>
    <w:rsid w:val="1DF53469"/>
    <w:rsid w:val="1E2F24F2"/>
    <w:rsid w:val="1E58492F"/>
    <w:rsid w:val="1E5B6757"/>
    <w:rsid w:val="1E8C6387"/>
    <w:rsid w:val="1E8E65A3"/>
    <w:rsid w:val="1EC73863"/>
    <w:rsid w:val="1ED10AC6"/>
    <w:rsid w:val="1ED373B4"/>
    <w:rsid w:val="1F89225F"/>
    <w:rsid w:val="1F8D5824"/>
    <w:rsid w:val="1F900A1F"/>
    <w:rsid w:val="1FA95DC9"/>
    <w:rsid w:val="1FC0575D"/>
    <w:rsid w:val="206132C7"/>
    <w:rsid w:val="20B273F7"/>
    <w:rsid w:val="211D63A1"/>
    <w:rsid w:val="21266A5C"/>
    <w:rsid w:val="21B00C1D"/>
    <w:rsid w:val="21D33D64"/>
    <w:rsid w:val="21E12E8E"/>
    <w:rsid w:val="227474AA"/>
    <w:rsid w:val="22FD5AA5"/>
    <w:rsid w:val="23031BEB"/>
    <w:rsid w:val="23674086"/>
    <w:rsid w:val="23917691"/>
    <w:rsid w:val="23973715"/>
    <w:rsid w:val="23E44BC8"/>
    <w:rsid w:val="23F46EA8"/>
    <w:rsid w:val="244D65B8"/>
    <w:rsid w:val="245E1E24"/>
    <w:rsid w:val="24807844"/>
    <w:rsid w:val="2487769B"/>
    <w:rsid w:val="258752B0"/>
    <w:rsid w:val="25A93CC2"/>
    <w:rsid w:val="25AD5E5D"/>
    <w:rsid w:val="272E3318"/>
    <w:rsid w:val="2732478D"/>
    <w:rsid w:val="27661469"/>
    <w:rsid w:val="27900EAD"/>
    <w:rsid w:val="279B538A"/>
    <w:rsid w:val="284F6FE3"/>
    <w:rsid w:val="28672513"/>
    <w:rsid w:val="286F545C"/>
    <w:rsid w:val="29314FBC"/>
    <w:rsid w:val="29F51505"/>
    <w:rsid w:val="2A3A7D8C"/>
    <w:rsid w:val="2A563FB4"/>
    <w:rsid w:val="2AA118E9"/>
    <w:rsid w:val="2ADF79B5"/>
    <w:rsid w:val="2C024B86"/>
    <w:rsid w:val="2C6646BB"/>
    <w:rsid w:val="2C862667"/>
    <w:rsid w:val="2C927671"/>
    <w:rsid w:val="2CD447E8"/>
    <w:rsid w:val="2CED72AB"/>
    <w:rsid w:val="2D7C5CD6"/>
    <w:rsid w:val="2D81112D"/>
    <w:rsid w:val="2E104B7D"/>
    <w:rsid w:val="2E483E7E"/>
    <w:rsid w:val="2E690493"/>
    <w:rsid w:val="2E9854BD"/>
    <w:rsid w:val="2ED11B3D"/>
    <w:rsid w:val="2F0D407F"/>
    <w:rsid w:val="2F454B19"/>
    <w:rsid w:val="2FA91E37"/>
    <w:rsid w:val="2FAD2601"/>
    <w:rsid w:val="30C145B6"/>
    <w:rsid w:val="310224D9"/>
    <w:rsid w:val="31B4621C"/>
    <w:rsid w:val="31E3230A"/>
    <w:rsid w:val="32FD3F0B"/>
    <w:rsid w:val="330957E0"/>
    <w:rsid w:val="332666B6"/>
    <w:rsid w:val="33284C49"/>
    <w:rsid w:val="33356F64"/>
    <w:rsid w:val="337404B4"/>
    <w:rsid w:val="33944516"/>
    <w:rsid w:val="34042EEC"/>
    <w:rsid w:val="3454129D"/>
    <w:rsid w:val="34B11BE2"/>
    <w:rsid w:val="34B62907"/>
    <w:rsid w:val="34DD5737"/>
    <w:rsid w:val="350464C7"/>
    <w:rsid w:val="35166BB2"/>
    <w:rsid w:val="3550415A"/>
    <w:rsid w:val="35A95619"/>
    <w:rsid w:val="3624379C"/>
    <w:rsid w:val="367C5A3E"/>
    <w:rsid w:val="36BD137C"/>
    <w:rsid w:val="372F04F8"/>
    <w:rsid w:val="374E3C60"/>
    <w:rsid w:val="3789324D"/>
    <w:rsid w:val="380A4A95"/>
    <w:rsid w:val="385D37E7"/>
    <w:rsid w:val="38782EDD"/>
    <w:rsid w:val="38CE74AD"/>
    <w:rsid w:val="38D46E50"/>
    <w:rsid w:val="394D778A"/>
    <w:rsid w:val="39DE372A"/>
    <w:rsid w:val="3A7F412D"/>
    <w:rsid w:val="3AD80E2E"/>
    <w:rsid w:val="3AF56697"/>
    <w:rsid w:val="3B094DAD"/>
    <w:rsid w:val="3B401D4B"/>
    <w:rsid w:val="3B42664A"/>
    <w:rsid w:val="3C4B742A"/>
    <w:rsid w:val="3CBB635D"/>
    <w:rsid w:val="3D090114"/>
    <w:rsid w:val="3D836A4E"/>
    <w:rsid w:val="3E531C61"/>
    <w:rsid w:val="3EA37E97"/>
    <w:rsid w:val="3ECB5673"/>
    <w:rsid w:val="3EEB44FB"/>
    <w:rsid w:val="3F284CA2"/>
    <w:rsid w:val="3FAE2CFE"/>
    <w:rsid w:val="3FBE0BC5"/>
    <w:rsid w:val="403962EF"/>
    <w:rsid w:val="4048103A"/>
    <w:rsid w:val="40736643"/>
    <w:rsid w:val="40D24A7A"/>
    <w:rsid w:val="412D4A56"/>
    <w:rsid w:val="422935F8"/>
    <w:rsid w:val="42621029"/>
    <w:rsid w:val="435241E2"/>
    <w:rsid w:val="43975C51"/>
    <w:rsid w:val="439E3FA7"/>
    <w:rsid w:val="43C90AFF"/>
    <w:rsid w:val="44092695"/>
    <w:rsid w:val="44A212D0"/>
    <w:rsid w:val="44B32266"/>
    <w:rsid w:val="44FC64F4"/>
    <w:rsid w:val="452200F8"/>
    <w:rsid w:val="45634BB1"/>
    <w:rsid w:val="467F4585"/>
    <w:rsid w:val="470628CB"/>
    <w:rsid w:val="47555BD4"/>
    <w:rsid w:val="47E96399"/>
    <w:rsid w:val="485C4835"/>
    <w:rsid w:val="48E12B50"/>
    <w:rsid w:val="494A4C66"/>
    <w:rsid w:val="499441BE"/>
    <w:rsid w:val="499A6C1C"/>
    <w:rsid w:val="49A95790"/>
    <w:rsid w:val="49DE5A71"/>
    <w:rsid w:val="49ED38CE"/>
    <w:rsid w:val="4A2138F0"/>
    <w:rsid w:val="4A583887"/>
    <w:rsid w:val="4ADD1B95"/>
    <w:rsid w:val="4B0F6564"/>
    <w:rsid w:val="4B4141B9"/>
    <w:rsid w:val="4B9F6E02"/>
    <w:rsid w:val="4BB85657"/>
    <w:rsid w:val="4BC8280D"/>
    <w:rsid w:val="4BCB7C3F"/>
    <w:rsid w:val="4BF2547F"/>
    <w:rsid w:val="4C237A7B"/>
    <w:rsid w:val="4C89637B"/>
    <w:rsid w:val="4D423B5D"/>
    <w:rsid w:val="4DAD12C8"/>
    <w:rsid w:val="4E047FE3"/>
    <w:rsid w:val="4E6E48A8"/>
    <w:rsid w:val="4EEC036B"/>
    <w:rsid w:val="4EF16CE0"/>
    <w:rsid w:val="4F0E7C0D"/>
    <w:rsid w:val="501D2673"/>
    <w:rsid w:val="50AF7B2F"/>
    <w:rsid w:val="50C80BF1"/>
    <w:rsid w:val="510B70EB"/>
    <w:rsid w:val="51170EE7"/>
    <w:rsid w:val="515D2E3F"/>
    <w:rsid w:val="515F265D"/>
    <w:rsid w:val="51852833"/>
    <w:rsid w:val="51867D86"/>
    <w:rsid w:val="526037D7"/>
    <w:rsid w:val="52C04276"/>
    <w:rsid w:val="52F11AC8"/>
    <w:rsid w:val="534F49D9"/>
    <w:rsid w:val="53555F0F"/>
    <w:rsid w:val="535D23D5"/>
    <w:rsid w:val="53890B0C"/>
    <w:rsid w:val="53B46D37"/>
    <w:rsid w:val="53B53051"/>
    <w:rsid w:val="53CF09CF"/>
    <w:rsid w:val="54460C2C"/>
    <w:rsid w:val="54554E92"/>
    <w:rsid w:val="552F2D44"/>
    <w:rsid w:val="55632DEF"/>
    <w:rsid w:val="55C92EDC"/>
    <w:rsid w:val="55C96DB7"/>
    <w:rsid w:val="565C4BF3"/>
    <w:rsid w:val="56A751A5"/>
    <w:rsid w:val="56F4341A"/>
    <w:rsid w:val="57014E5D"/>
    <w:rsid w:val="570468E4"/>
    <w:rsid w:val="575A7321"/>
    <w:rsid w:val="580C3AB9"/>
    <w:rsid w:val="583C7AE0"/>
    <w:rsid w:val="586C1E9A"/>
    <w:rsid w:val="586E0800"/>
    <w:rsid w:val="58F95A7C"/>
    <w:rsid w:val="590649AC"/>
    <w:rsid w:val="59216F96"/>
    <w:rsid w:val="598C4145"/>
    <w:rsid w:val="59957D1B"/>
    <w:rsid w:val="59D4294E"/>
    <w:rsid w:val="5A4E6B3C"/>
    <w:rsid w:val="5AB14BFA"/>
    <w:rsid w:val="5AD04A9A"/>
    <w:rsid w:val="5B2406ED"/>
    <w:rsid w:val="5B270966"/>
    <w:rsid w:val="5B465B4C"/>
    <w:rsid w:val="5B634312"/>
    <w:rsid w:val="5B6C5F5D"/>
    <w:rsid w:val="5B850D87"/>
    <w:rsid w:val="5B9D2CCD"/>
    <w:rsid w:val="5B9E71EA"/>
    <w:rsid w:val="5D6C5FFF"/>
    <w:rsid w:val="5D944335"/>
    <w:rsid w:val="5DBF6E9B"/>
    <w:rsid w:val="5DD2466C"/>
    <w:rsid w:val="5E20206C"/>
    <w:rsid w:val="5E226FBC"/>
    <w:rsid w:val="5E781965"/>
    <w:rsid w:val="5EA73263"/>
    <w:rsid w:val="5EAE76F5"/>
    <w:rsid w:val="5EC96260"/>
    <w:rsid w:val="5F620DEB"/>
    <w:rsid w:val="5FE72BD2"/>
    <w:rsid w:val="60120613"/>
    <w:rsid w:val="60625EA9"/>
    <w:rsid w:val="60C44627"/>
    <w:rsid w:val="60D84E80"/>
    <w:rsid w:val="60F54B51"/>
    <w:rsid w:val="613D1187"/>
    <w:rsid w:val="61897F29"/>
    <w:rsid w:val="618D5292"/>
    <w:rsid w:val="61C84EF5"/>
    <w:rsid w:val="61D45648"/>
    <w:rsid w:val="61F12949"/>
    <w:rsid w:val="622E78FA"/>
    <w:rsid w:val="63343F70"/>
    <w:rsid w:val="63A10333"/>
    <w:rsid w:val="64296E1C"/>
    <w:rsid w:val="642B55FB"/>
    <w:rsid w:val="64431B32"/>
    <w:rsid w:val="64561E9B"/>
    <w:rsid w:val="649E64A2"/>
    <w:rsid w:val="65A658C7"/>
    <w:rsid w:val="65E5270A"/>
    <w:rsid w:val="660F632B"/>
    <w:rsid w:val="661F061D"/>
    <w:rsid w:val="663D3C54"/>
    <w:rsid w:val="664762ED"/>
    <w:rsid w:val="667B0F8E"/>
    <w:rsid w:val="66862C89"/>
    <w:rsid w:val="66BB486D"/>
    <w:rsid w:val="67394C7D"/>
    <w:rsid w:val="68126B38"/>
    <w:rsid w:val="68291A1A"/>
    <w:rsid w:val="683230C8"/>
    <w:rsid w:val="68352BB8"/>
    <w:rsid w:val="685B4C3B"/>
    <w:rsid w:val="687F04C6"/>
    <w:rsid w:val="691B1594"/>
    <w:rsid w:val="693A016B"/>
    <w:rsid w:val="69431305"/>
    <w:rsid w:val="69C453F2"/>
    <w:rsid w:val="69FF2C23"/>
    <w:rsid w:val="6A17429C"/>
    <w:rsid w:val="6A567EA3"/>
    <w:rsid w:val="6A594947"/>
    <w:rsid w:val="6B4B4368"/>
    <w:rsid w:val="6B79100E"/>
    <w:rsid w:val="6C450EBF"/>
    <w:rsid w:val="6C844C00"/>
    <w:rsid w:val="6CC25E95"/>
    <w:rsid w:val="6D1D4A96"/>
    <w:rsid w:val="6D200707"/>
    <w:rsid w:val="6D2318FD"/>
    <w:rsid w:val="6D270841"/>
    <w:rsid w:val="6D3D3AEE"/>
    <w:rsid w:val="6D7662F5"/>
    <w:rsid w:val="6E10212C"/>
    <w:rsid w:val="6E43561A"/>
    <w:rsid w:val="6E557973"/>
    <w:rsid w:val="6E9568DB"/>
    <w:rsid w:val="6EB443B4"/>
    <w:rsid w:val="6EBD6F35"/>
    <w:rsid w:val="6F0D6C22"/>
    <w:rsid w:val="6F47657F"/>
    <w:rsid w:val="6F516DAB"/>
    <w:rsid w:val="6F8B7DFD"/>
    <w:rsid w:val="6FAF23D9"/>
    <w:rsid w:val="6FEA072C"/>
    <w:rsid w:val="70635CF6"/>
    <w:rsid w:val="70670707"/>
    <w:rsid w:val="71825A7F"/>
    <w:rsid w:val="71923A3A"/>
    <w:rsid w:val="720E3691"/>
    <w:rsid w:val="722A0DBB"/>
    <w:rsid w:val="723D0FE7"/>
    <w:rsid w:val="724E244C"/>
    <w:rsid w:val="72512122"/>
    <w:rsid w:val="72587BCF"/>
    <w:rsid w:val="72C40EDA"/>
    <w:rsid w:val="72C5476D"/>
    <w:rsid w:val="72CA738C"/>
    <w:rsid w:val="72CD6C62"/>
    <w:rsid w:val="72DA6946"/>
    <w:rsid w:val="72FF5F14"/>
    <w:rsid w:val="73085CA6"/>
    <w:rsid w:val="732764B3"/>
    <w:rsid w:val="74026044"/>
    <w:rsid w:val="74100036"/>
    <w:rsid w:val="74153556"/>
    <w:rsid w:val="74153740"/>
    <w:rsid w:val="744F6DB0"/>
    <w:rsid w:val="746252DB"/>
    <w:rsid w:val="74746410"/>
    <w:rsid w:val="748702F8"/>
    <w:rsid w:val="74AC6106"/>
    <w:rsid w:val="75E5007C"/>
    <w:rsid w:val="76914041"/>
    <w:rsid w:val="76E82F95"/>
    <w:rsid w:val="777F4ECD"/>
    <w:rsid w:val="77813724"/>
    <w:rsid w:val="77861774"/>
    <w:rsid w:val="77FF289B"/>
    <w:rsid w:val="78AC2A23"/>
    <w:rsid w:val="78D4211D"/>
    <w:rsid w:val="78F31435"/>
    <w:rsid w:val="79300B45"/>
    <w:rsid w:val="794D3E18"/>
    <w:rsid w:val="79F3729A"/>
    <w:rsid w:val="7A61783D"/>
    <w:rsid w:val="7A6510DB"/>
    <w:rsid w:val="7A880722"/>
    <w:rsid w:val="7AB3286D"/>
    <w:rsid w:val="7ACA7190"/>
    <w:rsid w:val="7ACB0498"/>
    <w:rsid w:val="7AED0B4D"/>
    <w:rsid w:val="7B5423F4"/>
    <w:rsid w:val="7B8E16BC"/>
    <w:rsid w:val="7C1E4487"/>
    <w:rsid w:val="7C215E02"/>
    <w:rsid w:val="7CF23764"/>
    <w:rsid w:val="7D8E5E0D"/>
    <w:rsid w:val="7DC21647"/>
    <w:rsid w:val="7E0D6E7F"/>
    <w:rsid w:val="7E2B624F"/>
    <w:rsid w:val="7E797F74"/>
    <w:rsid w:val="7F924011"/>
    <w:rsid w:val="7F964195"/>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autoRedefine/>
    <w:qFormat/>
    <w:uiPriority w:val="0"/>
    <w:rPr>
      <w:rFonts w:ascii="Arial" w:hAnsi="Arial" w:eastAsia="楷体"/>
      <w:b/>
      <w:sz w:val="32"/>
    </w:rPr>
  </w:style>
  <w:style w:type="paragraph" w:customStyle="1" w:styleId="16">
    <w:name w:val="WPSOffice手动目录 1"/>
    <w:autoRedefine/>
    <w:qFormat/>
    <w:uiPriority w:val="0"/>
    <w:pPr>
      <w:ind w:leftChars="0"/>
    </w:pPr>
    <w:rPr>
      <w:rFonts w:ascii="Times New Roman" w:hAnsi="Times New Roman" w:eastAsia="宋体" w:cs="Times New Roman"/>
      <w:sz w:val="20"/>
      <w:szCs w:val="20"/>
    </w:rPr>
  </w:style>
  <w:style w:type="paragraph" w:customStyle="1" w:styleId="17">
    <w:name w:val="WPSOffice手动目录 2"/>
    <w:autoRedefine/>
    <w:qFormat/>
    <w:uiPriority w:val="0"/>
    <w:pPr>
      <w:ind w:leftChars="200"/>
    </w:pPr>
    <w:rPr>
      <w:rFonts w:ascii="Times New Roman" w:hAnsi="Times New Roman" w:eastAsia="宋体" w:cs="Times New Roman"/>
      <w:sz w:val="20"/>
      <w:szCs w:val="20"/>
    </w:rPr>
  </w:style>
  <w:style w:type="paragraph" w:customStyle="1" w:styleId="18">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7897</Words>
  <Characters>8238</Characters>
  <Lines>0</Lines>
  <Paragraphs>0</Paragraphs>
  <TotalTime>2</TotalTime>
  <ScaleCrop>false</ScaleCrop>
  <LinksUpToDate>false</LinksUpToDate>
  <CharactersWithSpaces>8258</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2024-10-10T07:02:02Z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1D17C581B7B649E79D2BCA767FA9A472_13</vt:lpwstr>
  </property>
</Properties>
</file>