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78" w:name="_GoBack"/>
      <w:bookmarkEnd w:id="78"/>
    </w:p>
    <w:p>
      <w:pPr>
        <w:pStyle w:val="2"/>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lang w:val="en-US" w:eastAsia="zh-CN"/>
        </w:rPr>
        <w:t>昌吉州阜康市阜新街道百合村社区综合服务实施建设项目</w:t>
      </w:r>
      <w:r>
        <w:rPr>
          <w:rFonts w:hint="eastAsia" w:ascii="宋体" w:hAnsi="宋体" w:eastAsia="宋体" w:cs="宋体"/>
          <w:b/>
          <w:bCs/>
          <w:color w:val="auto"/>
          <w:sz w:val="40"/>
          <w:szCs w:val="40"/>
          <w:highlight w:val="none"/>
          <w:shd w:val="clear" w:color="auto" w:fill="auto"/>
        </w:rPr>
        <w:t>支出绩效评价报告</w:t>
      </w: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项目名称：昌州财办建（2021）10号 阜新街道百合村社区综合服务设施建设项目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阜康市人民政府阜新街办事处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阜康市发展和改革委员会</w:t>
      </w:r>
    </w:p>
    <w:p>
      <w:pPr>
        <w:rPr>
          <w:rFonts w:hint="eastAsia"/>
          <w:color w:val="auto"/>
          <w:highlight w:val="none"/>
          <w:lang w:val="en-US" w:eastAsia="zh-CN"/>
        </w:rPr>
      </w:pPr>
    </w:p>
    <w:p>
      <w:pPr>
        <w:pStyle w:val="2"/>
        <w:rPr>
          <w:rFonts w:hint="eastAsia"/>
          <w:color w:val="auto"/>
          <w:highlight w:val="none"/>
          <w:lang w:val="en-US" w:eastAsia="zh-CN"/>
        </w:rPr>
      </w:pP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color w:val="auto"/>
              <w:sz w:val="28"/>
              <w:szCs w:val="28"/>
              <w:highlight w:val="none"/>
              <w:lang w:val="en-US"/>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rFonts w:hint="eastAsia"/>
              <w:color w:val="auto"/>
              <w:sz w:val="28"/>
              <w:szCs w:val="28"/>
              <w:highlight w:val="none"/>
              <w:lang w:val="en-US" w:eastAsia="zh-CN"/>
            </w:rPr>
            <w:t>1</w:t>
          </w:r>
          <w:r>
            <w:rPr>
              <w:rFonts w:hint="eastAsia"/>
              <w:color w:val="auto"/>
              <w:sz w:val="28"/>
              <w:szCs w:val="28"/>
              <w:highlight w:val="none"/>
              <w:lang w:val="en-US" w:eastAsia="zh-CN"/>
            </w:rPr>
            <w:fldChar w:fldCharType="end"/>
          </w:r>
          <w:r>
            <w:rPr>
              <w:rFonts w:hint="eastAsia"/>
              <w:color w:val="auto"/>
              <w:sz w:val="28"/>
              <w:szCs w:val="28"/>
              <w:highlight w:val="none"/>
              <w:lang w:val="en-US" w:eastAsia="zh-CN"/>
            </w:rPr>
            <w:t>1</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rFonts w:hint="default"/>
              <w:color w:val="auto"/>
              <w:sz w:val="28"/>
              <w:szCs w:val="28"/>
              <w:highlight w:val="none"/>
              <w:lang w:val="en-US"/>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rFonts w:hint="eastAsia"/>
              <w:color w:val="auto"/>
              <w:sz w:val="28"/>
              <w:szCs w:val="28"/>
              <w:highlight w:val="none"/>
              <w:lang w:val="en-US" w:eastAsia="zh-CN"/>
            </w:rPr>
            <w:t>1</w:t>
          </w:r>
          <w:r>
            <w:rPr>
              <w:rFonts w:hint="eastAsia"/>
              <w:color w:val="auto"/>
              <w:sz w:val="28"/>
              <w:szCs w:val="28"/>
              <w:highlight w:val="none"/>
              <w:lang w:val="en-US" w:eastAsia="zh-CN"/>
            </w:rPr>
            <w:fldChar w:fldCharType="end"/>
          </w:r>
          <w:r>
            <w:rPr>
              <w:rFonts w:hint="eastAsia"/>
              <w:color w:val="auto"/>
              <w:sz w:val="28"/>
              <w:szCs w:val="28"/>
              <w:highlight w:val="none"/>
              <w:lang w:val="en-US" w:eastAsia="zh-CN"/>
            </w:rPr>
            <w:t>5</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17</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highlight w:val="none"/>
          <w:shd w:val="clear" w:color="auto" w:fill="auto"/>
        </w:rPr>
      </w:pPr>
      <w:bookmarkStart w:id="0" w:name="_Toc17540"/>
      <w:r>
        <w:rPr>
          <w:rFonts w:hint="eastAsia" w:ascii="宋体" w:hAnsi="宋体" w:eastAsia="宋体" w:cs="宋体"/>
          <w:b/>
          <w:bCs/>
          <w:color w:val="auto"/>
          <w:sz w:val="36"/>
          <w:szCs w:val="36"/>
          <w:highlight w:val="none"/>
          <w:shd w:val="clear" w:color="auto" w:fill="auto"/>
          <w:lang w:val="en-US" w:eastAsia="zh-CN"/>
        </w:rPr>
        <w:t>昌吉州阜康市阜新街道百合村社区综合服务实施建设项目</w:t>
      </w:r>
      <w:r>
        <w:rPr>
          <w:rFonts w:hint="eastAsia" w:ascii="宋体" w:hAnsi="宋体" w:eastAsia="宋体" w:cs="宋体"/>
          <w:b/>
          <w:bCs/>
          <w:color w:val="auto"/>
          <w:sz w:val="36"/>
          <w:szCs w:val="36"/>
          <w:highlight w:val="none"/>
          <w:shd w:val="clear" w:color="auto" w:fill="auto"/>
        </w:rPr>
        <w:t>支出绩效评价报告</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一、基本情况</w:t>
      </w:r>
      <w:bookmarkEnd w:id="0"/>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1" w:name="_Toc18966"/>
      <w:r>
        <w:rPr>
          <w:rFonts w:hint="eastAsia" w:ascii="宋体" w:hAnsi="宋体" w:eastAsia="宋体" w:cs="宋体"/>
          <w:color w:val="auto"/>
          <w:highlight w:val="none"/>
          <w:shd w:val="clear" w:color="auto" w:fill="auto"/>
        </w:rPr>
        <w:t>（一）项目概况</w:t>
      </w:r>
      <w:bookmarkEnd w:id="1"/>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2"/>
    </w:p>
    <w:p>
      <w:pPr>
        <w:bidi w:val="0"/>
        <w:rPr>
          <w:rFonts w:hint="eastAsia"/>
          <w:color w:val="auto"/>
          <w:highlight w:val="none"/>
          <w:lang w:val="en-US" w:eastAsia="zh-CN"/>
        </w:rPr>
      </w:pPr>
      <w:r>
        <w:rPr>
          <w:rFonts w:hint="eastAsia"/>
          <w:color w:val="auto"/>
          <w:highlight w:val="none"/>
          <w:lang w:val="en-US" w:eastAsia="zh-CN"/>
        </w:rPr>
        <w:t>社区网格化管理是新形势下加强和创新社区管理的重要推进方式，是实现社区管理科学化、精细化和长效化的社区管理手段。加强社区网格党支部建设则是顺应社区网格化管理的要求，是新形势下夯实党在社区的执政基础、加强社区党组织建设的迫切需要。加强网格党支部建设是实现社区党组织网格化的一项基础性工程，其实质就是延伸党在社区的"触角"，把党组织建在社区工作的"神经末梢"上，是建立健全社区党组织体系的必然要求。阜新街道百合村社区百合小区网格党支部成立于2017年，该网格以百合小区为基本单元设置，共有居民934户，直管党员15，楼栋长27名。</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3"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bookmarkStart w:id="4"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4"/>
      <w:r>
        <w:rPr>
          <w:rFonts w:hint="eastAsia" w:cs="宋体"/>
          <w:color w:val="auto"/>
          <w:highlight w:val="none"/>
          <w:shd w:val="clear" w:color="auto" w:fill="auto"/>
          <w:lang w:val="en-US" w:eastAsia="zh-CN"/>
        </w:rPr>
        <w:t>在百合小区内西侧已经</w:t>
      </w:r>
      <w:r>
        <w:rPr>
          <w:rFonts w:hint="eastAsia" w:ascii="宋体" w:hAnsi="宋体" w:eastAsia="宋体" w:cs="宋体"/>
          <w:color w:val="auto"/>
          <w:highlight w:val="none"/>
          <w:shd w:val="clear" w:color="auto" w:fill="auto"/>
          <w:lang w:val="en-US" w:eastAsia="zh-CN"/>
        </w:rPr>
        <w:t>建</w:t>
      </w:r>
      <w:r>
        <w:rPr>
          <w:rFonts w:hint="eastAsia" w:cs="宋体"/>
          <w:color w:val="auto"/>
          <w:highlight w:val="none"/>
          <w:shd w:val="clear" w:color="auto" w:fill="auto"/>
          <w:lang w:val="en-US" w:eastAsia="zh-CN"/>
        </w:rPr>
        <w:t>成</w:t>
      </w:r>
      <w:r>
        <w:rPr>
          <w:rFonts w:hint="eastAsia" w:ascii="宋体" w:hAnsi="宋体" w:eastAsia="宋体" w:cs="宋体"/>
          <w:color w:val="auto"/>
          <w:highlight w:val="none"/>
          <w:shd w:val="clear" w:color="auto" w:fill="auto"/>
          <w:lang w:val="en-US" w:eastAsia="zh-CN"/>
        </w:rPr>
        <w:t>总建筑面积为1000平米的阜新街道百合村社区综合服务设施建设。</w:t>
      </w:r>
      <w:r>
        <w:rPr>
          <w:rFonts w:hint="eastAsia" w:cs="宋体"/>
          <w:color w:val="auto"/>
          <w:highlight w:val="none"/>
          <w:shd w:val="clear" w:color="auto" w:fill="auto"/>
          <w:lang w:val="en-US" w:eastAsia="zh-CN"/>
        </w:rPr>
        <w:t>现已完成五方竣工验收。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：本项目自2021年3月4日经</w:t>
      </w:r>
      <w:r>
        <w:rPr>
          <w:rFonts w:hint="eastAsia" w:cs="宋体"/>
          <w:color w:val="auto"/>
          <w:highlight w:val="none"/>
          <w:shd w:val="clear" w:color="auto" w:fill="auto"/>
          <w:lang w:val="en-US" w:eastAsia="zh-CN"/>
        </w:rPr>
        <w:t>昌州发改投资〖2021〗35号</w:t>
      </w:r>
      <w:r>
        <w:rPr>
          <w:rFonts w:hint="eastAsia" w:ascii="宋体" w:hAnsi="宋体" w:eastAsia="宋体" w:cs="宋体"/>
          <w:color w:val="auto"/>
          <w:highlight w:val="none"/>
          <w:shd w:val="clear" w:color="auto" w:fill="auto"/>
          <w:lang w:val="en-US" w:eastAsia="zh-CN"/>
        </w:rPr>
        <w:t>文件批复，经阜康市人民政府阜新街办事处会议，确定了项目领导小组，明确了责任分工：组长为沈红梅，副组长为刘江，</w:t>
      </w:r>
      <w:r>
        <w:rPr>
          <w:rFonts w:hint="eastAsia" w:cs="宋体"/>
          <w:color w:val="auto"/>
          <w:highlight w:val="none"/>
          <w:shd w:val="clear" w:color="auto" w:fill="auto"/>
          <w:lang w:val="en-US" w:eastAsia="zh-CN"/>
        </w:rPr>
        <w:t>项目负责人为任建军,</w:t>
      </w:r>
      <w:r>
        <w:rPr>
          <w:rFonts w:hint="eastAsia" w:ascii="宋体" w:hAnsi="宋体" w:eastAsia="宋体" w:cs="宋体"/>
          <w:color w:val="auto"/>
          <w:highlight w:val="none"/>
          <w:shd w:val="clear" w:color="auto" w:fill="auto"/>
          <w:lang w:val="en-US" w:eastAsia="zh-CN"/>
        </w:rPr>
        <w:t>组员为韩理州、万有兄、潘婷，其中：任建军负责监管工作，韩理州负责项目档案资料，潘婷负责资金拨付工作。</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5" w:name="_Toc1858"/>
      <w:r>
        <w:rPr>
          <w:rFonts w:hint="eastAsia" w:ascii="宋体" w:hAnsi="宋体" w:eastAsia="宋体" w:cs="宋体"/>
          <w:color w:val="auto"/>
          <w:highlight w:val="none"/>
          <w:shd w:val="clear" w:color="auto" w:fill="auto"/>
          <w:lang w:val="en-US" w:eastAsia="zh-CN"/>
        </w:rPr>
        <w:t>3.资金投入和使用情况</w:t>
      </w:r>
      <w:bookmarkEnd w:id="5"/>
    </w:p>
    <w:p>
      <w:pPr>
        <w:ind w:firstLine="560"/>
        <w:rPr>
          <w:color w:val="auto"/>
          <w:highlight w:val="none"/>
        </w:rPr>
      </w:pPr>
      <w:bookmarkStart w:id="6" w:name="_Toc2879"/>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昌吉州阜康市阜新街道百合村社区综合服务实施建设项目预算安排总额为1</w:t>
      </w:r>
      <w:r>
        <w:rPr>
          <w:rFonts w:hint="eastAsia"/>
          <w:color w:val="auto"/>
          <w:highlight w:val="none"/>
          <w:lang w:val="en-US" w:eastAsia="zh-CN"/>
        </w:rPr>
        <w:t>75</w:t>
      </w:r>
      <w:r>
        <w:rPr>
          <w:rFonts w:hint="eastAsia"/>
          <w:color w:val="auto"/>
          <w:highlight w:val="none"/>
        </w:rPr>
        <w:t>万元，其中财政资金1</w:t>
      </w:r>
      <w:r>
        <w:rPr>
          <w:rFonts w:hint="eastAsia"/>
          <w:color w:val="auto"/>
          <w:highlight w:val="none"/>
          <w:lang w:val="en-US" w:eastAsia="zh-CN"/>
        </w:rPr>
        <w:t>75</w:t>
      </w:r>
      <w:r>
        <w:rPr>
          <w:rFonts w:hint="eastAsia"/>
          <w:color w:val="auto"/>
          <w:highlight w:val="none"/>
        </w:rPr>
        <w:t>万元，其他资金0万元，202</w:t>
      </w:r>
      <w:r>
        <w:rPr>
          <w:rFonts w:hint="eastAsia"/>
          <w:color w:val="auto"/>
          <w:highlight w:val="none"/>
          <w:lang w:val="en-US" w:eastAsia="zh-CN"/>
        </w:rPr>
        <w:t>3</w:t>
      </w:r>
      <w:r>
        <w:rPr>
          <w:rFonts w:hint="eastAsia"/>
          <w:color w:val="auto"/>
          <w:highlight w:val="none"/>
        </w:rPr>
        <w:t>年实际收到预算资金1</w:t>
      </w:r>
      <w:r>
        <w:rPr>
          <w:rFonts w:hint="eastAsia"/>
          <w:color w:val="auto"/>
          <w:highlight w:val="none"/>
          <w:lang w:val="en-US" w:eastAsia="zh-CN"/>
        </w:rPr>
        <w:t>75</w:t>
      </w:r>
      <w:r>
        <w:rPr>
          <w:rFonts w:hint="eastAsia"/>
          <w:color w:val="auto"/>
          <w:highlight w:val="none"/>
        </w:rPr>
        <w:t>万元，预算资金到位率为100%。</w:t>
      </w:r>
    </w:p>
    <w:p>
      <w:pPr>
        <w:ind w:firstLine="544"/>
        <w:rPr>
          <w:bCs/>
          <w:color w:val="auto"/>
          <w:spacing w:val="-4"/>
          <w:highlight w:val="none"/>
        </w:rPr>
      </w:pPr>
      <w:r>
        <w:rPr>
          <w:rFonts w:hint="eastAsia"/>
          <w:bCs/>
          <w:color w:val="auto"/>
          <w:spacing w:val="-4"/>
          <w:highlight w:val="none"/>
        </w:rPr>
        <w:t>（2）项目资金实际使用情况分析</w:t>
      </w:r>
    </w:p>
    <w:p>
      <w:pPr>
        <w:ind w:firstLine="560"/>
        <w:rPr>
          <w:color w:val="auto"/>
          <w:highlight w:val="none"/>
        </w:rPr>
      </w:pPr>
      <w:r>
        <w:rPr>
          <w:rFonts w:hint="eastAsia"/>
          <w:color w:val="auto"/>
          <w:highlight w:val="none"/>
        </w:rPr>
        <w:t>截止202</w:t>
      </w:r>
      <w:r>
        <w:rPr>
          <w:rFonts w:hint="eastAsia"/>
          <w:color w:val="auto"/>
          <w:highlight w:val="none"/>
          <w:lang w:val="en-US" w:eastAsia="zh-CN"/>
        </w:rPr>
        <w:t>3</w:t>
      </w:r>
      <w:r>
        <w:rPr>
          <w:rFonts w:hint="eastAsia"/>
          <w:color w:val="auto"/>
          <w:highlight w:val="none"/>
        </w:rPr>
        <w:t>年12月31日，昌吉州阜康市阜新街道百合村社区综合服务实施建设项目实际支付资金</w:t>
      </w:r>
      <w:r>
        <w:rPr>
          <w:rFonts w:hint="eastAsia"/>
          <w:color w:val="auto"/>
          <w:highlight w:val="none"/>
          <w:lang w:val="en-US" w:eastAsia="zh-CN"/>
        </w:rPr>
        <w:t>175</w:t>
      </w:r>
      <w:r>
        <w:rPr>
          <w:rFonts w:hint="eastAsia"/>
          <w:color w:val="auto"/>
          <w:highlight w:val="none"/>
        </w:rPr>
        <w:t>万元，预算执行率100%。结转结余资金0万元，已上缴国库。项目资金主要用于</w:t>
      </w:r>
      <w:r>
        <w:rPr>
          <w:rFonts w:hint="eastAsia"/>
          <w:color w:val="auto"/>
          <w:highlight w:val="none"/>
          <w:lang w:val="en-US" w:eastAsia="zh-CN"/>
        </w:rPr>
        <w:t>工程款、监理费、设计费</w:t>
      </w:r>
      <w:r>
        <w:rPr>
          <w:rFonts w:hint="eastAsia"/>
          <w:color w:val="auto"/>
          <w:highlight w:val="none"/>
        </w:rPr>
        <w:t>等方面。</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项目绩效目标</w:t>
      </w:r>
      <w:bookmarkEnd w:id="6"/>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7" w:name="_Toc10047"/>
      <w:r>
        <w:rPr>
          <w:rFonts w:hint="eastAsia" w:ascii="宋体" w:hAnsi="宋体" w:eastAsia="宋体" w:cs="宋体"/>
          <w:color w:val="auto"/>
          <w:highlight w:val="none"/>
          <w:shd w:val="clear" w:color="auto" w:fill="auto"/>
          <w:lang w:val="en-US" w:eastAsia="zh-CN"/>
        </w:rPr>
        <w:t>1.总体目标</w:t>
      </w:r>
      <w:bookmarkEnd w:id="7"/>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color w:val="auto"/>
          <w:kern w:val="2"/>
          <w:sz w:val="28"/>
          <w:szCs w:val="28"/>
          <w:highlight w:val="none"/>
          <w:shd w:val="clear" w:color="auto" w:fill="auto"/>
          <w:lang w:val="en-US" w:eastAsia="zh-CN" w:bidi="ar-SA"/>
        </w:rPr>
      </w:pPr>
      <w:bookmarkStart w:id="8" w:name="_Toc4487"/>
      <w:r>
        <w:rPr>
          <w:rFonts w:hint="eastAsia" w:ascii="宋体" w:hAnsi="宋体" w:eastAsia="宋体" w:cs="宋体"/>
          <w:b w:val="0"/>
          <w:bCs/>
          <w:color w:val="auto"/>
          <w:kern w:val="2"/>
          <w:sz w:val="28"/>
          <w:szCs w:val="28"/>
          <w:highlight w:val="none"/>
          <w:shd w:val="clear" w:color="auto" w:fill="auto"/>
          <w:lang w:val="en-US" w:eastAsia="zh-CN" w:bidi="ar-SA"/>
        </w:rPr>
        <w:t>截至2023年12月31日，本项目完成百合村社区综合服务设施建设1000平方米修建项目，铺设线路设备安装1000米，完善了基层党组织阵地建设，达到发挥网格便民、乐民服务群众的效益，提升了居民群众满意度，完善基层党组织阵地建设，更好地为群众娱乐活动场所提供了场所。</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2.阶段性目标</w:t>
      </w:r>
      <w:bookmarkEnd w:id="8"/>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ind w:firstLine="560"/>
        <w:rPr>
          <w:color w:val="auto"/>
          <w:highlight w:val="none"/>
        </w:rPr>
      </w:pPr>
      <w:bookmarkStart w:id="9" w:name="_Toc2549"/>
      <w:r>
        <w:rPr>
          <w:rFonts w:hint="eastAsia"/>
          <w:color w:val="auto"/>
          <w:highlight w:val="none"/>
        </w:rPr>
        <w:t>（1）项目产出目标</w:t>
      </w:r>
    </w:p>
    <w:p>
      <w:pPr>
        <w:ind w:firstLine="560"/>
        <w:rPr>
          <w:color w:val="auto"/>
          <w:highlight w:val="none"/>
        </w:rPr>
      </w:pPr>
      <w:r>
        <w:rPr>
          <w:rFonts w:hint="eastAsia"/>
          <w:color w:val="auto"/>
          <w:highlight w:val="none"/>
        </w:rPr>
        <w:t>①数量指标</w:t>
      </w:r>
    </w:p>
    <w:p>
      <w:pPr>
        <w:ind w:firstLine="560"/>
        <w:rPr>
          <w:rFonts w:hint="eastAsia"/>
          <w:color w:val="auto"/>
          <w:highlight w:val="none"/>
        </w:rPr>
      </w:pPr>
      <w:r>
        <w:rPr>
          <w:rFonts w:hint="eastAsia"/>
          <w:color w:val="auto"/>
          <w:highlight w:val="none"/>
        </w:rPr>
        <w:t>“综合服务设施的修建总面积”指标，预期指标值为≧1000平</w:t>
      </w:r>
      <w:r>
        <w:rPr>
          <w:rFonts w:hint="eastAsia"/>
          <w:color w:val="auto"/>
          <w:highlight w:val="none"/>
          <w:lang w:val="en-US" w:eastAsia="zh-CN"/>
        </w:rPr>
        <w:t>方</w:t>
      </w:r>
      <w:r>
        <w:rPr>
          <w:rFonts w:hint="eastAsia"/>
          <w:color w:val="auto"/>
          <w:highlight w:val="none"/>
        </w:rPr>
        <w:t>米；</w:t>
      </w:r>
    </w:p>
    <w:p>
      <w:pPr>
        <w:ind w:firstLine="560"/>
        <w:rPr>
          <w:rFonts w:hint="eastAsia"/>
          <w:color w:val="auto"/>
          <w:highlight w:val="none"/>
        </w:rPr>
      </w:pPr>
      <w:r>
        <w:rPr>
          <w:rFonts w:hint="eastAsia"/>
          <w:color w:val="auto"/>
          <w:highlight w:val="none"/>
        </w:rPr>
        <w:t>“</w:t>
      </w:r>
      <w:r>
        <w:rPr>
          <w:rFonts w:hint="eastAsia"/>
          <w:color w:val="auto"/>
          <w:highlight w:val="none"/>
          <w:lang w:val="en-US" w:eastAsia="zh-CN"/>
        </w:rPr>
        <w:t>铺设线路设备安装</w:t>
      </w:r>
      <w:r>
        <w:rPr>
          <w:rFonts w:hint="eastAsia"/>
          <w:color w:val="auto"/>
          <w:highlight w:val="none"/>
        </w:rPr>
        <w:t>”指标，预期指标值为≧1000米；</w:t>
      </w:r>
    </w:p>
    <w:p>
      <w:pPr>
        <w:ind w:firstLine="560"/>
        <w:rPr>
          <w:rFonts w:hint="eastAsia"/>
          <w:color w:val="auto"/>
          <w:highlight w:val="none"/>
        </w:rPr>
      </w:pP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“项目验收合格率”指标，预期指标值为≧90%；</w:t>
      </w:r>
    </w:p>
    <w:p>
      <w:pPr>
        <w:ind w:firstLine="560"/>
        <w:rPr>
          <w:color w:val="auto"/>
          <w:highlight w:val="none"/>
        </w:rPr>
      </w:pPr>
      <w:r>
        <w:rPr>
          <w:rFonts w:hint="eastAsia"/>
          <w:color w:val="auto"/>
          <w:highlight w:val="none"/>
        </w:rPr>
        <w:t>③时效指标</w:t>
      </w:r>
    </w:p>
    <w:p>
      <w:pPr>
        <w:ind w:firstLine="560"/>
        <w:rPr>
          <w:rFonts w:hint="eastAsia"/>
          <w:color w:val="auto"/>
          <w:highlight w:val="none"/>
        </w:rPr>
      </w:pPr>
      <w:r>
        <w:rPr>
          <w:rFonts w:hint="eastAsia"/>
          <w:color w:val="auto"/>
          <w:highlight w:val="none"/>
        </w:rPr>
        <w:t>“</w:t>
      </w:r>
      <w:r>
        <w:rPr>
          <w:rFonts w:hint="eastAsia"/>
          <w:color w:val="auto"/>
          <w:highlight w:val="none"/>
          <w:lang w:val="en-US" w:eastAsia="zh-CN"/>
        </w:rPr>
        <w:t>计划开工时间</w:t>
      </w:r>
      <w:r>
        <w:rPr>
          <w:rFonts w:hint="eastAsia"/>
          <w:color w:val="auto"/>
          <w:highlight w:val="none"/>
        </w:rPr>
        <w:t>”指标，预期指标值为</w:t>
      </w:r>
      <w:r>
        <w:rPr>
          <w:rFonts w:hint="eastAsia"/>
          <w:color w:val="auto"/>
          <w:highlight w:val="none"/>
          <w:lang w:val="en-US" w:eastAsia="zh-CN"/>
        </w:rPr>
        <w:t>2021年9月30日</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val="en-US" w:eastAsia="zh-CN"/>
        </w:rPr>
        <w:t>计划竣工时间</w:t>
      </w:r>
      <w:r>
        <w:rPr>
          <w:rFonts w:hint="eastAsia"/>
          <w:color w:val="auto"/>
          <w:highlight w:val="none"/>
        </w:rPr>
        <w:t>”指标，预期指标值为</w:t>
      </w:r>
      <w:r>
        <w:rPr>
          <w:rFonts w:hint="eastAsia"/>
          <w:color w:val="auto"/>
          <w:highlight w:val="none"/>
          <w:lang w:val="en-US" w:eastAsia="zh-CN"/>
        </w:rPr>
        <w:t>2022年7月26日</w:t>
      </w:r>
      <w:r>
        <w:rPr>
          <w:rFonts w:hint="eastAsia"/>
          <w:color w:val="auto"/>
          <w:highlight w:val="none"/>
        </w:rPr>
        <w:t>；</w:t>
      </w:r>
    </w:p>
    <w:p>
      <w:pPr>
        <w:ind w:left="0" w:leftChars="0" w:firstLine="560" w:firstLineChars="20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“综合服务设施建设投资成本”指标，预期指标值为≤</w:t>
      </w:r>
      <w:r>
        <w:rPr>
          <w:rFonts w:hint="eastAsia"/>
          <w:color w:val="auto"/>
          <w:highlight w:val="none"/>
          <w:lang w:val="en-US" w:eastAsia="zh-CN"/>
        </w:rPr>
        <w:t>17</w:t>
      </w:r>
      <w:r>
        <w:rPr>
          <w:rFonts w:hint="eastAsia"/>
          <w:color w:val="auto"/>
          <w:highlight w:val="none"/>
        </w:rPr>
        <w:t>5</w:t>
      </w:r>
      <w:r>
        <w:rPr>
          <w:color w:val="auto"/>
          <w:highlight w:val="none"/>
        </w:rPr>
        <w:t>万元</w:t>
      </w:r>
      <w:r>
        <w:rPr>
          <w:rFonts w:hint="eastAsia"/>
          <w:color w:val="auto"/>
          <w:highlight w:val="none"/>
        </w:rPr>
        <w:t>；</w:t>
      </w:r>
    </w:p>
    <w:p>
      <w:pPr>
        <w:ind w:firstLine="560"/>
        <w:rPr>
          <w:rFonts w:hint="eastAsia" w:eastAsia="宋体"/>
          <w:color w:val="auto"/>
          <w:highlight w:val="none"/>
          <w:lang w:eastAsia="zh-CN"/>
        </w:rPr>
      </w:pPr>
      <w:r>
        <w:rPr>
          <w:rFonts w:hint="eastAsia"/>
          <w:color w:val="auto"/>
          <w:highlight w:val="none"/>
        </w:rPr>
        <w:t>（2）效益</w:t>
      </w:r>
      <w:r>
        <w:rPr>
          <w:rFonts w:hint="eastAsia"/>
          <w:color w:val="auto"/>
          <w:highlight w:val="none"/>
          <w:lang w:val="en-US"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rPr>
        <w:t>（本项目</w:t>
      </w:r>
      <w:r>
        <w:rPr>
          <w:rFonts w:hint="eastAsia"/>
          <w:color w:val="auto"/>
          <w:highlight w:val="none"/>
          <w:lang w:eastAsia="zh-CN"/>
        </w:rPr>
        <w:t>不涉及</w:t>
      </w:r>
      <w:r>
        <w:rPr>
          <w:rFonts w:hint="eastAsia"/>
          <w:color w:val="auto"/>
          <w:highlight w:val="none"/>
        </w:rPr>
        <w:t>经济效益）</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“完善基层党组织阵地建设”指标，预期指标值为</w:t>
      </w:r>
      <w:r>
        <w:rPr>
          <w:rFonts w:hint="eastAsia"/>
          <w:color w:val="auto"/>
          <w:highlight w:val="none"/>
          <w:lang w:val="en-US" w:eastAsia="zh-CN"/>
        </w:rPr>
        <w:t>长期</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（本项目</w:t>
      </w:r>
      <w:r>
        <w:rPr>
          <w:rFonts w:hint="eastAsia"/>
          <w:color w:val="auto"/>
          <w:highlight w:val="none"/>
          <w:lang w:eastAsia="zh-CN"/>
        </w:rPr>
        <w:t>不涉及</w:t>
      </w:r>
      <w:r>
        <w:rPr>
          <w:rFonts w:hint="eastAsia"/>
          <w:color w:val="auto"/>
          <w:highlight w:val="none"/>
        </w:rPr>
        <w:t>生态效益）</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9"/>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0" w:name="_Toc480473081"/>
      <w:bookmarkStart w:id="11" w:name="_Toc26632"/>
      <w:bookmarkStart w:id="12" w:name="_Toc12868"/>
      <w:bookmarkStart w:id="13" w:name="_Toc21664"/>
      <w:bookmarkStart w:id="14" w:name="_Toc22922"/>
      <w:bookmarkStart w:id="15" w:name="_Toc5258"/>
      <w:bookmarkStart w:id="16" w:name="_Toc22169_WPSOffice_Level2"/>
      <w:bookmarkStart w:id="17" w:name="_Toc5462343"/>
      <w:bookmarkStart w:id="18" w:name="_Toc21778"/>
      <w:r>
        <w:rPr>
          <w:rFonts w:hint="eastAsia" w:ascii="宋体" w:hAnsi="宋体" w:eastAsia="宋体" w:cs="宋体"/>
          <w:color w:val="auto"/>
          <w:sz w:val="32"/>
          <w:szCs w:val="32"/>
          <w:highlight w:val="none"/>
          <w:shd w:val="clear" w:color="auto" w:fill="auto"/>
          <w:lang w:eastAsia="zh-CN"/>
        </w:rPr>
        <w:t>绩效评价的目的</w:t>
      </w:r>
      <w:bookmarkEnd w:id="10"/>
      <w:bookmarkEnd w:id="11"/>
      <w:bookmarkEnd w:id="12"/>
      <w:bookmarkEnd w:id="13"/>
      <w:bookmarkEnd w:id="14"/>
      <w:bookmarkEnd w:id="15"/>
      <w:bookmarkEnd w:id="16"/>
      <w:bookmarkEnd w:id="17"/>
      <w:r>
        <w:rPr>
          <w:rFonts w:hint="eastAsia" w:ascii="宋体" w:hAnsi="宋体" w:eastAsia="宋体" w:cs="宋体"/>
          <w:color w:val="auto"/>
          <w:sz w:val="32"/>
          <w:szCs w:val="32"/>
          <w:highlight w:val="none"/>
          <w:shd w:val="clear" w:color="auto" w:fill="auto"/>
          <w:lang w:eastAsia="zh-CN"/>
        </w:rPr>
        <w:t>、对象和范围</w:t>
      </w:r>
      <w:bookmarkEnd w:id="1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9"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19"/>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0" w:name="_Toc30609"/>
      <w:r>
        <w:rPr>
          <w:rFonts w:hint="eastAsia" w:ascii="宋体" w:hAnsi="宋体" w:eastAsia="宋体" w:cs="宋体"/>
          <w:color w:val="auto"/>
          <w:highlight w:val="none"/>
          <w:shd w:val="clear" w:color="auto" w:fill="auto"/>
          <w:lang w:val="en-US" w:eastAsia="zh-CN"/>
        </w:rPr>
        <w:t>2.绩效评价的对象和范围</w:t>
      </w:r>
      <w:bookmarkEnd w:id="20"/>
    </w:p>
    <w:p>
      <w:pPr>
        <w:ind w:firstLine="560"/>
        <w:rPr>
          <w:color w:val="auto"/>
          <w:highlight w:val="none"/>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w:t>
      </w:r>
      <w:r>
        <w:rPr>
          <w:rFonts w:hint="eastAsia"/>
          <w:color w:val="auto"/>
          <w:highlight w:val="none"/>
        </w:rPr>
        <w:t>的昌吉州阜康市阜新街道百合村社区综合服务实施建设项目开展部门绩效评价。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1"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1"/>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2"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2"/>
    </w:p>
    <w:p>
      <w:pPr>
        <w:ind w:firstLine="560"/>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olor w:val="auto"/>
          <w:highlight w:val="none"/>
        </w:rPr>
        <w:t>昌吉州阜康市阜新街道百合村社区综合服务实施建设项目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3" w:name="_Toc1913"/>
      <w:bookmarkStart w:id="24" w:name="_Toc26131"/>
      <w:bookmarkStart w:id="25" w:name="_Toc428278230"/>
      <w:bookmarkStart w:id="26" w:name="_Toc419984722"/>
      <w:bookmarkStart w:id="27"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3"/>
      <w:bookmarkEnd w:id="24"/>
      <w:bookmarkEnd w:id="25"/>
      <w:bookmarkEnd w:id="26"/>
      <w:r>
        <w:rPr>
          <w:rFonts w:hint="eastAsia" w:ascii="宋体" w:hAnsi="宋体" w:eastAsia="宋体" w:cs="宋体"/>
          <w:color w:val="auto"/>
          <w:highlight w:val="none"/>
          <w:shd w:val="clear" w:color="auto" w:fill="auto"/>
          <w:lang w:val="en-US" w:eastAsia="zh-CN"/>
        </w:rPr>
        <w:t>标准</w:t>
      </w:r>
      <w:bookmarkEnd w:id="27"/>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8"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olor w:val="auto"/>
          <w:highlight w:val="none"/>
        </w:rPr>
        <w:t>昌吉州阜康市阜新街道百合村社区综合服务实施建设项目</w:t>
      </w:r>
      <w:r>
        <w:rPr>
          <w:rFonts w:hint="eastAsia" w:ascii="宋体" w:hAnsi="宋体" w:eastAsia="宋体" w:cs="宋体"/>
          <w:color w:val="auto"/>
          <w:highlight w:val="none"/>
          <w:shd w:val="clear" w:color="auto" w:fill="auto"/>
          <w:lang w:val="en-US" w:eastAsia="zh-CN"/>
        </w:rPr>
        <w:t>进行评价。</w:t>
      </w:r>
    </w:p>
    <w:p>
      <w:pPr>
        <w:pStyle w:val="5"/>
        <w:rPr>
          <w:rFonts w:hint="default" w:ascii="宋体" w:hAnsi="宋体" w:eastAsia="宋体" w:cs="宋体"/>
          <w:color w:val="auto"/>
          <w:highlight w:val="none"/>
          <w:shd w:val="clear" w:color="auto" w:fill="auto"/>
          <w:lang w:val="en-US" w:eastAsia="zh-CN"/>
        </w:rPr>
      </w:pPr>
      <w:bookmarkStart w:id="29" w:name="_Toc25391"/>
      <w:r>
        <w:rPr>
          <w:rFonts w:hint="eastAsia" w:ascii="宋体" w:hAnsi="宋体" w:eastAsia="宋体" w:cs="宋体"/>
          <w:color w:val="auto"/>
          <w:highlight w:val="none"/>
          <w:shd w:val="clear" w:color="auto" w:fill="auto"/>
          <w:lang w:val="en-US" w:eastAsia="zh-CN"/>
        </w:rPr>
        <w:t>4.评价标准</w:t>
      </w:r>
      <w:bookmarkEnd w:id="2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0" w:name="_Toc1070"/>
      <w:r>
        <w:rPr>
          <w:rFonts w:hint="eastAsia" w:ascii="宋体" w:hAnsi="宋体" w:eastAsia="宋体" w:cs="宋体"/>
          <w:color w:val="auto"/>
          <w:highlight w:val="none"/>
          <w:shd w:val="clear" w:color="auto" w:fill="auto"/>
          <w:lang w:val="en-US" w:eastAsia="zh-CN"/>
        </w:rPr>
        <w:t>（三）绩效评价工作过程</w:t>
      </w:r>
      <w:bookmarkEnd w:id="30"/>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1" w:name="_Toc12862"/>
      <w:r>
        <w:rPr>
          <w:rFonts w:hint="eastAsia" w:ascii="宋体" w:hAnsi="宋体" w:eastAsia="宋体" w:cs="宋体"/>
          <w:color w:val="auto"/>
          <w:highlight w:val="none"/>
          <w:shd w:val="clear" w:color="auto" w:fill="auto"/>
          <w:lang w:val="en-US" w:eastAsia="zh-CN"/>
        </w:rPr>
        <w:t>1.前期准备</w:t>
      </w:r>
      <w:bookmarkEnd w:id="31"/>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2"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3"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吉州阜康市阜新街道百合村社区综合服务实施建设项目实施内容、目标信息、预算信息以及其他的一些项目基本信息，有了初步了解，为制定绩效评价工作方案做好准备。</w:t>
      </w:r>
      <w:bookmarkEnd w:id="3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3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3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7"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8"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4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49"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4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0"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1"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2"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2"/>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3"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3"/>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olor w:val="auto"/>
          <w:highlight w:val="none"/>
        </w:rPr>
        <w:t>昌吉州阜康市阜新街道百合村社区综合服务实施建设项目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olor w:val="auto"/>
          <w:highlight w:val="none"/>
          <w:lang w:val="en-US" w:eastAsia="zh-CN"/>
        </w:rPr>
        <w:t>98.5</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”。各部分权重和绩效</w:t>
      </w:r>
      <w:r>
        <w:rPr>
          <w:rFonts w:hint="eastAsia"/>
          <w:color w:val="auto"/>
          <w:highlight w:val="none"/>
        </w:rPr>
        <w:t>汇总</w:t>
      </w:r>
      <w:r>
        <w:rPr>
          <w:rFonts w:hint="eastAsia"/>
          <w:color w:val="auto"/>
          <w:highlight w:val="none"/>
          <w:lang w:val="zh-TW" w:eastAsia="zh-TW"/>
        </w:rPr>
        <w:t>分值如下</w:t>
      </w:r>
      <w:r>
        <w:rPr>
          <w:rFonts w:hint="eastAsia" w:ascii="宋体" w:hAnsi="宋体" w:eastAsia="宋体" w:cs="宋体"/>
          <w:color w:val="auto"/>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b/>
                <w:bCs/>
                <w:color w:val="auto"/>
                <w:kern w:val="0"/>
                <w:highlight w:val="none"/>
              </w:rPr>
              <w:t>阜康市阜新街道百合村社区综合服务实施建设项目得分表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bCs/>
                <w:color w:val="auto"/>
                <w:kern w:val="0"/>
                <w:sz w:val="21"/>
                <w:szCs w:val="21"/>
                <w:highlight w:val="none"/>
                <w:shd w:val="clear" w:color="auto" w:fill="auto"/>
                <w:lang w:val="en-US" w:eastAsia="zh-CN"/>
              </w:rPr>
            </w:pPr>
            <w:r>
              <w:rPr>
                <w:rFonts w:hint="eastAsia"/>
                <w:b/>
                <w:bCs/>
                <w:color w:val="auto"/>
                <w:kern w:val="0"/>
                <w:sz w:val="21"/>
                <w:szCs w:val="21"/>
                <w:highlight w:val="none"/>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bCs/>
                <w:color w:val="auto"/>
                <w:kern w:val="0"/>
                <w:sz w:val="21"/>
                <w:szCs w:val="21"/>
                <w:highlight w:val="none"/>
                <w:shd w:val="clear" w:color="auto" w:fill="auto"/>
                <w:lang w:val="en-US" w:eastAsia="zh-CN"/>
              </w:rPr>
            </w:pPr>
            <w:r>
              <w:rPr>
                <w:rFonts w:hint="eastAsia"/>
                <w:b/>
                <w:bCs/>
                <w:color w:val="auto"/>
                <w:kern w:val="0"/>
                <w:sz w:val="21"/>
                <w:szCs w:val="21"/>
                <w:highlight w:val="none"/>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bCs/>
                <w:color w:val="auto"/>
                <w:kern w:val="0"/>
                <w:sz w:val="21"/>
                <w:szCs w:val="21"/>
                <w:highlight w:val="none"/>
                <w:shd w:val="clear" w:color="auto" w:fill="auto"/>
                <w:lang w:val="en-US" w:eastAsia="zh-CN"/>
              </w:rPr>
            </w:pPr>
            <w:r>
              <w:rPr>
                <w:rFonts w:hint="eastAsia"/>
                <w:b/>
                <w:bCs/>
                <w:color w:val="auto"/>
                <w:kern w:val="0"/>
                <w:sz w:val="21"/>
                <w:szCs w:val="21"/>
                <w:highlight w:val="none"/>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bCs/>
                <w:color w:val="auto"/>
                <w:kern w:val="0"/>
                <w:sz w:val="21"/>
                <w:szCs w:val="21"/>
                <w:highlight w:val="none"/>
                <w:shd w:val="clear" w:color="auto" w:fill="auto"/>
                <w:lang w:val="en-US" w:eastAsia="zh-CN"/>
              </w:rPr>
            </w:pPr>
            <w:r>
              <w:rPr>
                <w:rFonts w:hint="eastAsia"/>
                <w:b/>
                <w:bCs/>
                <w:color w:val="auto"/>
                <w:kern w:val="0"/>
                <w:sz w:val="21"/>
                <w:szCs w:val="21"/>
                <w:highlight w:val="none"/>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bCs/>
                <w:color w:val="auto"/>
                <w:kern w:val="0"/>
                <w:sz w:val="21"/>
                <w:szCs w:val="21"/>
                <w:highlight w:val="none"/>
                <w:shd w:val="clear" w:color="auto" w:fill="auto"/>
                <w:lang w:val="en-US" w:eastAsia="zh-CN"/>
              </w:rPr>
            </w:pPr>
            <w:r>
              <w:rPr>
                <w:rFonts w:hint="eastAsia"/>
                <w:b/>
                <w:bCs/>
                <w:color w:val="auto"/>
                <w:kern w:val="0"/>
                <w:sz w:val="21"/>
                <w:szCs w:val="21"/>
                <w:highlight w:val="none"/>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bCs/>
                <w:color w:val="auto"/>
                <w:kern w:val="0"/>
                <w:sz w:val="21"/>
                <w:szCs w:val="21"/>
                <w:highlight w:val="none"/>
                <w:shd w:val="clear" w:color="auto" w:fill="auto"/>
                <w:lang w:val="en-US" w:eastAsia="zh-CN"/>
              </w:rPr>
            </w:pPr>
            <w:r>
              <w:rPr>
                <w:rFonts w:hint="eastAsia"/>
                <w:b/>
                <w:bCs/>
                <w:color w:val="auto"/>
                <w:kern w:val="0"/>
                <w:sz w:val="21"/>
                <w:szCs w:val="21"/>
                <w:highlight w:val="none"/>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val="0"/>
                <w:bCs w:val="0"/>
                <w:color w:val="auto"/>
                <w:kern w:val="0"/>
                <w:sz w:val="21"/>
                <w:szCs w:val="21"/>
                <w:highlight w:val="none"/>
                <w:shd w:val="clear" w:color="auto" w:fill="auto"/>
                <w:lang w:val="en-US" w:eastAsia="zh-CN"/>
              </w:rPr>
            </w:pPr>
            <w:r>
              <w:rPr>
                <w:rFonts w:hint="eastAsia"/>
                <w:color w:val="auto"/>
                <w:kern w:val="0"/>
                <w:sz w:val="21"/>
                <w:szCs w:val="21"/>
                <w:highlight w:val="none"/>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100</w:t>
            </w:r>
          </w:p>
        </w:tc>
      </w:tr>
      <w:tr>
        <w:tblPrEx>
          <w:tblLayout w:type="fixed"/>
          <w:tblCellMar>
            <w:top w:w="0" w:type="dxa"/>
            <w:left w:w="0" w:type="dxa"/>
            <w:bottom w:w="0" w:type="dxa"/>
            <w:right w:w="0" w:type="dxa"/>
          </w:tblCellMar>
        </w:tblPrEx>
        <w:trPr>
          <w:trHeight w:val="90"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val="0"/>
                <w:bCs w:val="0"/>
                <w:color w:val="auto"/>
                <w:kern w:val="0"/>
                <w:sz w:val="21"/>
                <w:szCs w:val="21"/>
                <w:highlight w:val="none"/>
                <w:shd w:val="clear" w:color="auto" w:fill="auto"/>
                <w:lang w:val="en-US" w:eastAsia="zh-CN"/>
              </w:rPr>
            </w:pPr>
            <w:r>
              <w:rPr>
                <w:rFonts w:hint="eastAsia"/>
                <w:color w:val="auto"/>
                <w:kern w:val="0"/>
                <w:sz w:val="21"/>
                <w:szCs w:val="21"/>
                <w:highlight w:val="none"/>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19.5</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29</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98.5</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b w:val="0"/>
                <w:bCs w:val="0"/>
                <w:color w:val="auto"/>
                <w:kern w:val="0"/>
                <w:sz w:val="21"/>
                <w:szCs w:val="21"/>
                <w:highlight w:val="none"/>
                <w:shd w:val="clear" w:color="auto" w:fill="auto"/>
                <w:lang w:val="en-US" w:eastAsia="zh-CN"/>
              </w:rPr>
            </w:pPr>
            <w:r>
              <w:rPr>
                <w:rFonts w:hint="eastAsia"/>
                <w:color w:val="auto"/>
                <w:kern w:val="0"/>
                <w:sz w:val="21"/>
                <w:szCs w:val="21"/>
                <w:highlight w:val="none"/>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98</w:t>
            </w:r>
            <w:r>
              <w:rPr>
                <w:rFonts w:hint="eastAsia"/>
                <w:color w:val="auto"/>
                <w:kern w:val="0"/>
                <w:sz w:val="21"/>
                <w:szCs w:val="21"/>
                <w:highlight w:val="none"/>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100</w:t>
            </w:r>
            <w:r>
              <w:rPr>
                <w:rFonts w:hint="eastAsia"/>
                <w:color w:val="auto"/>
                <w:kern w:val="0"/>
                <w:sz w:val="21"/>
                <w:szCs w:val="21"/>
                <w:highlight w:val="none"/>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100%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rPr>
              <w:t>100%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ascii="宋体" w:hAnsi="宋体" w:eastAsia="宋体" w:cs="宋体"/>
                <w:color w:val="auto"/>
                <w:kern w:val="0"/>
                <w:sz w:val="21"/>
                <w:szCs w:val="21"/>
                <w:highlight w:val="none"/>
                <w:shd w:val="clear" w:color="auto" w:fill="auto"/>
                <w:lang w:val="en-US" w:eastAsia="zh-CN"/>
              </w:rPr>
            </w:pPr>
            <w:r>
              <w:rPr>
                <w:rFonts w:hint="eastAsia"/>
                <w:color w:val="auto"/>
                <w:kern w:val="0"/>
                <w:sz w:val="21"/>
                <w:szCs w:val="21"/>
                <w:highlight w:val="none"/>
                <w:lang w:val="en-US" w:eastAsia="zh-CN"/>
              </w:rPr>
              <w:t>98.5</w:t>
            </w:r>
            <w:r>
              <w:rPr>
                <w:rFonts w:hint="eastAsia"/>
                <w:color w:val="auto"/>
                <w:kern w:val="0"/>
                <w:sz w:val="21"/>
                <w:szCs w:val="21"/>
                <w:highlight w:val="none"/>
              </w:rPr>
              <w:t>%</w:t>
            </w:r>
          </w:p>
        </w:tc>
      </w:tr>
    </w:tbl>
    <w:p>
      <w:pPr>
        <w:pStyle w:val="3"/>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54" w:name="_Toc9421"/>
      <w:r>
        <w:rPr>
          <w:rFonts w:hint="eastAsia" w:ascii="宋体" w:hAnsi="宋体" w:eastAsia="宋体" w:cs="宋体"/>
          <w:b/>
          <w:bCs/>
          <w:color w:val="auto"/>
          <w:highlight w:val="none"/>
          <w:shd w:val="clear" w:color="auto" w:fill="auto"/>
          <w:lang w:val="en-US" w:eastAsia="zh-CN"/>
        </w:rPr>
        <w:t>四、绩效评价指标分析</w:t>
      </w:r>
      <w:bookmarkEnd w:id="54"/>
    </w:p>
    <w:p>
      <w:pPr>
        <w:pStyle w:val="4"/>
        <w:pageBreakBefore w:val="0"/>
        <w:widowControl w:val="0"/>
        <w:kinsoku/>
        <w:wordWrap/>
        <w:overflowPunct/>
        <w:topLinePunct w:val="0"/>
        <w:autoSpaceDE/>
        <w:autoSpaceDN/>
        <w:bidi w:val="0"/>
        <w:adjustRightInd/>
        <w:snapToGrid/>
        <w:spacing w:line="560" w:lineRule="exact"/>
        <w:ind w:firstLine="643"/>
        <w:textAlignment w:val="auto"/>
        <w:rPr>
          <w:rFonts w:ascii="宋体" w:hAnsi="宋体" w:eastAsia="宋体"/>
          <w:color w:val="auto"/>
          <w:highlight w:val="none"/>
        </w:rPr>
      </w:pPr>
      <w:r>
        <w:rPr>
          <w:rFonts w:hint="eastAsia" w:ascii="宋体" w:hAnsi="宋体" w:eastAsia="宋体"/>
          <w:color w:val="auto"/>
          <w:highlight w:val="none"/>
        </w:rPr>
        <w:t>（一）项目决策情况</w:t>
      </w:r>
    </w:p>
    <w:p>
      <w:pPr>
        <w:pageBreakBefore w:val="0"/>
        <w:widowControl w:val="0"/>
        <w:kinsoku/>
        <w:wordWrap/>
        <w:overflowPunct/>
        <w:topLinePunct w:val="0"/>
        <w:autoSpaceDE/>
        <w:autoSpaceDN/>
        <w:bidi w:val="0"/>
        <w:adjustRightInd/>
        <w:snapToGrid/>
        <w:spacing w:line="560" w:lineRule="exact"/>
        <w:ind w:firstLine="560"/>
        <w:textAlignment w:val="auto"/>
        <w:rPr>
          <w:color w:val="auto"/>
          <w:highlight w:val="none"/>
        </w:rPr>
      </w:pPr>
      <w:r>
        <w:rPr>
          <w:rFonts w:hint="eastAsia"/>
          <w:color w:val="auto"/>
          <w:highlight w:val="none"/>
        </w:rPr>
        <w:t>项目决策由3个二级指标和6个三级指标构成，权重分20分，实际得分</w:t>
      </w:r>
      <w:r>
        <w:rPr>
          <w:rFonts w:hint="eastAsia"/>
          <w:color w:val="auto"/>
          <w:highlight w:val="none"/>
          <w:lang w:val="en-US" w:eastAsia="zh-CN"/>
        </w:rPr>
        <w:t>19.5</w:t>
      </w:r>
      <w:r>
        <w:rPr>
          <w:rFonts w:hint="eastAsia"/>
          <w:color w:val="auto"/>
          <w:highlight w:val="none"/>
        </w:rPr>
        <w:t>分，</w:t>
      </w:r>
      <w:r>
        <w:rPr>
          <w:rFonts w:hint="eastAsia"/>
          <w:color w:val="auto"/>
          <w:highlight w:val="none"/>
          <w:u w:color="000000"/>
          <w:lang w:val="zh-TW" w:eastAsia="zh-TW"/>
        </w:rPr>
        <w:t>各指标业绩值和绩效分值如表</w:t>
      </w:r>
      <w:r>
        <w:rPr>
          <w:rFonts w:hint="eastAsia"/>
          <w:b/>
          <w:bCs/>
          <w:color w:val="auto"/>
          <w:highlight w:val="none"/>
          <w:u w:color="000000"/>
        </w:rPr>
        <w:t>4-1</w:t>
      </w:r>
      <w:r>
        <w:rPr>
          <w:rFonts w:hint="eastAsia"/>
          <w:color w:val="auto"/>
          <w:highlight w:val="none"/>
          <w:u w:color="000000"/>
          <w:lang w:val="zh-TW" w:eastAsia="zh-TW"/>
        </w:rPr>
        <w:t>所示</w:t>
      </w:r>
      <w:r>
        <w:rPr>
          <w:rFonts w:hint="eastAsia"/>
          <w:b/>
          <w:bCs/>
          <w:color w:val="auto"/>
          <w:highlight w:val="none"/>
          <w:lang w:val="zh-TW"/>
        </w:rPr>
        <w:t>（</w:t>
      </w:r>
      <w:r>
        <w:rPr>
          <w:rFonts w:hint="eastAsia"/>
          <w:b/>
          <w:bCs/>
          <w:color w:val="auto"/>
          <w:highlight w:val="none"/>
        </w:rPr>
        <w:t>详见上传的附件</w:t>
      </w:r>
      <w:r>
        <w:rPr>
          <w:rFonts w:hint="eastAsia"/>
          <w:b/>
          <w:bCs/>
          <w:color w:val="auto"/>
          <w:highlight w:val="none"/>
          <w:lang w:val="zh-TW"/>
        </w:rPr>
        <w:t>）</w:t>
      </w:r>
      <w:r>
        <w:rPr>
          <w:rFonts w:hint="eastAsia"/>
          <w:color w:val="auto"/>
          <w:highlight w:val="none"/>
        </w:rPr>
        <w:t>：</w:t>
      </w:r>
    </w:p>
    <w:tbl>
      <w:tblPr>
        <w:tblStyle w:val="11"/>
        <w:tblpPr w:leftFromText="180" w:rightFromText="180" w:vertAnchor="text" w:horzAnchor="page" w:tblpX="1746" w:tblpY="543"/>
        <w:tblOverlap w:val="never"/>
        <w:tblW w:w="8447" w:type="dxa"/>
        <w:tblInd w:w="0" w:type="dxa"/>
        <w:shd w:val="clear" w:color="auto" w:fill="auto"/>
        <w:tblLayout w:type="fixed"/>
        <w:tblCellMar>
          <w:top w:w="0" w:type="dxa"/>
          <w:left w:w="0" w:type="dxa"/>
          <w:bottom w:w="0" w:type="dxa"/>
          <w:right w:w="0" w:type="dxa"/>
        </w:tblCellMar>
      </w:tblPr>
      <w:tblGrid>
        <w:gridCol w:w="1077"/>
        <w:gridCol w:w="960"/>
        <w:gridCol w:w="1248"/>
        <w:gridCol w:w="797"/>
        <w:gridCol w:w="1871"/>
        <w:gridCol w:w="1417"/>
        <w:gridCol w:w="1077"/>
      </w:tblGrid>
      <w:tr>
        <w:tblPrEx>
          <w:tblLayout w:type="fixed"/>
          <w:tblCellMar>
            <w:top w:w="0" w:type="dxa"/>
            <w:left w:w="0" w:type="dxa"/>
            <w:bottom w:w="0" w:type="dxa"/>
            <w:right w:w="0" w:type="dxa"/>
          </w:tblCellMar>
        </w:tblPrEx>
        <w:trPr>
          <w:trHeight w:val="522" w:hRule="atLeast"/>
          <w:tblHead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tblPrEx>
          <w:tblLayout w:type="fixed"/>
          <w:tblCellMar>
            <w:top w:w="0" w:type="dxa"/>
            <w:left w:w="0" w:type="dxa"/>
            <w:bottom w:w="0" w:type="dxa"/>
            <w:right w:w="0" w:type="dxa"/>
          </w:tblCellMar>
        </w:tblPrEx>
        <w:trPr>
          <w:trHeight w:val="334" w:hRule="atLeast"/>
          <w:tblHead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项目立项</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立项依据充分性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2</w:t>
            </w:r>
          </w:p>
        </w:tc>
      </w:tr>
      <w:tr>
        <w:tblPrEx>
          <w:tblLayout w:type="fixed"/>
          <w:tblCellMar>
            <w:top w:w="0" w:type="dxa"/>
            <w:left w:w="0" w:type="dxa"/>
            <w:bottom w:w="0" w:type="dxa"/>
            <w:right w:w="0" w:type="dxa"/>
          </w:tblCellMar>
        </w:tblPrEx>
        <w:trPr>
          <w:trHeight w:val="334" w:hRule="atLeast"/>
          <w:tblHead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立项程序规范性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2.5</w:t>
            </w:r>
          </w:p>
        </w:tc>
      </w:tr>
      <w:tr>
        <w:tblPrEx>
          <w:tblLayout w:type="fixed"/>
          <w:tblCellMar>
            <w:top w:w="0" w:type="dxa"/>
            <w:left w:w="0" w:type="dxa"/>
            <w:bottom w:w="0" w:type="dxa"/>
            <w:right w:w="0" w:type="dxa"/>
          </w:tblCellMar>
        </w:tblPrEx>
        <w:trPr>
          <w:trHeight w:val="334" w:hRule="atLeast"/>
          <w:tblHead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w:t>
            </w:r>
          </w:p>
        </w:tc>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绩效目标合理性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5</w:t>
            </w:r>
          </w:p>
        </w:tc>
      </w:tr>
      <w:tr>
        <w:tblPrEx>
          <w:tblLayout w:type="fixed"/>
          <w:tblCellMar>
            <w:top w:w="0" w:type="dxa"/>
            <w:left w:w="0" w:type="dxa"/>
            <w:bottom w:w="0" w:type="dxa"/>
            <w:right w:w="0" w:type="dxa"/>
          </w:tblCellMar>
        </w:tblPrEx>
        <w:trPr>
          <w:trHeight w:val="334" w:hRule="atLeast"/>
          <w:tblHead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绩效指标明确性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5</w:t>
            </w:r>
          </w:p>
        </w:tc>
      </w:tr>
      <w:tr>
        <w:tblPrEx>
          <w:tblLayout w:type="fixed"/>
          <w:tblCellMar>
            <w:top w:w="0" w:type="dxa"/>
            <w:left w:w="0" w:type="dxa"/>
            <w:bottom w:w="0" w:type="dxa"/>
            <w:right w:w="0" w:type="dxa"/>
          </w:tblCellMar>
        </w:tblPrEx>
        <w:trPr>
          <w:trHeight w:val="334" w:hRule="atLeast"/>
          <w:tblHead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资金投入</w:t>
            </w:r>
          </w:p>
        </w:tc>
        <w:tc>
          <w:tcPr>
            <w:tcW w:w="79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5</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预算编制科学性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2</w:t>
            </w:r>
          </w:p>
        </w:tc>
      </w:tr>
      <w:tr>
        <w:tblPrEx>
          <w:tblLayout w:type="fixed"/>
          <w:tblCellMar>
            <w:top w:w="0" w:type="dxa"/>
            <w:left w:w="0" w:type="dxa"/>
            <w:bottom w:w="0" w:type="dxa"/>
            <w:right w:w="0" w:type="dxa"/>
          </w:tblCellMar>
        </w:tblPrEx>
        <w:trPr>
          <w:trHeight w:val="334" w:hRule="atLeast"/>
          <w:tblHead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9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资金分配合理性</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3</w:t>
            </w:r>
          </w:p>
        </w:tc>
      </w:tr>
      <w:tr>
        <w:tblPrEx>
          <w:tblLayout w:type="fixed"/>
          <w:tblCellMar>
            <w:top w:w="0" w:type="dxa"/>
            <w:left w:w="0" w:type="dxa"/>
            <w:bottom w:w="0" w:type="dxa"/>
            <w:right w:w="0" w:type="dxa"/>
          </w:tblCellMar>
        </w:tblPrEx>
        <w:trPr>
          <w:trHeight w:val="334" w:hRule="atLeast"/>
          <w:tblHead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7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19.5</w:t>
            </w:r>
          </w:p>
        </w:tc>
      </w:tr>
    </w:tbl>
    <w:p>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4-1</w:t>
      </w:r>
      <w:r>
        <w:rPr>
          <w:rFonts w:hint="eastAsia"/>
          <w:b/>
          <w:bCs/>
          <w:color w:val="auto"/>
          <w:kern w:val="0"/>
          <w:highlight w:val="none"/>
          <w:lang w:val="zh-TW" w:eastAsia="zh-TW"/>
        </w:rPr>
        <w:t>项目决策指标及分值</w:t>
      </w:r>
    </w:p>
    <w:p>
      <w:pPr>
        <w:ind w:firstLine="562"/>
        <w:rPr>
          <w:b/>
          <w:bCs/>
          <w:color w:val="auto"/>
          <w:highlight w:val="none"/>
        </w:rPr>
      </w:pPr>
      <w:r>
        <w:rPr>
          <w:rFonts w:hint="eastAsia"/>
          <w:b/>
          <w:bCs/>
          <w:color w:val="auto"/>
          <w:highlight w:val="none"/>
        </w:rPr>
        <w:t>1.立项依据充分性</w:t>
      </w:r>
    </w:p>
    <w:p>
      <w:pPr>
        <w:ind w:firstLine="560"/>
        <w:rPr>
          <w:color w:val="auto"/>
          <w:highlight w:val="none"/>
        </w:rPr>
      </w:pPr>
      <w:r>
        <w:rPr>
          <w:rFonts w:hint="eastAsia"/>
          <w:color w:val="auto"/>
          <w:highlight w:val="none"/>
        </w:rPr>
        <w:t>①项目立项符合</w:t>
      </w:r>
      <w:r>
        <w:rPr>
          <w:rFonts w:hint="eastAsia"/>
          <w:color w:val="auto"/>
          <w:highlight w:val="none"/>
          <w:lang w:eastAsia="zh-CN"/>
        </w:rPr>
        <w:t>《</w:t>
      </w:r>
      <w:r>
        <w:rPr>
          <w:rFonts w:hint="eastAsia"/>
          <w:color w:val="auto"/>
          <w:highlight w:val="none"/>
          <w:lang w:val="en-US" w:eastAsia="zh-CN"/>
        </w:rPr>
        <w:t>昌吉州发改委关于阜康市社区综合服务设施建设项目可行性研究报告（代项目建议书）的批复》</w:t>
      </w:r>
      <w:r>
        <w:rPr>
          <w:rFonts w:hint="eastAsia" w:cs="宋体"/>
          <w:color w:val="auto"/>
          <w:highlight w:val="none"/>
          <w:shd w:val="clear" w:color="auto" w:fill="auto"/>
          <w:lang w:val="en-US" w:eastAsia="zh-CN"/>
        </w:rPr>
        <w:t>昌州发改投资〖2021〗35号</w:t>
      </w:r>
      <w:r>
        <w:rPr>
          <w:rFonts w:hint="eastAsia" w:ascii="宋体" w:hAnsi="宋体" w:eastAsia="宋体" w:cs="宋体"/>
          <w:color w:val="auto"/>
          <w:highlight w:val="none"/>
          <w:shd w:val="clear" w:color="auto" w:fill="auto"/>
          <w:lang w:val="en-US" w:eastAsia="zh-CN"/>
        </w:rPr>
        <w:t>文件</w:t>
      </w:r>
      <w:r>
        <w:rPr>
          <w:rFonts w:hint="eastAsia" w:cs="宋体"/>
          <w:color w:val="auto"/>
          <w:highlight w:val="none"/>
          <w:shd w:val="clear" w:color="auto" w:fill="auto"/>
          <w:lang w:val="en-US" w:eastAsia="zh-CN"/>
        </w:rPr>
        <w:t>精神</w:t>
      </w:r>
      <w:r>
        <w:rPr>
          <w:rFonts w:hint="eastAsia"/>
          <w:color w:val="auto"/>
          <w:highlight w:val="none"/>
        </w:rPr>
        <w:t>；</w:t>
      </w:r>
    </w:p>
    <w:p>
      <w:pPr>
        <w:ind w:firstLine="560"/>
        <w:rPr>
          <w:color w:val="auto"/>
          <w:highlight w:val="none"/>
        </w:rPr>
      </w:pPr>
      <w:r>
        <w:rPr>
          <w:rFonts w:hint="eastAsia"/>
          <w:color w:val="auto"/>
          <w:highlight w:val="none"/>
        </w:rPr>
        <w:t>②项目立项符合</w:t>
      </w:r>
      <w:r>
        <w:rPr>
          <w:rFonts w:hint="eastAsia" w:cs="宋体"/>
          <w:color w:val="auto"/>
          <w:highlight w:val="none"/>
          <w:shd w:val="clear" w:color="auto" w:fill="auto"/>
          <w:lang w:val="en-US" w:eastAsia="zh-CN"/>
        </w:rPr>
        <w:t>昌州发改投资〖2021〗35号</w:t>
      </w:r>
      <w:r>
        <w:rPr>
          <w:rFonts w:hint="eastAsia" w:ascii="宋体" w:hAnsi="宋体" w:eastAsia="宋体" w:cs="宋体"/>
          <w:color w:val="auto"/>
          <w:highlight w:val="none"/>
          <w:shd w:val="clear" w:color="auto" w:fill="auto"/>
          <w:lang w:val="en-US" w:eastAsia="zh-CN"/>
        </w:rPr>
        <w:t>文件精神，</w:t>
      </w:r>
      <w:r>
        <w:rPr>
          <w:rFonts w:hint="eastAsia" w:cs="宋体"/>
          <w:color w:val="auto"/>
          <w:highlight w:val="none"/>
          <w:shd w:val="clear" w:color="auto" w:fill="auto"/>
          <w:lang w:val="en-US" w:eastAsia="zh-CN"/>
        </w:rPr>
        <w:t>满足社区居民公共服务和多样性生活服务为主的体系，实施昌吉州阜康市阜新街道百合村社区综合服务设施建设项目</w:t>
      </w:r>
      <w:r>
        <w:rPr>
          <w:rFonts w:hint="eastAsia"/>
          <w:color w:val="auto"/>
          <w:highlight w:val="none"/>
        </w:rPr>
        <w:t>；</w:t>
      </w:r>
    </w:p>
    <w:p>
      <w:pPr>
        <w:ind w:firstLine="560"/>
        <w:rPr>
          <w:color w:val="auto"/>
          <w:highlight w:val="none"/>
        </w:rPr>
      </w:pPr>
      <w:r>
        <w:rPr>
          <w:rFonts w:hint="eastAsia"/>
          <w:color w:val="auto"/>
          <w:highlight w:val="none"/>
        </w:rPr>
        <w:t>③项目立项与</w:t>
      </w:r>
      <w:r>
        <w:rPr>
          <w:rFonts w:hint="eastAsia" w:cs="宋体"/>
          <w:color w:val="auto"/>
          <w:highlight w:val="none"/>
          <w:shd w:val="clear" w:color="auto" w:fill="auto"/>
          <w:lang w:val="en-US" w:eastAsia="zh-CN"/>
        </w:rPr>
        <w:t>增强社区的功能和责任，把社会治安综合治理的各项措施落实到基层，进一步加强社会主义精神文明建设</w:t>
      </w:r>
      <w:r>
        <w:rPr>
          <w:rFonts w:hint="eastAsia"/>
          <w:color w:val="auto"/>
          <w:highlight w:val="none"/>
        </w:rPr>
        <w:t>，属于部门履职所需；</w:t>
      </w:r>
    </w:p>
    <w:p>
      <w:pPr>
        <w:ind w:firstLine="560"/>
        <w:rPr>
          <w:color w:val="auto"/>
          <w:highlight w:val="none"/>
        </w:rPr>
      </w:pPr>
      <w:r>
        <w:rPr>
          <w:rFonts w:hint="eastAsia"/>
          <w:color w:val="auto"/>
          <w:highlight w:val="none"/>
        </w:rPr>
        <w:t>④项目属于公共财政支持范围，符合中央、地方事权支出责任划分原则；</w:t>
      </w:r>
    </w:p>
    <w:p>
      <w:pPr>
        <w:ind w:firstLine="560"/>
        <w:rPr>
          <w:color w:val="auto"/>
          <w:highlight w:val="none"/>
        </w:rPr>
      </w:pPr>
      <w:r>
        <w:rPr>
          <w:rFonts w:hint="eastAsia"/>
          <w:color w:val="auto"/>
          <w:highlight w:val="none"/>
        </w:rPr>
        <w:t>⑤项目与相关部门同类项目或部门内部相关项目不重复。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5" w:name="_Toc21976"/>
      <w:r>
        <w:rPr>
          <w:rFonts w:hint="eastAsia"/>
          <w:b/>
          <w:bCs/>
          <w:color w:val="auto"/>
          <w:highlight w:val="none"/>
          <w:lang w:val="en-US" w:eastAsia="zh-CN"/>
        </w:rPr>
        <w:t>2.立项程序规范性</w:t>
      </w:r>
      <w:bookmarkEnd w:id="55"/>
    </w:p>
    <w:p>
      <w:pPr>
        <w:ind w:firstLine="560"/>
        <w:rPr>
          <w:color w:val="auto"/>
          <w:highlight w:val="none"/>
        </w:rPr>
      </w:pPr>
      <w:r>
        <w:rPr>
          <w:rFonts w:hint="eastAsia"/>
          <w:color w:val="auto"/>
          <w:highlight w:val="none"/>
        </w:rPr>
        <w:t>①项目按照规定的程序申请设立；</w:t>
      </w:r>
    </w:p>
    <w:p>
      <w:pPr>
        <w:ind w:firstLine="560"/>
        <w:rPr>
          <w:color w:val="auto"/>
          <w:highlight w:val="none"/>
        </w:rPr>
      </w:pPr>
      <w:r>
        <w:rPr>
          <w:rFonts w:hint="eastAsia"/>
          <w:color w:val="auto"/>
          <w:highlight w:val="none"/>
        </w:rPr>
        <w:t>②审批文件、材料符合相关要求；</w:t>
      </w:r>
    </w:p>
    <w:p>
      <w:pPr>
        <w:ind w:firstLine="560"/>
        <w:rPr>
          <w:rFonts w:hint="default" w:eastAsia="宋体"/>
          <w:color w:val="auto"/>
          <w:highlight w:val="none"/>
          <w:lang w:val="en-US" w:eastAsia="zh-CN"/>
        </w:rPr>
      </w:pPr>
      <w:r>
        <w:rPr>
          <w:rFonts w:hint="eastAsia"/>
          <w:color w:val="auto"/>
          <w:highlight w:val="none"/>
        </w:rPr>
        <w:t>③事前</w:t>
      </w:r>
      <w:r>
        <w:rPr>
          <w:rFonts w:hint="eastAsia"/>
          <w:color w:val="auto"/>
          <w:highlight w:val="none"/>
          <w:lang w:val="en-US" w:eastAsia="zh-CN"/>
        </w:rPr>
        <w:t>已</w:t>
      </w:r>
      <w:r>
        <w:rPr>
          <w:rFonts w:hint="eastAsia"/>
          <w:color w:val="auto"/>
          <w:highlight w:val="none"/>
        </w:rPr>
        <w:t>经过必要的可行性研究、专家论证、风险评估</w:t>
      </w:r>
      <w:r>
        <w:rPr>
          <w:rFonts w:hint="eastAsia"/>
          <w:color w:val="auto"/>
          <w:highlight w:val="none"/>
          <w:lang w:eastAsia="zh-CN"/>
        </w:rPr>
        <w:t>、</w:t>
      </w:r>
      <w:r>
        <w:rPr>
          <w:rFonts w:hint="eastAsia"/>
          <w:color w:val="auto"/>
          <w:highlight w:val="none"/>
          <w:lang w:val="en-US" w:eastAsia="zh-CN"/>
        </w:rPr>
        <w:t>集体决策。未经过绩效评估</w:t>
      </w:r>
      <w:r>
        <w:rPr>
          <w:rFonts w:hint="eastAsia"/>
          <w:color w:val="auto"/>
          <w:highlight w:val="none"/>
          <w:lang w:eastAsia="zh-CN"/>
        </w:rPr>
        <w:t>。</w:t>
      </w:r>
      <w:r>
        <w:rPr>
          <w:rFonts w:hint="eastAsia"/>
          <w:color w:val="auto"/>
          <w:highlight w:val="none"/>
          <w:lang w:val="en-US" w:eastAsia="zh-CN"/>
        </w:rPr>
        <w:t>扣0.5分</w:t>
      </w:r>
    </w:p>
    <w:p>
      <w:pPr>
        <w:ind w:firstLine="562"/>
        <w:rPr>
          <w:color w:val="auto"/>
          <w:highlight w:val="none"/>
        </w:rPr>
      </w:pPr>
      <w:bookmarkStart w:id="56" w:name="_Toc15382"/>
      <w:r>
        <w:rPr>
          <w:rFonts w:hint="eastAsia"/>
          <w:b/>
          <w:bCs/>
          <w:color w:val="auto"/>
          <w:highlight w:val="none"/>
        </w:rPr>
        <w:t>综上，该项指标满分3分，得分</w:t>
      </w:r>
      <w:r>
        <w:rPr>
          <w:rFonts w:hint="eastAsia"/>
          <w:b/>
          <w:bCs/>
          <w:color w:val="auto"/>
          <w:highlight w:val="none"/>
          <w:lang w:val="en-US" w:eastAsia="zh-CN"/>
        </w:rPr>
        <w:t>2.5</w:t>
      </w:r>
      <w:r>
        <w:rPr>
          <w:rFonts w:hint="eastAsia"/>
          <w:b/>
          <w:bCs/>
          <w:color w:val="auto"/>
          <w:highlight w:val="none"/>
        </w:rPr>
        <w:t>分。</w:t>
      </w:r>
    </w:p>
    <w:p>
      <w:pPr>
        <w:bidi w:val="0"/>
        <w:outlineLvl w:val="2"/>
        <w:rPr>
          <w:rFonts w:hint="default"/>
          <w:b/>
          <w:bCs/>
          <w:color w:val="auto"/>
          <w:highlight w:val="none"/>
          <w:lang w:val="en-US" w:eastAsia="zh-CN"/>
        </w:rPr>
      </w:pPr>
      <w:r>
        <w:rPr>
          <w:rFonts w:hint="eastAsia"/>
          <w:b/>
          <w:bCs/>
          <w:color w:val="auto"/>
          <w:highlight w:val="none"/>
          <w:lang w:val="en-US" w:eastAsia="zh-CN"/>
        </w:rPr>
        <w:t>3.绩效目标合理性</w:t>
      </w:r>
      <w:bookmarkEnd w:id="56"/>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w:t>
      </w:r>
      <w:r>
        <w:rPr>
          <w:rFonts w:hint="eastAsia" w:ascii="宋体" w:hAnsi="宋体" w:eastAsia="宋体" w:cs="宋体"/>
          <w:b/>
          <w:bCs/>
          <w:color w:val="auto"/>
          <w:highlight w:val="none"/>
          <w:lang w:val="en-US" w:eastAsia="zh-CN"/>
        </w:rPr>
        <w:t>满分5分，得分5分。</w:t>
      </w:r>
    </w:p>
    <w:p>
      <w:pPr>
        <w:bidi w:val="0"/>
        <w:outlineLvl w:val="2"/>
        <w:rPr>
          <w:rFonts w:hint="default"/>
          <w:b/>
          <w:bCs/>
          <w:color w:val="auto"/>
          <w:highlight w:val="none"/>
          <w:lang w:val="en-US" w:eastAsia="zh-CN"/>
        </w:rPr>
      </w:pPr>
      <w:bookmarkStart w:id="57" w:name="_Toc10650"/>
      <w:r>
        <w:rPr>
          <w:rFonts w:hint="eastAsia"/>
          <w:b/>
          <w:bCs/>
          <w:color w:val="auto"/>
          <w:highlight w:val="none"/>
          <w:lang w:val="en-US" w:eastAsia="zh-CN"/>
        </w:rPr>
        <w:t>4.绩效指标明确性</w:t>
      </w:r>
      <w:bookmarkEnd w:id="57"/>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bookmarkStart w:id="58" w:name="_Toc19401"/>
      <w:r>
        <w:rPr>
          <w:rFonts w:hint="eastAsia"/>
          <w:b/>
          <w:bCs/>
          <w:color w:val="auto"/>
          <w:highlight w:val="none"/>
          <w:lang w:val="en-US" w:eastAsia="zh-CN"/>
        </w:rPr>
        <w:t>综上，该项指标</w:t>
      </w:r>
      <w:r>
        <w:rPr>
          <w:rFonts w:hint="eastAsia" w:ascii="宋体" w:hAnsi="宋体" w:eastAsia="宋体" w:cs="宋体"/>
          <w:b/>
          <w:bCs/>
          <w:color w:val="auto"/>
          <w:highlight w:val="none"/>
          <w:lang w:val="en-US" w:eastAsia="zh-CN"/>
        </w:rPr>
        <w:t>满分5分，得分5分。</w:t>
      </w:r>
    </w:p>
    <w:p>
      <w:pPr>
        <w:bidi w:val="0"/>
        <w:outlineLvl w:val="2"/>
        <w:rPr>
          <w:rFonts w:hint="default"/>
          <w:b/>
          <w:bCs/>
          <w:color w:val="auto"/>
          <w:highlight w:val="none"/>
          <w:lang w:val="en-US" w:eastAsia="zh-CN"/>
        </w:rPr>
      </w:pPr>
      <w:r>
        <w:rPr>
          <w:rFonts w:hint="eastAsia"/>
          <w:b/>
          <w:bCs/>
          <w:color w:val="auto"/>
          <w:highlight w:val="none"/>
          <w:lang w:val="en-US" w:eastAsia="zh-CN"/>
        </w:rPr>
        <w:t>5.预算编制科学性</w:t>
      </w:r>
      <w:bookmarkEnd w:id="58"/>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ind w:firstLine="562"/>
        <w:rPr>
          <w:color w:val="auto"/>
          <w:highlight w:val="none"/>
        </w:rPr>
      </w:pPr>
      <w:bookmarkStart w:id="59" w:name="_Toc697"/>
      <w:r>
        <w:rPr>
          <w:rFonts w:hint="eastAsia"/>
          <w:b/>
          <w:bCs/>
          <w:color w:val="auto"/>
          <w:highlight w:val="none"/>
        </w:rPr>
        <w:t>综上，该项指标满分2分，得分</w:t>
      </w:r>
      <w:r>
        <w:rPr>
          <w:rFonts w:hint="eastAsia"/>
          <w:b/>
          <w:bCs/>
          <w:color w:val="auto"/>
          <w:highlight w:val="none"/>
          <w:lang w:val="en-US" w:eastAsia="zh-CN"/>
        </w:rPr>
        <w:t>3</w:t>
      </w:r>
      <w:r>
        <w:rPr>
          <w:rFonts w:hint="eastAsia"/>
          <w:b/>
          <w:bCs/>
          <w:color w:val="auto"/>
          <w:highlight w:val="none"/>
        </w:rPr>
        <w:t>分。</w:t>
      </w:r>
    </w:p>
    <w:p>
      <w:pPr>
        <w:bidi w:val="0"/>
        <w:outlineLvl w:val="2"/>
        <w:rPr>
          <w:rFonts w:hint="default"/>
          <w:b/>
          <w:bCs/>
          <w:color w:val="auto"/>
          <w:highlight w:val="none"/>
          <w:lang w:val="en-US" w:eastAsia="zh-CN"/>
        </w:rPr>
      </w:pPr>
      <w:r>
        <w:rPr>
          <w:rFonts w:hint="eastAsia"/>
          <w:b/>
          <w:bCs/>
          <w:color w:val="auto"/>
          <w:highlight w:val="none"/>
          <w:lang w:val="en-US" w:eastAsia="zh-CN"/>
        </w:rPr>
        <w:t>6.资金分配合理性</w:t>
      </w:r>
      <w:bookmarkEnd w:id="59"/>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ind w:firstLine="562"/>
        <w:rPr>
          <w:color w:val="auto"/>
          <w:highlight w:val="none"/>
        </w:rPr>
      </w:pPr>
      <w:bookmarkStart w:id="60" w:name="_Toc11361"/>
      <w:r>
        <w:rPr>
          <w:rFonts w:hint="eastAsia"/>
          <w:b/>
          <w:bCs/>
          <w:color w:val="auto"/>
          <w:highlight w:val="none"/>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0"/>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widowControl/>
        <w:snapToGrid w:val="0"/>
        <w:ind w:firstLine="0" w:firstLineChars="0"/>
        <w:jc w:val="center"/>
        <w:rPr>
          <w:b/>
          <w:bCs/>
          <w:color w:val="auto"/>
          <w:kern w:val="0"/>
          <w:highlight w:val="none"/>
        </w:rPr>
      </w:pPr>
      <w:bookmarkStart w:id="61" w:name="_Toc18691"/>
      <w:r>
        <w:rPr>
          <w:rFonts w:hint="eastAsia"/>
          <w:b/>
          <w:bCs/>
          <w:color w:val="auto"/>
          <w:kern w:val="0"/>
          <w:highlight w:val="none"/>
          <w:lang w:val="zh-TW" w:eastAsia="zh-TW"/>
        </w:rPr>
        <w:t>表</w:t>
      </w:r>
      <w:r>
        <w:rPr>
          <w:rFonts w:hint="eastAsia"/>
          <w:b/>
          <w:bCs/>
          <w:color w:val="auto"/>
          <w:kern w:val="0"/>
          <w:highlight w:val="none"/>
        </w:rPr>
        <w:t>4-2</w:t>
      </w:r>
      <w:r>
        <w:rPr>
          <w:rFonts w:hint="eastAsia"/>
          <w:b/>
          <w:bCs/>
          <w:color w:val="auto"/>
          <w:kern w:val="0"/>
          <w:highlight w:val="none"/>
          <w:lang w:val="zh-TW" w:eastAsia="zh-TW"/>
        </w:rPr>
        <w:t>项目</w:t>
      </w:r>
      <w:r>
        <w:rPr>
          <w:rFonts w:hint="eastAsia"/>
          <w:b/>
          <w:bCs/>
          <w:color w:val="auto"/>
          <w:kern w:val="0"/>
          <w:highlight w:val="none"/>
          <w:lang w:val="zh-TW"/>
        </w:rPr>
        <w:t>管理</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1"/>
        <w:tblW w:w="8317" w:type="dxa"/>
        <w:jc w:val="center"/>
        <w:tblInd w:w="0" w:type="dxa"/>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20</w:t>
            </w:r>
          </w:p>
        </w:tc>
      </w:tr>
    </w:tbl>
    <w:p>
      <w:pPr>
        <w:ind w:firstLine="562"/>
        <w:rPr>
          <w:b/>
          <w:bCs/>
          <w:color w:val="auto"/>
          <w:highlight w:val="none"/>
        </w:rPr>
      </w:pPr>
      <w:r>
        <w:rPr>
          <w:rFonts w:hint="eastAsia"/>
          <w:b/>
          <w:bCs/>
          <w:color w:val="auto"/>
          <w:highlight w:val="none"/>
        </w:rPr>
        <w:t>1.资金到位率</w:t>
      </w:r>
    </w:p>
    <w:p>
      <w:pPr>
        <w:ind w:firstLine="560"/>
        <w:rPr>
          <w:rFonts w:hint="default"/>
          <w:color w:val="auto"/>
          <w:highlight w:val="none"/>
          <w:lang w:val="en-US" w:eastAsia="zh-CN"/>
        </w:rPr>
      </w:pPr>
      <w:r>
        <w:rPr>
          <w:rFonts w:hint="eastAsia"/>
          <w:color w:val="auto"/>
          <w:highlight w:val="none"/>
        </w:rPr>
        <w:t>资金到位率=（</w:t>
      </w:r>
      <w:r>
        <w:rPr>
          <w:rFonts w:hint="eastAsia"/>
          <w:color w:val="auto"/>
          <w:highlight w:val="none"/>
          <w:lang w:val="en-US" w:eastAsia="zh-CN"/>
        </w:rPr>
        <w:t>175万元</w:t>
      </w:r>
      <w:r>
        <w:rPr>
          <w:rFonts w:hint="eastAsia"/>
          <w:color w:val="auto"/>
          <w:highlight w:val="none"/>
        </w:rPr>
        <w:t>/</w:t>
      </w:r>
      <w:r>
        <w:rPr>
          <w:rFonts w:hint="eastAsia"/>
          <w:color w:val="auto"/>
          <w:highlight w:val="none"/>
          <w:lang w:val="en-US" w:eastAsia="zh-CN"/>
        </w:rPr>
        <w:t>175万元</w:t>
      </w:r>
      <w:r>
        <w:rPr>
          <w:rFonts w:hint="eastAsia"/>
          <w:color w:val="auto"/>
          <w:highlight w:val="none"/>
        </w:rPr>
        <w:t>）×100%。=</w:t>
      </w:r>
      <w:r>
        <w:rPr>
          <w:rFonts w:hint="eastAsia"/>
          <w:color w:val="auto"/>
          <w:highlight w:val="none"/>
          <w:lang w:val="en-US" w:eastAsia="zh-CN"/>
        </w:rPr>
        <w:t>100%</w:t>
      </w:r>
    </w:p>
    <w:p>
      <w:pPr>
        <w:ind w:firstLine="562"/>
        <w:rPr>
          <w:color w:val="auto"/>
          <w:highlight w:val="none"/>
        </w:rPr>
      </w:pPr>
      <w:r>
        <w:rPr>
          <w:rFonts w:hint="eastAsia"/>
          <w:b/>
          <w:bCs/>
          <w:color w:val="auto"/>
          <w:highlight w:val="none"/>
        </w:rPr>
        <w:t>综上，该项指标满分4分，得分4分。</w:t>
      </w:r>
    </w:p>
    <w:p>
      <w:pPr>
        <w:ind w:firstLine="562"/>
        <w:rPr>
          <w:b/>
          <w:bCs/>
          <w:color w:val="auto"/>
          <w:highlight w:val="none"/>
        </w:rPr>
      </w:pPr>
      <w:r>
        <w:rPr>
          <w:rFonts w:hint="eastAsia"/>
          <w:b/>
          <w:bCs/>
          <w:color w:val="auto"/>
          <w:highlight w:val="none"/>
        </w:rPr>
        <w:t>2.预算执行率</w:t>
      </w:r>
    </w:p>
    <w:p>
      <w:pPr>
        <w:ind w:firstLine="560"/>
        <w:rPr>
          <w:rFonts w:hint="eastAsia"/>
          <w:color w:val="auto"/>
          <w:highlight w:val="none"/>
        </w:rPr>
      </w:pPr>
      <w:r>
        <w:rPr>
          <w:rFonts w:hint="eastAsia"/>
          <w:color w:val="auto"/>
          <w:highlight w:val="none"/>
        </w:rPr>
        <w:t>预算执行率=（</w:t>
      </w:r>
      <w:r>
        <w:rPr>
          <w:rFonts w:hint="eastAsia"/>
          <w:color w:val="auto"/>
          <w:highlight w:val="none"/>
          <w:lang w:val="en-US" w:eastAsia="zh-CN"/>
        </w:rPr>
        <w:t>175万元</w:t>
      </w:r>
      <w:r>
        <w:rPr>
          <w:rFonts w:hint="eastAsia"/>
          <w:color w:val="auto"/>
          <w:highlight w:val="none"/>
        </w:rPr>
        <w:t>/</w:t>
      </w:r>
      <w:r>
        <w:rPr>
          <w:rFonts w:hint="eastAsia"/>
          <w:color w:val="auto"/>
          <w:highlight w:val="none"/>
          <w:lang w:val="en-US" w:eastAsia="zh-CN"/>
        </w:rPr>
        <w:t>175万元</w:t>
      </w:r>
      <w:r>
        <w:rPr>
          <w:rFonts w:hint="eastAsia"/>
          <w:color w:val="auto"/>
          <w:highlight w:val="none"/>
        </w:rPr>
        <w:t>）×100%。=</w:t>
      </w:r>
      <w:r>
        <w:rPr>
          <w:rFonts w:hint="eastAsia"/>
          <w:color w:val="auto"/>
          <w:highlight w:val="none"/>
          <w:lang w:val="en-US" w:eastAsia="zh-CN"/>
        </w:rPr>
        <w:t>100</w:t>
      </w:r>
      <w:r>
        <w:rPr>
          <w:rFonts w:hint="eastAsia"/>
          <w:color w:val="auto"/>
          <w:highlight w:val="none"/>
        </w:rPr>
        <w:t>%</w:t>
      </w:r>
    </w:p>
    <w:p>
      <w:pPr>
        <w:ind w:firstLine="562"/>
        <w:rPr>
          <w:color w:val="auto"/>
          <w:highlight w:val="none"/>
        </w:rPr>
      </w:pPr>
      <w:r>
        <w:rPr>
          <w:rFonts w:hint="eastAsia"/>
          <w:b/>
          <w:bCs/>
          <w:color w:val="auto"/>
          <w:highlight w:val="none"/>
        </w:rPr>
        <w:t>综上，该项指标满分4分，得分4分。</w:t>
      </w:r>
    </w:p>
    <w:p>
      <w:pPr>
        <w:bidi w:val="0"/>
        <w:outlineLvl w:val="2"/>
        <w:rPr>
          <w:rFonts w:hint="default"/>
          <w:b/>
          <w:bCs/>
          <w:color w:val="auto"/>
          <w:highlight w:val="none"/>
          <w:lang w:val="en-US" w:eastAsia="zh-CN"/>
        </w:rPr>
      </w:pPr>
      <w:r>
        <w:rPr>
          <w:rFonts w:hint="eastAsia"/>
          <w:b/>
          <w:bCs/>
          <w:color w:val="auto"/>
          <w:highlight w:val="none"/>
          <w:lang w:val="en-US" w:eastAsia="zh-CN"/>
        </w:rPr>
        <w:t>3.资金使用合规性</w:t>
      </w:r>
      <w:bookmarkEnd w:id="61"/>
    </w:p>
    <w:p>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阜新街道财务管理制度》《阜新街道专项资金管理制度》《阜新街道预决算管理制度》</w:t>
      </w:r>
      <w:r>
        <w:rPr>
          <w:rFonts w:hint="eastAsia"/>
          <w:color w:val="auto"/>
          <w:highlight w:val="none"/>
          <w:lang w:eastAsia="zh-CN"/>
        </w:rPr>
        <w:t>及有关专项资金管理办法的规定；</w:t>
      </w:r>
    </w:p>
    <w:p>
      <w:pPr>
        <w:ind w:firstLine="560"/>
        <w:rPr>
          <w:color w:val="auto"/>
          <w:highlight w:val="none"/>
        </w:rPr>
      </w:pPr>
      <w:r>
        <w:rPr>
          <w:rFonts w:hint="eastAsia"/>
          <w:color w:val="auto"/>
          <w:highlight w:val="none"/>
        </w:rPr>
        <w:t>②资金的拨付有完整的审批程序和手续；</w:t>
      </w:r>
    </w:p>
    <w:p>
      <w:pPr>
        <w:ind w:firstLine="560"/>
        <w:rPr>
          <w:color w:val="auto"/>
          <w:highlight w:val="none"/>
        </w:rPr>
      </w:pPr>
      <w:r>
        <w:rPr>
          <w:rFonts w:hint="eastAsia"/>
          <w:color w:val="auto"/>
          <w:highlight w:val="none"/>
        </w:rPr>
        <w:t>③符合项目预算批复或合同规定的用途；</w:t>
      </w:r>
    </w:p>
    <w:p>
      <w:pPr>
        <w:ind w:firstLine="560"/>
        <w:rPr>
          <w:color w:val="auto"/>
          <w:highlight w:val="none"/>
        </w:rPr>
      </w:pPr>
      <w:r>
        <w:rPr>
          <w:rFonts w:hint="eastAsia"/>
          <w:color w:val="auto"/>
          <w:highlight w:val="none"/>
        </w:rPr>
        <w:t>④不存在截留、挤占、挪用、虚列支出等情况。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w:t>
      </w:r>
      <w:r>
        <w:rPr>
          <w:rFonts w:hint="eastAsia" w:ascii="宋体" w:hAnsi="宋体" w:eastAsia="宋体" w:cs="宋体"/>
          <w:b/>
          <w:bCs/>
          <w:color w:val="auto"/>
          <w:highlight w:val="none"/>
          <w:lang w:val="en-US" w:eastAsia="zh-CN"/>
        </w:rPr>
        <w:t>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ind w:firstLine="560"/>
        <w:rPr>
          <w:color w:val="auto"/>
          <w:highlight w:val="none"/>
        </w:rPr>
      </w:pPr>
      <w:r>
        <w:rPr>
          <w:rFonts w:hint="eastAsia"/>
          <w:color w:val="auto"/>
          <w:highlight w:val="none"/>
        </w:rPr>
        <w:t>①已制定</w:t>
      </w:r>
      <w:r>
        <w:rPr>
          <w:rFonts w:hint="eastAsia"/>
          <w:color w:val="auto"/>
          <w:highlight w:val="none"/>
          <w:lang w:eastAsia="zh-CN"/>
        </w:rPr>
        <w:t>《阜新街道</w:t>
      </w:r>
      <w:r>
        <w:rPr>
          <w:rFonts w:hint="eastAsia"/>
          <w:color w:val="auto"/>
          <w:highlight w:val="none"/>
        </w:rPr>
        <w:t>财务管理制度</w:t>
      </w:r>
      <w:r>
        <w:rPr>
          <w:rFonts w:hint="eastAsia"/>
          <w:color w:val="auto"/>
          <w:highlight w:val="none"/>
          <w:lang w:eastAsia="zh-CN"/>
        </w:rPr>
        <w:t>》、《阜新街道</w:t>
      </w:r>
      <w:r>
        <w:rPr>
          <w:rFonts w:hint="eastAsia"/>
          <w:color w:val="auto"/>
          <w:highlight w:val="none"/>
        </w:rPr>
        <w:t>专项资金管理制度</w:t>
      </w:r>
      <w:r>
        <w:rPr>
          <w:rFonts w:hint="eastAsia"/>
          <w:color w:val="auto"/>
          <w:highlight w:val="none"/>
          <w:lang w:eastAsia="zh-CN"/>
        </w:rPr>
        <w:t>》、《</w:t>
      </w:r>
      <w:r>
        <w:rPr>
          <w:rFonts w:hint="eastAsia"/>
          <w:color w:val="auto"/>
          <w:highlight w:val="none"/>
        </w:rPr>
        <w:t>阜新街财经管理制度</w:t>
      </w:r>
      <w:r>
        <w:rPr>
          <w:rFonts w:hint="eastAsia"/>
          <w:color w:val="auto"/>
          <w:highlight w:val="none"/>
          <w:lang w:eastAsia="zh-CN"/>
        </w:rPr>
        <w:t>、《阜新街道</w:t>
      </w:r>
      <w:r>
        <w:rPr>
          <w:rFonts w:hint="eastAsia"/>
          <w:color w:val="auto"/>
          <w:highlight w:val="none"/>
        </w:rPr>
        <w:t>资产管理制度</w:t>
      </w:r>
      <w:r>
        <w:rPr>
          <w:rFonts w:hint="eastAsia"/>
          <w:color w:val="auto"/>
          <w:highlight w:val="none"/>
          <w:lang w:eastAsia="zh-CN"/>
        </w:rPr>
        <w:t>》、《阜新街道</w:t>
      </w:r>
      <w:r>
        <w:rPr>
          <w:rFonts w:hint="eastAsia"/>
          <w:color w:val="auto"/>
          <w:highlight w:val="none"/>
        </w:rPr>
        <w:t>内部控制制度</w:t>
      </w:r>
      <w:r>
        <w:rPr>
          <w:rFonts w:hint="eastAsia"/>
          <w:color w:val="auto"/>
          <w:highlight w:val="none"/>
          <w:lang w:eastAsia="zh-CN"/>
        </w:rPr>
        <w:t>》</w:t>
      </w:r>
      <w:r>
        <w:rPr>
          <w:rFonts w:hint="eastAsia"/>
          <w:color w:val="auto"/>
          <w:highlight w:val="none"/>
        </w:rPr>
        <w:t>等。</w:t>
      </w:r>
    </w:p>
    <w:p>
      <w:pPr>
        <w:ind w:firstLine="560"/>
        <w:rPr>
          <w:color w:val="auto"/>
          <w:highlight w:val="none"/>
        </w:rPr>
      </w:pPr>
      <w:r>
        <w:rPr>
          <w:rFonts w:hint="eastAsia"/>
          <w:color w:val="auto"/>
          <w:highlight w:val="none"/>
        </w:rPr>
        <w:t>②财务和业务管理制度合法、合规、完整。</w:t>
      </w:r>
    </w:p>
    <w:p>
      <w:pPr>
        <w:bidi w:val="0"/>
        <w:rPr>
          <w:rFonts w:hint="eastAsia"/>
          <w:color w:val="auto"/>
          <w:highlight w:val="none"/>
          <w:lang w:eastAsia="zh-CN"/>
        </w:rPr>
      </w:pPr>
      <w:bookmarkStart w:id="62" w:name="_Toc31684"/>
      <w:r>
        <w:rPr>
          <w:rFonts w:hint="eastAsia"/>
          <w:b/>
          <w:bCs/>
          <w:color w:val="auto"/>
          <w:highlight w:val="none"/>
          <w:lang w:val="en-US" w:eastAsia="zh-CN"/>
        </w:rPr>
        <w:t>综上，该项指</w:t>
      </w:r>
      <w:r>
        <w:rPr>
          <w:rFonts w:hint="eastAsia" w:ascii="宋体" w:hAnsi="宋体" w:eastAsia="宋体" w:cs="宋体"/>
          <w:b/>
          <w:bCs/>
          <w:color w:val="auto"/>
          <w:highlight w:val="none"/>
          <w:lang w:val="en-US" w:eastAsia="zh-CN"/>
        </w:rPr>
        <w:t>标满分4分，得分4分。</w:t>
      </w:r>
    </w:p>
    <w:p>
      <w:pPr>
        <w:bidi w:val="0"/>
        <w:ind w:left="1403" w:leftChars="200" w:hanging="843" w:hangingChars="300"/>
        <w:outlineLvl w:val="2"/>
        <w:rPr>
          <w:rFonts w:hint="eastAsia"/>
          <w:b/>
          <w:bCs/>
          <w:color w:val="auto"/>
          <w:highlight w:val="none"/>
          <w:lang w:val="en-US" w:eastAsia="zh-CN"/>
        </w:rPr>
      </w:pPr>
      <w:r>
        <w:rPr>
          <w:rFonts w:hint="eastAsia"/>
          <w:b/>
          <w:bCs/>
          <w:color w:val="auto"/>
          <w:highlight w:val="none"/>
          <w:lang w:val="en-US" w:eastAsia="zh-CN"/>
        </w:rPr>
        <w:t>5.制度执行有效性</w:t>
      </w:r>
      <w:bookmarkEnd w:id="62"/>
    </w:p>
    <w:p>
      <w:pPr>
        <w:ind w:firstLine="560"/>
        <w:rPr>
          <w:color w:val="auto"/>
          <w:highlight w:val="none"/>
        </w:rPr>
      </w:pPr>
      <w:r>
        <w:rPr>
          <w:rFonts w:hint="eastAsia"/>
          <w:color w:val="auto"/>
          <w:highlight w:val="none"/>
        </w:rPr>
        <w:t>①遵守相关法律法规和相关管理规定；</w:t>
      </w:r>
    </w:p>
    <w:p>
      <w:pPr>
        <w:ind w:firstLine="560"/>
        <w:rPr>
          <w:color w:val="auto"/>
          <w:highlight w:val="none"/>
        </w:rPr>
      </w:pPr>
      <w:r>
        <w:rPr>
          <w:rFonts w:hint="eastAsia"/>
          <w:color w:val="auto"/>
          <w:highlight w:val="none"/>
        </w:rPr>
        <w:t>②</w:t>
      </w:r>
      <w:r>
        <w:rPr>
          <w:rFonts w:hint="eastAsia" w:ascii="宋体" w:hAnsi="宋体" w:eastAsia="宋体" w:cs="宋体"/>
          <w:b w:val="0"/>
          <w:bCs w:val="0"/>
          <w:color w:val="auto"/>
          <w:kern w:val="2"/>
          <w:sz w:val="28"/>
          <w:szCs w:val="24"/>
          <w:highlight w:val="none"/>
          <w:shd w:val="clear" w:color="auto" w:fill="auto"/>
          <w:lang w:val="en-US" w:eastAsia="zh-CN" w:bidi="ar-SA"/>
        </w:rPr>
        <w:t>阜新街道百合村社区综合服务实施建设项目</w:t>
      </w:r>
      <w:r>
        <w:rPr>
          <w:rFonts w:hint="eastAsia"/>
          <w:color w:val="auto"/>
          <w:highlight w:val="none"/>
          <w:lang w:val="en-US" w:eastAsia="zh-CN"/>
        </w:rPr>
        <w:t>未</w:t>
      </w:r>
      <w:r>
        <w:rPr>
          <w:rFonts w:hint="eastAsia"/>
          <w:color w:val="auto"/>
          <w:highlight w:val="none"/>
        </w:rPr>
        <w:t>调整</w:t>
      </w:r>
      <w:r>
        <w:rPr>
          <w:rFonts w:hint="eastAsia"/>
          <w:color w:val="auto"/>
          <w:highlight w:val="none"/>
          <w:lang w:val="en-US" w:eastAsia="zh-CN"/>
        </w:rPr>
        <w:t>项目和支出</w:t>
      </w:r>
      <w:r>
        <w:rPr>
          <w:rFonts w:hint="eastAsia"/>
          <w:color w:val="auto"/>
          <w:highlight w:val="none"/>
        </w:rPr>
        <w:t>；</w:t>
      </w:r>
    </w:p>
    <w:p>
      <w:pPr>
        <w:ind w:firstLine="560"/>
        <w:rPr>
          <w:color w:val="auto"/>
          <w:highlight w:val="none"/>
        </w:rPr>
      </w:pPr>
      <w:r>
        <w:rPr>
          <w:rFonts w:hint="eastAsia"/>
          <w:color w:val="auto"/>
          <w:highlight w:val="none"/>
        </w:rPr>
        <w:t>③项目合同书、</w:t>
      </w:r>
      <w:r>
        <w:rPr>
          <w:rFonts w:hint="eastAsia"/>
          <w:color w:val="auto"/>
          <w:highlight w:val="none"/>
          <w:lang w:eastAsia="zh-CN"/>
        </w:rPr>
        <w:t>《</w:t>
      </w:r>
      <w:r>
        <w:rPr>
          <w:rFonts w:hint="eastAsia" w:ascii="宋体" w:hAnsi="宋体" w:eastAsia="宋体" w:cs="宋体"/>
          <w:b w:val="0"/>
          <w:bCs w:val="0"/>
          <w:color w:val="auto"/>
          <w:kern w:val="2"/>
          <w:sz w:val="28"/>
          <w:szCs w:val="24"/>
          <w:highlight w:val="none"/>
          <w:shd w:val="clear" w:color="auto" w:fill="auto"/>
          <w:lang w:val="en-US" w:eastAsia="zh-CN" w:bidi="ar-SA"/>
        </w:rPr>
        <w:t>昌吉州阜康市阜新街道百合村社区综合服务实施建设项目竣工</w:t>
      </w:r>
      <w:r>
        <w:rPr>
          <w:rFonts w:hint="eastAsia"/>
          <w:color w:val="auto"/>
          <w:highlight w:val="none"/>
        </w:rPr>
        <w:t>验收报告</w:t>
      </w:r>
      <w:r>
        <w:rPr>
          <w:rFonts w:hint="eastAsia"/>
          <w:color w:val="auto"/>
          <w:highlight w:val="none"/>
          <w:lang w:eastAsia="zh-CN"/>
        </w:rPr>
        <w:t>》</w:t>
      </w:r>
      <w:r>
        <w:rPr>
          <w:rFonts w:hint="eastAsia"/>
          <w:color w:val="auto"/>
          <w:highlight w:val="none"/>
        </w:rPr>
        <w:t>、</w:t>
      </w:r>
      <w:r>
        <w:rPr>
          <w:rFonts w:hint="eastAsia"/>
          <w:color w:val="auto"/>
          <w:highlight w:val="none"/>
          <w:lang w:eastAsia="zh-CN"/>
        </w:rPr>
        <w:t>《</w:t>
      </w:r>
      <w:r>
        <w:rPr>
          <w:rFonts w:hint="eastAsia" w:ascii="宋体" w:hAnsi="宋体" w:eastAsia="宋体" w:cs="宋体"/>
          <w:b w:val="0"/>
          <w:bCs w:val="0"/>
          <w:color w:val="auto"/>
          <w:kern w:val="2"/>
          <w:sz w:val="28"/>
          <w:szCs w:val="24"/>
          <w:highlight w:val="none"/>
          <w:shd w:val="clear" w:color="auto" w:fill="auto"/>
          <w:lang w:val="en-US" w:eastAsia="zh-CN" w:bidi="ar-SA"/>
        </w:rPr>
        <w:t>昌吉州阜康市阜新街道百合村社区综合服务实施建设项目建设工程竣工规划认可书》、</w:t>
      </w:r>
      <w:r>
        <w:rPr>
          <w:rFonts w:hint="eastAsia"/>
          <w:color w:val="auto"/>
          <w:highlight w:val="none"/>
        </w:rPr>
        <w:t>技术鉴定等资料齐全并及时归档；</w:t>
      </w:r>
    </w:p>
    <w:p>
      <w:pPr>
        <w:pStyle w:val="6"/>
        <w:rPr>
          <w:rFonts w:hint="eastAsia"/>
          <w:color w:val="auto"/>
          <w:highlight w:val="none"/>
        </w:rPr>
      </w:pPr>
      <w:r>
        <w:rPr>
          <w:rFonts w:hint="eastAsia"/>
          <w:color w:val="auto"/>
          <w:highlight w:val="none"/>
        </w:rPr>
        <w:t>④项目实施</w:t>
      </w:r>
      <w:r>
        <w:rPr>
          <w:rFonts w:hint="eastAsia"/>
          <w:color w:val="auto"/>
          <w:highlight w:val="none"/>
          <w:lang w:val="en-US" w:eastAsia="zh-CN"/>
        </w:rPr>
        <w:t>聘请具有相应资质的团队编制了可行性研究报告，并完成了论证，初步涉及及施工图设计都由甲级资质设计院完成，并审图合格。通过公开招标方式确定施工单位及监理单位，在项目实施过程中项目经理及安全员等配备齐全、与此同时委托全过程造价咨询公司进行全流程跟踪审计，确保项目的安全有序推进。</w:t>
      </w:r>
      <w:r>
        <w:rPr>
          <w:rFonts w:hint="eastAsia"/>
          <w:color w:val="auto"/>
          <w:highlight w:val="none"/>
        </w:rPr>
        <w:t>。</w:t>
      </w:r>
    </w:p>
    <w:p>
      <w:pPr>
        <w:bidi w:val="0"/>
        <w:ind w:left="0" w:leftChars="0" w:firstLine="843" w:firstLineChars="300"/>
        <w:rPr>
          <w:rFonts w:hint="eastAsia" w:ascii="宋体" w:hAnsi="宋体" w:eastAsia="宋体" w:cs="宋体"/>
          <w:b/>
          <w:bCs/>
          <w:color w:val="auto"/>
          <w:highlight w:val="none"/>
          <w:lang w:val="en-US" w:eastAsia="zh-CN"/>
        </w:rPr>
      </w:pPr>
      <w:r>
        <w:rPr>
          <w:rFonts w:hint="eastAsia"/>
          <w:b/>
          <w:bCs/>
          <w:color w:val="auto"/>
          <w:highlight w:val="none"/>
          <w:lang w:val="en-US" w:eastAsia="zh-CN"/>
        </w:rPr>
        <w:t>综上，该项指标满分</w:t>
      </w:r>
      <w:r>
        <w:rPr>
          <w:rFonts w:hint="eastAsia" w:ascii="宋体" w:hAnsi="宋体" w:eastAsia="宋体" w:cs="宋体"/>
          <w:b/>
          <w:bCs/>
          <w:color w:val="auto"/>
          <w:highlight w:val="none"/>
          <w:lang w:val="en-US" w:eastAsia="zh-CN"/>
        </w:rPr>
        <w:t>4分，得分4分。</w:t>
      </w:r>
    </w:p>
    <w:p>
      <w:pPr>
        <w:pStyle w:val="4"/>
        <w:spacing w:line="360" w:lineRule="auto"/>
        <w:ind w:left="560" w:leftChars="200" w:firstLine="0" w:firstLineChars="0"/>
        <w:rPr>
          <w:rFonts w:ascii="宋体" w:hAnsi="宋体" w:eastAsia="宋体"/>
          <w:color w:val="auto"/>
          <w:highlight w:val="none"/>
        </w:rPr>
      </w:pPr>
      <w:bookmarkStart w:id="63" w:name="_Toc11067"/>
      <w:r>
        <w:rPr>
          <w:rFonts w:hint="eastAsia" w:ascii="宋体" w:hAnsi="宋体" w:eastAsia="宋体"/>
          <w:color w:val="auto"/>
          <w:highlight w:val="none"/>
        </w:rPr>
        <w:t>（三）项目产出情况</w:t>
      </w:r>
    </w:p>
    <w:p>
      <w:pPr>
        <w:ind w:firstLine="560"/>
        <w:rPr>
          <w:color w:val="auto"/>
          <w:highlight w:val="none"/>
          <w:u w:color="000000"/>
          <w:lang w:val="zh-TW" w:eastAsia="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lang w:val="en-US" w:eastAsia="zh-CN"/>
        </w:rPr>
        <w:t>4</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lang w:val="en-US" w:eastAsia="zh-CN"/>
        </w:rPr>
        <w:t>6</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lang w:val="en-US" w:eastAsia="zh-CN"/>
        </w:rPr>
        <w:t>30</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4-3</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widowControl/>
        <w:snapToGrid w:val="0"/>
        <w:spacing w:line="240" w:lineRule="auto"/>
        <w:ind w:firstLine="0" w:firstLineChars="0"/>
        <w:jc w:val="center"/>
        <w:rPr>
          <w:b/>
          <w:bCs/>
          <w:color w:val="auto"/>
          <w:kern w:val="0"/>
          <w:highlight w:val="none"/>
          <w:lang w:val="zh-TW"/>
        </w:rPr>
      </w:pPr>
    </w:p>
    <w:p>
      <w:pPr>
        <w:widowControl/>
        <w:snapToGrid w:val="0"/>
        <w:ind w:firstLine="0" w:firstLineChars="0"/>
        <w:jc w:val="center"/>
        <w:rPr>
          <w:b/>
          <w:bCs/>
          <w:color w:val="auto"/>
          <w:kern w:val="0"/>
          <w:highlight w:val="none"/>
        </w:rPr>
      </w:pPr>
      <w:r>
        <w:rPr>
          <w:rFonts w:hint="eastAsia"/>
          <w:b/>
          <w:bCs/>
          <w:color w:val="auto"/>
          <w:kern w:val="0"/>
          <w:highlight w:val="none"/>
          <w:lang w:val="zh-TW" w:eastAsia="zh-TW"/>
        </w:rPr>
        <w:t>表</w:t>
      </w:r>
      <w:r>
        <w:rPr>
          <w:rFonts w:hint="eastAsia"/>
          <w:b/>
          <w:bCs/>
          <w:color w:val="auto"/>
          <w:kern w:val="0"/>
          <w:highlight w:val="none"/>
        </w:rPr>
        <w:t>4-3项目产出</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4"/>
        <w:gridCol w:w="928"/>
        <w:gridCol w:w="2644"/>
        <w:gridCol w:w="1659"/>
        <w:gridCol w:w="336"/>
        <w:gridCol w:w="136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一级指标</w:t>
            </w:r>
          </w:p>
        </w:tc>
        <w:tc>
          <w:tcPr>
            <w:tcW w:w="928"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264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1659"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年度指标值</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标杆分值</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全年实际完成值</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9" w:hRule="atLeast"/>
        </w:trPr>
        <w:tc>
          <w:tcPr>
            <w:tcW w:w="634" w:type="dxa"/>
            <w:vMerge w:val="restart"/>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产出</w:t>
            </w:r>
          </w:p>
        </w:tc>
        <w:tc>
          <w:tcPr>
            <w:tcW w:w="928" w:type="dxa"/>
            <w:vMerge w:val="restart"/>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数量指标</w:t>
            </w:r>
          </w:p>
        </w:tc>
        <w:tc>
          <w:tcPr>
            <w:tcW w:w="264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综合服务设施的修建总面积</w:t>
            </w:r>
          </w:p>
        </w:tc>
        <w:tc>
          <w:tcPr>
            <w:tcW w:w="1659"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lang w:val="en-US" w:eastAsia="zh-CN"/>
              </w:rPr>
              <w:t>≧1000平方米</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lang w:eastAsia="zh-CN"/>
              </w:rPr>
            </w:pPr>
            <w:r>
              <w:rPr>
                <w:rFonts w:hint="eastAsia"/>
                <w:color w:val="auto"/>
                <w:kern w:val="0"/>
                <w:sz w:val="20"/>
                <w:szCs w:val="20"/>
                <w:highlight w:val="none"/>
                <w:lang w:val="en-US" w:eastAsia="zh-CN"/>
              </w:rPr>
              <w:t>1000平方米</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7" w:hRule="atLeast"/>
        </w:trPr>
        <w:tc>
          <w:tcPr>
            <w:tcW w:w="634"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highlight w:val="none"/>
              </w:rPr>
            </w:pPr>
          </w:p>
        </w:tc>
        <w:tc>
          <w:tcPr>
            <w:tcW w:w="928"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highlight w:val="none"/>
              </w:rPr>
            </w:pPr>
          </w:p>
        </w:tc>
        <w:tc>
          <w:tcPr>
            <w:tcW w:w="2644" w:type="dxa"/>
            <w:shd w:val="clear" w:color="auto" w:fill="auto"/>
            <w:tcMar>
              <w:top w:w="15" w:type="dxa"/>
              <w:left w:w="15" w:type="dxa"/>
              <w:right w:w="15" w:type="dxa"/>
            </w:tcMar>
            <w:vAlign w:val="center"/>
          </w:tcPr>
          <w:p>
            <w:pPr>
              <w:keepNext w:val="0"/>
              <w:keepLines w:val="0"/>
              <w:widowControl/>
              <w:suppressLineNumbers w:val="0"/>
              <w:shd w:val="clear"/>
              <w:ind w:firstLine="400" w:firstLineChars="200"/>
              <w:jc w:val="center"/>
              <w:textAlignment w:val="center"/>
              <w:rPr>
                <w:rFonts w:hint="eastAsia"/>
                <w:color w:val="auto"/>
                <w:kern w:val="0"/>
                <w:sz w:val="20"/>
                <w:szCs w:val="20"/>
                <w:highlight w:val="none"/>
              </w:rPr>
            </w:pPr>
            <w:r>
              <w:rPr>
                <w:rFonts w:hint="eastAsia" w:ascii="宋体" w:hAnsi="宋体" w:eastAsia="宋体" w:cs="宋体"/>
                <w:i w:val="0"/>
                <w:color w:val="auto"/>
                <w:kern w:val="0"/>
                <w:sz w:val="20"/>
                <w:szCs w:val="20"/>
                <w:highlight w:val="none"/>
                <w:u w:val="none"/>
                <w:lang w:val="en-US" w:eastAsia="zh-CN" w:bidi="ar"/>
              </w:rPr>
              <w:t>铺设线路设备安装</w:t>
            </w:r>
          </w:p>
        </w:tc>
        <w:tc>
          <w:tcPr>
            <w:tcW w:w="1659" w:type="dxa"/>
            <w:shd w:val="clear" w:color="auto" w:fill="auto"/>
            <w:tcMar>
              <w:top w:w="15" w:type="dxa"/>
              <w:left w:w="15" w:type="dxa"/>
              <w:right w:w="15" w:type="dxa"/>
            </w:tcMar>
            <w:vAlign w:val="center"/>
          </w:tcPr>
          <w:p>
            <w:pPr>
              <w:keepNext w:val="0"/>
              <w:keepLines w:val="0"/>
              <w:widowControl/>
              <w:suppressLineNumbers w:val="0"/>
              <w:shd w:val="clear"/>
              <w:ind w:firstLine="400" w:firstLineChars="200"/>
              <w:jc w:val="center"/>
              <w:textAlignment w:val="center"/>
              <w:rPr>
                <w:rFonts w:hint="eastAsia"/>
                <w:color w:val="auto"/>
                <w:kern w:val="0"/>
                <w:sz w:val="20"/>
                <w:szCs w:val="20"/>
                <w:highlight w:val="none"/>
              </w:rPr>
            </w:pPr>
            <w:r>
              <w:rPr>
                <w:rFonts w:hint="eastAsia" w:ascii="宋体" w:hAnsi="宋体" w:eastAsia="宋体" w:cs="宋体"/>
                <w:i w:val="0"/>
                <w:color w:val="auto"/>
                <w:kern w:val="0"/>
                <w:sz w:val="20"/>
                <w:szCs w:val="20"/>
                <w:highlight w:val="none"/>
                <w:u w:val="none"/>
                <w:lang w:val="en-US" w:eastAsia="zh-CN" w:bidi="ar"/>
              </w:rPr>
              <w:t>≧1000米</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5</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1000米</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0" w:hRule="atLeast"/>
        </w:trPr>
        <w:tc>
          <w:tcPr>
            <w:tcW w:w="634"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p>
        </w:tc>
        <w:tc>
          <w:tcPr>
            <w:tcW w:w="928"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质量指标</w:t>
            </w:r>
          </w:p>
        </w:tc>
        <w:tc>
          <w:tcPr>
            <w:tcW w:w="264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项目验收合格率</w:t>
            </w:r>
          </w:p>
        </w:tc>
        <w:tc>
          <w:tcPr>
            <w:tcW w:w="1659"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lang w:val="en-US" w:eastAsia="zh-CN"/>
              </w:rPr>
              <w:t>≧90%</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lang w:val="en-US" w:eastAsia="zh-CN"/>
              </w:rPr>
              <w:t>100%</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7" w:hRule="atLeast"/>
        </w:trPr>
        <w:tc>
          <w:tcPr>
            <w:tcW w:w="634"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p>
        </w:tc>
        <w:tc>
          <w:tcPr>
            <w:tcW w:w="928" w:type="dxa"/>
            <w:vMerge w:val="restart"/>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时效指标</w:t>
            </w:r>
          </w:p>
        </w:tc>
        <w:tc>
          <w:tcPr>
            <w:tcW w:w="264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计划开工时间</w:t>
            </w:r>
          </w:p>
        </w:tc>
        <w:tc>
          <w:tcPr>
            <w:tcW w:w="1659"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color w:val="auto"/>
                <w:kern w:val="0"/>
                <w:sz w:val="20"/>
                <w:szCs w:val="20"/>
                <w:highlight w:val="none"/>
                <w:lang w:val="en-US"/>
              </w:rPr>
            </w:pPr>
            <w:r>
              <w:rPr>
                <w:rFonts w:hint="eastAsia"/>
                <w:color w:val="auto"/>
                <w:kern w:val="0"/>
                <w:sz w:val="20"/>
                <w:szCs w:val="20"/>
                <w:highlight w:val="none"/>
                <w:lang w:val="en-US" w:eastAsia="zh-CN"/>
              </w:rPr>
              <w:t>2021年9月30日</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lang w:eastAsia="zh-CN"/>
              </w:rPr>
            </w:pPr>
            <w:r>
              <w:rPr>
                <w:rFonts w:hint="eastAsia"/>
                <w:color w:val="auto"/>
                <w:kern w:val="0"/>
                <w:sz w:val="20"/>
                <w:szCs w:val="20"/>
                <w:highlight w:val="none"/>
                <w:lang w:val="en-US" w:eastAsia="zh-CN"/>
              </w:rPr>
              <w:t>100%</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7" w:hRule="atLeast"/>
        </w:trPr>
        <w:tc>
          <w:tcPr>
            <w:tcW w:w="634"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highlight w:val="none"/>
              </w:rPr>
            </w:pPr>
          </w:p>
        </w:tc>
        <w:tc>
          <w:tcPr>
            <w:tcW w:w="928"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highlight w:val="none"/>
              </w:rPr>
            </w:pPr>
          </w:p>
        </w:tc>
        <w:tc>
          <w:tcPr>
            <w:tcW w:w="264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计划竣工时间</w:t>
            </w:r>
          </w:p>
        </w:tc>
        <w:tc>
          <w:tcPr>
            <w:tcW w:w="1659"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2022年7月26日</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5</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100%</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3" w:hRule="atLeast"/>
        </w:trPr>
        <w:tc>
          <w:tcPr>
            <w:tcW w:w="634" w:type="dxa"/>
            <w:vMerge w:val="continue"/>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p>
        </w:tc>
        <w:tc>
          <w:tcPr>
            <w:tcW w:w="928"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成本指标</w:t>
            </w:r>
          </w:p>
        </w:tc>
        <w:tc>
          <w:tcPr>
            <w:tcW w:w="2644"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ascii="宋体" w:hAnsi="宋体" w:eastAsia="宋体" w:cs="宋体"/>
                <w:color w:val="auto"/>
                <w:kern w:val="0"/>
                <w:sz w:val="20"/>
                <w:szCs w:val="20"/>
                <w:highlight w:val="none"/>
              </w:rPr>
              <w:t>综合服务设施建设投资成本</w:t>
            </w:r>
          </w:p>
        </w:tc>
        <w:tc>
          <w:tcPr>
            <w:tcW w:w="1659"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rPr>
            </w:pPr>
            <w:r>
              <w:rPr>
                <w:rFonts w:hint="eastAsia"/>
                <w:color w:val="auto"/>
                <w:kern w:val="0"/>
                <w:sz w:val="20"/>
                <w:szCs w:val="20"/>
                <w:highlight w:val="none"/>
                <w:lang w:val="en-US" w:eastAsia="zh-CN"/>
              </w:rPr>
              <w:t>≤175万元</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color w:val="auto"/>
                <w:kern w:val="0"/>
                <w:sz w:val="20"/>
                <w:szCs w:val="20"/>
                <w:highlight w:val="none"/>
                <w:lang w:eastAsia="zh-CN"/>
              </w:rPr>
            </w:pPr>
            <w:r>
              <w:rPr>
                <w:rFonts w:hint="eastAsia"/>
                <w:color w:val="auto"/>
                <w:kern w:val="0"/>
                <w:sz w:val="20"/>
                <w:szCs w:val="20"/>
                <w:highlight w:val="none"/>
                <w:lang w:val="en-US" w:eastAsia="zh-CN"/>
              </w:rPr>
              <w:t>175万</w:t>
            </w: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3" w:hRule="atLeast"/>
        </w:trPr>
        <w:tc>
          <w:tcPr>
            <w:tcW w:w="5865" w:type="dxa"/>
            <w:gridSpan w:val="4"/>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336"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30</w:t>
            </w:r>
          </w:p>
        </w:tc>
        <w:tc>
          <w:tcPr>
            <w:tcW w:w="1365"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p>
        </w:tc>
        <w:tc>
          <w:tcPr>
            <w:tcW w:w="631" w:type="dxa"/>
            <w:shd w:val="clear" w:color="auto" w:fill="auto"/>
            <w:tcMar>
              <w:top w:w="15" w:type="dxa"/>
              <w:left w:w="15" w:type="dxa"/>
              <w:right w:w="15" w:type="dxa"/>
            </w:tcMar>
            <w:vAlign w:val="center"/>
          </w:tcPr>
          <w:p>
            <w:pPr>
              <w:widowControl/>
              <w:shd w:val="clear"/>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30</w:t>
            </w:r>
          </w:p>
        </w:tc>
      </w:tr>
    </w:tbl>
    <w:p>
      <w:pPr>
        <w:shd w:val="clear"/>
        <w:bidi w:val="0"/>
        <w:rPr>
          <w:rFonts w:hint="default"/>
          <w:b/>
          <w:bCs/>
          <w:color w:val="auto"/>
          <w:highlight w:val="none"/>
          <w:lang w:val="en-US" w:eastAsia="zh-CN"/>
        </w:rPr>
      </w:pPr>
      <w:r>
        <w:rPr>
          <w:rFonts w:hint="eastAsia"/>
          <w:b/>
          <w:bCs/>
          <w:color w:val="auto"/>
          <w:highlight w:val="none"/>
          <w:lang w:val="en-US" w:eastAsia="zh-CN"/>
        </w:rPr>
        <w:t>1.项目完成数量</w:t>
      </w:r>
      <w:bookmarkEnd w:id="63"/>
    </w:p>
    <w:p>
      <w:pPr>
        <w:shd w:val="clear"/>
        <w:ind w:firstLine="560"/>
        <w:rPr>
          <w:rFonts w:hint="eastAsia"/>
          <w:color w:val="auto"/>
          <w:highlight w:val="none"/>
        </w:rPr>
      </w:pPr>
      <w:r>
        <w:rPr>
          <w:rFonts w:hint="eastAsia"/>
          <w:color w:val="auto"/>
          <w:highlight w:val="none"/>
        </w:rPr>
        <w:t>“综合服务设施的修建总面积”指标，预期指标值为≧1000平</w:t>
      </w:r>
      <w:r>
        <w:rPr>
          <w:rFonts w:hint="eastAsia"/>
          <w:color w:val="auto"/>
          <w:highlight w:val="none"/>
          <w:lang w:val="en-US" w:eastAsia="zh-CN"/>
        </w:rPr>
        <w:t>方</w:t>
      </w:r>
      <w:r>
        <w:rPr>
          <w:rFonts w:hint="eastAsia"/>
          <w:color w:val="auto"/>
          <w:highlight w:val="none"/>
        </w:rPr>
        <w:t>米，实际完成</w:t>
      </w:r>
      <w:r>
        <w:rPr>
          <w:rFonts w:hint="eastAsia"/>
          <w:color w:val="auto"/>
          <w:highlight w:val="none"/>
          <w:lang w:val="en-US" w:eastAsia="zh-CN"/>
        </w:rPr>
        <w:t>值</w:t>
      </w:r>
      <w:r>
        <w:rPr>
          <w:rFonts w:hint="eastAsia"/>
          <w:color w:val="auto"/>
          <w:highlight w:val="none"/>
        </w:rPr>
        <w:t>为</w:t>
      </w:r>
      <w:r>
        <w:rPr>
          <w:rFonts w:hint="eastAsia"/>
          <w:color w:val="auto"/>
          <w:highlight w:val="none"/>
          <w:lang w:val="en-US" w:eastAsia="zh-CN"/>
        </w:rPr>
        <w:t>1000平方米</w:t>
      </w:r>
      <w:r>
        <w:rPr>
          <w:rFonts w:hint="eastAsia"/>
          <w:color w:val="auto"/>
          <w:highlight w:val="none"/>
        </w:rPr>
        <w:t>。实际完成率=（</w:t>
      </w:r>
      <w:r>
        <w:rPr>
          <w:rFonts w:hint="eastAsia"/>
          <w:color w:val="auto"/>
          <w:highlight w:val="none"/>
          <w:lang w:val="en-US" w:eastAsia="zh-CN"/>
        </w:rPr>
        <w:t>1000平方米</w:t>
      </w:r>
      <w:r>
        <w:rPr>
          <w:rFonts w:hint="eastAsia"/>
          <w:color w:val="auto"/>
          <w:highlight w:val="none"/>
        </w:rPr>
        <w:t>/</w:t>
      </w:r>
      <w:r>
        <w:rPr>
          <w:rFonts w:hint="eastAsia"/>
          <w:color w:val="auto"/>
          <w:highlight w:val="none"/>
          <w:lang w:val="en-US" w:eastAsia="zh-CN"/>
        </w:rPr>
        <w:t>1000平方米</w:t>
      </w:r>
      <w:r>
        <w:rPr>
          <w:rFonts w:hint="eastAsia"/>
          <w:color w:val="auto"/>
          <w:highlight w:val="none"/>
        </w:rPr>
        <w:t>）×100%=</w:t>
      </w:r>
      <w:r>
        <w:rPr>
          <w:rFonts w:hint="eastAsia"/>
          <w:color w:val="auto"/>
          <w:highlight w:val="none"/>
          <w:lang w:val="en-US" w:eastAsia="zh-CN"/>
        </w:rPr>
        <w:t>100</w:t>
      </w:r>
      <w:r>
        <w:rPr>
          <w:rFonts w:hint="eastAsia"/>
          <w:color w:val="auto"/>
          <w:highlight w:val="none"/>
        </w:rPr>
        <w:t>%。</w:t>
      </w:r>
    </w:p>
    <w:p>
      <w:pPr>
        <w:shd w:val="clear"/>
        <w:ind w:firstLine="560"/>
        <w:rPr>
          <w:rFonts w:hint="eastAsia"/>
          <w:color w:val="auto"/>
          <w:highlight w:val="none"/>
        </w:rPr>
      </w:pPr>
      <w:bookmarkStart w:id="64" w:name="_Toc31739"/>
      <w:r>
        <w:rPr>
          <w:rFonts w:hint="eastAsia"/>
          <w:color w:val="auto"/>
          <w:highlight w:val="none"/>
        </w:rPr>
        <w:t>“</w:t>
      </w:r>
      <w:r>
        <w:rPr>
          <w:rFonts w:hint="eastAsia"/>
          <w:color w:val="auto"/>
          <w:highlight w:val="none"/>
          <w:lang w:val="en-US" w:eastAsia="zh-CN"/>
        </w:rPr>
        <w:t>铺设线路设备安装</w:t>
      </w:r>
      <w:r>
        <w:rPr>
          <w:rFonts w:hint="eastAsia"/>
          <w:color w:val="auto"/>
          <w:highlight w:val="none"/>
        </w:rPr>
        <w:t>”指标，预期指标值为≧1000米，实际完成</w:t>
      </w:r>
      <w:r>
        <w:rPr>
          <w:rFonts w:hint="eastAsia"/>
          <w:color w:val="auto"/>
          <w:highlight w:val="none"/>
          <w:lang w:val="en-US" w:eastAsia="zh-CN"/>
        </w:rPr>
        <w:t>值</w:t>
      </w:r>
      <w:r>
        <w:rPr>
          <w:rFonts w:hint="eastAsia"/>
          <w:color w:val="auto"/>
          <w:highlight w:val="none"/>
        </w:rPr>
        <w:t>为</w:t>
      </w:r>
      <w:r>
        <w:rPr>
          <w:rFonts w:hint="eastAsia"/>
          <w:color w:val="auto"/>
          <w:highlight w:val="none"/>
          <w:lang w:val="en-US" w:eastAsia="zh-CN"/>
        </w:rPr>
        <w:t>1000米</w:t>
      </w:r>
      <w:r>
        <w:rPr>
          <w:rFonts w:hint="eastAsia"/>
          <w:color w:val="auto"/>
          <w:highlight w:val="none"/>
        </w:rPr>
        <w:t>。实际完成率=（</w:t>
      </w:r>
      <w:r>
        <w:rPr>
          <w:rFonts w:hint="eastAsia"/>
          <w:color w:val="auto"/>
          <w:highlight w:val="none"/>
          <w:lang w:val="en-US" w:eastAsia="zh-CN"/>
        </w:rPr>
        <w:t>1000米</w:t>
      </w:r>
      <w:r>
        <w:rPr>
          <w:rFonts w:hint="eastAsia"/>
          <w:color w:val="auto"/>
          <w:highlight w:val="none"/>
        </w:rPr>
        <w:t>/</w:t>
      </w:r>
      <w:r>
        <w:rPr>
          <w:rFonts w:hint="eastAsia"/>
          <w:color w:val="auto"/>
          <w:highlight w:val="none"/>
          <w:lang w:val="en-US" w:eastAsia="zh-CN"/>
        </w:rPr>
        <w:t>1000米</w:t>
      </w:r>
      <w:r>
        <w:rPr>
          <w:rFonts w:hint="eastAsia"/>
          <w:color w:val="auto"/>
          <w:highlight w:val="none"/>
        </w:rPr>
        <w:t>）×100%=</w:t>
      </w:r>
      <w:r>
        <w:rPr>
          <w:rFonts w:hint="eastAsia"/>
          <w:color w:val="auto"/>
          <w:highlight w:val="none"/>
          <w:lang w:val="en-US" w:eastAsia="zh-CN"/>
        </w:rPr>
        <w:t>100</w:t>
      </w:r>
      <w:r>
        <w:rPr>
          <w:rFonts w:hint="eastAsia"/>
          <w:color w:val="auto"/>
          <w:highlight w:val="none"/>
        </w:rPr>
        <w:t>%。</w:t>
      </w:r>
    </w:p>
    <w:p>
      <w:pPr>
        <w:shd w:val="clear"/>
        <w:ind w:left="0" w:leftChars="0" w:firstLine="562" w:firstLineChars="200"/>
        <w:rPr>
          <w:color w:val="auto"/>
          <w:highlight w:val="none"/>
        </w:rPr>
      </w:pPr>
      <w:r>
        <w:rPr>
          <w:rFonts w:hint="eastAsia"/>
          <w:b/>
          <w:bCs/>
          <w:color w:val="auto"/>
          <w:highlight w:val="none"/>
        </w:rPr>
        <w:t>综上，该项指标满分</w:t>
      </w:r>
      <w:r>
        <w:rPr>
          <w:rFonts w:hint="eastAsia"/>
          <w:b/>
          <w:bCs/>
          <w:color w:val="auto"/>
          <w:highlight w:val="none"/>
          <w:lang w:val="en-US" w:eastAsia="zh-CN"/>
        </w:rPr>
        <w:t>10</w:t>
      </w:r>
      <w:r>
        <w:rPr>
          <w:rFonts w:hint="eastAsia"/>
          <w:b/>
          <w:bCs/>
          <w:color w:val="auto"/>
          <w:highlight w:val="none"/>
        </w:rPr>
        <w:t>分，得分</w:t>
      </w:r>
      <w:r>
        <w:rPr>
          <w:rFonts w:hint="eastAsia"/>
          <w:b/>
          <w:bCs/>
          <w:color w:val="auto"/>
          <w:highlight w:val="none"/>
          <w:lang w:val="en-US" w:eastAsia="zh-CN"/>
        </w:rPr>
        <w:t>10</w:t>
      </w:r>
      <w:r>
        <w:rPr>
          <w:rFonts w:hint="eastAsia"/>
          <w:b/>
          <w:bCs/>
          <w:color w:val="auto"/>
          <w:highlight w:val="none"/>
        </w:rPr>
        <w:t>分。</w:t>
      </w:r>
    </w:p>
    <w:p>
      <w:pPr>
        <w:shd w:val="clear"/>
        <w:bidi w:val="0"/>
        <w:outlineLvl w:val="2"/>
        <w:rPr>
          <w:rFonts w:hint="default"/>
          <w:b/>
          <w:bCs/>
          <w:color w:val="auto"/>
          <w:highlight w:val="none"/>
          <w:lang w:val="en-US" w:eastAsia="zh-CN"/>
        </w:rPr>
      </w:pPr>
      <w:r>
        <w:rPr>
          <w:rFonts w:hint="eastAsia"/>
          <w:b/>
          <w:bCs/>
          <w:color w:val="auto"/>
          <w:highlight w:val="none"/>
          <w:lang w:val="en-US" w:eastAsia="zh-CN"/>
        </w:rPr>
        <w:t>2.项目完成质量</w:t>
      </w:r>
      <w:bookmarkEnd w:id="64"/>
    </w:p>
    <w:p>
      <w:pPr>
        <w:shd w:val="clear"/>
        <w:ind w:firstLine="560"/>
        <w:rPr>
          <w:color w:val="auto"/>
          <w:highlight w:val="none"/>
        </w:rPr>
      </w:pPr>
      <w:r>
        <w:rPr>
          <w:rFonts w:hint="eastAsia"/>
          <w:color w:val="auto"/>
          <w:highlight w:val="none"/>
        </w:rPr>
        <w:t>“项目验收合格率”指标，预期指标值为≧</w:t>
      </w:r>
      <w:r>
        <w:rPr>
          <w:rFonts w:hint="eastAsia"/>
          <w:color w:val="auto"/>
          <w:highlight w:val="none"/>
          <w:lang w:val="en-US" w:eastAsia="zh-CN"/>
        </w:rPr>
        <w:t>90</w:t>
      </w:r>
      <w:r>
        <w:rPr>
          <w:rFonts w:hint="eastAsia"/>
          <w:color w:val="auto"/>
          <w:highlight w:val="none"/>
        </w:rPr>
        <w:t>%，实际完成为</w:t>
      </w:r>
      <w:r>
        <w:rPr>
          <w:rFonts w:hint="eastAsia"/>
          <w:color w:val="auto"/>
          <w:highlight w:val="none"/>
          <w:lang w:val="en-US" w:eastAsia="zh-CN"/>
        </w:rPr>
        <w:t>100</w:t>
      </w:r>
      <w:r>
        <w:rPr>
          <w:rFonts w:hint="eastAsia"/>
          <w:color w:val="auto"/>
          <w:highlight w:val="none"/>
        </w:rPr>
        <w:t>%。</w:t>
      </w:r>
    </w:p>
    <w:p>
      <w:pPr>
        <w:shd w:val="clear"/>
        <w:ind w:firstLine="562"/>
        <w:rPr>
          <w:color w:val="auto"/>
          <w:highlight w:val="none"/>
        </w:rPr>
      </w:pPr>
      <w:bookmarkStart w:id="65" w:name="_Toc18307"/>
      <w:r>
        <w:rPr>
          <w:rFonts w:hint="eastAsia"/>
          <w:b/>
          <w:bCs/>
          <w:color w:val="auto"/>
          <w:highlight w:val="none"/>
        </w:rPr>
        <w:t>综上，该项指标满分</w:t>
      </w:r>
      <w:r>
        <w:rPr>
          <w:rFonts w:hint="eastAsia"/>
          <w:b/>
          <w:bCs/>
          <w:color w:val="auto"/>
          <w:highlight w:val="none"/>
          <w:lang w:val="en-US" w:eastAsia="zh-CN"/>
        </w:rPr>
        <w:t>5</w:t>
      </w:r>
      <w:r>
        <w:rPr>
          <w:rFonts w:hint="eastAsia"/>
          <w:b/>
          <w:bCs/>
          <w:color w:val="auto"/>
          <w:highlight w:val="none"/>
        </w:rPr>
        <w:t>分，得分</w:t>
      </w:r>
      <w:r>
        <w:rPr>
          <w:rFonts w:hint="eastAsia"/>
          <w:b/>
          <w:bCs/>
          <w:color w:val="auto"/>
          <w:highlight w:val="none"/>
          <w:lang w:val="en-US" w:eastAsia="zh-CN"/>
        </w:rPr>
        <w:t>5</w:t>
      </w:r>
      <w:r>
        <w:rPr>
          <w:rFonts w:hint="eastAsia"/>
          <w:b/>
          <w:bCs/>
          <w:color w:val="auto"/>
          <w:highlight w:val="none"/>
        </w:rPr>
        <w:t>分。</w:t>
      </w:r>
    </w:p>
    <w:bookmarkEnd w:id="65"/>
    <w:p>
      <w:pPr>
        <w:shd w:val="clear"/>
        <w:ind w:firstLine="562"/>
        <w:rPr>
          <w:b/>
          <w:bCs/>
          <w:color w:val="auto"/>
          <w:highlight w:val="none"/>
        </w:rPr>
      </w:pPr>
      <w:bookmarkStart w:id="66" w:name="_Toc32765"/>
      <w:r>
        <w:rPr>
          <w:rFonts w:hint="eastAsia"/>
          <w:b/>
          <w:bCs/>
          <w:color w:val="auto"/>
          <w:highlight w:val="none"/>
        </w:rPr>
        <w:t>3.项目完成时效</w:t>
      </w:r>
    </w:p>
    <w:p>
      <w:pPr>
        <w:shd w:val="clear"/>
        <w:ind w:firstLine="560"/>
        <w:rPr>
          <w:color w:val="auto"/>
          <w:highlight w:val="none"/>
        </w:rPr>
      </w:pPr>
      <w:r>
        <w:rPr>
          <w:rFonts w:hint="eastAsia"/>
          <w:color w:val="auto"/>
          <w:highlight w:val="none"/>
        </w:rPr>
        <w:t>“</w:t>
      </w:r>
      <w:r>
        <w:rPr>
          <w:rFonts w:hint="eastAsia"/>
          <w:color w:val="auto"/>
          <w:highlight w:val="none"/>
          <w:lang w:val="en-US" w:eastAsia="zh-CN"/>
        </w:rPr>
        <w:t>计划开工时间</w:t>
      </w:r>
      <w:r>
        <w:rPr>
          <w:rFonts w:hint="eastAsia"/>
          <w:color w:val="auto"/>
          <w:highlight w:val="none"/>
        </w:rPr>
        <w:t>”指标，预期指标值为</w:t>
      </w:r>
      <w:r>
        <w:rPr>
          <w:rFonts w:hint="eastAsia"/>
          <w:color w:val="auto"/>
          <w:highlight w:val="none"/>
          <w:lang w:val="en-US" w:eastAsia="zh-CN"/>
        </w:rPr>
        <w:t>2021年9月30日</w:t>
      </w:r>
      <w:r>
        <w:rPr>
          <w:rFonts w:hint="eastAsia"/>
          <w:color w:val="auto"/>
          <w:highlight w:val="none"/>
        </w:rPr>
        <w:t>，实际完成为</w:t>
      </w:r>
      <w:r>
        <w:rPr>
          <w:rFonts w:hint="eastAsia"/>
          <w:color w:val="auto"/>
          <w:highlight w:val="none"/>
          <w:lang w:val="en-US" w:eastAsia="zh-CN"/>
        </w:rPr>
        <w:t>100%</w:t>
      </w:r>
      <w:r>
        <w:rPr>
          <w:rFonts w:hint="eastAsia"/>
          <w:color w:val="auto"/>
          <w:highlight w:val="none"/>
        </w:rPr>
        <w:t>。</w:t>
      </w:r>
    </w:p>
    <w:p>
      <w:pPr>
        <w:shd w:val="clear"/>
        <w:ind w:firstLine="560"/>
        <w:rPr>
          <w:color w:val="auto"/>
          <w:highlight w:val="none"/>
        </w:rPr>
      </w:pPr>
      <w:r>
        <w:rPr>
          <w:rFonts w:hint="eastAsia"/>
          <w:color w:val="auto"/>
          <w:highlight w:val="none"/>
        </w:rPr>
        <w:t>“</w:t>
      </w:r>
      <w:r>
        <w:rPr>
          <w:rFonts w:hint="eastAsia"/>
          <w:color w:val="auto"/>
          <w:highlight w:val="none"/>
          <w:lang w:val="en-US" w:eastAsia="zh-CN"/>
        </w:rPr>
        <w:t>计划竣工时间</w:t>
      </w:r>
      <w:r>
        <w:rPr>
          <w:rFonts w:hint="eastAsia"/>
          <w:color w:val="auto"/>
          <w:highlight w:val="none"/>
        </w:rPr>
        <w:t>”指标，预期指标值为</w:t>
      </w:r>
      <w:r>
        <w:rPr>
          <w:rFonts w:hint="eastAsia"/>
          <w:color w:val="auto"/>
          <w:highlight w:val="none"/>
          <w:lang w:val="en-US" w:eastAsia="zh-CN"/>
        </w:rPr>
        <w:t>2022年7月26日</w:t>
      </w:r>
      <w:r>
        <w:rPr>
          <w:rFonts w:hint="eastAsia"/>
          <w:color w:val="auto"/>
          <w:highlight w:val="none"/>
        </w:rPr>
        <w:t>，实际完成为</w:t>
      </w:r>
      <w:r>
        <w:rPr>
          <w:rFonts w:hint="eastAsia"/>
          <w:color w:val="auto"/>
          <w:highlight w:val="none"/>
          <w:lang w:val="en-US" w:eastAsia="zh-CN"/>
        </w:rPr>
        <w:t>100%</w:t>
      </w:r>
      <w:r>
        <w:rPr>
          <w:rFonts w:hint="eastAsia"/>
          <w:color w:val="auto"/>
          <w:highlight w:val="none"/>
        </w:rPr>
        <w:t>。</w:t>
      </w:r>
    </w:p>
    <w:p>
      <w:pPr>
        <w:shd w:val="clear"/>
        <w:ind w:left="0" w:leftChars="0" w:firstLine="562" w:firstLineChars="200"/>
        <w:rPr>
          <w:color w:val="auto"/>
          <w:highlight w:val="none"/>
        </w:rPr>
      </w:pPr>
      <w:r>
        <w:rPr>
          <w:rFonts w:hint="eastAsia"/>
          <w:b/>
          <w:bCs/>
          <w:color w:val="auto"/>
          <w:highlight w:val="none"/>
        </w:rPr>
        <w:t>综上，该项指标满分</w:t>
      </w:r>
      <w:r>
        <w:rPr>
          <w:rFonts w:hint="eastAsia"/>
          <w:b/>
          <w:bCs/>
          <w:color w:val="auto"/>
          <w:highlight w:val="none"/>
          <w:lang w:val="en-US" w:eastAsia="zh-CN"/>
        </w:rPr>
        <w:t>10</w:t>
      </w:r>
      <w:r>
        <w:rPr>
          <w:rFonts w:hint="eastAsia"/>
          <w:b/>
          <w:bCs/>
          <w:color w:val="auto"/>
          <w:highlight w:val="none"/>
        </w:rPr>
        <w:t>分，得分</w:t>
      </w:r>
      <w:r>
        <w:rPr>
          <w:rFonts w:hint="eastAsia"/>
          <w:b/>
          <w:bCs/>
          <w:color w:val="auto"/>
          <w:highlight w:val="none"/>
          <w:lang w:val="en-US" w:eastAsia="zh-CN"/>
        </w:rPr>
        <w:t>10</w:t>
      </w:r>
      <w:r>
        <w:rPr>
          <w:rFonts w:hint="eastAsia"/>
          <w:b/>
          <w:bCs/>
          <w:color w:val="auto"/>
          <w:highlight w:val="none"/>
        </w:rPr>
        <w:t>分。</w:t>
      </w:r>
    </w:p>
    <w:p>
      <w:pPr>
        <w:shd w:val="clear"/>
        <w:ind w:firstLine="562"/>
        <w:rPr>
          <w:b/>
          <w:bCs/>
          <w:color w:val="auto"/>
          <w:highlight w:val="none"/>
        </w:rPr>
      </w:pPr>
      <w:r>
        <w:rPr>
          <w:rFonts w:hint="eastAsia"/>
          <w:b/>
          <w:bCs/>
          <w:color w:val="auto"/>
          <w:highlight w:val="none"/>
        </w:rPr>
        <w:t>4.项目完成成本</w:t>
      </w:r>
    </w:p>
    <w:p>
      <w:pPr>
        <w:shd w:val="clear"/>
        <w:ind w:firstLine="560"/>
        <w:rPr>
          <w:color w:val="auto"/>
          <w:highlight w:val="none"/>
        </w:rPr>
      </w:pP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综合服务设施建设投资成本</w:t>
      </w:r>
      <w:r>
        <w:rPr>
          <w:rFonts w:hint="eastAsia" w:ascii="宋体" w:hAnsi="宋体" w:eastAsia="宋体" w:cs="宋体"/>
          <w:color w:val="auto"/>
          <w:highlight w:val="none"/>
          <w:lang w:val="en-US" w:eastAsia="zh-CN"/>
        </w:rPr>
        <w:t>”</w:t>
      </w:r>
      <w:r>
        <w:rPr>
          <w:rFonts w:hint="eastAsia"/>
          <w:color w:val="auto"/>
          <w:highlight w:val="none"/>
        </w:rPr>
        <w:t>指标，预期指标值为</w:t>
      </w:r>
      <w:r>
        <w:rPr>
          <w:rFonts w:hint="eastAsia"/>
          <w:color w:val="auto"/>
          <w:highlight w:val="none"/>
          <w:lang w:val="en-US" w:eastAsia="zh-CN"/>
        </w:rPr>
        <w:t>≤175万元</w:t>
      </w:r>
      <w:r>
        <w:rPr>
          <w:rFonts w:hint="eastAsia"/>
          <w:color w:val="auto"/>
          <w:highlight w:val="none"/>
        </w:rPr>
        <w:t>，实际完成为</w:t>
      </w:r>
      <w:r>
        <w:rPr>
          <w:rFonts w:hint="eastAsia"/>
          <w:color w:val="auto"/>
          <w:highlight w:val="none"/>
          <w:lang w:val="en-US" w:eastAsia="zh-CN"/>
        </w:rPr>
        <w:t>175万</w:t>
      </w:r>
      <w:r>
        <w:rPr>
          <w:rFonts w:hint="eastAsia"/>
          <w:color w:val="auto"/>
          <w:highlight w:val="none"/>
        </w:rPr>
        <w:t>。实际完成率=（</w:t>
      </w:r>
      <w:r>
        <w:rPr>
          <w:rFonts w:hint="eastAsia"/>
          <w:color w:val="auto"/>
          <w:highlight w:val="none"/>
          <w:lang w:val="en-US" w:eastAsia="zh-CN"/>
        </w:rPr>
        <w:t>175万元</w:t>
      </w:r>
      <w:r>
        <w:rPr>
          <w:rFonts w:hint="eastAsia"/>
          <w:color w:val="auto"/>
          <w:highlight w:val="none"/>
        </w:rPr>
        <w:t>/</w:t>
      </w:r>
      <w:r>
        <w:rPr>
          <w:rFonts w:hint="eastAsia"/>
          <w:color w:val="auto"/>
          <w:highlight w:val="none"/>
          <w:lang w:val="en-US" w:eastAsia="zh-CN"/>
        </w:rPr>
        <w:t>175万元</w:t>
      </w:r>
      <w:r>
        <w:rPr>
          <w:rFonts w:hint="eastAsia"/>
          <w:color w:val="auto"/>
          <w:highlight w:val="none"/>
        </w:rPr>
        <w:t>）×100%=</w:t>
      </w:r>
      <w:r>
        <w:rPr>
          <w:rFonts w:hint="eastAsia"/>
          <w:color w:val="auto"/>
          <w:highlight w:val="none"/>
          <w:lang w:val="en-US" w:eastAsia="zh-CN"/>
        </w:rPr>
        <w:t>100</w:t>
      </w:r>
      <w:r>
        <w:rPr>
          <w:rFonts w:hint="eastAsia"/>
          <w:color w:val="auto"/>
          <w:highlight w:val="none"/>
        </w:rPr>
        <w:t>%。</w:t>
      </w:r>
    </w:p>
    <w:p>
      <w:pPr>
        <w:shd w:val="clear"/>
        <w:ind w:firstLine="562"/>
        <w:rPr>
          <w:color w:val="auto"/>
          <w:highlight w:val="none"/>
        </w:rPr>
      </w:pPr>
      <w:r>
        <w:rPr>
          <w:rFonts w:hint="eastAsia"/>
          <w:b/>
          <w:bCs/>
          <w:color w:val="auto"/>
          <w:highlight w:val="none"/>
        </w:rPr>
        <w:t>综上，该项指标满分</w:t>
      </w:r>
      <w:r>
        <w:rPr>
          <w:rFonts w:hint="eastAsia"/>
          <w:b/>
          <w:bCs/>
          <w:color w:val="auto"/>
          <w:highlight w:val="none"/>
          <w:lang w:val="en-US" w:eastAsia="zh-CN"/>
        </w:rPr>
        <w:t>5</w:t>
      </w:r>
      <w:r>
        <w:rPr>
          <w:rFonts w:hint="eastAsia"/>
          <w:b/>
          <w:bCs/>
          <w:color w:val="auto"/>
          <w:highlight w:val="none"/>
        </w:rPr>
        <w:t>分，得分</w:t>
      </w:r>
      <w:r>
        <w:rPr>
          <w:rFonts w:hint="eastAsia"/>
          <w:b/>
          <w:bCs/>
          <w:color w:val="auto"/>
          <w:highlight w:val="none"/>
          <w:lang w:val="en-US" w:eastAsia="zh-CN"/>
        </w:rPr>
        <w:t>5</w:t>
      </w:r>
      <w:r>
        <w:rPr>
          <w:rFonts w:hint="eastAsia"/>
          <w:b/>
          <w:bCs/>
          <w:color w:val="auto"/>
          <w:highlight w:val="none"/>
        </w:rPr>
        <w:t>分。</w:t>
      </w:r>
    </w:p>
    <w:bookmarkEnd w:id="66"/>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7"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67"/>
    </w:p>
    <w:p>
      <w:pPr>
        <w:ind w:firstLine="560"/>
        <w:jc w:val="left"/>
        <w:rPr>
          <w:b/>
          <w:bCs/>
          <w:color w:val="auto"/>
          <w:kern w:val="0"/>
          <w:highlight w:val="none"/>
          <w:lang w:val="zh-TW"/>
        </w:rPr>
      </w:pPr>
      <w:r>
        <w:rPr>
          <w:rFonts w:hint="eastAsia"/>
          <w:color w:val="auto"/>
          <w:highlight w:val="none"/>
          <w:u w:color="000000"/>
          <w:lang w:val="zh-TW" w:eastAsia="zh-TW"/>
        </w:rPr>
        <w:t>项目</w:t>
      </w:r>
      <w:r>
        <w:rPr>
          <w:rFonts w:hint="eastAsia"/>
          <w:color w:val="auto"/>
          <w:highlight w:val="none"/>
        </w:rPr>
        <w:t>产出</w:t>
      </w:r>
      <w:r>
        <w:rPr>
          <w:rFonts w:hint="eastAsia"/>
          <w:color w:val="auto"/>
          <w:highlight w:val="none"/>
          <w:u w:color="000000"/>
          <w:lang w:val="zh-TW" w:eastAsia="zh-TW"/>
        </w:rPr>
        <w:t>类指标由</w:t>
      </w:r>
      <w:r>
        <w:rPr>
          <w:rFonts w:hint="eastAsia"/>
          <w:color w:val="auto"/>
          <w:highlight w:val="none"/>
          <w:u w:color="000000"/>
          <w:lang w:val="en-US" w:eastAsia="zh-CN"/>
        </w:rPr>
        <w:t>3</w:t>
      </w:r>
      <w:r>
        <w:rPr>
          <w:rFonts w:hint="eastAsia"/>
          <w:color w:val="auto"/>
          <w:highlight w:val="none"/>
          <w:u w:color="000000"/>
          <w:lang w:val="zh-TW" w:eastAsia="zh-TW"/>
        </w:rPr>
        <w:t>个</w:t>
      </w:r>
      <w:r>
        <w:rPr>
          <w:rFonts w:hint="eastAsia"/>
          <w:color w:val="auto"/>
          <w:highlight w:val="none"/>
          <w:u w:color="000000"/>
          <w:lang w:val="zh-TW"/>
        </w:rPr>
        <w:t>二</w:t>
      </w:r>
      <w:r>
        <w:rPr>
          <w:rFonts w:hint="eastAsia"/>
          <w:color w:val="auto"/>
          <w:highlight w:val="none"/>
          <w:u w:color="000000"/>
          <w:lang w:val="zh-TW" w:eastAsia="zh-TW"/>
        </w:rPr>
        <w:t>级指标和</w:t>
      </w:r>
      <w:r>
        <w:rPr>
          <w:rFonts w:hint="eastAsia"/>
          <w:color w:val="auto"/>
          <w:highlight w:val="none"/>
          <w:u w:color="000000"/>
          <w:lang w:val="en-US" w:eastAsia="zh-CN"/>
        </w:rPr>
        <w:t>5</w:t>
      </w:r>
      <w:r>
        <w:rPr>
          <w:rFonts w:hint="eastAsia"/>
          <w:color w:val="auto"/>
          <w:highlight w:val="none"/>
          <w:u w:color="000000"/>
          <w:lang w:val="zh-TW" w:eastAsia="zh-TW"/>
        </w:rPr>
        <w:t>个</w:t>
      </w:r>
      <w:r>
        <w:rPr>
          <w:rFonts w:hint="eastAsia"/>
          <w:color w:val="auto"/>
          <w:highlight w:val="none"/>
          <w:u w:color="000000"/>
        </w:rPr>
        <w:t>三</w:t>
      </w:r>
      <w:r>
        <w:rPr>
          <w:rFonts w:hint="eastAsia"/>
          <w:color w:val="auto"/>
          <w:highlight w:val="none"/>
          <w:u w:color="000000"/>
          <w:lang w:val="zh-TW" w:eastAsia="zh-TW"/>
        </w:rPr>
        <w:t>级指标构成，权重分</w:t>
      </w:r>
      <w:r>
        <w:rPr>
          <w:rFonts w:hint="eastAsia"/>
          <w:color w:val="auto"/>
          <w:highlight w:val="none"/>
          <w:u w:color="000000"/>
        </w:rPr>
        <w:t>30</w:t>
      </w:r>
      <w:r>
        <w:rPr>
          <w:rFonts w:hint="eastAsia"/>
          <w:color w:val="auto"/>
          <w:highlight w:val="none"/>
          <w:u w:color="000000"/>
          <w:lang w:val="zh-TW" w:eastAsia="zh-TW"/>
        </w:rPr>
        <w:t>分，实际得分</w:t>
      </w:r>
      <w:r>
        <w:rPr>
          <w:rFonts w:hint="eastAsia"/>
          <w:color w:val="auto"/>
          <w:highlight w:val="none"/>
          <w:u w:color="000000"/>
          <w:lang w:val="en-US" w:eastAsia="zh-CN"/>
        </w:rPr>
        <w:t>29</w:t>
      </w:r>
      <w:r>
        <w:rPr>
          <w:rFonts w:hint="eastAsia"/>
          <w:color w:val="auto"/>
          <w:highlight w:val="none"/>
          <w:u w:color="000000"/>
          <w:lang w:val="zh-TW" w:eastAsia="zh-TW"/>
        </w:rPr>
        <w:t>分</w:t>
      </w:r>
      <w:r>
        <w:rPr>
          <w:rFonts w:hint="eastAsia"/>
          <w:color w:val="auto"/>
          <w:highlight w:val="none"/>
          <w:u w:color="000000"/>
          <w:lang w:val="zh-TW"/>
        </w:rPr>
        <w:t>，</w:t>
      </w:r>
      <w:r>
        <w:rPr>
          <w:rFonts w:hint="eastAsia"/>
          <w:color w:val="auto"/>
          <w:highlight w:val="none"/>
          <w:u w:color="000000"/>
          <w:lang w:val="zh-TW" w:eastAsia="zh-TW"/>
        </w:rPr>
        <w:t>各指标业绩值和绩效分值如表</w:t>
      </w:r>
      <w:r>
        <w:rPr>
          <w:rFonts w:hint="eastAsia"/>
          <w:color w:val="auto"/>
          <w:highlight w:val="none"/>
          <w:u w:color="000000"/>
        </w:rPr>
        <w:t>4-4</w:t>
      </w:r>
      <w:r>
        <w:rPr>
          <w:rFonts w:hint="eastAsia"/>
          <w:color w:val="auto"/>
          <w:highlight w:val="none"/>
          <w:u w:color="000000"/>
          <w:lang w:val="zh-TW" w:eastAsia="zh-TW"/>
        </w:rPr>
        <w:t>所示</w:t>
      </w:r>
      <w:r>
        <w:rPr>
          <w:rFonts w:hint="eastAsia"/>
          <w:b/>
          <w:bCs/>
          <w:color w:val="auto"/>
          <w:highlight w:val="none"/>
          <w:u w:color="000000"/>
          <w:lang w:val="zh-TW"/>
        </w:rPr>
        <w:t>（</w:t>
      </w:r>
      <w:r>
        <w:rPr>
          <w:rFonts w:hint="eastAsia"/>
          <w:b/>
          <w:bCs/>
          <w:color w:val="auto"/>
          <w:highlight w:val="none"/>
          <w:u w:color="000000"/>
        </w:rPr>
        <w:t>详见上传的附件</w:t>
      </w:r>
      <w:r>
        <w:rPr>
          <w:rFonts w:hint="eastAsia"/>
          <w:b/>
          <w:bCs/>
          <w:color w:val="auto"/>
          <w:highlight w:val="none"/>
          <w:u w:color="000000"/>
          <w:lang w:val="zh-TW"/>
        </w:rPr>
        <w:t>）</w:t>
      </w:r>
      <w:r>
        <w:rPr>
          <w:rFonts w:hint="eastAsia"/>
          <w:color w:val="auto"/>
          <w:highlight w:val="none"/>
          <w:u w:color="000000"/>
          <w:lang w:val="zh-TW" w:eastAsia="zh-TW"/>
        </w:rPr>
        <w:t>：</w:t>
      </w:r>
    </w:p>
    <w:p>
      <w:pPr>
        <w:ind w:firstLine="562"/>
        <w:jc w:val="center"/>
        <w:rPr>
          <w:b/>
          <w:bCs/>
          <w:color w:val="auto"/>
          <w:kern w:val="0"/>
          <w:highlight w:val="none"/>
        </w:rPr>
      </w:pPr>
      <w:bookmarkStart w:id="68" w:name="_Toc19962"/>
      <w:r>
        <w:rPr>
          <w:rFonts w:hint="eastAsia"/>
          <w:b/>
          <w:bCs/>
          <w:color w:val="auto"/>
          <w:kern w:val="0"/>
          <w:highlight w:val="none"/>
          <w:lang w:val="zh-TW" w:eastAsia="zh-TW"/>
        </w:rPr>
        <w:t>表</w:t>
      </w:r>
      <w:r>
        <w:rPr>
          <w:rFonts w:hint="eastAsia"/>
          <w:b/>
          <w:bCs/>
          <w:color w:val="auto"/>
          <w:kern w:val="0"/>
          <w:highlight w:val="none"/>
        </w:rPr>
        <w:t>4-4项目效益</w:t>
      </w:r>
      <w:r>
        <w:rPr>
          <w:rFonts w:hint="eastAsia"/>
          <w:b/>
          <w:bCs/>
          <w:color w:val="auto"/>
          <w:kern w:val="0"/>
          <w:highlight w:val="none"/>
          <w:lang w:val="zh-TW" w:eastAsia="zh-TW"/>
        </w:rPr>
        <w:t>指标及分值</w:t>
      </w:r>
      <w:r>
        <w:rPr>
          <w:rFonts w:hint="eastAsia"/>
          <w:b/>
          <w:bCs/>
          <w:color w:val="auto"/>
          <w:kern w:val="0"/>
          <w:highlight w:val="none"/>
        </w:rPr>
        <w:t>情况</w:t>
      </w:r>
    </w:p>
    <w:tbl>
      <w:tblPr>
        <w:tblStyle w:val="11"/>
        <w:tblW w:w="8397" w:type="dxa"/>
        <w:jc w:val="center"/>
        <w:tblInd w:w="0" w:type="dxa"/>
        <w:tblLayout w:type="fixed"/>
        <w:tblCellMar>
          <w:top w:w="0" w:type="dxa"/>
          <w:left w:w="0" w:type="dxa"/>
          <w:bottom w:w="0" w:type="dxa"/>
          <w:right w:w="0" w:type="dxa"/>
        </w:tblCellMar>
      </w:tblPr>
      <w:tblGrid>
        <w:gridCol w:w="685"/>
        <w:gridCol w:w="1725"/>
        <w:gridCol w:w="2744"/>
        <w:gridCol w:w="870"/>
        <w:gridCol w:w="645"/>
        <w:gridCol w:w="1050"/>
        <w:gridCol w:w="678"/>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一级</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年度指</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标杆</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全年实</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际完成值</w:t>
            </w: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指标</w:t>
            </w:r>
          </w:p>
          <w:p>
            <w:pPr>
              <w:widowControl/>
              <w:snapToGrid w:val="0"/>
              <w:spacing w:line="240" w:lineRule="auto"/>
              <w:ind w:firstLine="0" w:firstLineChars="0"/>
              <w:jc w:val="center"/>
              <w:rPr>
                <w:b/>
                <w:bCs/>
                <w:color w:val="auto"/>
                <w:kern w:val="0"/>
                <w:sz w:val="20"/>
                <w:szCs w:val="20"/>
                <w:highlight w:val="none"/>
              </w:rPr>
            </w:pPr>
            <w:r>
              <w:rPr>
                <w:rFonts w:hint="eastAsia"/>
                <w:b/>
                <w:bCs/>
                <w:color w:val="auto"/>
                <w:kern w:val="0"/>
                <w:sz w:val="20"/>
                <w:szCs w:val="20"/>
                <w:highlight w:val="none"/>
              </w:rPr>
              <w:t>得分</w:t>
            </w:r>
          </w:p>
        </w:tc>
      </w:tr>
      <w:tr>
        <w:tblPrEx>
          <w:tblLayout w:type="fixed"/>
          <w:tblCellMar>
            <w:top w:w="0" w:type="dxa"/>
            <w:left w:w="0" w:type="dxa"/>
            <w:bottom w:w="0" w:type="dxa"/>
            <w:right w:w="0" w:type="dxa"/>
          </w:tblCellMar>
        </w:tblPrEx>
        <w:trPr>
          <w:trHeight w:val="436" w:hRule="atLeast"/>
          <w:jc w:val="center"/>
        </w:trPr>
        <w:tc>
          <w:tcPr>
            <w:tcW w:w="685" w:type="dxa"/>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color w:val="auto"/>
                <w:kern w:val="0"/>
                <w:sz w:val="20"/>
                <w:szCs w:val="20"/>
                <w:highlight w:val="none"/>
                <w:lang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r>
      <w:tr>
        <w:tblPrEx>
          <w:tblLayout w:type="fixed"/>
          <w:tblCellMar>
            <w:top w:w="0" w:type="dxa"/>
            <w:left w:w="0" w:type="dxa"/>
            <w:bottom w:w="0" w:type="dxa"/>
            <w:right w:w="0" w:type="dxa"/>
          </w:tblCellMar>
        </w:tblPrEx>
        <w:trPr>
          <w:trHeight w:val="521"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完善基层党组织阵地建设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长期</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100%</w:t>
            </w: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r>
      <w:tr>
        <w:tblPrEx>
          <w:tblLayout w:type="fixed"/>
          <w:tblCellMar>
            <w:top w:w="0" w:type="dxa"/>
            <w:left w:w="0" w:type="dxa"/>
            <w:bottom w:w="0" w:type="dxa"/>
            <w:right w:w="0" w:type="dxa"/>
          </w:tblCellMar>
        </w:tblPrEx>
        <w:trPr>
          <w:trHeight w:val="421"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color w:val="auto"/>
                <w:kern w:val="0"/>
                <w:sz w:val="20"/>
                <w:szCs w:val="20"/>
                <w:highlight w:val="none"/>
                <w:lang w:val="en-US" w:eastAsia="zh-CN"/>
              </w:rPr>
            </w:pPr>
            <w:r>
              <w:rPr>
                <w:rFonts w:hint="eastAsia"/>
                <w:color w:val="auto"/>
                <w:kern w:val="0"/>
                <w:sz w:val="20"/>
                <w:szCs w:val="20"/>
                <w:highlight w:val="none"/>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eastAsia="zh-CN"/>
              </w:rPr>
            </w:pPr>
            <w:r>
              <w:rPr>
                <w:rFonts w:hint="eastAsia"/>
                <w:color w:val="auto"/>
                <w:kern w:val="0"/>
                <w:sz w:val="20"/>
                <w:szCs w:val="20"/>
                <w:highlight w:val="none"/>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eastAsia" w:eastAsia="宋体"/>
                <w:color w:val="auto"/>
                <w:kern w:val="0"/>
                <w:sz w:val="20"/>
                <w:szCs w:val="20"/>
                <w:highlight w:val="none"/>
                <w:lang w:val="en-US" w:eastAsia="zh-CN"/>
              </w:rPr>
            </w:pPr>
            <w:r>
              <w:rPr>
                <w:rFonts w:hint="eastAsia"/>
                <w:color w:val="auto"/>
                <w:kern w:val="0"/>
                <w:sz w:val="20"/>
                <w:szCs w:val="20"/>
                <w:highlight w:val="none"/>
                <w:lang w:val="en-US" w:eastAsia="zh-CN"/>
              </w:rPr>
              <w:t>辖区</w:t>
            </w:r>
            <w:r>
              <w:rPr>
                <w:rFonts w:hint="eastAsia"/>
                <w:color w:val="auto"/>
                <w:kern w:val="0"/>
                <w:sz w:val="20"/>
                <w:szCs w:val="20"/>
                <w:highlight w:val="none"/>
              </w:rPr>
              <w:t>居民满意</w:t>
            </w:r>
            <w:r>
              <w:rPr>
                <w:rFonts w:hint="eastAsia"/>
                <w:color w:val="auto"/>
                <w:kern w:val="0"/>
                <w:sz w:val="20"/>
                <w:szCs w:val="20"/>
                <w:highlight w:val="none"/>
                <w:lang w:val="en-US" w:eastAsia="zh-CN"/>
              </w:rPr>
              <w:t>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lang w:val="en-US" w:eastAsia="zh-CN"/>
              </w:rPr>
              <w:t>90%</w:t>
            </w: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14</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color w:val="auto"/>
                <w:kern w:val="0"/>
                <w:sz w:val="20"/>
                <w:szCs w:val="20"/>
                <w:highlight w:val="none"/>
              </w:rPr>
            </w:pPr>
            <w:r>
              <w:rPr>
                <w:rFonts w:hint="eastAsia"/>
                <w:color w:val="auto"/>
                <w:kern w:val="0"/>
                <w:sz w:val="20"/>
                <w:szCs w:val="20"/>
                <w:highlight w:val="none"/>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p>
        </w:tc>
        <w:tc>
          <w:tcPr>
            <w:tcW w:w="6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auto"/>
              <w:ind w:firstLine="0" w:firstLineChars="0"/>
              <w:jc w:val="center"/>
              <w:rPr>
                <w:rFonts w:hint="default" w:eastAsia="宋体"/>
                <w:color w:val="auto"/>
                <w:kern w:val="0"/>
                <w:sz w:val="20"/>
                <w:szCs w:val="20"/>
                <w:highlight w:val="none"/>
                <w:lang w:val="en-US" w:eastAsia="zh-CN"/>
              </w:rPr>
            </w:pPr>
            <w:r>
              <w:rPr>
                <w:rFonts w:hint="eastAsia"/>
                <w:color w:val="auto"/>
                <w:kern w:val="0"/>
                <w:sz w:val="20"/>
                <w:szCs w:val="20"/>
                <w:highlight w:val="none"/>
                <w:lang w:val="en-US" w:eastAsia="zh-CN"/>
              </w:rPr>
              <w:t>29</w:t>
            </w:r>
          </w:p>
        </w:tc>
      </w:tr>
    </w:tbl>
    <w:p>
      <w:pPr>
        <w:ind w:firstLine="562"/>
        <w:rPr>
          <w:rFonts w:hint="eastAsia"/>
          <w:b/>
          <w:bCs/>
          <w:color w:val="auto"/>
          <w:highlight w:val="none"/>
        </w:rPr>
      </w:pPr>
      <w:r>
        <w:rPr>
          <w:rFonts w:hint="eastAsia"/>
          <w:b/>
          <w:bCs/>
          <w:color w:val="auto"/>
          <w:highlight w:val="none"/>
        </w:rPr>
        <w:t>1.社会效益指标</w:t>
      </w:r>
    </w:p>
    <w:p>
      <w:pPr>
        <w:ind w:firstLine="560"/>
        <w:rPr>
          <w:color w:val="auto"/>
          <w:highlight w:val="none"/>
        </w:rPr>
      </w:pPr>
      <w:r>
        <w:rPr>
          <w:rFonts w:hint="eastAsia"/>
          <w:color w:val="auto"/>
          <w:highlight w:val="none"/>
        </w:rPr>
        <w:t>“完善基层党组织阵地建设”指标，预期指标值为</w:t>
      </w:r>
      <w:r>
        <w:rPr>
          <w:rFonts w:hint="eastAsia"/>
          <w:color w:val="auto"/>
          <w:highlight w:val="none"/>
          <w:lang w:val="en-US" w:eastAsia="zh-CN"/>
        </w:rPr>
        <w:t>长期</w:t>
      </w:r>
      <w:r>
        <w:rPr>
          <w:rFonts w:hint="eastAsia"/>
          <w:color w:val="auto"/>
          <w:highlight w:val="none"/>
        </w:rPr>
        <w:t>，实际完成</w:t>
      </w:r>
      <w:r>
        <w:rPr>
          <w:rFonts w:hint="eastAsia"/>
          <w:color w:val="auto"/>
          <w:highlight w:val="none"/>
          <w:lang w:val="en-US" w:eastAsia="zh-CN"/>
        </w:rPr>
        <w:t>值</w:t>
      </w:r>
      <w:r>
        <w:rPr>
          <w:rFonts w:hint="eastAsia"/>
          <w:color w:val="auto"/>
          <w:highlight w:val="none"/>
        </w:rPr>
        <w:t>为100%。</w:t>
      </w:r>
    </w:p>
    <w:p>
      <w:pPr>
        <w:ind w:firstLine="560"/>
        <w:rPr>
          <w:color w:val="auto"/>
          <w:highlight w:val="none"/>
        </w:rPr>
      </w:pPr>
      <w:r>
        <w:rPr>
          <w:rFonts w:hint="eastAsia"/>
          <w:color w:val="auto"/>
          <w:highlight w:val="none"/>
        </w:rPr>
        <w:t>通过项目的实施，为辖区居民营造一个良好的</w:t>
      </w:r>
      <w:r>
        <w:rPr>
          <w:rFonts w:hint="eastAsia"/>
          <w:color w:val="auto"/>
          <w:highlight w:val="none"/>
          <w:lang w:eastAsia="zh-CN"/>
        </w:rPr>
        <w:t>休闲活动场所</w:t>
      </w:r>
      <w:r>
        <w:rPr>
          <w:rFonts w:hint="eastAsia"/>
          <w:color w:val="auto"/>
          <w:highlight w:val="none"/>
        </w:rPr>
        <w:t>。</w:t>
      </w:r>
    </w:p>
    <w:p>
      <w:pPr>
        <w:ind w:firstLine="562"/>
        <w:rPr>
          <w:color w:val="auto"/>
          <w:highlight w:val="none"/>
        </w:rPr>
      </w:pPr>
      <w:r>
        <w:rPr>
          <w:rFonts w:hint="eastAsia"/>
          <w:b/>
          <w:bCs/>
          <w:color w:val="auto"/>
          <w:highlight w:val="none"/>
        </w:rPr>
        <w:t>综上，该项指标满分1</w:t>
      </w:r>
      <w:r>
        <w:rPr>
          <w:rFonts w:hint="eastAsia"/>
          <w:b/>
          <w:bCs/>
          <w:color w:val="auto"/>
          <w:highlight w:val="none"/>
          <w:lang w:val="en-US" w:eastAsia="zh-CN"/>
        </w:rPr>
        <w:t>5</w:t>
      </w:r>
      <w:r>
        <w:rPr>
          <w:rFonts w:hint="eastAsia"/>
          <w:b/>
          <w:bCs/>
          <w:color w:val="auto"/>
          <w:highlight w:val="none"/>
        </w:rPr>
        <w:t>分，得分1</w:t>
      </w:r>
      <w:r>
        <w:rPr>
          <w:rFonts w:hint="eastAsia"/>
          <w:b/>
          <w:bCs/>
          <w:color w:val="auto"/>
          <w:highlight w:val="none"/>
          <w:lang w:val="en-US" w:eastAsia="zh-CN"/>
        </w:rPr>
        <w:t>5</w:t>
      </w:r>
      <w:r>
        <w:rPr>
          <w:rFonts w:hint="eastAsia"/>
          <w:b/>
          <w:bCs/>
          <w:color w:val="auto"/>
          <w:highlight w:val="none"/>
        </w:rPr>
        <w:t>分。</w:t>
      </w:r>
    </w:p>
    <w:p>
      <w:pPr>
        <w:ind w:firstLine="562"/>
        <w:rPr>
          <w:b/>
          <w:bCs/>
          <w:color w:val="auto"/>
          <w:highlight w:val="none"/>
        </w:rPr>
      </w:pPr>
      <w:r>
        <w:rPr>
          <w:rFonts w:hint="eastAsia"/>
          <w:b/>
          <w:bCs/>
          <w:color w:val="auto"/>
          <w:highlight w:val="none"/>
          <w:lang w:val="en-US" w:eastAsia="zh-CN"/>
        </w:rPr>
        <w:t>2</w:t>
      </w:r>
      <w:r>
        <w:rPr>
          <w:rFonts w:hint="eastAsia"/>
          <w:b/>
          <w:bCs/>
          <w:color w:val="auto"/>
          <w:highlight w:val="none"/>
        </w:rPr>
        <w:t>.满意度指标</w:t>
      </w:r>
    </w:p>
    <w:p>
      <w:pPr>
        <w:shd w:val="clear"/>
        <w:ind w:firstLine="560"/>
        <w:rPr>
          <w:b/>
          <w:bCs/>
          <w:color w:val="auto"/>
          <w:highlight w:val="none"/>
        </w:rPr>
      </w:pPr>
      <w:r>
        <w:rPr>
          <w:rFonts w:hint="eastAsia"/>
          <w:color w:val="auto"/>
          <w:highlight w:val="none"/>
        </w:rPr>
        <w:t>“</w:t>
      </w:r>
      <w:r>
        <w:rPr>
          <w:rFonts w:hint="eastAsia"/>
          <w:color w:val="auto"/>
          <w:highlight w:val="none"/>
          <w:lang w:val="en-US" w:eastAsia="zh-CN"/>
        </w:rPr>
        <w:t>辖区</w:t>
      </w:r>
      <w:r>
        <w:rPr>
          <w:rFonts w:hint="eastAsia"/>
          <w:color w:val="auto"/>
          <w:highlight w:val="none"/>
        </w:rPr>
        <w:t>居民满意</w:t>
      </w:r>
      <w:r>
        <w:rPr>
          <w:rFonts w:hint="eastAsia"/>
          <w:color w:val="auto"/>
          <w:highlight w:val="none"/>
          <w:lang w:val="en-US" w:eastAsia="zh-CN"/>
        </w:rPr>
        <w:t>度</w:t>
      </w:r>
      <w:r>
        <w:rPr>
          <w:rFonts w:hint="eastAsia"/>
          <w:color w:val="auto"/>
          <w:highlight w:val="none"/>
        </w:rPr>
        <w:t>”指标，预期指标值为≥95%，实际完成为95%。</w:t>
      </w:r>
    </w:p>
    <w:p>
      <w:pPr>
        <w:shd w:val="clear"/>
        <w:ind w:firstLine="562"/>
        <w:rPr>
          <w:b/>
          <w:bCs/>
          <w:color w:val="auto"/>
          <w:highlight w:val="none"/>
        </w:rPr>
      </w:pPr>
      <w:r>
        <w:rPr>
          <w:rFonts w:hint="eastAsia"/>
          <w:b/>
          <w:bCs/>
          <w:color w:val="auto"/>
          <w:highlight w:val="none"/>
        </w:rPr>
        <w:t>综上，该项指标满分1</w:t>
      </w:r>
      <w:r>
        <w:rPr>
          <w:rFonts w:hint="eastAsia"/>
          <w:b/>
          <w:bCs/>
          <w:color w:val="auto"/>
          <w:highlight w:val="none"/>
          <w:lang w:val="en-US" w:eastAsia="zh-CN"/>
        </w:rPr>
        <w:t>5</w:t>
      </w:r>
      <w:r>
        <w:rPr>
          <w:rFonts w:hint="eastAsia"/>
          <w:b/>
          <w:bCs/>
          <w:color w:val="auto"/>
          <w:highlight w:val="none"/>
        </w:rPr>
        <w:t>分，得分</w:t>
      </w:r>
      <w:r>
        <w:rPr>
          <w:rFonts w:hint="eastAsia"/>
          <w:b/>
          <w:bCs/>
          <w:color w:val="auto"/>
          <w:highlight w:val="none"/>
          <w:lang w:val="en-US" w:eastAsia="zh-CN"/>
        </w:rPr>
        <w:t>14</w:t>
      </w:r>
      <w:r>
        <w:rPr>
          <w:rFonts w:hint="eastAsia"/>
          <w:b/>
          <w:bCs/>
          <w:color w:val="auto"/>
          <w:highlight w:val="none"/>
        </w:rPr>
        <w:t>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68"/>
    </w:p>
    <w:p>
      <w:pPr>
        <w:ind w:firstLine="560"/>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项目预算资金总额为</w:t>
      </w:r>
      <w:r>
        <w:rPr>
          <w:rFonts w:hint="eastAsia" w:ascii="宋体" w:hAnsi="宋体" w:eastAsia="宋体" w:cs="仿宋_GB2312"/>
          <w:color w:val="auto"/>
          <w:sz w:val="28"/>
          <w:szCs w:val="28"/>
          <w:highlight w:val="none"/>
          <w:lang w:val="en-US" w:eastAsia="zh-CN"/>
        </w:rPr>
        <w:t>175万元，全年执行数为175万元，预算执行率为100%，总体完成率为100</w:t>
      </w:r>
      <w:r>
        <w:rPr>
          <w:rFonts w:hint="eastAsia" w:ascii="宋体" w:hAnsi="宋体" w:eastAsia="宋体" w:cs="仿宋_GB2312"/>
          <w:color w:val="auto"/>
          <w:sz w:val="28"/>
          <w:szCs w:val="28"/>
          <w:highlight w:val="none"/>
          <w:lang w:val="zh-TW" w:eastAsia="zh-TW"/>
        </w:rPr>
        <w:t>%。</w:t>
      </w:r>
      <w:r>
        <w:rPr>
          <w:rFonts w:hint="eastAsia" w:ascii="宋体" w:hAnsi="宋体" w:eastAsia="宋体" w:cs="仿宋_GB2312"/>
          <w:color w:val="auto"/>
          <w:sz w:val="28"/>
          <w:szCs w:val="28"/>
          <w:highlight w:val="none"/>
          <w:lang w:val="en-US" w:eastAsia="zh-CN"/>
        </w:rPr>
        <w:t>预算执行率与总体完成率之间的偏差0，无偏差。</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69"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69"/>
    </w:p>
    <w:p>
      <w:pPr>
        <w:numPr>
          <w:ilvl w:val="0"/>
          <w:numId w:val="0"/>
        </w:numPr>
        <w:bidi w:val="0"/>
        <w:ind w:left="560" w:leftChars="0"/>
        <w:outlineLvl w:val="1"/>
        <w:rPr>
          <w:rFonts w:hint="eastAsia"/>
          <w:b/>
          <w:bCs/>
          <w:color w:val="auto"/>
          <w:highlight w:val="none"/>
          <w:lang w:eastAsia="zh-CN"/>
        </w:rPr>
      </w:pPr>
      <w:bookmarkStart w:id="70" w:name="_Toc13160"/>
      <w:bookmarkStart w:id="71" w:name="_Toc28290"/>
      <w:bookmarkStart w:id="72"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70"/>
    </w:p>
    <w:p>
      <w:pPr>
        <w:ind w:firstLine="560"/>
        <w:rPr>
          <w:rFonts w:hint="eastAsia"/>
          <w:color w:val="auto"/>
          <w:highlight w:val="none"/>
          <w:lang w:eastAsia="zh-CN"/>
        </w:rPr>
      </w:pPr>
      <w:r>
        <w:rPr>
          <w:rFonts w:hint="eastAsia"/>
          <w:color w:val="auto"/>
          <w:highlight w:val="none"/>
        </w:rPr>
        <w:t>昌吉州阜康市阜新街道百合村社区综合服务实施建设项目202</w:t>
      </w:r>
      <w:r>
        <w:rPr>
          <w:rFonts w:hint="eastAsia"/>
          <w:color w:val="auto"/>
          <w:highlight w:val="none"/>
          <w:lang w:val="en-US" w:eastAsia="zh-CN"/>
        </w:rPr>
        <w:t>3</w:t>
      </w:r>
      <w:r>
        <w:rPr>
          <w:rFonts w:hint="eastAsia"/>
          <w:color w:val="auto"/>
          <w:highlight w:val="none"/>
        </w:rPr>
        <w:t>年预算数为</w:t>
      </w:r>
      <w:r>
        <w:rPr>
          <w:rFonts w:hint="eastAsia"/>
          <w:color w:val="auto"/>
          <w:highlight w:val="none"/>
          <w:lang w:val="en-US" w:eastAsia="zh-CN"/>
        </w:rPr>
        <w:t>175</w:t>
      </w:r>
      <w:r>
        <w:rPr>
          <w:rFonts w:hint="eastAsia"/>
          <w:color w:val="auto"/>
          <w:highlight w:val="none"/>
        </w:rPr>
        <w:t>万元，截至202</w:t>
      </w:r>
      <w:r>
        <w:rPr>
          <w:rFonts w:hint="eastAsia"/>
          <w:color w:val="auto"/>
          <w:highlight w:val="none"/>
          <w:lang w:val="en-US" w:eastAsia="zh-CN"/>
        </w:rPr>
        <w:t>3</w:t>
      </w:r>
      <w:r>
        <w:rPr>
          <w:rFonts w:hint="eastAsia"/>
          <w:color w:val="auto"/>
          <w:highlight w:val="none"/>
        </w:rPr>
        <w:t>年12月31日共支出</w:t>
      </w:r>
      <w:r>
        <w:rPr>
          <w:rFonts w:hint="eastAsia"/>
          <w:color w:val="auto"/>
          <w:highlight w:val="none"/>
          <w:lang w:val="en-US" w:eastAsia="zh-CN"/>
        </w:rPr>
        <w:t>175</w:t>
      </w:r>
      <w:r>
        <w:rPr>
          <w:rFonts w:hint="eastAsia"/>
          <w:color w:val="auto"/>
          <w:highlight w:val="none"/>
        </w:rPr>
        <w:t>万元，预算执行率为100%。</w:t>
      </w:r>
    </w:p>
    <w:p>
      <w:pPr>
        <w:ind w:firstLine="560"/>
        <w:rPr>
          <w:color w:val="auto"/>
          <w:highlight w:val="none"/>
        </w:rPr>
      </w:pPr>
      <w:r>
        <w:rPr>
          <w:rFonts w:hint="eastAsia"/>
          <w:color w:val="auto"/>
          <w:highlight w:val="none"/>
        </w:rPr>
        <w:t>阜新街办事处建立健全了预算管理规章制度，各部门严格按预算编制的原则和要求做好当年预算编制工作，在预算绩效管理工作中，做到合理安排各项资金，重点保障基本支出，按轻重缓急顺序原则，优先安排了阜新街办事处事业发展中关系民生与稳定的项目，切实优化资源配置，提高了资金使用的效率和效果。</w:t>
      </w:r>
    </w:p>
    <w:bookmarkEnd w:id="71"/>
    <w:bookmarkEnd w:id="72"/>
    <w:p>
      <w:pPr>
        <w:bidi w:val="0"/>
        <w:outlineLvl w:val="1"/>
        <w:rPr>
          <w:rFonts w:hint="eastAsia"/>
          <w:b/>
          <w:bCs/>
          <w:color w:val="auto"/>
          <w:highlight w:val="none"/>
          <w:lang w:eastAsia="zh-CN"/>
        </w:rPr>
      </w:pPr>
      <w:bookmarkStart w:id="73"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73"/>
    </w:p>
    <w:p>
      <w:pPr>
        <w:numPr>
          <w:ilvl w:val="0"/>
          <w:numId w:val="0"/>
        </w:numPr>
        <w:bidi w:val="0"/>
        <w:ind w:firstLine="560" w:firstLineChars="200"/>
        <w:rPr>
          <w:rFonts w:hint="eastAsia"/>
          <w:color w:val="auto"/>
          <w:highlight w:val="none"/>
          <w:lang w:val="en-US" w:eastAsia="zh-CN"/>
        </w:rPr>
      </w:pPr>
      <w:bookmarkStart w:id="74" w:name="_Toc5230"/>
      <w:r>
        <w:rPr>
          <w:rFonts w:hint="default"/>
          <w:color w:val="auto"/>
          <w:highlight w:val="none"/>
          <w:lang w:val="en-US" w:eastAsia="zh-CN"/>
        </w:rPr>
        <w:t>1.</w:t>
      </w:r>
      <w:r>
        <w:rPr>
          <w:rFonts w:hint="eastAsia"/>
          <w:color w:val="auto"/>
          <w:highlight w:val="none"/>
          <w:lang w:val="en-US" w:eastAsia="zh-CN"/>
        </w:rPr>
        <w:t>预算执行进度和效率还有待加强</w:t>
      </w:r>
      <w:r>
        <w:rPr>
          <w:rFonts w:hint="default"/>
          <w:color w:val="auto"/>
          <w:highlight w:val="none"/>
          <w:lang w:val="en-US" w:eastAsia="zh-CN"/>
        </w:rPr>
        <w:t>。</w:t>
      </w:r>
      <w:r>
        <w:rPr>
          <w:rFonts w:hint="eastAsia"/>
          <w:color w:val="auto"/>
          <w:highlight w:val="none"/>
          <w:lang w:val="en-US" w:eastAsia="zh-CN"/>
        </w:rPr>
        <w:t>项目开始后，相关部门和人员着重关注项目立项进度，对于预算执行不够关注，2023年年初项目经费到位后，不能有效的跟进预算支出。</w:t>
      </w:r>
    </w:p>
    <w:p>
      <w:pPr>
        <w:numPr>
          <w:ilvl w:val="0"/>
          <w:numId w:val="0"/>
        </w:numPr>
        <w:bidi w:val="0"/>
        <w:ind w:firstLine="560" w:firstLineChars="200"/>
        <w:rPr>
          <w:rFonts w:hint="default"/>
          <w:color w:val="auto"/>
          <w:highlight w:val="none"/>
          <w:lang w:val="en-US" w:eastAsia="zh-CN"/>
        </w:rPr>
      </w:pPr>
      <w:r>
        <w:rPr>
          <w:rFonts w:hint="default"/>
          <w:color w:val="auto"/>
          <w:highlight w:val="none"/>
          <w:lang w:val="en-US" w:eastAsia="zh-CN"/>
        </w:rPr>
        <w:t>2.单位在预算编制工作有待细化，预算编制不够明确和细化，整体绩效预算编制的合理性需要提高，预算执行力度还要进一步加强。</w:t>
      </w:r>
      <w:r>
        <w:rPr>
          <w:rFonts w:hint="eastAsia"/>
          <w:color w:val="auto"/>
          <w:highlight w:val="none"/>
          <w:lang w:val="en-US" w:eastAsia="zh-CN"/>
        </w:rPr>
        <w:t>预算编制时，忽略了可变量，没有充分考虑实际需求和服务质量，编制时缺乏数据支持，未将可变因素考虑在内，导致预算执行与预算编制存在差异较大</w:t>
      </w:r>
      <w:r>
        <w:rPr>
          <w:rFonts w:hint="default"/>
          <w:color w:val="auto"/>
          <w:highlight w:val="none"/>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74"/>
    </w:p>
    <w:p>
      <w:pPr>
        <w:ind w:firstLine="560"/>
        <w:rPr>
          <w:rFonts w:hint="eastAsia"/>
          <w:color w:val="auto"/>
          <w:highlight w:val="none"/>
          <w:lang w:val="en-US" w:eastAsia="zh-CN"/>
        </w:rPr>
      </w:pPr>
      <w:bookmarkStart w:id="75" w:name="_Toc15618"/>
      <w:r>
        <w:rPr>
          <w:rFonts w:hint="eastAsia"/>
          <w:color w:val="auto"/>
          <w:highlight w:val="none"/>
          <w:lang w:val="en-US" w:eastAsia="zh-CN"/>
        </w:rPr>
        <w:t>（一）切实加快预算执行进度，提升资金使用效率。严格按照财政预算执行进度的相关要求，督促业务部门在加快项目实施进度的同时，在今后的项目建设过程中做到统筹管理，充分考虑不确定因素造成的工期延长工程量增加等问题，制定相应的预案，确保项目按照计划实施。切实加大预算执行力度，提高预算资金使用效率，全面完成单位制定的各项目标任务。加强部门间沟通，加大项目及预算支出管理的监督及信息交流。</w:t>
      </w:r>
    </w:p>
    <w:p>
      <w:pPr>
        <w:bidi w:val="0"/>
        <w:rPr>
          <w:rFonts w:hint="eastAsia" w:ascii="宋体" w:hAnsi="宋体" w:eastAsia="宋体" w:cs="宋体"/>
          <w:color w:val="auto"/>
          <w:kern w:val="2"/>
          <w:sz w:val="28"/>
          <w:szCs w:val="28"/>
          <w:highlight w:val="none"/>
          <w:lang w:val="en-US" w:eastAsia="zh-CN" w:bidi="ar-SA"/>
        </w:rPr>
      </w:pPr>
      <w:r>
        <w:rPr>
          <w:rFonts w:hint="eastAsia"/>
          <w:color w:val="auto"/>
          <w:highlight w:val="none"/>
          <w:lang w:val="en-US" w:eastAsia="zh-CN"/>
        </w:rPr>
        <w:t>（二）密切关注目标任务开展情况，确保实际工作切合绩效目标，加强绩效目标编制培训，强化目标审核。</w:t>
      </w:r>
      <w:r>
        <w:rPr>
          <w:rFonts w:hint="eastAsia" w:ascii="宋体" w:hAnsi="宋体" w:eastAsia="宋体" w:cs="宋体"/>
          <w:color w:val="auto"/>
          <w:kern w:val="2"/>
          <w:sz w:val="28"/>
          <w:szCs w:val="28"/>
          <w:highlight w:val="none"/>
          <w:lang w:val="en-US" w:eastAsia="zh-CN" w:bidi="ar-SA"/>
        </w:rPr>
        <w:t>在今后的项目建设过程中充分考虑可能产生的增加量，结合实际做好项目预算，控制价等前期工作，积极联系各方，统筹推进竣工决算，为项目提质增效。</w:t>
      </w:r>
    </w:p>
    <w:p>
      <w:pPr>
        <w:bidi w:val="0"/>
        <w:rPr>
          <w:rFonts w:hint="eastAsia" w:ascii="宋体" w:hAnsi="宋体" w:eastAsia="宋体" w:cs="宋体"/>
          <w:color w:val="auto"/>
          <w:kern w:val="2"/>
          <w:sz w:val="28"/>
          <w:szCs w:val="28"/>
          <w:highlight w:val="none"/>
          <w:lang w:val="en-US" w:eastAsia="zh-CN" w:bidi="ar-SA"/>
        </w:rPr>
      </w:pPr>
      <w:r>
        <w:rPr>
          <w:rFonts w:hint="eastAsia"/>
          <w:color w:val="auto"/>
          <w:highlight w:val="none"/>
          <w:lang w:val="en-US" w:eastAsia="zh-CN"/>
        </w:rPr>
        <w:t>（三）加强资金使用部门对绩效评价工作的认识和重视程度，并将评价结果运用于工作始终。</w:t>
      </w:r>
      <w:r>
        <w:rPr>
          <w:rFonts w:hint="eastAsia" w:ascii="宋体" w:hAnsi="宋体" w:eastAsia="宋体" w:cs="宋体"/>
          <w:color w:val="auto"/>
          <w:kern w:val="2"/>
          <w:sz w:val="28"/>
          <w:szCs w:val="28"/>
          <w:highlight w:val="none"/>
          <w:lang w:val="en-US" w:eastAsia="zh-CN" w:bidi="ar-SA"/>
        </w:rPr>
        <w:t>做好项目实施管理与资金使用的匹配，根据项目实施计划，制定出科学合理的资金计划，不断提高资金使用效率。</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75"/>
    </w:p>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Style w:val="2"/>
        <w:rPr>
          <w:rFonts w:hint="eastAsia" w:ascii="宋体" w:hAnsi="宋体" w:eastAsia="宋体" w:cs="宋体"/>
          <w:color w:val="auto"/>
          <w:highlight w:val="none"/>
          <w:lang w:val="en-US" w:eastAsia="zh-CN"/>
        </w:rPr>
      </w:pPr>
    </w:p>
    <w:p>
      <w:pPr>
        <w:rPr>
          <w:rFonts w:hint="eastAsia"/>
          <w:color w:val="auto"/>
          <w:highlight w:val="none"/>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bookmarkStart w:id="76" w:name="_Toc11349"/>
      <w:r>
        <w:rPr>
          <w:rFonts w:hint="eastAsia" w:ascii="宋体" w:hAnsi="宋体" w:eastAsia="宋体" w:cs="宋体"/>
          <w:b/>
          <w:bCs/>
          <w:color w:val="auto"/>
          <w:highlight w:val="none"/>
          <w:shd w:val="clear" w:color="auto" w:fill="auto"/>
          <w:lang w:val="en-US" w:eastAsia="zh-CN"/>
        </w:rPr>
        <w:t>附件一、项目支出绩效自评表</w:t>
      </w:r>
      <w:bookmarkEnd w:id="76"/>
    </w:p>
    <w:tbl>
      <w:tblPr>
        <w:tblStyle w:val="1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43"/>
        <w:gridCol w:w="944"/>
        <w:gridCol w:w="944"/>
        <w:gridCol w:w="944"/>
        <w:gridCol w:w="1327"/>
        <w:gridCol w:w="944"/>
        <w:gridCol w:w="944"/>
        <w:gridCol w:w="1040"/>
        <w:gridCol w:w="944"/>
        <w:gridCol w:w="944"/>
        <w:gridCol w:w="1136"/>
        <w:gridCol w:w="1136"/>
        <w:gridCol w:w="1040"/>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799"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87"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87"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昌州财办建（2021）10号 阜新街道百合村社区综合服务设施建设项目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8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03"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阜康市发展和改革委员会</w:t>
            </w:r>
          </w:p>
        </w:tc>
        <w:tc>
          <w:tcPr>
            <w:tcW w:w="198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200"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阜康市人民政府阜新街办事处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87"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8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08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217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87"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175.00 </w:t>
            </w: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175.00 </w:t>
            </w:r>
          </w:p>
        </w:tc>
        <w:tc>
          <w:tcPr>
            <w:tcW w:w="198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175.00 </w:t>
            </w:r>
          </w:p>
        </w:tc>
        <w:tc>
          <w:tcPr>
            <w:tcW w:w="208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7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87"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175.00 </w:t>
            </w: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175.00 </w:t>
            </w:r>
          </w:p>
        </w:tc>
        <w:tc>
          <w:tcPr>
            <w:tcW w:w="198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175.00 </w:t>
            </w:r>
          </w:p>
        </w:tc>
        <w:tc>
          <w:tcPr>
            <w:tcW w:w="208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7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887" w:type="dxa"/>
            <w:gridSpan w:val="2"/>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8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84"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080"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176"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43"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31"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00"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8031"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部门职能：负责居民委员会的管理，负责辖区内的社会治安综合治理、民兵武装、法制宣传等工作；负责辖区内党建工作和精神文明建设工作，做好辖区内民政、社会福利和救济保障、</w:t>
            </w:r>
            <w:r>
              <w:rPr>
                <w:rFonts w:hint="eastAsia" w:cs="宋体"/>
                <w:i w:val="0"/>
                <w:iCs w:val="0"/>
                <w:color w:val="000000"/>
                <w:kern w:val="0"/>
                <w:sz w:val="20"/>
                <w:szCs w:val="20"/>
                <w:u w:val="none"/>
                <w:lang w:val="en-US" w:eastAsia="zh-CN" w:bidi="ar"/>
              </w:rPr>
              <w:t>拥军优属</w:t>
            </w:r>
            <w:r>
              <w:rPr>
                <w:rFonts w:hint="eastAsia" w:ascii="宋体" w:hAnsi="宋体" w:eastAsia="宋体" w:cs="宋体"/>
                <w:i w:val="0"/>
                <w:iCs w:val="0"/>
                <w:color w:val="000000"/>
                <w:kern w:val="0"/>
                <w:sz w:val="20"/>
                <w:szCs w:val="20"/>
                <w:u w:val="none"/>
                <w:lang w:val="en-US" w:eastAsia="zh-CN" w:bidi="ar"/>
              </w:rPr>
              <w:t>、社区服务工作；协同有关部门对辖区内巷道、街道临时建设设施进行初审；对庭院卫生、绿化、美化工作进行监督检查等工作。2023年预计完成在百合小区西面新修建总建筑面积为1000平米的阜新街道百合村社区综合服务设施建设，完善基层党组织阵地建设，更好的发挥网格便民、乐民服务群众的作用，满足群众娱乐活动需求。</w:t>
            </w:r>
          </w:p>
        </w:tc>
        <w:tc>
          <w:tcPr>
            <w:tcW w:w="5200"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百合村社区综合服务设施建设1000平方米修建项目，铺设线路设备安装1000米，完善了基层党组织阵地建设，达到发挥网格便民、乐民服务群众的效益，提升了居民群众满意度，完善基层党组织阵地建设，</w:t>
            </w:r>
            <w:r>
              <w:rPr>
                <w:rFonts w:hint="eastAsia" w:cs="宋体"/>
                <w:i w:val="0"/>
                <w:iCs w:val="0"/>
                <w:color w:val="000000"/>
                <w:kern w:val="0"/>
                <w:sz w:val="20"/>
                <w:szCs w:val="20"/>
                <w:u w:val="none"/>
                <w:lang w:val="en-US" w:eastAsia="zh-CN" w:bidi="ar"/>
              </w:rPr>
              <w:t>更好地为</w:t>
            </w:r>
            <w:r>
              <w:rPr>
                <w:rFonts w:hint="eastAsia" w:ascii="宋体" w:hAnsi="宋体" w:eastAsia="宋体" w:cs="宋体"/>
                <w:i w:val="0"/>
                <w:iCs w:val="0"/>
                <w:color w:val="000000"/>
                <w:kern w:val="0"/>
                <w:sz w:val="20"/>
                <w:szCs w:val="20"/>
                <w:u w:val="none"/>
                <w:lang w:val="en-US" w:eastAsia="zh-CN" w:bidi="ar"/>
              </w:rPr>
              <w:t>群众娱乐活动场所提供了场所。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43"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943"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4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94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综合服务设施的修建总面积</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≧1000平方米</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1000平方米</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铺设线路设备安装</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≧1000米</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1000米</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计划开工时间</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2021年9月30日</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计划竣工时间</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2022年7月26日</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944" w:type="dxa"/>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综合服务设施建设投资成本</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≤175万元</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175万</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完善基层党组织阵地建设</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944" w:type="dxa"/>
            <w:shd w:val="clear" w:color="auto" w:fill="auto"/>
            <w:vAlign w:val="center"/>
          </w:tcPr>
          <w:p>
            <w:pPr>
              <w:jc w:val="center"/>
            </w:pP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按照评判等级赋分</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工作资料正式资料说明材料</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0" w:hRule="atLeast"/>
        </w:trPr>
        <w:tc>
          <w:tcPr>
            <w:tcW w:w="943" w:type="dxa"/>
            <w:vMerge w:val="continue"/>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7"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3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3775"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327"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944" w:type="dxa"/>
            <w:shd w:val="clear" w:color="auto" w:fill="auto"/>
            <w:vAlign w:val="center"/>
          </w:tcPr>
          <w:p>
            <w:pPr>
              <w:jc w:val="center"/>
            </w:pP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944"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36"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136" w:type="dxa"/>
            <w:shd w:val="clear" w:color="auto" w:fill="auto"/>
            <w:vAlign w:val="center"/>
          </w:tcPr>
          <w:p>
            <w:pPr>
              <w:jc w:val="center"/>
              <w:rPr>
                <w:rFonts w:hint="eastAsia" w:ascii="宋体" w:hAnsi="宋体" w:eastAsia="宋体" w:cs="宋体"/>
                <w:i w:val="0"/>
                <w:iCs w:val="0"/>
                <w:color w:val="000000"/>
                <w:sz w:val="20"/>
                <w:szCs w:val="20"/>
                <w:u w:val="none"/>
              </w:rPr>
            </w:pPr>
          </w:p>
        </w:tc>
        <w:tc>
          <w:tcPr>
            <w:tcW w:w="1040"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44" w:type="dxa"/>
            <w:shd w:val="clear" w:color="auto" w:fill="auto"/>
            <w:vAlign w:val="center"/>
          </w:tcPr>
          <w:p>
            <w:pPr>
              <w:rPr>
                <w:rFonts w:hint="eastAsia" w:ascii="宋体" w:hAnsi="宋体" w:eastAsia="宋体" w:cs="宋体"/>
                <w:i w:val="0"/>
                <w:iCs w:val="0"/>
                <w:color w:val="000000"/>
                <w:sz w:val="20"/>
                <w:szCs w:val="20"/>
                <w:u w:val="none"/>
              </w:rPr>
            </w:pPr>
          </w:p>
        </w:tc>
      </w:tr>
    </w:tbl>
    <w:p>
      <w:pPr>
        <w:pStyle w:val="2"/>
        <w:rPr>
          <w:rFonts w:hint="default"/>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7"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77"/>
    </w:p>
    <w:tbl>
      <w:tblPr>
        <w:tblStyle w:val="11"/>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综合服务设施的修建总面积</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铺设线路设备安装</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项目验收合格率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计划开工时间</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时效指标</w:t>
            </w:r>
          </w:p>
        </w:tc>
        <w:tc>
          <w:tcPr>
            <w:tcW w:w="820" w:type="dxa"/>
            <w:shd w:val="clear" w:color="auto" w:fill="auto"/>
            <w:noWrap w:val="0"/>
            <w:vAlign w:val="center"/>
          </w:tcPr>
          <w:p>
            <w:pPr>
              <w:widowControl/>
              <w:spacing w:line="0" w:lineRule="atLeast"/>
              <w:ind w:firstLine="0" w:firstLineChars="0"/>
              <w:jc w:val="center"/>
              <w:rPr>
                <w:rFonts w:hint="eastAsia" w:cs="宋体"/>
                <w:color w:val="auto"/>
                <w:kern w:val="0"/>
                <w:sz w:val="22"/>
                <w:szCs w:val="22"/>
                <w:highlight w:val="none"/>
                <w:lang w:val="en-US" w:eastAsia="zh-CN"/>
              </w:rPr>
            </w:pPr>
            <w:r>
              <w:rPr>
                <w:rFonts w:hint="eastAsia" w:cs="宋体"/>
                <w:color w:val="auto"/>
                <w:kern w:val="0"/>
                <w:sz w:val="22"/>
                <w:szCs w:val="22"/>
                <w:highlight w:val="none"/>
                <w:lang w:val="en-US" w:eastAsia="zh-CN"/>
              </w:rPr>
              <w:t>计划竣工时间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综合服务设施建设投资成本</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完善基层党组织阵地建设</w:t>
            </w:r>
          </w:p>
        </w:tc>
        <w:tc>
          <w:tcPr>
            <w:tcW w:w="2141" w:type="dxa"/>
            <w:shd w:val="clear" w:color="auto" w:fill="auto"/>
            <w:noWrap w:val="0"/>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辖区居民</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98.5</w:t>
            </w:r>
          </w:p>
        </w:tc>
      </w:tr>
    </w:tbl>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323C7F"/>
    <w:rsid w:val="007D6A04"/>
    <w:rsid w:val="00E1344D"/>
    <w:rsid w:val="00E23C81"/>
    <w:rsid w:val="01253350"/>
    <w:rsid w:val="01282E62"/>
    <w:rsid w:val="014029CF"/>
    <w:rsid w:val="01470C4C"/>
    <w:rsid w:val="02200440"/>
    <w:rsid w:val="02284B43"/>
    <w:rsid w:val="02477C79"/>
    <w:rsid w:val="02B015E2"/>
    <w:rsid w:val="02DC08FA"/>
    <w:rsid w:val="033B569D"/>
    <w:rsid w:val="039C3BA0"/>
    <w:rsid w:val="03A845BB"/>
    <w:rsid w:val="03B45AD1"/>
    <w:rsid w:val="043260F0"/>
    <w:rsid w:val="04D12EE4"/>
    <w:rsid w:val="04D63993"/>
    <w:rsid w:val="05996758"/>
    <w:rsid w:val="068F5451"/>
    <w:rsid w:val="072260E3"/>
    <w:rsid w:val="07890F4F"/>
    <w:rsid w:val="08892439"/>
    <w:rsid w:val="08EB30F3"/>
    <w:rsid w:val="09237408"/>
    <w:rsid w:val="09781BD6"/>
    <w:rsid w:val="097B53A4"/>
    <w:rsid w:val="09F359DF"/>
    <w:rsid w:val="0A575E65"/>
    <w:rsid w:val="0ACA0AB6"/>
    <w:rsid w:val="0AFB2639"/>
    <w:rsid w:val="0C032502"/>
    <w:rsid w:val="0C27698C"/>
    <w:rsid w:val="0D4452F3"/>
    <w:rsid w:val="0DE34399"/>
    <w:rsid w:val="0F5E5042"/>
    <w:rsid w:val="0F8E2AB4"/>
    <w:rsid w:val="0FE95707"/>
    <w:rsid w:val="10510571"/>
    <w:rsid w:val="10787A20"/>
    <w:rsid w:val="108672DE"/>
    <w:rsid w:val="10EC685A"/>
    <w:rsid w:val="11FA6155"/>
    <w:rsid w:val="128E03ED"/>
    <w:rsid w:val="12CF0947"/>
    <w:rsid w:val="12F1313F"/>
    <w:rsid w:val="136C678E"/>
    <w:rsid w:val="13EB2FF5"/>
    <w:rsid w:val="15A46B04"/>
    <w:rsid w:val="165825BC"/>
    <w:rsid w:val="16BC5D73"/>
    <w:rsid w:val="176F36D7"/>
    <w:rsid w:val="1795226D"/>
    <w:rsid w:val="18456B1E"/>
    <w:rsid w:val="1A75401A"/>
    <w:rsid w:val="1C1171C5"/>
    <w:rsid w:val="1D265138"/>
    <w:rsid w:val="1D7B6BCA"/>
    <w:rsid w:val="1DA41A79"/>
    <w:rsid w:val="1DF53469"/>
    <w:rsid w:val="1E2F24F2"/>
    <w:rsid w:val="1E58492F"/>
    <w:rsid w:val="1E5B6757"/>
    <w:rsid w:val="1ED10AC6"/>
    <w:rsid w:val="1F89225F"/>
    <w:rsid w:val="1F900A1F"/>
    <w:rsid w:val="1FC0575D"/>
    <w:rsid w:val="20350CA1"/>
    <w:rsid w:val="206132C7"/>
    <w:rsid w:val="20656F36"/>
    <w:rsid w:val="21B00C1D"/>
    <w:rsid w:val="22767269"/>
    <w:rsid w:val="23031BEB"/>
    <w:rsid w:val="23917691"/>
    <w:rsid w:val="244D65B8"/>
    <w:rsid w:val="245E1E24"/>
    <w:rsid w:val="25233BA6"/>
    <w:rsid w:val="25AD5E5D"/>
    <w:rsid w:val="2732478D"/>
    <w:rsid w:val="27661469"/>
    <w:rsid w:val="27900EAD"/>
    <w:rsid w:val="279B538A"/>
    <w:rsid w:val="286F545C"/>
    <w:rsid w:val="28C67CE9"/>
    <w:rsid w:val="29314FBC"/>
    <w:rsid w:val="2C024B86"/>
    <w:rsid w:val="2C56081E"/>
    <w:rsid w:val="2C927671"/>
    <w:rsid w:val="2D7C5CD6"/>
    <w:rsid w:val="2E483E7E"/>
    <w:rsid w:val="2E690493"/>
    <w:rsid w:val="2E9854BD"/>
    <w:rsid w:val="2F0D407F"/>
    <w:rsid w:val="2F454B19"/>
    <w:rsid w:val="310224D9"/>
    <w:rsid w:val="31B4621C"/>
    <w:rsid w:val="31E3230A"/>
    <w:rsid w:val="330957E0"/>
    <w:rsid w:val="33356F64"/>
    <w:rsid w:val="33521BD5"/>
    <w:rsid w:val="33944516"/>
    <w:rsid w:val="34B62907"/>
    <w:rsid w:val="36BD137C"/>
    <w:rsid w:val="385D37E7"/>
    <w:rsid w:val="38782EDD"/>
    <w:rsid w:val="3AC53C2F"/>
    <w:rsid w:val="3B42664A"/>
    <w:rsid w:val="3B88397B"/>
    <w:rsid w:val="3C4A4F4F"/>
    <w:rsid w:val="3C686230"/>
    <w:rsid w:val="3D836A4E"/>
    <w:rsid w:val="3EA37E97"/>
    <w:rsid w:val="3FBE0BC5"/>
    <w:rsid w:val="4048103A"/>
    <w:rsid w:val="40736643"/>
    <w:rsid w:val="40D24A7A"/>
    <w:rsid w:val="42621029"/>
    <w:rsid w:val="42704F4D"/>
    <w:rsid w:val="42C24FD0"/>
    <w:rsid w:val="435241E2"/>
    <w:rsid w:val="43690688"/>
    <w:rsid w:val="43975C51"/>
    <w:rsid w:val="439E3FA7"/>
    <w:rsid w:val="44B32266"/>
    <w:rsid w:val="44FC64F4"/>
    <w:rsid w:val="467F4585"/>
    <w:rsid w:val="470628CB"/>
    <w:rsid w:val="47555BD4"/>
    <w:rsid w:val="47E96399"/>
    <w:rsid w:val="47EA6F81"/>
    <w:rsid w:val="485B5A60"/>
    <w:rsid w:val="48E12B50"/>
    <w:rsid w:val="48FC66AB"/>
    <w:rsid w:val="499441BE"/>
    <w:rsid w:val="499A6C1C"/>
    <w:rsid w:val="4A2138F0"/>
    <w:rsid w:val="4A583887"/>
    <w:rsid w:val="4ADB0848"/>
    <w:rsid w:val="4B9F6E02"/>
    <w:rsid w:val="4C89637B"/>
    <w:rsid w:val="4E6E48A8"/>
    <w:rsid w:val="4EEC036B"/>
    <w:rsid w:val="4F082F58"/>
    <w:rsid w:val="4FCA4C29"/>
    <w:rsid w:val="501D2673"/>
    <w:rsid w:val="50C80BF1"/>
    <w:rsid w:val="51852833"/>
    <w:rsid w:val="52492925"/>
    <w:rsid w:val="52F11AC8"/>
    <w:rsid w:val="534F49D9"/>
    <w:rsid w:val="53555F0F"/>
    <w:rsid w:val="535D23D5"/>
    <w:rsid w:val="550C3B97"/>
    <w:rsid w:val="56F4341A"/>
    <w:rsid w:val="575A7321"/>
    <w:rsid w:val="580C3AB9"/>
    <w:rsid w:val="583C7AE0"/>
    <w:rsid w:val="586C1E9A"/>
    <w:rsid w:val="586E0800"/>
    <w:rsid w:val="58AF6FB9"/>
    <w:rsid w:val="59216F96"/>
    <w:rsid w:val="598C4145"/>
    <w:rsid w:val="59957D1B"/>
    <w:rsid w:val="59D4294E"/>
    <w:rsid w:val="5B634312"/>
    <w:rsid w:val="5B9D2CCD"/>
    <w:rsid w:val="5B9E71EA"/>
    <w:rsid w:val="5E22685B"/>
    <w:rsid w:val="5E226FBC"/>
    <w:rsid w:val="5F6A3452"/>
    <w:rsid w:val="5FE72BD2"/>
    <w:rsid w:val="60120613"/>
    <w:rsid w:val="618D5292"/>
    <w:rsid w:val="62271AC7"/>
    <w:rsid w:val="622E78FA"/>
    <w:rsid w:val="63343F70"/>
    <w:rsid w:val="64296E1C"/>
    <w:rsid w:val="64562A84"/>
    <w:rsid w:val="649E64A2"/>
    <w:rsid w:val="65E5270A"/>
    <w:rsid w:val="663D3C54"/>
    <w:rsid w:val="66862C89"/>
    <w:rsid w:val="66BB486D"/>
    <w:rsid w:val="67394C7D"/>
    <w:rsid w:val="68126B38"/>
    <w:rsid w:val="68291A1A"/>
    <w:rsid w:val="68352BB8"/>
    <w:rsid w:val="691B1594"/>
    <w:rsid w:val="693A016B"/>
    <w:rsid w:val="6A17429C"/>
    <w:rsid w:val="6A1B5094"/>
    <w:rsid w:val="6A567EA3"/>
    <w:rsid w:val="6A6F34AC"/>
    <w:rsid w:val="6B4B4368"/>
    <w:rsid w:val="6B79100E"/>
    <w:rsid w:val="6C844C00"/>
    <w:rsid w:val="6D2D2E3A"/>
    <w:rsid w:val="6E10212C"/>
    <w:rsid w:val="6E43561A"/>
    <w:rsid w:val="6E557973"/>
    <w:rsid w:val="6E9568DB"/>
    <w:rsid w:val="6F0D6C22"/>
    <w:rsid w:val="6F47657F"/>
    <w:rsid w:val="6FAF23D9"/>
    <w:rsid w:val="70635CF6"/>
    <w:rsid w:val="70670707"/>
    <w:rsid w:val="720E3691"/>
    <w:rsid w:val="724E244C"/>
    <w:rsid w:val="72DA6946"/>
    <w:rsid w:val="732764B3"/>
    <w:rsid w:val="74026044"/>
    <w:rsid w:val="74746410"/>
    <w:rsid w:val="75E5007C"/>
    <w:rsid w:val="76D812A0"/>
    <w:rsid w:val="77813724"/>
    <w:rsid w:val="77861774"/>
    <w:rsid w:val="78F31435"/>
    <w:rsid w:val="79300B45"/>
    <w:rsid w:val="794D3E18"/>
    <w:rsid w:val="79F3729A"/>
    <w:rsid w:val="7A880722"/>
    <w:rsid w:val="7ACB0498"/>
    <w:rsid w:val="7AED0B4D"/>
    <w:rsid w:val="7AFA1F70"/>
    <w:rsid w:val="7B7A3111"/>
    <w:rsid w:val="7BF5648F"/>
    <w:rsid w:val="7C1E4487"/>
    <w:rsid w:val="7C215E02"/>
    <w:rsid w:val="7CF23764"/>
    <w:rsid w:val="7CF61E81"/>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8582</Words>
  <Characters>8986</Characters>
  <Lines>0</Lines>
  <Paragraphs>0</Paragraphs>
  <TotalTime>2</TotalTime>
  <ScaleCrop>false</ScaleCrop>
  <LinksUpToDate>false</LinksUpToDate>
  <CharactersWithSpaces>9043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cp:lastPrinted>2024-04-23T05:36:00Z</cp:lastPrinted>
  <dcterms:modified xsi:type="dcterms:W3CDTF">2024-10-16T04:07:13Z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