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08C57">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4F23A332">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458D2E2">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5DF66F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2023年自治区基本公卫补助资金-全民健康体检</w:t>
      </w:r>
      <w:r>
        <w:rPr>
          <w:rFonts w:hint="eastAsia" w:cs="宋体"/>
          <w:b/>
          <w:bCs/>
          <w:color w:val="auto"/>
          <w:sz w:val="40"/>
          <w:szCs w:val="40"/>
          <w:highlight w:val="none"/>
          <w:shd w:val="clear" w:color="auto" w:fill="auto"/>
          <w:lang w:val="en-US" w:eastAsia="zh-CN"/>
        </w:rPr>
        <w:t>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10AAF77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7F9AC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2EA9D3B">
      <w:pPr>
        <w:bidi w:val="0"/>
        <w:rPr>
          <w:rFonts w:hint="eastAsia"/>
          <w:color w:val="auto"/>
          <w:highlight w:val="none"/>
          <w:shd w:val="clear" w:color="auto" w:fill="auto"/>
        </w:rPr>
      </w:pPr>
    </w:p>
    <w:p w14:paraId="1D90923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B41E3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A314B0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391519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9D5704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项目名称：2023年自治区基本公卫补助资金-全民健康体检</w:t>
      </w:r>
      <w:r>
        <w:rPr>
          <w:rFonts w:hint="eastAsia" w:cs="宋体"/>
          <w:b/>
          <w:color w:val="auto"/>
          <w:kern w:val="2"/>
          <w:sz w:val="28"/>
          <w:szCs w:val="28"/>
          <w:highlight w:val="none"/>
          <w:shd w:val="clear" w:color="auto" w:fill="auto"/>
          <w:lang w:val="en-US" w:eastAsia="zh-CN"/>
        </w:rPr>
        <w:t>经费</w:t>
      </w:r>
    </w:p>
    <w:p w14:paraId="5B25A18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阜康市人民医院</w:t>
      </w:r>
    </w:p>
    <w:p w14:paraId="069D349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阜康市卫生健康委员会</w:t>
      </w:r>
    </w:p>
    <w:p w14:paraId="3C06E721">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26BB6C41">
      <w:pPr>
        <w:rPr>
          <w:rFonts w:hint="eastAsia"/>
          <w:color w:val="auto"/>
          <w:highlight w:val="none"/>
          <w:shd w:val="clear" w:color="auto" w:fill="auto"/>
          <w:lang w:val="en-US" w:eastAsia="zh-CN"/>
        </w:rPr>
      </w:pPr>
      <w:r>
        <w:rPr>
          <w:rFonts w:hint="eastAsia"/>
          <w:color w:val="auto"/>
          <w:highlight w:val="none"/>
          <w:shd w:val="clear" w:color="auto" w:fill="auto"/>
          <w:lang w:val="en-US" w:eastAsia="zh-CN"/>
        </w:rPr>
        <w:br w:type="page"/>
      </w:r>
    </w:p>
    <w:p w14:paraId="244F0E26">
      <w:pPr>
        <w:rPr>
          <w:rFonts w:hint="eastAsia"/>
          <w:color w:val="auto"/>
          <w:highlight w:val="none"/>
          <w:shd w:val="clear" w:color="auto" w:fill="auto"/>
          <w:lang w:val="en-US" w:eastAsia="zh-CN"/>
        </w:rPr>
      </w:pPr>
    </w:p>
    <w:sdt>
      <w:sdtPr>
        <w:rPr>
          <w:rFonts w:ascii="宋体" w:hAnsi="宋体" w:eastAsia="宋体" w:cs="宋体"/>
          <w:b/>
          <w:bCs/>
          <w:color w:val="auto"/>
          <w:kern w:val="2"/>
          <w:sz w:val="28"/>
          <w:szCs w:val="40"/>
          <w:highlight w:val="none"/>
          <w:shd w:val="clear" w:color="auto" w:fill="auto"/>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shd w:val="clear" w:color="auto" w:fill="auto"/>
          <w:lang w:val="en-US" w:eastAsia="zh-CN" w:bidi="ar-SA"/>
        </w:rPr>
      </w:sdtEndPr>
      <w:sdtContent>
        <w:p w14:paraId="2BC6923B">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shd w:val="clear" w:color="auto" w:fill="auto"/>
            </w:rPr>
          </w:pPr>
          <w:r>
            <w:rPr>
              <w:rFonts w:ascii="宋体" w:hAnsi="宋体" w:eastAsia="宋体"/>
              <w:b/>
              <w:bCs/>
              <w:color w:val="auto"/>
              <w:sz w:val="40"/>
              <w:szCs w:val="40"/>
              <w:highlight w:val="none"/>
              <w:shd w:val="clear" w:color="auto" w:fill="auto"/>
            </w:rPr>
            <w:t>目录</w:t>
          </w:r>
        </w:p>
        <w:p w14:paraId="23E4390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TOC \o "1-3" \h \u </w:instrText>
          </w:r>
          <w:r>
            <w:rPr>
              <w:rFonts w:hint="eastAsia"/>
              <w:color w:val="auto"/>
              <w:sz w:val="28"/>
              <w:szCs w:val="28"/>
              <w:highlight w:val="none"/>
              <w:shd w:val="clear" w:color="auto" w:fill="auto"/>
              <w:lang w:val="en-US" w:eastAsia="zh-CN"/>
            </w:rPr>
            <w:fldChar w:fldCharType="separate"/>
          </w:r>
        </w:p>
        <w:p w14:paraId="528F8F3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b/>
              <w:bCs/>
              <w:color w:val="auto"/>
              <w:sz w:val="28"/>
              <w:szCs w:val="28"/>
              <w:highlight w:val="none"/>
              <w:shd w:val="clear" w:color="auto" w:fill="auto"/>
              <w:lang w:val="en-US" w:eastAsia="zh-CN"/>
            </w:rPr>
            <w:fldChar w:fldCharType="begin"/>
          </w:r>
          <w:r>
            <w:rPr>
              <w:rFonts w:hint="eastAsia"/>
              <w:b/>
              <w:bCs/>
              <w:color w:val="auto"/>
              <w:sz w:val="28"/>
              <w:szCs w:val="28"/>
              <w:highlight w:val="none"/>
              <w:shd w:val="clear" w:color="auto" w:fill="auto"/>
              <w:lang w:val="en-US" w:eastAsia="zh-CN"/>
            </w:rPr>
            <w:instrText xml:space="preserve"> HYPERLINK \l _Toc17540 </w:instrText>
          </w:r>
          <w:r>
            <w:rPr>
              <w:rFonts w:hint="eastAsia"/>
              <w:b/>
              <w:bCs/>
              <w:color w:val="auto"/>
              <w:sz w:val="28"/>
              <w:szCs w:val="28"/>
              <w:highlight w:val="none"/>
              <w:shd w:val="clear" w:color="auto" w:fill="auto"/>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shd w:val="clear" w:color="auto" w:fill="auto"/>
            </w:rPr>
            <w:tab/>
          </w:r>
          <w:r>
            <w:rPr>
              <w:b/>
              <w:bCs/>
              <w:color w:val="auto"/>
              <w:sz w:val="28"/>
              <w:szCs w:val="28"/>
              <w:highlight w:val="none"/>
              <w:shd w:val="clear" w:color="auto" w:fill="auto"/>
            </w:rPr>
            <w:fldChar w:fldCharType="begin"/>
          </w:r>
          <w:r>
            <w:rPr>
              <w:b/>
              <w:bCs/>
              <w:color w:val="auto"/>
              <w:sz w:val="28"/>
              <w:szCs w:val="28"/>
              <w:highlight w:val="none"/>
              <w:shd w:val="clear" w:color="auto" w:fill="auto"/>
            </w:rPr>
            <w:instrText xml:space="preserve"> PAGEREF _Toc17540 \h </w:instrText>
          </w:r>
          <w:r>
            <w:rPr>
              <w:b/>
              <w:bCs/>
              <w:color w:val="auto"/>
              <w:sz w:val="28"/>
              <w:szCs w:val="28"/>
              <w:highlight w:val="none"/>
              <w:shd w:val="clear" w:color="auto" w:fill="auto"/>
            </w:rPr>
            <w:fldChar w:fldCharType="separate"/>
          </w:r>
          <w:r>
            <w:rPr>
              <w:b/>
              <w:bCs/>
              <w:color w:val="auto"/>
              <w:sz w:val="28"/>
              <w:szCs w:val="28"/>
              <w:highlight w:val="none"/>
              <w:shd w:val="clear" w:color="auto" w:fill="auto"/>
            </w:rPr>
            <w:t>1</w:t>
          </w:r>
          <w:r>
            <w:rPr>
              <w:b/>
              <w:bCs/>
              <w:color w:val="auto"/>
              <w:sz w:val="28"/>
              <w:szCs w:val="28"/>
              <w:highlight w:val="none"/>
              <w:shd w:val="clear" w:color="auto" w:fill="auto"/>
            </w:rPr>
            <w:fldChar w:fldCharType="end"/>
          </w:r>
          <w:r>
            <w:rPr>
              <w:rFonts w:hint="eastAsia"/>
              <w:b/>
              <w:bCs/>
              <w:color w:val="auto"/>
              <w:sz w:val="28"/>
              <w:szCs w:val="28"/>
              <w:highlight w:val="none"/>
              <w:shd w:val="clear" w:color="auto" w:fill="auto"/>
              <w:lang w:val="en-US" w:eastAsia="zh-CN"/>
            </w:rPr>
            <w:fldChar w:fldCharType="end"/>
          </w:r>
        </w:p>
        <w:p w14:paraId="7B83A58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_Toc18966 </w:instrText>
          </w:r>
          <w:r>
            <w:rPr>
              <w:rFonts w:hint="eastAsia"/>
              <w:color w:val="auto"/>
              <w:sz w:val="28"/>
              <w:szCs w:val="28"/>
              <w:highlight w:val="none"/>
              <w:shd w:val="clear" w:color="auto" w:fill="auto"/>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_Toc18966 \h </w:instrText>
          </w:r>
          <w:r>
            <w:rPr>
              <w:color w:val="auto"/>
              <w:sz w:val="28"/>
              <w:szCs w:val="28"/>
              <w:highlight w:val="none"/>
              <w:shd w:val="clear" w:color="auto" w:fill="auto"/>
            </w:rPr>
            <w:fldChar w:fldCharType="separate"/>
          </w:r>
          <w:r>
            <w:rPr>
              <w:color w:val="auto"/>
              <w:sz w:val="28"/>
              <w:szCs w:val="28"/>
              <w:highlight w:val="none"/>
              <w:shd w:val="clear" w:color="auto" w:fill="auto"/>
            </w:rPr>
            <w:t>1</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0A843F2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_Toc2879 </w:instrText>
          </w:r>
          <w:r>
            <w:rPr>
              <w:rFonts w:hint="eastAsia"/>
              <w:color w:val="auto"/>
              <w:sz w:val="28"/>
              <w:szCs w:val="28"/>
              <w:highlight w:val="none"/>
              <w:shd w:val="clear" w:color="auto" w:fill="auto"/>
              <w:lang w:val="en-US" w:eastAsia="zh-CN"/>
            </w:rPr>
            <w:fldChar w:fldCharType="separate"/>
          </w:r>
          <w:r>
            <w:rPr>
              <w:rFonts w:hint="eastAsia" w:ascii="宋体" w:hAnsi="宋体" w:eastAsia="宋体" w:cs="宋体"/>
              <w:color w:val="auto"/>
              <w:sz w:val="28"/>
              <w:szCs w:val="28"/>
              <w:highlight w:val="none"/>
              <w:shd w:val="clear" w:color="auto" w:fill="auto"/>
            </w:rPr>
            <w:t>（二）项目绩效目标</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_Toc2879 \h </w:instrText>
          </w:r>
          <w:r>
            <w:rPr>
              <w:color w:val="auto"/>
              <w:sz w:val="28"/>
              <w:szCs w:val="28"/>
              <w:highlight w:val="none"/>
              <w:shd w:val="clear" w:color="auto" w:fill="auto"/>
            </w:rPr>
            <w:fldChar w:fldCharType="separate"/>
          </w:r>
          <w:r>
            <w:rPr>
              <w:color w:val="auto"/>
              <w:sz w:val="28"/>
              <w:szCs w:val="28"/>
              <w:highlight w:val="none"/>
              <w:shd w:val="clear" w:color="auto" w:fill="auto"/>
            </w:rPr>
            <w:t>3</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37CEBFB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b/>
              <w:bCs/>
              <w:color w:val="auto"/>
              <w:sz w:val="28"/>
              <w:szCs w:val="28"/>
              <w:highlight w:val="none"/>
              <w:shd w:val="clear" w:color="auto" w:fill="auto"/>
              <w:lang w:val="en-US" w:eastAsia="zh-CN"/>
            </w:rPr>
            <w:fldChar w:fldCharType="begin"/>
          </w:r>
          <w:r>
            <w:rPr>
              <w:rFonts w:hint="eastAsia"/>
              <w:b/>
              <w:bCs/>
              <w:color w:val="auto"/>
              <w:sz w:val="28"/>
              <w:szCs w:val="28"/>
              <w:highlight w:val="none"/>
              <w:shd w:val="clear" w:color="auto" w:fill="auto"/>
              <w:lang w:val="en-US" w:eastAsia="zh-CN"/>
            </w:rPr>
            <w:instrText xml:space="preserve"> HYPERLINK \l _Toc2549 </w:instrText>
          </w:r>
          <w:r>
            <w:rPr>
              <w:rFonts w:hint="eastAsia"/>
              <w:b/>
              <w:bCs/>
              <w:color w:val="auto"/>
              <w:sz w:val="28"/>
              <w:szCs w:val="28"/>
              <w:highlight w:val="none"/>
              <w:shd w:val="clear" w:color="auto" w:fill="auto"/>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shd w:val="clear" w:color="auto" w:fill="auto"/>
            </w:rPr>
            <w:tab/>
          </w:r>
          <w:r>
            <w:rPr>
              <w:b/>
              <w:bCs/>
              <w:color w:val="auto"/>
              <w:sz w:val="28"/>
              <w:szCs w:val="28"/>
              <w:highlight w:val="none"/>
              <w:shd w:val="clear" w:color="auto" w:fill="auto"/>
            </w:rPr>
            <w:fldChar w:fldCharType="begin"/>
          </w:r>
          <w:r>
            <w:rPr>
              <w:b/>
              <w:bCs/>
              <w:color w:val="auto"/>
              <w:sz w:val="28"/>
              <w:szCs w:val="28"/>
              <w:highlight w:val="none"/>
              <w:shd w:val="clear" w:color="auto" w:fill="auto"/>
            </w:rPr>
            <w:instrText xml:space="preserve"> PAGEREF _Toc2549 \h </w:instrText>
          </w:r>
          <w:r>
            <w:rPr>
              <w:b/>
              <w:bCs/>
              <w:color w:val="auto"/>
              <w:sz w:val="28"/>
              <w:szCs w:val="28"/>
              <w:highlight w:val="none"/>
              <w:shd w:val="clear" w:color="auto" w:fill="auto"/>
            </w:rPr>
            <w:fldChar w:fldCharType="separate"/>
          </w:r>
          <w:r>
            <w:rPr>
              <w:b/>
              <w:bCs/>
              <w:color w:val="auto"/>
              <w:sz w:val="28"/>
              <w:szCs w:val="28"/>
              <w:highlight w:val="none"/>
              <w:shd w:val="clear" w:color="auto" w:fill="auto"/>
            </w:rPr>
            <w:t>4</w:t>
          </w:r>
          <w:r>
            <w:rPr>
              <w:b/>
              <w:bCs/>
              <w:color w:val="auto"/>
              <w:sz w:val="28"/>
              <w:szCs w:val="28"/>
              <w:highlight w:val="none"/>
              <w:shd w:val="clear" w:color="auto" w:fill="auto"/>
            </w:rPr>
            <w:fldChar w:fldCharType="end"/>
          </w:r>
          <w:r>
            <w:rPr>
              <w:rFonts w:hint="eastAsia"/>
              <w:b/>
              <w:bCs/>
              <w:color w:val="auto"/>
              <w:sz w:val="28"/>
              <w:szCs w:val="28"/>
              <w:highlight w:val="none"/>
              <w:shd w:val="clear" w:color="auto" w:fill="auto"/>
              <w:lang w:val="en-US" w:eastAsia="zh-CN"/>
            </w:rPr>
            <w:fldChar w:fldCharType="end"/>
          </w:r>
        </w:p>
        <w:p w14:paraId="4A19759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_Toc21778 </w:instrText>
          </w:r>
          <w:r>
            <w:rPr>
              <w:rFonts w:hint="eastAsia"/>
              <w:color w:val="auto"/>
              <w:sz w:val="28"/>
              <w:szCs w:val="28"/>
              <w:highlight w:val="none"/>
              <w:shd w:val="clear" w:color="auto" w:fill="auto"/>
              <w:lang w:val="en-US" w:eastAsia="zh-CN"/>
            </w:rPr>
            <w:fldChar w:fldCharType="separate"/>
          </w:r>
          <w:r>
            <w:rPr>
              <w:rFonts w:hint="eastAsia" w:ascii="宋体" w:hAnsi="宋体" w:eastAsia="宋体" w:cs="宋体"/>
              <w:color w:val="auto"/>
              <w:sz w:val="28"/>
              <w:szCs w:val="28"/>
              <w:highlight w:val="none"/>
              <w:shd w:val="clear" w:color="auto" w:fill="auto"/>
              <w:lang w:eastAsia="zh-CN"/>
            </w:rPr>
            <w:t>（一）绩效评价的目的、对象和范围</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_Toc21778 \h </w:instrText>
          </w:r>
          <w:r>
            <w:rPr>
              <w:color w:val="auto"/>
              <w:sz w:val="28"/>
              <w:szCs w:val="28"/>
              <w:highlight w:val="none"/>
              <w:shd w:val="clear" w:color="auto" w:fill="auto"/>
            </w:rPr>
            <w:fldChar w:fldCharType="separate"/>
          </w:r>
          <w:r>
            <w:rPr>
              <w:color w:val="auto"/>
              <w:sz w:val="28"/>
              <w:szCs w:val="28"/>
              <w:highlight w:val="none"/>
              <w:shd w:val="clear" w:color="auto" w:fill="auto"/>
            </w:rPr>
            <w:t>4</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073DBA9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_Toc15902 </w:instrText>
          </w:r>
          <w:r>
            <w:rPr>
              <w:rFonts w:hint="eastAsia"/>
              <w:color w:val="auto"/>
              <w:sz w:val="28"/>
              <w:szCs w:val="28"/>
              <w:highlight w:val="none"/>
              <w:shd w:val="clear" w:color="auto" w:fill="auto"/>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（二）绩效评价原则、评价指标体系（附表说明）、评价方法、评价标准</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_Toc15902 \h </w:instrText>
          </w:r>
          <w:r>
            <w:rPr>
              <w:color w:val="auto"/>
              <w:sz w:val="28"/>
              <w:szCs w:val="28"/>
              <w:highlight w:val="none"/>
              <w:shd w:val="clear" w:color="auto" w:fill="auto"/>
            </w:rPr>
            <w:fldChar w:fldCharType="separate"/>
          </w:r>
          <w:r>
            <w:rPr>
              <w:color w:val="auto"/>
              <w:sz w:val="28"/>
              <w:szCs w:val="28"/>
              <w:highlight w:val="none"/>
              <w:shd w:val="clear" w:color="auto" w:fill="auto"/>
            </w:rPr>
            <w:t>5</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185ABDD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_Toc1070 </w:instrText>
          </w:r>
          <w:r>
            <w:rPr>
              <w:rFonts w:hint="eastAsia"/>
              <w:color w:val="auto"/>
              <w:sz w:val="28"/>
              <w:szCs w:val="28"/>
              <w:highlight w:val="none"/>
              <w:shd w:val="clear" w:color="auto" w:fill="auto"/>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_Toc1070 \h </w:instrText>
          </w:r>
          <w:r>
            <w:rPr>
              <w:color w:val="auto"/>
              <w:sz w:val="28"/>
              <w:szCs w:val="28"/>
              <w:highlight w:val="none"/>
              <w:shd w:val="clear" w:color="auto" w:fill="auto"/>
            </w:rPr>
            <w:fldChar w:fldCharType="separate"/>
          </w:r>
          <w:r>
            <w:rPr>
              <w:color w:val="auto"/>
              <w:sz w:val="28"/>
              <w:szCs w:val="28"/>
              <w:highlight w:val="none"/>
              <w:shd w:val="clear" w:color="auto" w:fill="auto"/>
            </w:rPr>
            <w:t>9</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06F4D5D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shd w:val="clear" w:color="auto" w:fill="auto"/>
            </w:rPr>
          </w:pPr>
          <w:r>
            <w:rPr>
              <w:rFonts w:hint="eastAsia"/>
              <w:b/>
              <w:bCs/>
              <w:color w:val="auto"/>
              <w:sz w:val="28"/>
              <w:szCs w:val="28"/>
              <w:highlight w:val="none"/>
              <w:shd w:val="clear" w:color="auto" w:fill="auto"/>
              <w:lang w:val="en-US" w:eastAsia="zh-CN"/>
            </w:rPr>
            <w:fldChar w:fldCharType="begin"/>
          </w:r>
          <w:r>
            <w:rPr>
              <w:rFonts w:hint="eastAsia"/>
              <w:b/>
              <w:bCs/>
              <w:color w:val="auto"/>
              <w:sz w:val="28"/>
              <w:szCs w:val="28"/>
              <w:highlight w:val="none"/>
              <w:shd w:val="clear" w:color="auto" w:fill="auto"/>
              <w:lang w:val="en-US" w:eastAsia="zh-CN"/>
            </w:rPr>
            <w:instrText xml:space="preserve"> HYPERLINK \l _Toc1100 </w:instrText>
          </w:r>
          <w:r>
            <w:rPr>
              <w:rFonts w:hint="eastAsia"/>
              <w:b/>
              <w:bCs/>
              <w:color w:val="auto"/>
              <w:sz w:val="28"/>
              <w:szCs w:val="28"/>
              <w:highlight w:val="none"/>
              <w:shd w:val="clear" w:color="auto" w:fill="auto"/>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shd w:val="clear" w:color="auto" w:fill="auto"/>
            </w:rPr>
            <w:tab/>
          </w:r>
          <w:r>
            <w:rPr>
              <w:b/>
              <w:bCs/>
              <w:color w:val="auto"/>
              <w:sz w:val="28"/>
              <w:szCs w:val="28"/>
              <w:highlight w:val="none"/>
              <w:shd w:val="clear" w:color="auto" w:fill="auto"/>
            </w:rPr>
            <w:fldChar w:fldCharType="begin"/>
          </w:r>
          <w:r>
            <w:rPr>
              <w:b/>
              <w:bCs/>
              <w:color w:val="auto"/>
              <w:sz w:val="28"/>
              <w:szCs w:val="28"/>
              <w:highlight w:val="none"/>
              <w:shd w:val="clear" w:color="auto" w:fill="auto"/>
            </w:rPr>
            <w:instrText xml:space="preserve"> PAGEREF _Toc1100 \h </w:instrText>
          </w:r>
          <w:r>
            <w:rPr>
              <w:b/>
              <w:bCs/>
              <w:color w:val="auto"/>
              <w:sz w:val="28"/>
              <w:szCs w:val="28"/>
              <w:highlight w:val="none"/>
              <w:shd w:val="clear" w:color="auto" w:fill="auto"/>
            </w:rPr>
            <w:fldChar w:fldCharType="separate"/>
          </w:r>
          <w:r>
            <w:rPr>
              <w:b/>
              <w:bCs/>
              <w:color w:val="auto"/>
              <w:sz w:val="28"/>
              <w:szCs w:val="28"/>
              <w:highlight w:val="none"/>
              <w:shd w:val="clear" w:color="auto" w:fill="auto"/>
            </w:rPr>
            <w:t>11</w:t>
          </w:r>
          <w:r>
            <w:rPr>
              <w:b/>
              <w:bCs/>
              <w:color w:val="auto"/>
              <w:sz w:val="28"/>
              <w:szCs w:val="28"/>
              <w:highlight w:val="none"/>
              <w:shd w:val="clear" w:color="auto" w:fill="auto"/>
            </w:rPr>
            <w:fldChar w:fldCharType="end"/>
          </w:r>
          <w:r>
            <w:rPr>
              <w:rFonts w:hint="eastAsia"/>
              <w:b/>
              <w:bCs/>
              <w:color w:val="auto"/>
              <w:sz w:val="28"/>
              <w:szCs w:val="28"/>
              <w:highlight w:val="none"/>
              <w:shd w:val="clear" w:color="auto" w:fill="auto"/>
              <w:lang w:val="en-US" w:eastAsia="zh-CN"/>
            </w:rPr>
            <w:fldChar w:fldCharType="end"/>
          </w:r>
        </w:p>
        <w:p w14:paraId="64F78EB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b/>
              <w:bCs/>
              <w:color w:val="auto"/>
              <w:sz w:val="28"/>
              <w:szCs w:val="28"/>
              <w:highlight w:val="none"/>
              <w:shd w:val="clear" w:color="auto" w:fill="auto"/>
              <w:lang w:val="en-US" w:eastAsia="zh-CN"/>
            </w:rPr>
            <w:fldChar w:fldCharType="begin"/>
          </w:r>
          <w:r>
            <w:rPr>
              <w:rFonts w:hint="eastAsia"/>
              <w:b/>
              <w:bCs/>
              <w:color w:val="auto"/>
              <w:sz w:val="28"/>
              <w:szCs w:val="28"/>
              <w:highlight w:val="none"/>
              <w:shd w:val="clear" w:color="auto" w:fill="auto"/>
              <w:lang w:val="en-US" w:eastAsia="zh-CN"/>
            </w:rPr>
            <w:instrText xml:space="preserve"> HYPERLINK \l _Toc9421 </w:instrText>
          </w:r>
          <w:r>
            <w:rPr>
              <w:rFonts w:hint="eastAsia"/>
              <w:b/>
              <w:bCs/>
              <w:color w:val="auto"/>
              <w:sz w:val="28"/>
              <w:szCs w:val="28"/>
              <w:highlight w:val="none"/>
              <w:shd w:val="clear" w:color="auto" w:fill="auto"/>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shd w:val="clear" w:color="auto" w:fill="auto"/>
            </w:rPr>
            <w:tab/>
          </w:r>
          <w:r>
            <w:rPr>
              <w:b/>
              <w:bCs/>
              <w:color w:val="auto"/>
              <w:sz w:val="28"/>
              <w:szCs w:val="28"/>
              <w:highlight w:val="none"/>
              <w:shd w:val="clear" w:color="auto" w:fill="auto"/>
            </w:rPr>
            <w:fldChar w:fldCharType="begin"/>
          </w:r>
          <w:r>
            <w:rPr>
              <w:b/>
              <w:bCs/>
              <w:color w:val="auto"/>
              <w:sz w:val="28"/>
              <w:szCs w:val="28"/>
              <w:highlight w:val="none"/>
              <w:shd w:val="clear" w:color="auto" w:fill="auto"/>
            </w:rPr>
            <w:instrText xml:space="preserve"> PAGEREF _Toc9421 \h </w:instrText>
          </w:r>
          <w:r>
            <w:rPr>
              <w:b/>
              <w:bCs/>
              <w:color w:val="auto"/>
              <w:sz w:val="28"/>
              <w:szCs w:val="28"/>
              <w:highlight w:val="none"/>
              <w:shd w:val="clear" w:color="auto" w:fill="auto"/>
            </w:rPr>
            <w:fldChar w:fldCharType="separate"/>
          </w:r>
          <w:r>
            <w:rPr>
              <w:b/>
              <w:bCs/>
              <w:color w:val="auto"/>
              <w:sz w:val="28"/>
              <w:szCs w:val="28"/>
              <w:highlight w:val="none"/>
              <w:shd w:val="clear" w:color="auto" w:fill="auto"/>
            </w:rPr>
            <w:t>12</w:t>
          </w:r>
          <w:r>
            <w:rPr>
              <w:b/>
              <w:bCs/>
              <w:color w:val="auto"/>
              <w:sz w:val="28"/>
              <w:szCs w:val="28"/>
              <w:highlight w:val="none"/>
              <w:shd w:val="clear" w:color="auto" w:fill="auto"/>
            </w:rPr>
            <w:fldChar w:fldCharType="end"/>
          </w:r>
          <w:r>
            <w:rPr>
              <w:rFonts w:hint="eastAsia"/>
              <w:b/>
              <w:bCs/>
              <w:color w:val="auto"/>
              <w:sz w:val="28"/>
              <w:szCs w:val="28"/>
              <w:highlight w:val="none"/>
              <w:shd w:val="clear" w:color="auto" w:fill="auto"/>
              <w:lang w:val="en-US" w:eastAsia="zh-CN"/>
            </w:rPr>
            <w:fldChar w:fldCharType="end"/>
          </w:r>
        </w:p>
        <w:p w14:paraId="54FF880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_Toc15355 </w:instrText>
          </w:r>
          <w:r>
            <w:rPr>
              <w:rFonts w:hint="eastAsia"/>
              <w:color w:val="auto"/>
              <w:sz w:val="28"/>
              <w:szCs w:val="28"/>
              <w:highlight w:val="none"/>
              <w:shd w:val="clear" w:color="auto" w:fill="auto"/>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_Toc15355 \h </w:instrText>
          </w:r>
          <w:r>
            <w:rPr>
              <w:color w:val="auto"/>
              <w:sz w:val="28"/>
              <w:szCs w:val="28"/>
              <w:highlight w:val="none"/>
              <w:shd w:val="clear" w:color="auto" w:fill="auto"/>
            </w:rPr>
            <w:fldChar w:fldCharType="separate"/>
          </w:r>
          <w:r>
            <w:rPr>
              <w:color w:val="auto"/>
              <w:sz w:val="28"/>
              <w:szCs w:val="28"/>
              <w:highlight w:val="none"/>
              <w:shd w:val="clear" w:color="auto" w:fill="auto"/>
            </w:rPr>
            <w:t>12</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51534F3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_Toc11361 </w:instrText>
          </w:r>
          <w:r>
            <w:rPr>
              <w:rFonts w:hint="eastAsia"/>
              <w:color w:val="auto"/>
              <w:sz w:val="28"/>
              <w:szCs w:val="28"/>
              <w:highlight w:val="none"/>
              <w:shd w:val="clear" w:color="auto" w:fill="auto"/>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_Toc11361 \h </w:instrText>
          </w:r>
          <w:r>
            <w:rPr>
              <w:color w:val="auto"/>
              <w:sz w:val="28"/>
              <w:szCs w:val="28"/>
              <w:highlight w:val="none"/>
              <w:shd w:val="clear" w:color="auto" w:fill="auto"/>
            </w:rPr>
            <w:fldChar w:fldCharType="separate"/>
          </w:r>
          <w:r>
            <w:rPr>
              <w:color w:val="auto"/>
              <w:sz w:val="28"/>
              <w:szCs w:val="28"/>
              <w:highlight w:val="none"/>
              <w:shd w:val="clear" w:color="auto" w:fill="auto"/>
            </w:rPr>
            <w:t>15</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208EE68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_Toc16268 </w:instrText>
          </w:r>
          <w:r>
            <w:rPr>
              <w:rFonts w:hint="eastAsia"/>
              <w:color w:val="auto"/>
              <w:sz w:val="28"/>
              <w:szCs w:val="28"/>
              <w:highlight w:val="none"/>
              <w:shd w:val="clear" w:color="auto" w:fill="auto"/>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_Toc16268 \h </w:instrText>
          </w:r>
          <w:r>
            <w:rPr>
              <w:color w:val="auto"/>
              <w:sz w:val="28"/>
              <w:szCs w:val="28"/>
              <w:highlight w:val="none"/>
              <w:shd w:val="clear" w:color="auto" w:fill="auto"/>
            </w:rPr>
            <w:fldChar w:fldCharType="separate"/>
          </w:r>
          <w:r>
            <w:rPr>
              <w:color w:val="auto"/>
              <w:sz w:val="28"/>
              <w:szCs w:val="28"/>
              <w:highlight w:val="none"/>
              <w:shd w:val="clear" w:color="auto" w:fill="auto"/>
            </w:rPr>
            <w:t>18</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3892C2E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_Toc18446 </w:instrText>
          </w:r>
          <w:r>
            <w:rPr>
              <w:rFonts w:hint="eastAsia"/>
              <w:color w:val="auto"/>
              <w:sz w:val="28"/>
              <w:szCs w:val="28"/>
              <w:highlight w:val="none"/>
              <w:shd w:val="clear" w:color="auto" w:fill="auto"/>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_Toc18446 \h </w:instrText>
          </w:r>
          <w:r>
            <w:rPr>
              <w:color w:val="auto"/>
              <w:sz w:val="28"/>
              <w:szCs w:val="28"/>
              <w:highlight w:val="none"/>
              <w:shd w:val="clear" w:color="auto" w:fill="auto"/>
            </w:rPr>
            <w:fldChar w:fldCharType="separate"/>
          </w:r>
          <w:r>
            <w:rPr>
              <w:color w:val="auto"/>
              <w:sz w:val="28"/>
              <w:szCs w:val="28"/>
              <w:highlight w:val="none"/>
              <w:shd w:val="clear" w:color="auto" w:fill="auto"/>
            </w:rPr>
            <w:t>20</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7D81566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shd w:val="clear" w:color="auto" w:fill="auto"/>
            </w:rPr>
          </w:pPr>
          <w:r>
            <w:rPr>
              <w:rFonts w:hint="eastAsia"/>
              <w:b/>
              <w:bCs/>
              <w:color w:val="auto"/>
              <w:sz w:val="28"/>
              <w:szCs w:val="28"/>
              <w:highlight w:val="none"/>
              <w:shd w:val="clear" w:color="auto" w:fill="auto"/>
              <w:lang w:val="en-US" w:eastAsia="zh-CN"/>
            </w:rPr>
            <w:fldChar w:fldCharType="begin"/>
          </w:r>
          <w:r>
            <w:rPr>
              <w:rFonts w:hint="eastAsia"/>
              <w:b/>
              <w:bCs/>
              <w:color w:val="auto"/>
              <w:sz w:val="28"/>
              <w:szCs w:val="28"/>
              <w:highlight w:val="none"/>
              <w:shd w:val="clear" w:color="auto" w:fill="auto"/>
              <w:lang w:val="en-US" w:eastAsia="zh-CN"/>
            </w:rPr>
            <w:instrText xml:space="preserve"> HYPERLINK \l _Toc19962 </w:instrText>
          </w:r>
          <w:r>
            <w:rPr>
              <w:rFonts w:hint="eastAsia"/>
              <w:b/>
              <w:bCs/>
              <w:color w:val="auto"/>
              <w:sz w:val="28"/>
              <w:szCs w:val="28"/>
              <w:highlight w:val="none"/>
              <w:shd w:val="clear" w:color="auto" w:fill="auto"/>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shd w:val="clear" w:color="auto" w:fill="auto"/>
            </w:rPr>
            <w:tab/>
          </w:r>
          <w:r>
            <w:rPr>
              <w:b/>
              <w:bCs/>
              <w:color w:val="auto"/>
              <w:sz w:val="28"/>
              <w:szCs w:val="28"/>
              <w:highlight w:val="none"/>
              <w:shd w:val="clear" w:color="auto" w:fill="auto"/>
            </w:rPr>
            <w:fldChar w:fldCharType="begin"/>
          </w:r>
          <w:r>
            <w:rPr>
              <w:b/>
              <w:bCs/>
              <w:color w:val="auto"/>
              <w:sz w:val="28"/>
              <w:szCs w:val="28"/>
              <w:highlight w:val="none"/>
              <w:shd w:val="clear" w:color="auto" w:fill="auto"/>
            </w:rPr>
            <w:instrText xml:space="preserve"> PAGEREF _Toc19962 \h </w:instrText>
          </w:r>
          <w:r>
            <w:rPr>
              <w:b/>
              <w:bCs/>
              <w:color w:val="auto"/>
              <w:sz w:val="28"/>
              <w:szCs w:val="28"/>
              <w:highlight w:val="none"/>
              <w:shd w:val="clear" w:color="auto" w:fill="auto"/>
            </w:rPr>
            <w:fldChar w:fldCharType="separate"/>
          </w:r>
          <w:r>
            <w:rPr>
              <w:b/>
              <w:bCs/>
              <w:color w:val="auto"/>
              <w:sz w:val="28"/>
              <w:szCs w:val="28"/>
              <w:highlight w:val="none"/>
              <w:shd w:val="clear" w:color="auto" w:fill="auto"/>
            </w:rPr>
            <w:t>21</w:t>
          </w:r>
          <w:r>
            <w:rPr>
              <w:b/>
              <w:bCs/>
              <w:color w:val="auto"/>
              <w:sz w:val="28"/>
              <w:szCs w:val="28"/>
              <w:highlight w:val="none"/>
              <w:shd w:val="clear" w:color="auto" w:fill="auto"/>
            </w:rPr>
            <w:fldChar w:fldCharType="end"/>
          </w:r>
          <w:r>
            <w:rPr>
              <w:rFonts w:hint="eastAsia"/>
              <w:b/>
              <w:bCs/>
              <w:color w:val="auto"/>
              <w:sz w:val="28"/>
              <w:szCs w:val="28"/>
              <w:highlight w:val="none"/>
              <w:shd w:val="clear" w:color="auto" w:fill="auto"/>
              <w:lang w:val="en-US" w:eastAsia="zh-CN"/>
            </w:rPr>
            <w:fldChar w:fldCharType="end"/>
          </w:r>
        </w:p>
        <w:p w14:paraId="6CAD360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b/>
              <w:bCs/>
              <w:color w:val="auto"/>
              <w:sz w:val="28"/>
              <w:szCs w:val="28"/>
              <w:highlight w:val="none"/>
              <w:shd w:val="clear" w:color="auto" w:fill="auto"/>
              <w:lang w:val="en-US" w:eastAsia="zh-CN"/>
            </w:rPr>
            <w:fldChar w:fldCharType="begin"/>
          </w:r>
          <w:r>
            <w:rPr>
              <w:rFonts w:hint="eastAsia"/>
              <w:b/>
              <w:bCs/>
              <w:color w:val="auto"/>
              <w:sz w:val="28"/>
              <w:szCs w:val="28"/>
              <w:highlight w:val="none"/>
              <w:shd w:val="clear" w:color="auto" w:fill="auto"/>
              <w:lang w:val="en-US" w:eastAsia="zh-CN"/>
            </w:rPr>
            <w:instrText xml:space="preserve"> HYPERLINK \l _Toc29934 </w:instrText>
          </w:r>
          <w:r>
            <w:rPr>
              <w:rFonts w:hint="eastAsia"/>
              <w:b/>
              <w:bCs/>
              <w:color w:val="auto"/>
              <w:sz w:val="28"/>
              <w:szCs w:val="28"/>
              <w:highlight w:val="none"/>
              <w:shd w:val="clear" w:color="auto" w:fill="auto"/>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shd w:val="clear" w:color="auto" w:fill="auto"/>
            </w:rPr>
            <w:tab/>
          </w:r>
          <w:r>
            <w:rPr>
              <w:b/>
              <w:bCs/>
              <w:color w:val="auto"/>
              <w:sz w:val="28"/>
              <w:szCs w:val="28"/>
              <w:highlight w:val="none"/>
              <w:shd w:val="clear" w:color="auto" w:fill="auto"/>
            </w:rPr>
            <w:fldChar w:fldCharType="begin"/>
          </w:r>
          <w:r>
            <w:rPr>
              <w:b/>
              <w:bCs/>
              <w:color w:val="auto"/>
              <w:sz w:val="28"/>
              <w:szCs w:val="28"/>
              <w:highlight w:val="none"/>
              <w:shd w:val="clear" w:color="auto" w:fill="auto"/>
            </w:rPr>
            <w:instrText xml:space="preserve"> PAGEREF _Toc29934 \h </w:instrText>
          </w:r>
          <w:r>
            <w:rPr>
              <w:b/>
              <w:bCs/>
              <w:color w:val="auto"/>
              <w:sz w:val="28"/>
              <w:szCs w:val="28"/>
              <w:highlight w:val="none"/>
              <w:shd w:val="clear" w:color="auto" w:fill="auto"/>
            </w:rPr>
            <w:fldChar w:fldCharType="separate"/>
          </w:r>
          <w:r>
            <w:rPr>
              <w:b/>
              <w:bCs/>
              <w:color w:val="auto"/>
              <w:sz w:val="28"/>
              <w:szCs w:val="28"/>
              <w:highlight w:val="none"/>
              <w:shd w:val="clear" w:color="auto" w:fill="auto"/>
            </w:rPr>
            <w:t>21</w:t>
          </w:r>
          <w:r>
            <w:rPr>
              <w:b/>
              <w:bCs/>
              <w:color w:val="auto"/>
              <w:sz w:val="28"/>
              <w:szCs w:val="28"/>
              <w:highlight w:val="none"/>
              <w:shd w:val="clear" w:color="auto" w:fill="auto"/>
            </w:rPr>
            <w:fldChar w:fldCharType="end"/>
          </w:r>
          <w:r>
            <w:rPr>
              <w:rFonts w:hint="eastAsia"/>
              <w:b/>
              <w:bCs/>
              <w:color w:val="auto"/>
              <w:sz w:val="28"/>
              <w:szCs w:val="28"/>
              <w:highlight w:val="none"/>
              <w:shd w:val="clear" w:color="auto" w:fill="auto"/>
              <w:lang w:val="en-US" w:eastAsia="zh-CN"/>
            </w:rPr>
            <w:fldChar w:fldCharType="end"/>
          </w:r>
        </w:p>
        <w:p w14:paraId="0237404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_Toc13160 </w:instrText>
          </w:r>
          <w:r>
            <w:rPr>
              <w:rFonts w:hint="eastAsia"/>
              <w:color w:val="auto"/>
              <w:sz w:val="28"/>
              <w:szCs w:val="28"/>
              <w:highlight w:val="none"/>
              <w:shd w:val="clear" w:color="auto" w:fill="auto"/>
              <w:lang w:val="en-US" w:eastAsia="zh-CN"/>
            </w:rPr>
            <w:fldChar w:fldCharType="separate"/>
          </w:r>
          <w:r>
            <w:rPr>
              <w:rFonts w:hint="eastAsia"/>
              <w:bCs/>
              <w:color w:val="auto"/>
              <w:sz w:val="28"/>
              <w:szCs w:val="28"/>
              <w:highlight w:val="none"/>
              <w:shd w:val="clear" w:color="auto" w:fill="auto"/>
              <w:lang w:eastAsia="zh-CN"/>
            </w:rPr>
            <w:t>（</w:t>
          </w:r>
          <w:r>
            <w:rPr>
              <w:rFonts w:hint="eastAsia"/>
              <w:bCs/>
              <w:color w:val="auto"/>
              <w:sz w:val="28"/>
              <w:szCs w:val="28"/>
              <w:highlight w:val="none"/>
              <w:shd w:val="clear" w:color="auto" w:fill="auto"/>
              <w:lang w:val="en-US" w:eastAsia="zh-CN"/>
            </w:rPr>
            <w:t>一</w:t>
          </w:r>
          <w:r>
            <w:rPr>
              <w:rFonts w:hint="eastAsia"/>
              <w:bCs/>
              <w:color w:val="auto"/>
              <w:sz w:val="28"/>
              <w:szCs w:val="28"/>
              <w:highlight w:val="none"/>
              <w:shd w:val="clear" w:color="auto" w:fill="auto"/>
              <w:lang w:eastAsia="zh-CN"/>
            </w:rPr>
            <w:t>）</w:t>
          </w:r>
          <w:r>
            <w:rPr>
              <w:rFonts w:hint="eastAsia"/>
              <w:bCs/>
              <w:color w:val="auto"/>
              <w:sz w:val="28"/>
              <w:szCs w:val="28"/>
              <w:highlight w:val="none"/>
              <w:shd w:val="clear" w:color="auto" w:fill="auto"/>
            </w:rPr>
            <w:t>主要经验及做法</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_Toc13160 \h </w:instrText>
          </w:r>
          <w:r>
            <w:rPr>
              <w:color w:val="auto"/>
              <w:sz w:val="28"/>
              <w:szCs w:val="28"/>
              <w:highlight w:val="none"/>
              <w:shd w:val="clear" w:color="auto" w:fill="auto"/>
            </w:rPr>
            <w:fldChar w:fldCharType="separate"/>
          </w:r>
          <w:r>
            <w:rPr>
              <w:color w:val="auto"/>
              <w:sz w:val="28"/>
              <w:szCs w:val="28"/>
              <w:highlight w:val="none"/>
              <w:shd w:val="clear" w:color="auto" w:fill="auto"/>
            </w:rPr>
            <w:t>21</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0C067F0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r>
            <w:rPr>
              <w:rFonts w:hint="eastAsia"/>
              <w:color w:val="auto"/>
              <w:sz w:val="28"/>
              <w:szCs w:val="28"/>
              <w:highlight w:val="none"/>
              <w:shd w:val="clear" w:color="auto" w:fill="auto"/>
              <w:lang w:val="en-US" w:eastAsia="zh-CN"/>
            </w:rPr>
            <w:fldChar w:fldCharType="begin"/>
          </w:r>
          <w:r>
            <w:rPr>
              <w:rFonts w:hint="eastAsia"/>
              <w:color w:val="auto"/>
              <w:sz w:val="28"/>
              <w:szCs w:val="28"/>
              <w:highlight w:val="none"/>
              <w:shd w:val="clear" w:color="auto" w:fill="auto"/>
              <w:lang w:val="en-US" w:eastAsia="zh-CN"/>
            </w:rPr>
            <w:instrText xml:space="preserve"> HYPERLINK \l _Toc9582 </w:instrText>
          </w:r>
          <w:r>
            <w:rPr>
              <w:rFonts w:hint="eastAsia"/>
              <w:color w:val="auto"/>
              <w:sz w:val="28"/>
              <w:szCs w:val="28"/>
              <w:highlight w:val="none"/>
              <w:shd w:val="clear" w:color="auto" w:fill="auto"/>
              <w:lang w:val="en-US" w:eastAsia="zh-CN"/>
            </w:rPr>
            <w:fldChar w:fldCharType="separate"/>
          </w:r>
          <w:r>
            <w:rPr>
              <w:rFonts w:hint="eastAsia"/>
              <w:bCs/>
              <w:color w:val="auto"/>
              <w:sz w:val="28"/>
              <w:szCs w:val="28"/>
              <w:highlight w:val="none"/>
              <w:shd w:val="clear" w:color="auto" w:fill="auto"/>
              <w:lang w:eastAsia="zh-CN"/>
            </w:rPr>
            <w:t>（</w:t>
          </w:r>
          <w:r>
            <w:rPr>
              <w:rFonts w:hint="eastAsia"/>
              <w:bCs/>
              <w:color w:val="auto"/>
              <w:sz w:val="28"/>
              <w:szCs w:val="28"/>
              <w:highlight w:val="none"/>
              <w:shd w:val="clear" w:color="auto" w:fill="auto"/>
              <w:lang w:val="en-US" w:eastAsia="zh-CN"/>
            </w:rPr>
            <w:t>二</w:t>
          </w:r>
          <w:r>
            <w:rPr>
              <w:rFonts w:hint="eastAsia"/>
              <w:bCs/>
              <w:color w:val="auto"/>
              <w:sz w:val="28"/>
              <w:szCs w:val="28"/>
              <w:highlight w:val="none"/>
              <w:shd w:val="clear" w:color="auto" w:fill="auto"/>
              <w:lang w:eastAsia="zh-CN"/>
            </w:rPr>
            <w:t>）</w:t>
          </w:r>
          <w:r>
            <w:rPr>
              <w:rFonts w:hint="eastAsia"/>
              <w:bCs/>
              <w:color w:val="auto"/>
              <w:sz w:val="28"/>
              <w:szCs w:val="28"/>
              <w:highlight w:val="none"/>
              <w:shd w:val="clear" w:color="auto" w:fill="auto"/>
            </w:rPr>
            <w:t>存在的问题及原因分析</w:t>
          </w:r>
          <w:r>
            <w:rPr>
              <w:color w:val="auto"/>
              <w:sz w:val="28"/>
              <w:szCs w:val="28"/>
              <w:highlight w:val="none"/>
              <w:shd w:val="clear" w:color="auto" w:fill="auto"/>
            </w:rPr>
            <w:tab/>
          </w:r>
          <w:r>
            <w:rPr>
              <w:color w:val="auto"/>
              <w:sz w:val="28"/>
              <w:szCs w:val="28"/>
              <w:highlight w:val="none"/>
              <w:shd w:val="clear" w:color="auto" w:fill="auto"/>
            </w:rPr>
            <w:fldChar w:fldCharType="begin"/>
          </w:r>
          <w:r>
            <w:rPr>
              <w:color w:val="auto"/>
              <w:sz w:val="28"/>
              <w:szCs w:val="28"/>
              <w:highlight w:val="none"/>
              <w:shd w:val="clear" w:color="auto" w:fill="auto"/>
            </w:rPr>
            <w:instrText xml:space="preserve"> PAGEREF _Toc9582 \h </w:instrText>
          </w:r>
          <w:r>
            <w:rPr>
              <w:color w:val="auto"/>
              <w:sz w:val="28"/>
              <w:szCs w:val="28"/>
              <w:highlight w:val="none"/>
              <w:shd w:val="clear" w:color="auto" w:fill="auto"/>
            </w:rPr>
            <w:fldChar w:fldCharType="separate"/>
          </w:r>
          <w:r>
            <w:rPr>
              <w:color w:val="auto"/>
              <w:sz w:val="28"/>
              <w:szCs w:val="28"/>
              <w:highlight w:val="none"/>
              <w:shd w:val="clear" w:color="auto" w:fill="auto"/>
            </w:rPr>
            <w:t>22</w:t>
          </w:r>
          <w:r>
            <w:rPr>
              <w:color w:val="auto"/>
              <w:sz w:val="28"/>
              <w:szCs w:val="28"/>
              <w:highlight w:val="none"/>
              <w:shd w:val="clear" w:color="auto" w:fill="auto"/>
            </w:rPr>
            <w:fldChar w:fldCharType="end"/>
          </w:r>
          <w:r>
            <w:rPr>
              <w:rFonts w:hint="eastAsia"/>
              <w:color w:val="auto"/>
              <w:sz w:val="28"/>
              <w:szCs w:val="28"/>
              <w:highlight w:val="none"/>
              <w:shd w:val="clear" w:color="auto" w:fill="auto"/>
              <w:lang w:val="en-US" w:eastAsia="zh-CN"/>
            </w:rPr>
            <w:fldChar w:fldCharType="end"/>
          </w:r>
        </w:p>
        <w:p w14:paraId="7DB8FDD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shd w:val="clear" w:color="auto" w:fill="auto"/>
            </w:rPr>
          </w:pPr>
          <w:r>
            <w:rPr>
              <w:rFonts w:hint="eastAsia"/>
              <w:b/>
              <w:bCs/>
              <w:color w:val="auto"/>
              <w:sz w:val="28"/>
              <w:szCs w:val="28"/>
              <w:highlight w:val="none"/>
              <w:shd w:val="clear" w:color="auto" w:fill="auto"/>
              <w:lang w:val="en-US" w:eastAsia="zh-CN"/>
            </w:rPr>
            <w:fldChar w:fldCharType="begin"/>
          </w:r>
          <w:r>
            <w:rPr>
              <w:rFonts w:hint="eastAsia"/>
              <w:b/>
              <w:bCs/>
              <w:color w:val="auto"/>
              <w:sz w:val="28"/>
              <w:szCs w:val="28"/>
              <w:highlight w:val="none"/>
              <w:shd w:val="clear" w:color="auto" w:fill="auto"/>
              <w:lang w:val="en-US" w:eastAsia="zh-CN"/>
            </w:rPr>
            <w:instrText xml:space="preserve"> HYPERLINK \l _Toc5230 </w:instrText>
          </w:r>
          <w:r>
            <w:rPr>
              <w:rFonts w:hint="eastAsia"/>
              <w:b/>
              <w:bCs/>
              <w:color w:val="auto"/>
              <w:sz w:val="28"/>
              <w:szCs w:val="28"/>
              <w:highlight w:val="none"/>
              <w:shd w:val="clear" w:color="auto" w:fill="auto"/>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shd w:val="clear" w:color="auto" w:fill="auto"/>
            </w:rPr>
            <w:tab/>
          </w:r>
          <w:r>
            <w:rPr>
              <w:b/>
              <w:bCs/>
              <w:color w:val="auto"/>
              <w:sz w:val="28"/>
              <w:szCs w:val="28"/>
              <w:highlight w:val="none"/>
              <w:shd w:val="clear" w:color="auto" w:fill="auto"/>
            </w:rPr>
            <w:fldChar w:fldCharType="begin"/>
          </w:r>
          <w:r>
            <w:rPr>
              <w:b/>
              <w:bCs/>
              <w:color w:val="auto"/>
              <w:sz w:val="28"/>
              <w:szCs w:val="28"/>
              <w:highlight w:val="none"/>
              <w:shd w:val="clear" w:color="auto" w:fill="auto"/>
            </w:rPr>
            <w:instrText xml:space="preserve"> PAGEREF _Toc5230 \h </w:instrText>
          </w:r>
          <w:r>
            <w:rPr>
              <w:b/>
              <w:bCs/>
              <w:color w:val="auto"/>
              <w:sz w:val="28"/>
              <w:szCs w:val="28"/>
              <w:highlight w:val="none"/>
              <w:shd w:val="clear" w:color="auto" w:fill="auto"/>
            </w:rPr>
            <w:fldChar w:fldCharType="separate"/>
          </w:r>
          <w:r>
            <w:rPr>
              <w:b/>
              <w:bCs/>
              <w:color w:val="auto"/>
              <w:sz w:val="28"/>
              <w:szCs w:val="28"/>
              <w:highlight w:val="none"/>
              <w:shd w:val="clear" w:color="auto" w:fill="auto"/>
            </w:rPr>
            <w:t>22</w:t>
          </w:r>
          <w:r>
            <w:rPr>
              <w:b/>
              <w:bCs/>
              <w:color w:val="auto"/>
              <w:sz w:val="28"/>
              <w:szCs w:val="28"/>
              <w:highlight w:val="none"/>
              <w:shd w:val="clear" w:color="auto" w:fill="auto"/>
            </w:rPr>
            <w:fldChar w:fldCharType="end"/>
          </w:r>
          <w:r>
            <w:rPr>
              <w:rFonts w:hint="eastAsia"/>
              <w:b/>
              <w:bCs/>
              <w:color w:val="auto"/>
              <w:sz w:val="28"/>
              <w:szCs w:val="28"/>
              <w:highlight w:val="none"/>
              <w:shd w:val="clear" w:color="auto" w:fill="auto"/>
              <w:lang w:val="en-US" w:eastAsia="zh-CN"/>
            </w:rPr>
            <w:fldChar w:fldCharType="end"/>
          </w:r>
        </w:p>
        <w:p w14:paraId="38C605E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shd w:val="clear" w:color="auto" w:fill="auto"/>
            </w:rPr>
          </w:pPr>
          <w:r>
            <w:rPr>
              <w:rFonts w:hint="eastAsia"/>
              <w:b/>
              <w:bCs/>
              <w:color w:val="auto"/>
              <w:sz w:val="28"/>
              <w:szCs w:val="28"/>
              <w:highlight w:val="none"/>
              <w:shd w:val="clear" w:color="auto" w:fill="auto"/>
              <w:lang w:val="en-US" w:eastAsia="zh-CN"/>
            </w:rPr>
            <w:fldChar w:fldCharType="begin"/>
          </w:r>
          <w:r>
            <w:rPr>
              <w:rFonts w:hint="eastAsia"/>
              <w:b/>
              <w:bCs/>
              <w:color w:val="auto"/>
              <w:sz w:val="28"/>
              <w:szCs w:val="28"/>
              <w:highlight w:val="none"/>
              <w:shd w:val="clear" w:color="auto" w:fill="auto"/>
              <w:lang w:val="en-US" w:eastAsia="zh-CN"/>
            </w:rPr>
            <w:instrText xml:space="preserve"> HYPERLINK \l _Toc15618 </w:instrText>
          </w:r>
          <w:r>
            <w:rPr>
              <w:rFonts w:hint="eastAsia"/>
              <w:b/>
              <w:bCs/>
              <w:color w:val="auto"/>
              <w:sz w:val="28"/>
              <w:szCs w:val="28"/>
              <w:highlight w:val="none"/>
              <w:shd w:val="clear" w:color="auto" w:fill="auto"/>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shd w:val="clear" w:color="auto" w:fill="auto"/>
            </w:rPr>
            <w:tab/>
          </w:r>
          <w:r>
            <w:rPr>
              <w:b/>
              <w:bCs/>
              <w:color w:val="auto"/>
              <w:sz w:val="28"/>
              <w:szCs w:val="28"/>
              <w:highlight w:val="none"/>
              <w:shd w:val="clear" w:color="auto" w:fill="auto"/>
            </w:rPr>
            <w:fldChar w:fldCharType="begin"/>
          </w:r>
          <w:r>
            <w:rPr>
              <w:b/>
              <w:bCs/>
              <w:color w:val="auto"/>
              <w:sz w:val="28"/>
              <w:szCs w:val="28"/>
              <w:highlight w:val="none"/>
              <w:shd w:val="clear" w:color="auto" w:fill="auto"/>
            </w:rPr>
            <w:instrText xml:space="preserve"> PAGEREF _Toc15618 \h </w:instrText>
          </w:r>
          <w:r>
            <w:rPr>
              <w:b/>
              <w:bCs/>
              <w:color w:val="auto"/>
              <w:sz w:val="28"/>
              <w:szCs w:val="28"/>
              <w:highlight w:val="none"/>
              <w:shd w:val="clear" w:color="auto" w:fill="auto"/>
            </w:rPr>
            <w:fldChar w:fldCharType="separate"/>
          </w:r>
          <w:r>
            <w:rPr>
              <w:b/>
              <w:bCs/>
              <w:color w:val="auto"/>
              <w:sz w:val="28"/>
              <w:szCs w:val="28"/>
              <w:highlight w:val="none"/>
              <w:shd w:val="clear" w:color="auto" w:fill="auto"/>
            </w:rPr>
            <w:t>23</w:t>
          </w:r>
          <w:r>
            <w:rPr>
              <w:b/>
              <w:bCs/>
              <w:color w:val="auto"/>
              <w:sz w:val="28"/>
              <w:szCs w:val="28"/>
              <w:highlight w:val="none"/>
              <w:shd w:val="clear" w:color="auto" w:fill="auto"/>
            </w:rPr>
            <w:fldChar w:fldCharType="end"/>
          </w:r>
          <w:r>
            <w:rPr>
              <w:rFonts w:hint="eastAsia"/>
              <w:b/>
              <w:bCs/>
              <w:color w:val="auto"/>
              <w:sz w:val="28"/>
              <w:szCs w:val="28"/>
              <w:highlight w:val="none"/>
              <w:shd w:val="clear" w:color="auto" w:fill="auto"/>
              <w:lang w:val="en-US" w:eastAsia="zh-CN"/>
            </w:rPr>
            <w:fldChar w:fldCharType="end"/>
          </w:r>
        </w:p>
        <w:p w14:paraId="611DE11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shd w:val="clear" w:color="auto" w:fill="auto"/>
            </w:rPr>
          </w:pPr>
        </w:p>
        <w:p w14:paraId="58FD8FBA">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shd w:val="clear" w:color="auto" w:fill="auto"/>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shd w:val="clear" w:color="auto" w:fill="auto"/>
              <w:lang w:val="en-US" w:eastAsia="zh-CN"/>
            </w:rPr>
            <w:fldChar w:fldCharType="end"/>
          </w:r>
        </w:p>
      </w:sdtContent>
    </w:sdt>
    <w:p w14:paraId="52F1A02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方正小标宋_GBK" w:hAnsi="方正小标宋_GBK" w:eastAsia="方正小标宋_GBK" w:cs="方正小标宋_GBK"/>
          <w:b w:val="0"/>
          <w:bCs w:val="0"/>
          <w:color w:val="auto"/>
          <w:sz w:val="44"/>
          <w:szCs w:val="44"/>
          <w:highlight w:val="none"/>
          <w:shd w:val="clear" w:color="auto" w:fill="auto"/>
        </w:rPr>
      </w:pPr>
      <w:bookmarkStart w:id="1" w:name="_Toc1194"/>
      <w:r>
        <w:rPr>
          <w:rFonts w:hint="eastAsia" w:ascii="方正小标宋_GBK" w:hAnsi="方正小标宋_GBK" w:eastAsia="方正小标宋_GBK" w:cs="方正小标宋_GBK"/>
          <w:b w:val="0"/>
          <w:bCs w:val="0"/>
          <w:color w:val="auto"/>
          <w:sz w:val="44"/>
          <w:szCs w:val="44"/>
          <w:highlight w:val="none"/>
          <w:shd w:val="clear" w:color="auto" w:fill="auto"/>
          <w:lang w:val="en-US" w:eastAsia="zh-CN"/>
        </w:rPr>
        <w:t>2023年自治区基本公卫补助资金-全民健康体检项目</w:t>
      </w:r>
      <w:r>
        <w:rPr>
          <w:rFonts w:hint="eastAsia" w:ascii="方正小标宋_GBK" w:hAnsi="方正小标宋_GBK" w:eastAsia="方正小标宋_GBK" w:cs="方正小标宋_GBK"/>
          <w:b w:val="0"/>
          <w:bCs w:val="0"/>
          <w:color w:val="auto"/>
          <w:sz w:val="44"/>
          <w:szCs w:val="44"/>
          <w:highlight w:val="none"/>
          <w:shd w:val="clear" w:color="auto" w:fill="auto"/>
        </w:rPr>
        <w:t>支出绩效评价报告</w:t>
      </w:r>
      <w:bookmarkEnd w:id="1"/>
    </w:p>
    <w:p w14:paraId="0E57F590">
      <w:pPr>
        <w:pStyle w:val="3"/>
        <w:keepNext/>
        <w:keepLines/>
        <w:pageBreakBefore w:val="0"/>
        <w:widowControl w:val="0"/>
        <w:kinsoku/>
        <w:wordWrap/>
        <w:overflowPunct/>
        <w:topLinePunct w:val="0"/>
        <w:autoSpaceDE/>
        <w:autoSpaceDN/>
        <w:bidi w:val="0"/>
        <w:adjustRightInd/>
        <w:snapToGrid/>
        <w:spacing w:beforeLines="0" w:afterLines="0" w:line="640" w:lineRule="exact"/>
        <w:textAlignment w:val="auto"/>
        <w:rPr>
          <w:rFonts w:hint="eastAsia" w:ascii="黑体" w:hAnsi="黑体" w:eastAsia="黑体" w:cs="黑体"/>
          <w:b/>
          <w:bCs/>
          <w:color w:val="auto"/>
          <w:highlight w:val="none"/>
          <w:shd w:val="clear" w:color="auto" w:fill="auto"/>
        </w:rPr>
      </w:pPr>
      <w:bookmarkStart w:id="2" w:name="_Toc17540"/>
      <w:r>
        <w:rPr>
          <w:rFonts w:hint="eastAsia" w:ascii="黑体" w:hAnsi="黑体" w:eastAsia="黑体" w:cs="黑体"/>
          <w:b/>
          <w:bCs/>
          <w:color w:val="auto"/>
          <w:highlight w:val="none"/>
          <w:shd w:val="clear" w:color="auto" w:fill="auto"/>
        </w:rPr>
        <w:t>一、基本情况</w:t>
      </w:r>
      <w:bookmarkEnd w:id="2"/>
    </w:p>
    <w:p w14:paraId="121EE72F">
      <w:pPr>
        <w:pStyle w:val="4"/>
        <w:keepNext/>
        <w:keepLines/>
        <w:pageBreakBefore w:val="0"/>
        <w:widowControl w:val="0"/>
        <w:kinsoku/>
        <w:wordWrap/>
        <w:overflowPunct/>
        <w:topLinePunct w:val="0"/>
        <w:autoSpaceDE/>
        <w:autoSpaceDN/>
        <w:bidi w:val="0"/>
        <w:adjustRightInd/>
        <w:snapToGrid/>
        <w:spacing w:beforeLines="0" w:afterLines="0" w:line="640" w:lineRule="exact"/>
        <w:textAlignment w:val="auto"/>
        <w:rPr>
          <w:rFonts w:hint="eastAsia" w:ascii="楷体" w:hAnsi="楷体" w:eastAsia="楷体" w:cs="楷体"/>
          <w:b/>
          <w:bCs w:val="0"/>
          <w:color w:val="auto"/>
          <w:highlight w:val="none"/>
          <w:shd w:val="clear" w:color="auto" w:fill="auto"/>
        </w:rPr>
      </w:pPr>
      <w:bookmarkStart w:id="3" w:name="_Toc18966"/>
      <w:r>
        <w:rPr>
          <w:rFonts w:hint="eastAsia" w:ascii="楷体" w:hAnsi="楷体" w:eastAsia="楷体" w:cs="楷体"/>
          <w:b/>
          <w:bCs w:val="0"/>
          <w:color w:val="auto"/>
          <w:highlight w:val="none"/>
          <w:shd w:val="clear" w:color="auto" w:fill="auto"/>
        </w:rPr>
        <w:t>（一）项目概况</w:t>
      </w:r>
      <w:bookmarkEnd w:id="3"/>
    </w:p>
    <w:p w14:paraId="69A360AB">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shd w:val="clear" w:color="auto" w:fill="auto"/>
          <w:lang w:eastAsia="zh-CN"/>
        </w:rPr>
      </w:pPr>
      <w:bookmarkStart w:id="4" w:name="_Toc5043"/>
      <w:r>
        <w:rPr>
          <w:rFonts w:hint="eastAsia" w:ascii="仿宋_GB2312" w:hAnsi="仿宋_GB2312" w:eastAsia="仿宋_GB2312" w:cs="仿宋_GB2312"/>
          <w:b/>
          <w:bCs/>
          <w:color w:val="auto"/>
          <w:sz w:val="32"/>
          <w:szCs w:val="32"/>
          <w:highlight w:val="none"/>
          <w:shd w:val="clear" w:color="auto" w:fill="auto"/>
          <w:lang w:val="en-US" w:eastAsia="zh-CN"/>
        </w:rPr>
        <w:t>1.</w:t>
      </w:r>
      <w:r>
        <w:rPr>
          <w:rFonts w:hint="eastAsia" w:ascii="仿宋_GB2312" w:hAnsi="仿宋_GB2312" w:eastAsia="仿宋_GB2312" w:cs="仿宋_GB2312"/>
          <w:b/>
          <w:bCs/>
          <w:color w:val="auto"/>
          <w:sz w:val="32"/>
          <w:szCs w:val="32"/>
          <w:highlight w:val="none"/>
          <w:shd w:val="clear" w:color="auto" w:fill="auto"/>
        </w:rPr>
        <w:t>项目背景</w:t>
      </w:r>
      <w:bookmarkEnd w:id="4"/>
    </w:p>
    <w:p w14:paraId="7DAD267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rPr>
        <w:t>为深入贯彻落实习近平总书记坚持以人民为中心的发展思想，把人民健康放在优先发展的战略地位，努力做到全方位、全周期保</w:t>
      </w:r>
      <w:r>
        <w:rPr>
          <w:rFonts w:hint="eastAsia" w:ascii="仿宋_GB2312" w:hAnsi="仿宋_GB2312" w:eastAsia="仿宋_GB2312" w:cs="仿宋_GB2312"/>
          <w:color w:val="auto"/>
          <w:sz w:val="32"/>
          <w:szCs w:val="32"/>
          <w:highlight w:val="none"/>
          <w:shd w:val="clear" w:color="auto" w:fill="auto"/>
          <w:lang w:eastAsia="zh-CN"/>
        </w:rPr>
        <w:t>障</w:t>
      </w:r>
      <w:r>
        <w:rPr>
          <w:rFonts w:hint="eastAsia" w:ascii="仿宋_GB2312" w:hAnsi="仿宋_GB2312" w:eastAsia="仿宋_GB2312" w:cs="仿宋_GB2312"/>
          <w:color w:val="auto"/>
          <w:sz w:val="32"/>
          <w:szCs w:val="32"/>
          <w:highlight w:val="none"/>
          <w:shd w:val="clear" w:color="auto" w:fill="auto"/>
        </w:rPr>
        <w:t>人民健康，坚定坚决执行自治区党委各项决策部署，扎实推进自治区医疗惠民工程，不断提高人民群众健康水平，阜康市人民医院</w:t>
      </w:r>
      <w:r>
        <w:rPr>
          <w:rFonts w:hint="eastAsia" w:ascii="仿宋_GB2312" w:hAnsi="仿宋_GB2312" w:eastAsia="仿宋_GB2312" w:cs="仿宋_GB2312"/>
          <w:color w:val="auto"/>
          <w:sz w:val="32"/>
          <w:szCs w:val="32"/>
          <w:highlight w:val="none"/>
          <w:shd w:val="clear" w:color="auto" w:fill="auto"/>
          <w:lang w:eastAsia="zh-CN"/>
        </w:rPr>
        <w:t>积极开展全民健康体检工作。</w:t>
      </w:r>
      <w:r>
        <w:rPr>
          <w:rFonts w:hint="eastAsia" w:ascii="仿宋_GB2312" w:hAnsi="仿宋_GB2312" w:eastAsia="仿宋_GB2312" w:cs="仿宋_GB2312"/>
          <w:color w:val="auto"/>
          <w:sz w:val="32"/>
          <w:szCs w:val="32"/>
          <w:highlight w:val="none"/>
          <w:shd w:val="clear" w:color="auto" w:fill="auto"/>
        </w:rPr>
        <w:t>为扎实推进全民健康体检工作，提高全民健康体检工作质量和水平，根据《关于做好202</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年全民健康体检工作的通知》（新</w:t>
      </w:r>
      <w:r>
        <w:rPr>
          <w:rFonts w:hint="eastAsia" w:ascii="仿宋_GB2312" w:hAnsi="仿宋_GB2312" w:eastAsia="仿宋_GB2312" w:cs="仿宋_GB2312"/>
          <w:color w:val="auto"/>
          <w:sz w:val="32"/>
          <w:szCs w:val="32"/>
          <w:highlight w:val="none"/>
          <w:shd w:val="clear" w:color="auto" w:fill="auto"/>
          <w:lang w:eastAsia="zh-CN"/>
        </w:rPr>
        <w:t>卫基层卫生发【</w:t>
      </w:r>
      <w:r>
        <w:rPr>
          <w:rFonts w:hint="eastAsia" w:ascii="仿宋_GB2312" w:hAnsi="仿宋_GB2312" w:eastAsia="仿宋_GB2312" w:cs="仿宋_GB2312"/>
          <w:color w:val="auto"/>
          <w:sz w:val="32"/>
          <w:szCs w:val="32"/>
          <w:highlight w:val="none"/>
          <w:shd w:val="clear" w:color="auto" w:fill="auto"/>
        </w:rPr>
        <w:t>202</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1号）</w:t>
      </w:r>
      <w:r>
        <w:rPr>
          <w:rFonts w:hint="eastAsia" w:ascii="仿宋_GB2312" w:hAnsi="仿宋_GB2312" w:eastAsia="仿宋_GB2312" w:cs="仿宋_GB2312"/>
          <w:color w:val="auto"/>
          <w:sz w:val="32"/>
          <w:szCs w:val="32"/>
          <w:highlight w:val="none"/>
          <w:shd w:val="clear" w:color="auto" w:fill="auto"/>
          <w:lang w:eastAsia="zh-CN"/>
        </w:rPr>
        <w:t>文件要求，制定了《阜康市人民医院</w:t>
      </w:r>
      <w:r>
        <w:rPr>
          <w:rFonts w:hint="eastAsia" w:ascii="仿宋_GB2312" w:hAnsi="仿宋_GB2312" w:eastAsia="仿宋_GB2312" w:cs="仿宋_GB2312"/>
          <w:color w:val="auto"/>
          <w:sz w:val="32"/>
          <w:szCs w:val="32"/>
          <w:highlight w:val="none"/>
          <w:shd w:val="clear" w:color="auto" w:fill="auto"/>
          <w:lang w:val="en-US" w:eastAsia="zh-CN"/>
        </w:rPr>
        <w:t>2023年全民健康体检项目实施方案</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确保全民健康体检工作任务按质按量按时完成</w:t>
      </w:r>
      <w:r>
        <w:rPr>
          <w:rFonts w:hint="eastAsia" w:ascii="仿宋_GB2312" w:hAnsi="仿宋_GB2312" w:eastAsia="仿宋_GB2312" w:cs="仿宋_GB2312"/>
          <w:color w:val="auto"/>
          <w:sz w:val="32"/>
          <w:szCs w:val="32"/>
          <w:highlight w:val="none"/>
          <w:shd w:val="clear" w:color="auto" w:fill="auto"/>
          <w:lang w:eastAsia="zh-CN"/>
        </w:rPr>
        <w:t>。</w:t>
      </w:r>
      <w:bookmarkStart w:id="5" w:name="_Toc27343"/>
    </w:p>
    <w:p w14:paraId="121C9B8F">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2.主要内容及实施情况</w:t>
      </w:r>
      <w:bookmarkEnd w:id="5"/>
      <w:bookmarkStart w:id="6" w:name="_Toc16592"/>
    </w:p>
    <w:p w14:paraId="352E0891">
      <w:pPr>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r>
        <w:rPr>
          <w:rFonts w:hint="eastAsia" w:ascii="仿宋_GB2312" w:hAnsi="仿宋_GB2312" w:eastAsia="仿宋_GB2312" w:cs="仿宋_GB2312"/>
          <w:b/>
          <w:bCs/>
          <w:i w:val="0"/>
          <w:iCs w:val="0"/>
          <w:color w:val="auto"/>
          <w:sz w:val="32"/>
          <w:szCs w:val="32"/>
          <w:highlight w:val="none"/>
          <w:shd w:val="clear" w:color="auto" w:fill="auto"/>
          <w:lang w:val="en-US" w:eastAsia="zh-CN"/>
        </w:rPr>
        <w:t>主要内容：</w:t>
      </w:r>
      <w:bookmarkEnd w:id="6"/>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为全面掌握辖区内各类人群的健康状况，有效提高辖区内居民的健康意识，做到早发现、早诊断、早治疗，降低慢性病发病率，降低疾病传播风险，促进个人对疾病的预防和健康的管理，普遍提升社会福祉。</w:t>
      </w:r>
    </w:p>
    <w:p w14:paraId="1D0CEE04">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为顺利完成阜康市人民医院全民健康体检工作，确保全市各族人民的健康意识得到进一步提高，该项目今年拟设定于2023年12月31日前完成辖区约10000人的全民健康体检工作，累计投入资金53.17万元。</w:t>
      </w:r>
    </w:p>
    <w:p w14:paraId="7557674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组织实施：</w:t>
      </w:r>
      <w:r>
        <w:rPr>
          <w:rFonts w:hint="eastAsia" w:ascii="仿宋_GB2312" w:hAnsi="仿宋_GB2312" w:eastAsia="仿宋_GB2312" w:cs="仿宋_GB2312"/>
          <w:color w:val="auto"/>
          <w:sz w:val="32"/>
          <w:szCs w:val="32"/>
          <w:highlight w:val="none"/>
          <w:shd w:val="clear" w:color="auto" w:fill="auto"/>
          <w:lang w:val="en-US" w:eastAsia="zh-CN"/>
        </w:rPr>
        <w:t>本项目自2023年4月18日，经阜体检办发【2023】1号文件批复，经院长办公会议，确定了项目领导小组，明确了责任分工：组长为余江平，副组长为许江龙，项目负责人为朱啸,组员为刘斌、王艳，其中：贾舒涵负责监管工作，刘斌负责项目档案资料，梁文贵负责资金拨付工作。</w:t>
      </w:r>
    </w:p>
    <w:p w14:paraId="1E37D81E">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7" w:name="_Toc1858"/>
      <w:r>
        <w:rPr>
          <w:rFonts w:hint="eastAsia" w:ascii="仿宋_GB2312" w:hAnsi="仿宋_GB2312" w:eastAsia="仿宋_GB2312" w:cs="仿宋_GB2312"/>
          <w:color w:val="auto"/>
          <w:sz w:val="32"/>
          <w:szCs w:val="32"/>
          <w:highlight w:val="none"/>
          <w:shd w:val="clear" w:color="auto" w:fill="auto"/>
          <w:lang w:val="en-US" w:eastAsia="zh-CN"/>
        </w:rPr>
        <w:t xml:space="preserve"> </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截至2023年12月31日，本项目完成全民健康体检10226人,15-64周岁人员8604人，65-79周岁人员1352人，80周岁以上人员142人；全民体检A/B类阳性患者随访率100%，设备验收合格率100%；购买体检设备53.07万元，体检办公耗材0.1万元，达到98%提高全民健康意识及自我健康管理水平的社会效益。</w:t>
      </w:r>
    </w:p>
    <w:p w14:paraId="0823B32F">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3.资金投入和使用情况</w:t>
      </w:r>
      <w:bookmarkEnd w:id="7"/>
    </w:p>
    <w:p w14:paraId="0A446EF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rPr>
        <w:t>项目资金安排落实、总投入等情况分析</w:t>
      </w:r>
    </w:p>
    <w:p w14:paraId="656137B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2023年自治区基本公卫补助资金-全民健康体检项目预算安排总额为53.17</w:t>
      </w:r>
      <w:r>
        <w:rPr>
          <w:rFonts w:hint="eastAsia" w:ascii="仿宋_GB2312" w:hAnsi="仿宋_GB2312" w:eastAsia="仿宋_GB2312" w:cs="仿宋_GB2312"/>
          <w:color w:val="auto"/>
          <w:sz w:val="32"/>
          <w:szCs w:val="32"/>
          <w:highlight w:val="none"/>
          <w:shd w:val="clear" w:color="auto" w:fill="auto"/>
        </w:rPr>
        <w:t>万元</w:t>
      </w:r>
      <w:r>
        <w:rPr>
          <w:rFonts w:hint="eastAsia" w:ascii="仿宋_GB2312" w:hAnsi="仿宋_GB2312" w:eastAsia="仿宋_GB2312" w:cs="仿宋_GB2312"/>
          <w:color w:val="auto"/>
          <w:sz w:val="32"/>
          <w:szCs w:val="32"/>
          <w:highlight w:val="none"/>
          <w:shd w:val="clear" w:color="auto" w:fill="auto"/>
          <w:lang w:val="en-US" w:eastAsia="zh-CN"/>
        </w:rPr>
        <w:t>，其中财政资金53.17</w:t>
      </w:r>
      <w:r>
        <w:rPr>
          <w:rFonts w:hint="eastAsia" w:ascii="仿宋_GB2312" w:hAnsi="仿宋_GB2312" w:eastAsia="仿宋_GB2312" w:cs="仿宋_GB2312"/>
          <w:color w:val="auto"/>
          <w:sz w:val="32"/>
          <w:szCs w:val="32"/>
          <w:highlight w:val="none"/>
          <w:shd w:val="clear" w:color="auto" w:fill="auto"/>
        </w:rPr>
        <w:t>万元</w:t>
      </w:r>
      <w:r>
        <w:rPr>
          <w:rFonts w:hint="eastAsia" w:ascii="仿宋_GB2312" w:hAnsi="仿宋_GB2312" w:eastAsia="仿宋_GB2312" w:cs="仿宋_GB2312"/>
          <w:color w:val="auto"/>
          <w:sz w:val="32"/>
          <w:szCs w:val="32"/>
          <w:highlight w:val="none"/>
          <w:shd w:val="clear" w:color="auto" w:fill="auto"/>
          <w:lang w:val="en-US" w:eastAsia="zh-CN"/>
        </w:rPr>
        <w:t>，其他资金0万元，2023年实际收到预算资金53.17</w:t>
      </w:r>
      <w:r>
        <w:rPr>
          <w:rFonts w:hint="eastAsia" w:ascii="仿宋_GB2312" w:hAnsi="仿宋_GB2312" w:eastAsia="仿宋_GB2312" w:cs="仿宋_GB2312"/>
          <w:color w:val="auto"/>
          <w:sz w:val="32"/>
          <w:szCs w:val="32"/>
          <w:highlight w:val="none"/>
          <w:shd w:val="clear" w:color="auto" w:fill="auto"/>
        </w:rPr>
        <w:t>万元</w:t>
      </w:r>
      <w:r>
        <w:rPr>
          <w:rFonts w:hint="eastAsia" w:ascii="仿宋_GB2312" w:hAnsi="仿宋_GB2312" w:eastAsia="仿宋_GB2312" w:cs="仿宋_GB2312"/>
          <w:color w:val="auto"/>
          <w:sz w:val="32"/>
          <w:szCs w:val="32"/>
          <w:highlight w:val="none"/>
          <w:shd w:val="clear" w:color="auto" w:fill="auto"/>
          <w:lang w:val="en-US" w:eastAsia="zh-CN"/>
        </w:rPr>
        <w:t>，预算资金到位率为100%。</w:t>
      </w:r>
    </w:p>
    <w:p w14:paraId="63F9C1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Cs/>
          <w:color w:val="auto"/>
          <w:spacing w:val="-4"/>
          <w:sz w:val="32"/>
          <w:szCs w:val="32"/>
          <w:highlight w:val="none"/>
          <w:shd w:val="clear" w:color="auto" w:fill="auto"/>
        </w:rPr>
      </w:pPr>
      <w:r>
        <w:rPr>
          <w:rFonts w:hint="eastAsia" w:ascii="仿宋_GB2312" w:hAnsi="仿宋_GB2312" w:eastAsia="仿宋_GB2312" w:cs="仿宋_GB2312"/>
          <w:bCs/>
          <w:color w:val="auto"/>
          <w:spacing w:val="-4"/>
          <w:sz w:val="32"/>
          <w:szCs w:val="32"/>
          <w:highlight w:val="none"/>
          <w:shd w:val="clear" w:color="auto" w:fill="auto"/>
          <w:lang w:eastAsia="zh-CN"/>
        </w:rPr>
        <w:t>（</w:t>
      </w:r>
      <w:r>
        <w:rPr>
          <w:rFonts w:hint="eastAsia" w:ascii="仿宋_GB2312" w:hAnsi="仿宋_GB2312" w:eastAsia="仿宋_GB2312" w:cs="仿宋_GB2312"/>
          <w:bCs/>
          <w:color w:val="auto"/>
          <w:spacing w:val="-4"/>
          <w:sz w:val="32"/>
          <w:szCs w:val="32"/>
          <w:highlight w:val="none"/>
          <w:shd w:val="clear" w:color="auto" w:fill="auto"/>
          <w:lang w:val="en-US" w:eastAsia="zh-CN"/>
        </w:rPr>
        <w:t>2</w:t>
      </w:r>
      <w:r>
        <w:rPr>
          <w:rFonts w:hint="eastAsia" w:ascii="仿宋_GB2312" w:hAnsi="仿宋_GB2312" w:eastAsia="仿宋_GB2312" w:cs="仿宋_GB2312"/>
          <w:bCs/>
          <w:color w:val="auto"/>
          <w:spacing w:val="-4"/>
          <w:sz w:val="32"/>
          <w:szCs w:val="32"/>
          <w:highlight w:val="none"/>
          <w:shd w:val="clear" w:color="auto" w:fill="auto"/>
          <w:lang w:eastAsia="zh-CN"/>
        </w:rPr>
        <w:t>）</w:t>
      </w:r>
      <w:r>
        <w:rPr>
          <w:rFonts w:hint="eastAsia" w:ascii="仿宋_GB2312" w:hAnsi="仿宋_GB2312" w:eastAsia="仿宋_GB2312" w:cs="仿宋_GB2312"/>
          <w:bCs/>
          <w:color w:val="auto"/>
          <w:spacing w:val="-4"/>
          <w:sz w:val="32"/>
          <w:szCs w:val="32"/>
          <w:highlight w:val="none"/>
          <w:shd w:val="clear" w:color="auto" w:fill="auto"/>
        </w:rPr>
        <w:t>项目资金实际使用情况分析</w:t>
      </w:r>
    </w:p>
    <w:p w14:paraId="55F39CC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截至2023年12月31日，2023年自治区基本公卫补助资金-全民健康体检项目</w:t>
      </w:r>
      <w:r>
        <w:rPr>
          <w:rFonts w:hint="eastAsia" w:ascii="仿宋_GB2312" w:hAnsi="仿宋_GB2312" w:eastAsia="仿宋_GB2312" w:cs="仿宋_GB2312"/>
          <w:color w:val="auto"/>
          <w:sz w:val="32"/>
          <w:szCs w:val="32"/>
          <w:highlight w:val="none"/>
          <w:shd w:val="clear" w:color="auto" w:fill="auto"/>
        </w:rPr>
        <w:t>实际支付资金</w:t>
      </w:r>
      <w:r>
        <w:rPr>
          <w:rFonts w:hint="eastAsia" w:ascii="仿宋_GB2312" w:hAnsi="仿宋_GB2312" w:eastAsia="仿宋_GB2312" w:cs="仿宋_GB2312"/>
          <w:color w:val="auto"/>
          <w:sz w:val="32"/>
          <w:szCs w:val="32"/>
          <w:highlight w:val="none"/>
          <w:shd w:val="clear" w:color="auto" w:fill="auto"/>
          <w:lang w:val="en-US" w:eastAsia="zh-CN"/>
        </w:rPr>
        <w:t>53.17</w:t>
      </w:r>
      <w:r>
        <w:rPr>
          <w:rFonts w:hint="eastAsia" w:ascii="仿宋_GB2312" w:hAnsi="仿宋_GB2312" w:eastAsia="仿宋_GB2312" w:cs="仿宋_GB2312"/>
          <w:color w:val="auto"/>
          <w:sz w:val="32"/>
          <w:szCs w:val="32"/>
          <w:highlight w:val="none"/>
          <w:shd w:val="clear" w:color="auto" w:fill="auto"/>
        </w:rPr>
        <w:t>万元，预算执行率</w:t>
      </w:r>
      <w:r>
        <w:rPr>
          <w:rFonts w:hint="eastAsia" w:ascii="仿宋_GB2312" w:hAnsi="仿宋_GB2312" w:eastAsia="仿宋_GB2312" w:cs="仿宋_GB2312"/>
          <w:color w:val="auto"/>
          <w:sz w:val="32"/>
          <w:szCs w:val="32"/>
          <w:highlight w:val="none"/>
          <w:shd w:val="clear" w:color="auto" w:fill="auto"/>
          <w:lang w:val="en-US" w:eastAsia="zh-CN"/>
        </w:rPr>
        <w:t>100</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结</w:t>
      </w:r>
      <w:r>
        <w:rPr>
          <w:rFonts w:hint="eastAsia" w:ascii="仿宋_GB2312" w:hAnsi="仿宋_GB2312" w:eastAsia="仿宋_GB2312" w:cs="仿宋_GB2312"/>
          <w:color w:val="auto"/>
          <w:sz w:val="32"/>
          <w:szCs w:val="32"/>
          <w:highlight w:val="none"/>
          <w:shd w:val="clear" w:color="auto" w:fill="auto"/>
          <w:lang w:val="en-US" w:eastAsia="zh-CN"/>
        </w:rPr>
        <w:t>转</w:t>
      </w:r>
      <w:r>
        <w:rPr>
          <w:rFonts w:hint="eastAsia" w:ascii="仿宋_GB2312" w:hAnsi="仿宋_GB2312" w:eastAsia="仿宋_GB2312" w:cs="仿宋_GB2312"/>
          <w:color w:val="auto"/>
          <w:sz w:val="32"/>
          <w:szCs w:val="32"/>
          <w:highlight w:val="none"/>
          <w:shd w:val="clear" w:color="auto" w:fill="auto"/>
          <w:lang w:eastAsia="zh-CN"/>
        </w:rPr>
        <w:t>结余资金</w:t>
      </w:r>
      <w:r>
        <w:rPr>
          <w:rFonts w:hint="eastAsia" w:ascii="仿宋_GB2312" w:hAnsi="仿宋_GB2312" w:eastAsia="仿宋_GB2312" w:cs="仿宋_GB2312"/>
          <w:color w:val="auto"/>
          <w:sz w:val="32"/>
          <w:szCs w:val="32"/>
          <w:highlight w:val="none"/>
          <w:shd w:val="clear" w:color="auto" w:fill="auto"/>
          <w:lang w:val="en-US" w:eastAsia="zh-CN"/>
        </w:rPr>
        <w:t>0万元，已上缴国库。</w:t>
      </w:r>
      <w:r>
        <w:rPr>
          <w:rFonts w:hint="eastAsia" w:ascii="仿宋_GB2312" w:hAnsi="仿宋_GB2312" w:eastAsia="仿宋_GB2312" w:cs="仿宋_GB2312"/>
          <w:color w:val="auto"/>
          <w:sz w:val="32"/>
          <w:szCs w:val="32"/>
          <w:highlight w:val="none"/>
          <w:shd w:val="clear" w:color="auto" w:fill="auto"/>
        </w:rPr>
        <w:t>项目资金主要用于</w:t>
      </w:r>
      <w:r>
        <w:rPr>
          <w:rFonts w:hint="eastAsia" w:ascii="仿宋_GB2312" w:hAnsi="仿宋_GB2312" w:eastAsia="仿宋_GB2312" w:cs="仿宋_GB2312"/>
          <w:color w:val="auto"/>
          <w:sz w:val="32"/>
          <w:szCs w:val="32"/>
          <w:highlight w:val="none"/>
          <w:shd w:val="clear" w:color="auto" w:fill="auto"/>
          <w:lang w:val="en-US" w:eastAsia="zh-CN"/>
        </w:rPr>
        <w:t>2023年全民健康体检等方面。</w:t>
      </w:r>
    </w:p>
    <w:p w14:paraId="541BE235">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楷体" w:hAnsi="楷体" w:eastAsia="楷体" w:cs="楷体"/>
          <w:b/>
          <w:bCs w:val="0"/>
          <w:color w:val="auto"/>
          <w:highlight w:val="none"/>
          <w:shd w:val="clear" w:color="auto" w:fill="auto"/>
        </w:rPr>
      </w:pPr>
      <w:bookmarkStart w:id="8" w:name="_Toc2879"/>
      <w:r>
        <w:rPr>
          <w:rFonts w:hint="eastAsia" w:ascii="楷体" w:hAnsi="楷体" w:eastAsia="楷体" w:cs="楷体"/>
          <w:b/>
          <w:bCs w:val="0"/>
          <w:color w:val="auto"/>
          <w:highlight w:val="none"/>
          <w:shd w:val="clear" w:color="auto" w:fill="auto"/>
        </w:rPr>
        <w:t>项目绩效目标</w:t>
      </w:r>
      <w:bookmarkEnd w:id="8"/>
    </w:p>
    <w:p w14:paraId="249E8C5F">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shd w:val="clear" w:color="auto" w:fill="auto"/>
          <w:lang w:val="en-US" w:eastAsia="zh-CN"/>
        </w:rPr>
      </w:pPr>
      <w:bookmarkStart w:id="9" w:name="_Toc10047"/>
      <w:r>
        <w:rPr>
          <w:rFonts w:hint="eastAsia" w:ascii="仿宋_GB2312" w:hAnsi="仿宋_GB2312" w:eastAsia="仿宋_GB2312" w:cs="仿宋_GB2312"/>
          <w:b/>
          <w:bCs/>
          <w:color w:val="auto"/>
          <w:sz w:val="32"/>
          <w:szCs w:val="32"/>
          <w:highlight w:val="none"/>
          <w:shd w:val="clear" w:color="auto" w:fill="auto"/>
          <w:lang w:val="en-US" w:eastAsia="zh-CN"/>
        </w:rPr>
        <w:t>1.总体目标</w:t>
      </w:r>
      <w:bookmarkEnd w:id="9"/>
    </w:p>
    <w:p w14:paraId="1A956C1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2023年自治区基本公卫补助资金-全民健康体检项目绩效总体目标为：针对此项目阜康市人民医院负责开展全民健康体检项目资金的使用，落实全民健康体检工作，阜康市人民医院预计完成10000人的体检，按照全民健康体检要求，对A、B类阳性病例随访，跟踪服务，慢性病的规范治疗提高，成本控制，全民自我健康管理提升等。</w:t>
      </w:r>
    </w:p>
    <w:p w14:paraId="166AD1B2">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10" w:name="_Toc4487"/>
      <w:r>
        <w:rPr>
          <w:rFonts w:hint="eastAsia" w:ascii="仿宋_GB2312" w:hAnsi="仿宋_GB2312" w:eastAsia="仿宋_GB2312" w:cs="仿宋_GB2312"/>
          <w:color w:val="auto"/>
          <w:sz w:val="32"/>
          <w:szCs w:val="32"/>
          <w:highlight w:val="none"/>
          <w:shd w:val="clear" w:color="auto" w:fill="auto"/>
          <w:lang w:val="en-US" w:eastAsia="zh-CN"/>
        </w:rPr>
        <w:t>2.阶段性目标</w:t>
      </w:r>
      <w:bookmarkEnd w:id="10"/>
    </w:p>
    <w:p w14:paraId="71629D7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Cs/>
          <w:color w:val="auto"/>
          <w:sz w:val="32"/>
          <w:szCs w:val="32"/>
          <w:highlight w:val="none"/>
          <w:shd w:val="clear" w:color="auto" w:fill="auto"/>
          <w:lang w:eastAsia="zh-CN"/>
        </w:rPr>
      </w:pPr>
      <w:r>
        <w:rPr>
          <w:rFonts w:hint="eastAsia" w:ascii="仿宋_GB2312" w:hAnsi="仿宋_GB2312" w:eastAsia="仿宋_GB2312" w:cs="仿宋_GB2312"/>
          <w:bCs/>
          <w:color w:val="auto"/>
          <w:sz w:val="32"/>
          <w:szCs w:val="32"/>
          <w:highlight w:val="none"/>
          <w:shd w:val="clear" w:color="auto" w:fill="auto"/>
          <w:lang w:eastAsia="zh-CN"/>
        </w:rPr>
        <w:t>根据《预算法》《财政支出绩效评价管理暂行办法》（财预〔20</w:t>
      </w:r>
      <w:r>
        <w:rPr>
          <w:rFonts w:hint="eastAsia" w:ascii="仿宋_GB2312" w:hAnsi="仿宋_GB2312" w:eastAsia="仿宋_GB2312" w:cs="仿宋_GB2312"/>
          <w:bCs/>
          <w:color w:val="auto"/>
          <w:sz w:val="32"/>
          <w:szCs w:val="32"/>
          <w:highlight w:val="none"/>
          <w:shd w:val="clear" w:color="auto" w:fill="auto"/>
          <w:lang w:val="en-US" w:eastAsia="zh-CN"/>
        </w:rPr>
        <w:t>20</w:t>
      </w:r>
      <w:r>
        <w:rPr>
          <w:rFonts w:hint="eastAsia" w:ascii="仿宋_GB2312" w:hAnsi="仿宋_GB2312" w:eastAsia="仿宋_GB2312" w:cs="仿宋_GB2312"/>
          <w:bCs/>
          <w:color w:val="auto"/>
          <w:sz w:val="32"/>
          <w:szCs w:val="32"/>
          <w:highlight w:val="none"/>
          <w:shd w:val="clear" w:color="auto" w:fill="auto"/>
          <w:lang w:eastAsia="zh-CN"/>
        </w:rPr>
        <w:t>〕</w:t>
      </w:r>
      <w:r>
        <w:rPr>
          <w:rFonts w:hint="eastAsia" w:ascii="仿宋_GB2312" w:hAnsi="仿宋_GB2312" w:eastAsia="仿宋_GB2312" w:cs="仿宋_GB2312"/>
          <w:bCs/>
          <w:color w:val="auto"/>
          <w:sz w:val="32"/>
          <w:szCs w:val="32"/>
          <w:highlight w:val="none"/>
          <w:shd w:val="clear" w:color="auto" w:fill="auto"/>
          <w:lang w:val="en-US" w:eastAsia="zh-CN"/>
        </w:rPr>
        <w:t>10</w:t>
      </w:r>
      <w:r>
        <w:rPr>
          <w:rFonts w:hint="eastAsia" w:ascii="仿宋_GB2312" w:hAnsi="仿宋_GB2312" w:eastAsia="仿宋_GB2312" w:cs="仿宋_GB2312"/>
          <w:bCs/>
          <w:color w:val="auto"/>
          <w:sz w:val="32"/>
          <w:szCs w:val="32"/>
          <w:highlight w:val="none"/>
          <w:shd w:val="clear" w:color="auto" w:fill="auto"/>
          <w:lang w:eastAsia="zh-CN"/>
        </w:rPr>
        <w:t>号）、《自治区党委自治区人民政府关于全面实施预算绩效管理的实施意见》（新党发〔2018〕30号）、</w:t>
      </w:r>
      <w:r>
        <w:rPr>
          <w:rFonts w:hint="eastAsia" w:ascii="仿宋_GB2312" w:hAnsi="仿宋_GB2312" w:eastAsia="仿宋_GB2312" w:cs="仿宋_GB2312"/>
          <w:color w:val="auto"/>
          <w:sz w:val="32"/>
          <w:szCs w:val="32"/>
          <w:highlight w:val="none"/>
          <w:shd w:val="clear" w:color="auto" w:fill="auto"/>
        </w:rPr>
        <w:t>《自治区财政支出绩效评价管理暂行办法》</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新财预〔2018〕189号</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等文件</w:t>
      </w:r>
      <w:r>
        <w:rPr>
          <w:rFonts w:hint="eastAsia" w:ascii="仿宋_GB2312" w:hAnsi="仿宋_GB2312" w:eastAsia="仿宋_GB2312" w:cs="仿宋_GB2312"/>
          <w:bCs/>
          <w:color w:val="auto"/>
          <w:sz w:val="32"/>
          <w:szCs w:val="32"/>
          <w:highlight w:val="none"/>
          <w:shd w:val="clear" w:color="auto" w:fill="auto"/>
          <w:lang w:eastAsia="zh-CN"/>
        </w:rPr>
        <w:t>的规定，结合项目实施单位的规章制度以及财务相关资料，评价小组对项目绩效目标进行了进一步的完善，完善</w:t>
      </w:r>
      <w:r>
        <w:rPr>
          <w:rFonts w:hint="eastAsia" w:ascii="仿宋_GB2312" w:hAnsi="仿宋_GB2312" w:eastAsia="仿宋_GB2312" w:cs="仿宋_GB2312"/>
          <w:bCs/>
          <w:color w:val="auto"/>
          <w:sz w:val="32"/>
          <w:szCs w:val="32"/>
          <w:highlight w:val="none"/>
          <w:shd w:val="clear" w:color="auto" w:fill="auto"/>
          <w:lang w:val="en-US" w:eastAsia="zh-CN"/>
        </w:rPr>
        <w:t>后</w:t>
      </w:r>
      <w:r>
        <w:rPr>
          <w:rFonts w:hint="eastAsia" w:ascii="仿宋_GB2312" w:hAnsi="仿宋_GB2312" w:eastAsia="仿宋_GB2312" w:cs="仿宋_GB2312"/>
          <w:bCs/>
          <w:color w:val="auto"/>
          <w:sz w:val="32"/>
          <w:szCs w:val="32"/>
          <w:highlight w:val="none"/>
          <w:shd w:val="clear" w:color="auto" w:fill="auto"/>
          <w:lang w:eastAsia="zh-CN"/>
        </w:rPr>
        <w:t>绩效目标如下：</w:t>
      </w:r>
    </w:p>
    <w:p w14:paraId="366DF4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项目产出</w:t>
      </w:r>
      <w:r>
        <w:rPr>
          <w:rFonts w:hint="eastAsia" w:ascii="仿宋_GB2312" w:hAnsi="仿宋_GB2312" w:eastAsia="仿宋_GB2312" w:cs="仿宋_GB2312"/>
          <w:color w:val="auto"/>
          <w:sz w:val="32"/>
          <w:szCs w:val="32"/>
          <w:highlight w:val="none"/>
          <w:shd w:val="clear" w:color="auto" w:fill="auto"/>
          <w:lang w:val="en-US" w:eastAsia="zh-CN"/>
        </w:rPr>
        <w:t>目标</w:t>
      </w:r>
    </w:p>
    <w:p w14:paraId="7F456D7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①数量指标</w:t>
      </w:r>
    </w:p>
    <w:p w14:paraId="1478E6A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全民健康体检人数</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指标，预期目标值为≥10000人；</w:t>
      </w:r>
    </w:p>
    <w:p w14:paraId="3FC5E6B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“15-64周岁人员”指标，预期目标值为≥8400人；</w:t>
      </w:r>
    </w:p>
    <w:p w14:paraId="220B7D6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“65-79周岁人员”指标，预期目标值为≥1300人；</w:t>
      </w:r>
    </w:p>
    <w:p w14:paraId="019819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“80周岁以上人员”指标，预期目标值为≥130人。</w:t>
      </w:r>
    </w:p>
    <w:p w14:paraId="1CC909F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②质量指标</w:t>
      </w:r>
    </w:p>
    <w:p w14:paraId="4EA8748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全民体检A/B类阳性患者随访率</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指标，预期目标值为100%；</w:t>
      </w:r>
    </w:p>
    <w:p w14:paraId="359166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“设备验收合格率”指标，预期目标值为100%。</w:t>
      </w:r>
    </w:p>
    <w:p w14:paraId="1116140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③质量指标</w:t>
      </w:r>
    </w:p>
    <w:p w14:paraId="16421E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全民健康体检完成时间</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指标，预期目标值为2023-8-31。</w:t>
      </w:r>
    </w:p>
    <w:p w14:paraId="58CE250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（2）成本指标</w:t>
      </w:r>
    </w:p>
    <w:p w14:paraId="7925AB5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购买体检设备</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指标，预期目标值为≤53.07万元；</w:t>
      </w:r>
    </w:p>
    <w:p w14:paraId="0F198E2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“体检办公耗材”指标，预期目标值为≤0.1万元。</w:t>
      </w:r>
    </w:p>
    <w:p w14:paraId="65CB52A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）项目效益</w:t>
      </w:r>
      <w:r>
        <w:rPr>
          <w:rFonts w:hint="eastAsia" w:ascii="仿宋_GB2312" w:hAnsi="仿宋_GB2312" w:eastAsia="仿宋_GB2312" w:cs="仿宋_GB2312"/>
          <w:color w:val="auto"/>
          <w:sz w:val="32"/>
          <w:szCs w:val="32"/>
          <w:highlight w:val="none"/>
          <w:shd w:val="clear" w:color="auto" w:fill="auto"/>
          <w:lang w:val="en-US" w:eastAsia="zh-CN"/>
        </w:rPr>
        <w:t>目标</w:t>
      </w:r>
    </w:p>
    <w:p w14:paraId="545A182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①经济效益指标</w:t>
      </w:r>
    </w:p>
    <w:p w14:paraId="70EF3BE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本项目不涉及经济效益指标。</w:t>
      </w:r>
    </w:p>
    <w:p w14:paraId="557D93A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②社会效益指标</w:t>
      </w:r>
    </w:p>
    <w:p w14:paraId="682DEF6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提高全民健康意识及自我健康管理水平</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指标，预期目标值为≥80%；</w:t>
      </w:r>
    </w:p>
    <w:p w14:paraId="417B4AF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③生态效益指标</w:t>
      </w:r>
    </w:p>
    <w:p w14:paraId="4D19D88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本项目不涉及生态效益指标。</w:t>
      </w:r>
    </w:p>
    <w:p w14:paraId="297A33A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④可持续影响</w:t>
      </w:r>
    </w:p>
    <w:p w14:paraId="6C56B75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本项目不涉及可持续影响指标。</w:t>
      </w:r>
    </w:p>
    <w:p w14:paraId="0DEB4B0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⑤满意度指标</w:t>
      </w:r>
    </w:p>
    <w:p w14:paraId="427693D9">
      <w:pPr>
        <w:pStyle w:val="3"/>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仿宋_GB2312" w:hAnsi="仿宋_GB2312" w:eastAsia="仿宋_GB2312" w:cs="仿宋_GB2312"/>
          <w:color w:val="auto"/>
          <w:kern w:val="2"/>
          <w:sz w:val="32"/>
          <w:szCs w:val="32"/>
          <w:highlight w:val="none"/>
          <w:shd w:val="clear" w:color="auto" w:fill="auto"/>
          <w:lang w:val="en-US" w:eastAsia="zh-CN" w:bidi="ar-SA"/>
        </w:rPr>
      </w:pPr>
      <w:bookmarkStart w:id="11" w:name="_Toc2549"/>
      <w:r>
        <w:rPr>
          <w:rFonts w:hint="eastAsia" w:ascii="仿宋_GB2312" w:hAnsi="仿宋_GB2312" w:eastAsia="仿宋_GB2312" w:cs="仿宋_GB2312"/>
          <w:color w:val="auto"/>
          <w:kern w:val="2"/>
          <w:sz w:val="32"/>
          <w:szCs w:val="32"/>
          <w:highlight w:val="none"/>
          <w:shd w:val="clear" w:color="auto" w:fill="auto"/>
          <w:lang w:val="en-US" w:eastAsia="zh-CN" w:bidi="ar-SA"/>
        </w:rPr>
        <w:t>本项目不涉及满意度指标。</w:t>
      </w:r>
    </w:p>
    <w:p w14:paraId="2DF529C4">
      <w:pPr>
        <w:pStyle w:val="3"/>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黑体" w:hAnsi="黑体" w:eastAsia="黑体" w:cs="黑体"/>
          <w:b/>
          <w:bCs/>
          <w:color w:val="auto"/>
          <w:highlight w:val="none"/>
          <w:shd w:val="clear" w:color="auto" w:fill="auto"/>
          <w:lang w:val="en-US" w:eastAsia="zh-CN"/>
        </w:rPr>
      </w:pPr>
      <w:r>
        <w:rPr>
          <w:rFonts w:hint="eastAsia" w:ascii="黑体" w:hAnsi="黑体" w:eastAsia="黑体" w:cs="黑体"/>
          <w:b/>
          <w:bCs/>
          <w:color w:val="auto"/>
          <w:highlight w:val="none"/>
          <w:shd w:val="clear" w:color="auto" w:fill="auto"/>
        </w:rPr>
        <w:t>二、绩效评价工作开展情况</w:t>
      </w:r>
      <w:bookmarkEnd w:id="11"/>
    </w:p>
    <w:p w14:paraId="1B1534F7">
      <w:pPr>
        <w:pStyle w:val="4"/>
        <w:keepNext/>
        <w:keepLines/>
        <w:pageBreakBefore w:val="0"/>
        <w:widowControl w:val="0"/>
        <w:numPr>
          <w:ilvl w:val="0"/>
          <w:numId w:val="2"/>
        </w:numPr>
        <w:kinsoku/>
        <w:wordWrap/>
        <w:overflowPunct/>
        <w:topLinePunct w:val="0"/>
        <w:autoSpaceDE/>
        <w:autoSpaceDN/>
        <w:bidi w:val="0"/>
        <w:adjustRightInd/>
        <w:snapToGrid/>
        <w:spacing w:beforeLines="0" w:beforeAutospacing="0" w:afterLines="0" w:afterAutospacing="0" w:line="560" w:lineRule="exact"/>
        <w:ind w:left="0" w:leftChars="0" w:firstLine="643" w:firstLineChars="200"/>
        <w:jc w:val="both"/>
        <w:textAlignment w:val="auto"/>
        <w:rPr>
          <w:rFonts w:hint="eastAsia" w:ascii="楷体" w:hAnsi="楷体" w:eastAsia="楷体" w:cs="楷体"/>
          <w:color w:val="auto"/>
          <w:sz w:val="32"/>
          <w:szCs w:val="32"/>
          <w:highlight w:val="none"/>
          <w:shd w:val="clear" w:color="auto" w:fill="auto"/>
          <w:lang w:eastAsia="zh-CN"/>
        </w:rPr>
      </w:pPr>
      <w:bookmarkStart w:id="12" w:name="_Toc5258"/>
      <w:bookmarkStart w:id="13" w:name="_Toc21664"/>
      <w:bookmarkStart w:id="14" w:name="_Toc12868"/>
      <w:bookmarkStart w:id="15" w:name="_Toc5462343"/>
      <w:bookmarkStart w:id="16" w:name="_Toc26632"/>
      <w:bookmarkStart w:id="17" w:name="_Toc22169_WPSOffice_Level2"/>
      <w:bookmarkStart w:id="18" w:name="_Toc480473081"/>
      <w:bookmarkStart w:id="19" w:name="_Toc22922"/>
      <w:bookmarkStart w:id="20" w:name="_Toc21778"/>
      <w:r>
        <w:rPr>
          <w:rFonts w:hint="eastAsia" w:ascii="楷体" w:hAnsi="楷体" w:eastAsia="楷体" w:cs="楷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楷体" w:hAnsi="楷体" w:eastAsia="楷体" w:cs="楷体"/>
          <w:color w:val="auto"/>
          <w:sz w:val="32"/>
          <w:szCs w:val="32"/>
          <w:highlight w:val="none"/>
          <w:shd w:val="clear" w:color="auto" w:fill="auto"/>
          <w:lang w:eastAsia="zh-CN"/>
        </w:rPr>
        <w:t>、对象和范围</w:t>
      </w:r>
      <w:bookmarkEnd w:id="20"/>
    </w:p>
    <w:p w14:paraId="768A3518">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21" w:name="_Toc15732"/>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lang w:eastAsia="zh-CN"/>
        </w:rPr>
        <w:t>绩效评价的目的</w:t>
      </w:r>
      <w:bookmarkEnd w:id="21"/>
    </w:p>
    <w:p w14:paraId="162E185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为全面了解</w:t>
      </w:r>
      <w:r>
        <w:rPr>
          <w:rFonts w:hint="eastAsia" w:ascii="仿宋_GB2312" w:hAnsi="仿宋_GB2312" w:eastAsia="仿宋_GB2312" w:cs="仿宋_GB2312"/>
          <w:color w:val="auto"/>
          <w:sz w:val="32"/>
          <w:szCs w:val="32"/>
          <w:highlight w:val="none"/>
          <w:shd w:val="clear" w:color="auto" w:fill="auto"/>
          <w:lang w:val="en-US" w:eastAsia="zh-CN"/>
        </w:rPr>
        <w:t>该</w:t>
      </w:r>
      <w:r>
        <w:rPr>
          <w:rFonts w:hint="eastAsia" w:ascii="仿宋_GB2312" w:hAnsi="仿宋_GB2312" w:eastAsia="仿宋_GB2312" w:cs="仿宋_GB2312"/>
          <w:color w:val="auto"/>
          <w:sz w:val="32"/>
          <w:szCs w:val="32"/>
          <w:highlight w:val="none"/>
          <w:shd w:val="clear" w:color="auto" w:fill="auto"/>
          <w:lang w:eastAsia="zh-CN"/>
        </w:rPr>
        <w:t>项目预算编制合理性、资金使用合规性、项目管理的规范性、</w:t>
      </w:r>
      <w:r>
        <w:rPr>
          <w:rFonts w:hint="eastAsia" w:ascii="仿宋_GB2312" w:hAnsi="仿宋_GB2312" w:eastAsia="仿宋_GB2312" w:cs="仿宋_GB2312"/>
          <w:color w:val="auto"/>
          <w:sz w:val="32"/>
          <w:szCs w:val="32"/>
          <w:highlight w:val="none"/>
          <w:shd w:val="clear" w:color="auto" w:fill="auto"/>
          <w:lang w:val="en-US" w:eastAsia="zh-CN"/>
        </w:rPr>
        <w:t>绩效</w:t>
      </w:r>
      <w:r>
        <w:rPr>
          <w:rFonts w:hint="eastAsia" w:ascii="仿宋_GB2312" w:hAnsi="仿宋_GB2312" w:eastAsia="仿宋_GB2312" w:cs="仿宋_GB2312"/>
          <w:color w:val="auto"/>
          <w:sz w:val="32"/>
          <w:szCs w:val="32"/>
          <w:highlight w:val="none"/>
          <w:shd w:val="clear" w:color="auto" w:fill="auto"/>
          <w:lang w:eastAsia="zh-CN"/>
        </w:rPr>
        <w:t>目标的实现情况、服务对象的满意度等，通过本次</w:t>
      </w:r>
      <w:r>
        <w:rPr>
          <w:rFonts w:hint="eastAsia" w:ascii="仿宋_GB2312" w:hAnsi="仿宋_GB2312" w:eastAsia="仿宋_GB2312" w:cs="仿宋_GB2312"/>
          <w:color w:val="auto"/>
          <w:sz w:val="32"/>
          <w:szCs w:val="32"/>
          <w:highlight w:val="none"/>
          <w:shd w:val="clear" w:color="auto" w:fill="auto"/>
          <w:lang w:val="en-US" w:eastAsia="zh-CN"/>
        </w:rPr>
        <w:t>部门</w:t>
      </w:r>
      <w:r>
        <w:rPr>
          <w:rFonts w:hint="eastAsia" w:ascii="仿宋_GB2312" w:hAnsi="仿宋_GB2312" w:eastAsia="仿宋_GB2312" w:cs="仿宋_GB2312"/>
          <w:color w:val="auto"/>
          <w:sz w:val="32"/>
          <w:szCs w:val="32"/>
          <w:highlight w:val="none"/>
          <w:shd w:val="clear" w:color="auto" w:fill="auto"/>
          <w:lang w:eastAsia="zh-CN"/>
        </w:rPr>
        <w:t>绩效评价来总结经验和教训，促进项目成果转化和应用，为今后类似项目的长效管理，提供可行性参考建议。</w:t>
      </w:r>
    </w:p>
    <w:p w14:paraId="0F3E9649">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22" w:name="_Toc30609"/>
      <w:r>
        <w:rPr>
          <w:rFonts w:hint="eastAsia" w:ascii="仿宋_GB2312" w:hAnsi="仿宋_GB2312" w:eastAsia="仿宋_GB2312" w:cs="仿宋_GB2312"/>
          <w:color w:val="auto"/>
          <w:sz w:val="32"/>
          <w:szCs w:val="32"/>
          <w:highlight w:val="none"/>
          <w:shd w:val="clear" w:color="auto" w:fill="auto"/>
          <w:lang w:val="en-US" w:eastAsia="zh-CN"/>
        </w:rPr>
        <w:t>2.绩效评价的对象和范围</w:t>
      </w:r>
      <w:bookmarkEnd w:id="22"/>
    </w:p>
    <w:p w14:paraId="7B92540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此次我单位根据</w:t>
      </w:r>
      <w:r>
        <w:rPr>
          <w:rFonts w:hint="eastAsia" w:ascii="仿宋_GB2312" w:hAnsi="仿宋_GB2312" w:eastAsia="仿宋_GB2312" w:cs="仿宋_GB2312"/>
          <w:color w:val="auto"/>
          <w:sz w:val="32"/>
          <w:szCs w:val="32"/>
          <w:highlight w:val="none"/>
          <w:shd w:val="clear" w:color="auto" w:fill="auto"/>
        </w:rPr>
        <w:t>《财政支出绩效评价管理暂行办法》（</w:t>
      </w:r>
      <w:r>
        <w:rPr>
          <w:rFonts w:hint="eastAsia" w:ascii="仿宋_GB2312" w:hAnsi="仿宋_GB2312" w:eastAsia="仿宋_GB2312" w:cs="仿宋_GB2312"/>
          <w:color w:val="auto"/>
          <w:sz w:val="32"/>
          <w:szCs w:val="32"/>
          <w:highlight w:val="none"/>
          <w:shd w:val="clear" w:color="auto" w:fill="auto"/>
          <w:lang w:eastAsia="zh-CN"/>
        </w:rPr>
        <w:t>财预〔2020〕10号</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文件要求对2023年度我单位实施的2023年自治区基本公卫补助资金-全民健康体检项目开展部门绩效评价。</w:t>
      </w:r>
    </w:p>
    <w:p w14:paraId="4F0EA7E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440DD0FD">
      <w:pPr>
        <w:pStyle w:val="4"/>
        <w:keepNext/>
        <w:keepLines/>
        <w:pageBreakBefore w:val="0"/>
        <w:widowControl w:val="0"/>
        <w:numPr>
          <w:ilvl w:val="0"/>
          <w:numId w:val="2"/>
        </w:numPr>
        <w:kinsoku/>
        <w:wordWrap/>
        <w:overflowPunct/>
        <w:topLinePunct w:val="0"/>
        <w:autoSpaceDE/>
        <w:autoSpaceDN/>
        <w:bidi w:val="0"/>
        <w:adjustRightInd/>
        <w:snapToGrid/>
        <w:spacing w:beforeLines="0" w:beforeAutospacing="0" w:afterLines="0" w:afterAutospacing="0" w:line="640" w:lineRule="exact"/>
        <w:ind w:left="0" w:leftChars="0" w:firstLine="643" w:firstLineChars="200"/>
        <w:jc w:val="both"/>
        <w:textAlignment w:val="auto"/>
        <w:rPr>
          <w:rFonts w:hint="eastAsia" w:ascii="楷体" w:hAnsi="楷体" w:eastAsia="楷体" w:cs="楷体"/>
          <w:color w:val="auto"/>
          <w:sz w:val="32"/>
          <w:szCs w:val="32"/>
          <w:highlight w:val="none"/>
          <w:shd w:val="clear" w:color="auto" w:fill="auto"/>
          <w:lang w:val="en-US" w:eastAsia="zh-CN"/>
        </w:rPr>
      </w:pPr>
      <w:bookmarkStart w:id="23" w:name="_Toc15902"/>
      <w:r>
        <w:rPr>
          <w:rFonts w:hint="eastAsia" w:ascii="楷体" w:hAnsi="楷体" w:eastAsia="楷体" w:cs="楷体"/>
          <w:color w:val="auto"/>
          <w:sz w:val="32"/>
          <w:szCs w:val="32"/>
          <w:highlight w:val="none"/>
          <w:shd w:val="clear" w:color="auto" w:fill="auto"/>
          <w:lang w:val="en-US" w:eastAsia="zh-CN"/>
        </w:rPr>
        <w:t>绩效评价原则、评价指标体系（附表说明）、评价方法、评价标准</w:t>
      </w:r>
      <w:bookmarkEnd w:id="23"/>
    </w:p>
    <w:p w14:paraId="4F1A6B6C">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sz w:val="32"/>
          <w:szCs w:val="32"/>
          <w:highlight w:val="none"/>
          <w:shd w:val="clear" w:color="auto" w:fill="auto"/>
        </w:rPr>
      </w:pPr>
      <w:bookmarkStart w:id="24" w:name="_Toc24506"/>
      <w:r>
        <w:rPr>
          <w:rFonts w:hint="eastAsia" w:ascii="仿宋_GB2312" w:hAnsi="仿宋_GB2312" w:eastAsia="仿宋_GB2312" w:cs="仿宋_GB2312"/>
          <w:b w:val="0"/>
          <w:bCs w:val="0"/>
          <w:color w:val="auto"/>
          <w:sz w:val="32"/>
          <w:szCs w:val="32"/>
          <w:highlight w:val="none"/>
          <w:shd w:val="clear" w:color="auto" w:fill="auto"/>
          <w:lang w:val="en-US" w:eastAsia="zh-CN"/>
        </w:rPr>
        <w:t>1.</w:t>
      </w:r>
      <w:r>
        <w:rPr>
          <w:rFonts w:hint="eastAsia" w:ascii="仿宋_GB2312" w:hAnsi="仿宋_GB2312" w:eastAsia="仿宋_GB2312" w:cs="仿宋_GB2312"/>
          <w:b w:val="0"/>
          <w:bCs w:val="0"/>
          <w:color w:val="auto"/>
          <w:sz w:val="32"/>
          <w:szCs w:val="32"/>
          <w:highlight w:val="none"/>
          <w:shd w:val="clear" w:color="auto" w:fill="auto"/>
        </w:rPr>
        <w:t>绩效评价原则</w:t>
      </w:r>
      <w:bookmarkEnd w:id="24"/>
    </w:p>
    <w:p w14:paraId="209819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依据</w:t>
      </w:r>
      <w:r>
        <w:rPr>
          <w:rFonts w:hint="eastAsia" w:ascii="仿宋_GB2312" w:hAnsi="仿宋_GB2312" w:eastAsia="仿宋_GB2312" w:cs="仿宋_GB2312"/>
          <w:bCs/>
          <w:color w:val="auto"/>
          <w:sz w:val="32"/>
          <w:szCs w:val="32"/>
          <w:highlight w:val="none"/>
          <w:shd w:val="clear" w:color="auto" w:fill="auto"/>
          <w:lang w:eastAsia="zh-CN"/>
        </w:rPr>
        <w:t>《财政支出绩效评价管理暂行办法》（财预〔20</w:t>
      </w:r>
      <w:r>
        <w:rPr>
          <w:rFonts w:hint="eastAsia" w:ascii="仿宋_GB2312" w:hAnsi="仿宋_GB2312" w:eastAsia="仿宋_GB2312" w:cs="仿宋_GB2312"/>
          <w:bCs/>
          <w:color w:val="auto"/>
          <w:sz w:val="32"/>
          <w:szCs w:val="32"/>
          <w:highlight w:val="none"/>
          <w:shd w:val="clear" w:color="auto" w:fill="auto"/>
          <w:lang w:val="en-US" w:eastAsia="zh-CN"/>
        </w:rPr>
        <w:t>20</w:t>
      </w:r>
      <w:r>
        <w:rPr>
          <w:rFonts w:hint="eastAsia" w:ascii="仿宋_GB2312" w:hAnsi="仿宋_GB2312" w:eastAsia="仿宋_GB2312" w:cs="仿宋_GB2312"/>
          <w:bCs/>
          <w:color w:val="auto"/>
          <w:sz w:val="32"/>
          <w:szCs w:val="32"/>
          <w:highlight w:val="none"/>
          <w:shd w:val="clear" w:color="auto" w:fill="auto"/>
          <w:lang w:eastAsia="zh-CN"/>
        </w:rPr>
        <w:t>〕</w:t>
      </w:r>
      <w:r>
        <w:rPr>
          <w:rFonts w:hint="eastAsia" w:ascii="仿宋_GB2312" w:hAnsi="仿宋_GB2312" w:eastAsia="仿宋_GB2312" w:cs="仿宋_GB2312"/>
          <w:bCs/>
          <w:color w:val="auto"/>
          <w:sz w:val="32"/>
          <w:szCs w:val="32"/>
          <w:highlight w:val="none"/>
          <w:shd w:val="clear" w:color="auto" w:fill="auto"/>
          <w:lang w:val="en-US" w:eastAsia="zh-CN"/>
        </w:rPr>
        <w:t>10</w:t>
      </w:r>
      <w:r>
        <w:rPr>
          <w:rFonts w:hint="eastAsia" w:ascii="仿宋_GB2312" w:hAnsi="仿宋_GB2312" w:eastAsia="仿宋_GB2312" w:cs="仿宋_GB2312"/>
          <w:bCs/>
          <w:color w:val="auto"/>
          <w:sz w:val="32"/>
          <w:szCs w:val="32"/>
          <w:highlight w:val="none"/>
          <w:shd w:val="clear" w:color="auto" w:fill="auto"/>
          <w:lang w:eastAsia="zh-CN"/>
        </w:rPr>
        <w:t>号）</w:t>
      </w:r>
      <w:r>
        <w:rPr>
          <w:rFonts w:hint="eastAsia" w:ascii="仿宋_GB2312" w:hAnsi="仿宋_GB2312" w:eastAsia="仿宋_GB2312" w:cs="仿宋_GB2312"/>
          <w:color w:val="auto"/>
          <w:sz w:val="32"/>
          <w:szCs w:val="32"/>
          <w:highlight w:val="none"/>
          <w:shd w:val="clear" w:color="auto" w:fill="auto"/>
          <w:lang w:eastAsia="zh-CN"/>
        </w:rPr>
        <w:t>本次绩效评价秉承科学规范、公正公开、分级分类、绩效相关等原则，按照从投入、过程到产出效果和影响的绩效逻辑路径，结合</w:t>
      </w:r>
      <w:r>
        <w:rPr>
          <w:rFonts w:hint="eastAsia" w:ascii="仿宋_GB2312" w:hAnsi="仿宋_GB2312" w:eastAsia="仿宋_GB2312" w:cs="仿宋_GB2312"/>
          <w:color w:val="auto"/>
          <w:sz w:val="32"/>
          <w:szCs w:val="32"/>
          <w:highlight w:val="none"/>
          <w:shd w:val="clear" w:color="auto" w:fill="auto"/>
          <w:lang w:val="en-US" w:eastAsia="zh-CN"/>
        </w:rPr>
        <w:t>2023年自治区基本公卫补助资金-全民健康体检项目</w:t>
      </w:r>
      <w:r>
        <w:rPr>
          <w:rFonts w:hint="eastAsia" w:ascii="仿宋_GB2312" w:hAnsi="仿宋_GB2312" w:eastAsia="仿宋_GB2312" w:cs="仿宋_GB2312"/>
          <w:color w:val="auto"/>
          <w:sz w:val="32"/>
          <w:szCs w:val="32"/>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60D6C2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根据以上原则，绩效评价应遵循如下要求：</w:t>
      </w:r>
    </w:p>
    <w:p w14:paraId="0FA197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lang w:eastAsia="zh-CN"/>
        </w:rPr>
        <w:t>）科学公正。绩效评价应当运用科学合理的方法，按照规范的程序，对项目绩效进行客观、公正的反映。</w:t>
      </w:r>
    </w:p>
    <w:p w14:paraId="03A2AB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2</w:t>
      </w:r>
      <w:r>
        <w:rPr>
          <w:rFonts w:hint="eastAsia" w:ascii="仿宋_GB2312" w:hAnsi="仿宋_GB2312" w:eastAsia="仿宋_GB2312" w:cs="仿宋_GB2312"/>
          <w:color w:val="auto"/>
          <w:sz w:val="32"/>
          <w:szCs w:val="32"/>
          <w:highlight w:val="none"/>
          <w:shd w:val="clear" w:color="auto" w:fill="auto"/>
          <w:lang w:eastAsia="zh-CN"/>
        </w:rPr>
        <w:t>）统筹兼顾。单位自评、部门评价和财政评价应职责明确，各有侧重，相互衔接。单位自评应由项目单位自主实施，即“谁支出、谁自评”。</w:t>
      </w:r>
    </w:p>
    <w:p w14:paraId="6A02CC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lang w:eastAsia="zh-CN"/>
        </w:rPr>
        <w:t>）激励约束。绩效评价结果应与预算安排、政策调整、改进管理实质性挂钩，体现奖优罚劣和激励相容导向，有效要安排、低效要压减、无效要问责。</w:t>
      </w:r>
    </w:p>
    <w:p w14:paraId="593E63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4</w:t>
      </w:r>
      <w:r>
        <w:rPr>
          <w:rFonts w:hint="eastAsia" w:ascii="仿宋_GB2312" w:hAnsi="仿宋_GB2312" w:eastAsia="仿宋_GB2312" w:cs="仿宋_GB2312"/>
          <w:color w:val="auto"/>
          <w:sz w:val="32"/>
          <w:szCs w:val="32"/>
          <w:highlight w:val="none"/>
          <w:shd w:val="clear" w:color="auto" w:fill="auto"/>
          <w:lang w:eastAsia="zh-CN"/>
        </w:rPr>
        <w:t>）公开透明。绩效评价结果应依法依规公开，并自觉接受社会监督。</w:t>
      </w:r>
    </w:p>
    <w:p w14:paraId="43EC1CCD">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sz w:val="32"/>
          <w:szCs w:val="32"/>
          <w:highlight w:val="none"/>
          <w:shd w:val="clear" w:color="auto" w:fill="auto"/>
          <w:lang w:eastAsia="zh-CN"/>
        </w:rPr>
      </w:pPr>
      <w:bookmarkStart w:id="25" w:name="_Toc1913"/>
      <w:bookmarkStart w:id="26" w:name="_Toc419984722"/>
      <w:bookmarkStart w:id="27" w:name="_Toc26131"/>
      <w:bookmarkStart w:id="28" w:name="_Toc428278230"/>
      <w:bookmarkStart w:id="29" w:name="_Toc24396"/>
      <w:r>
        <w:rPr>
          <w:rFonts w:hint="eastAsia" w:ascii="仿宋_GB2312" w:hAnsi="仿宋_GB2312" w:eastAsia="仿宋_GB2312" w:cs="仿宋_GB2312"/>
          <w:b w:val="0"/>
          <w:bCs w:val="0"/>
          <w:color w:val="auto"/>
          <w:sz w:val="32"/>
          <w:szCs w:val="32"/>
          <w:highlight w:val="none"/>
          <w:shd w:val="clear" w:color="auto" w:fill="auto"/>
          <w:lang w:val="en-US" w:eastAsia="zh-CN"/>
        </w:rPr>
        <w:t>2.</w:t>
      </w:r>
      <w:r>
        <w:rPr>
          <w:rFonts w:hint="eastAsia" w:ascii="仿宋_GB2312" w:hAnsi="仿宋_GB2312" w:eastAsia="仿宋_GB2312" w:cs="仿宋_GB2312"/>
          <w:b w:val="0"/>
          <w:bCs w:val="0"/>
          <w:color w:val="auto"/>
          <w:sz w:val="32"/>
          <w:szCs w:val="32"/>
          <w:highlight w:val="none"/>
          <w:shd w:val="clear" w:color="auto" w:fill="auto"/>
          <w:lang w:eastAsia="zh-CN"/>
        </w:rPr>
        <w:t>绩效评价指标体系及绩效评价</w:t>
      </w:r>
      <w:bookmarkEnd w:id="25"/>
      <w:bookmarkEnd w:id="26"/>
      <w:bookmarkEnd w:id="27"/>
      <w:bookmarkEnd w:id="28"/>
      <w:r>
        <w:rPr>
          <w:rFonts w:hint="eastAsia" w:ascii="仿宋_GB2312" w:hAnsi="仿宋_GB2312" w:eastAsia="仿宋_GB2312" w:cs="仿宋_GB2312"/>
          <w:b w:val="0"/>
          <w:bCs w:val="0"/>
          <w:color w:val="auto"/>
          <w:sz w:val="32"/>
          <w:szCs w:val="32"/>
          <w:highlight w:val="none"/>
          <w:shd w:val="clear" w:color="auto" w:fill="auto"/>
          <w:lang w:val="en-US" w:eastAsia="zh-CN"/>
        </w:rPr>
        <w:t>标准</w:t>
      </w:r>
      <w:bookmarkEnd w:id="29"/>
    </w:p>
    <w:p w14:paraId="068634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我单位</w:t>
      </w:r>
      <w:r>
        <w:rPr>
          <w:rFonts w:hint="eastAsia" w:ascii="仿宋_GB2312" w:hAnsi="仿宋_GB2312" w:eastAsia="仿宋_GB2312" w:cs="仿宋_GB2312"/>
          <w:color w:val="auto"/>
          <w:sz w:val="32"/>
          <w:szCs w:val="32"/>
          <w:highlight w:val="none"/>
          <w:shd w:val="clear" w:color="auto" w:fill="auto"/>
          <w:lang w:val="zh-TW" w:eastAsia="zh-TW"/>
        </w:rPr>
        <w:t>根据项目的</w:t>
      </w:r>
      <w:r>
        <w:rPr>
          <w:rFonts w:hint="eastAsia" w:ascii="仿宋_GB2312" w:hAnsi="仿宋_GB2312" w:eastAsia="仿宋_GB2312" w:cs="仿宋_GB2312"/>
          <w:color w:val="auto"/>
          <w:sz w:val="32"/>
          <w:szCs w:val="32"/>
          <w:highlight w:val="none"/>
          <w:shd w:val="clear" w:color="auto" w:fill="auto"/>
          <w:lang w:val="en-US" w:eastAsia="zh-CN"/>
        </w:rPr>
        <w:t>实施</w:t>
      </w:r>
      <w:r>
        <w:rPr>
          <w:rFonts w:hint="eastAsia" w:ascii="仿宋_GB2312" w:hAnsi="仿宋_GB2312" w:eastAsia="仿宋_GB2312" w:cs="仿宋_GB2312"/>
          <w:color w:val="auto"/>
          <w:sz w:val="32"/>
          <w:szCs w:val="32"/>
          <w:highlight w:val="none"/>
          <w:shd w:val="clear" w:color="auto" w:fill="auto"/>
          <w:lang w:val="zh-TW" w:eastAsia="zh-TW"/>
        </w:rPr>
        <w:t>资料研读及前期调研，结合项目的实际开展情况，最终形成了项目绩效评价指标体系</w:t>
      </w:r>
      <w:r>
        <w:rPr>
          <w:rFonts w:hint="eastAsia" w:ascii="仿宋_GB2312" w:hAnsi="仿宋_GB2312" w:eastAsia="仿宋_GB2312" w:cs="仿宋_GB2312"/>
          <w:color w:val="auto"/>
          <w:sz w:val="32"/>
          <w:szCs w:val="32"/>
          <w:highlight w:val="none"/>
          <w:shd w:val="clear" w:color="auto" w:fill="auto"/>
          <w:lang w:val="zh-TW" w:eastAsia="zh-CN"/>
        </w:rPr>
        <w:t>，</w:t>
      </w:r>
      <w:r>
        <w:rPr>
          <w:rFonts w:hint="eastAsia" w:ascii="仿宋_GB2312" w:hAnsi="仿宋_GB2312" w:eastAsia="仿宋_GB2312" w:cs="仿宋_GB2312"/>
          <w:color w:val="auto"/>
          <w:sz w:val="32"/>
          <w:szCs w:val="32"/>
          <w:highlight w:val="none"/>
          <w:shd w:val="clear" w:color="auto" w:fill="auto"/>
          <w:lang w:val="en-US" w:eastAsia="zh-CN"/>
        </w:rPr>
        <w:t>指标体系结构如下</w:t>
      </w:r>
      <w:r>
        <w:rPr>
          <w:rFonts w:hint="eastAsia" w:ascii="仿宋_GB2312" w:hAnsi="仿宋_GB2312" w:eastAsia="仿宋_GB2312" w:cs="仿宋_GB2312"/>
          <w:b/>
          <w:bCs/>
          <w:color w:val="auto"/>
          <w:sz w:val="32"/>
          <w:szCs w:val="32"/>
          <w:highlight w:val="none"/>
          <w:shd w:val="clear" w:color="auto" w:fill="auto"/>
          <w:lang w:val="en-US" w:eastAsia="zh-CN"/>
        </w:rPr>
        <w:t>（详见上传的附件）</w:t>
      </w:r>
      <w:r>
        <w:rPr>
          <w:rFonts w:hint="eastAsia" w:ascii="仿宋_GB2312" w:hAnsi="仿宋_GB2312" w:eastAsia="仿宋_GB2312" w:cs="仿宋_GB2312"/>
          <w:color w:val="auto"/>
          <w:sz w:val="32"/>
          <w:szCs w:val="32"/>
          <w:highlight w:val="none"/>
          <w:shd w:val="clear" w:color="auto" w:fill="auto"/>
          <w:lang w:val="en-US" w:eastAsia="zh-CN"/>
        </w:rPr>
        <w:t>：</w:t>
      </w:r>
    </w:p>
    <w:p w14:paraId="2268BDA9">
      <w:pPr>
        <w:jc w:val="center"/>
        <w:rPr>
          <w:rFonts w:hint="default"/>
          <w:b/>
          <w:bCs/>
          <w:color w:val="auto"/>
          <w:sz w:val="28"/>
          <w:szCs w:val="28"/>
          <w:highlight w:val="none"/>
          <w:shd w:val="clear" w:color="auto" w:fill="auto"/>
          <w:lang w:val="en-US" w:eastAsia="zh-CN"/>
        </w:rPr>
      </w:pPr>
      <w:r>
        <w:rPr>
          <w:rFonts w:hint="eastAsia"/>
          <w:b/>
          <w:bCs/>
          <w:color w:val="auto"/>
          <w:sz w:val="28"/>
          <w:szCs w:val="28"/>
          <w:highlight w:val="none"/>
          <w:shd w:val="clear" w:color="auto" w:fill="auto"/>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1296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0B6C83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E4FA4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4CCF51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6E5CB4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5F3C69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5B345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CCB69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385BB1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65613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213537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2D9C7A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675923F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FCA5BE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50C2248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7B7E6FD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2C8470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1C6186A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50537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AD5240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D675B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F99D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AE9B5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5EBE73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6BFE2B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1C4876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3361002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64BBC74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39CD8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704F1E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06AD8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2C043E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2BB71D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EDC5D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6C1F5D2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31EAB7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16A28E4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70E07C2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C2A4F4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726D59F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609F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75092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7DA4E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3D35E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13BD8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0EC097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73B79E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8ECB9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50EE28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551687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44CE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9F328E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28260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52D8A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8BF18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45EE0A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52FF84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C9227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15CE16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3497D9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5C714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5977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017FB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6ED9E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8DEFC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5B2E36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768C0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70FDE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0BBF9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72F1B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47A01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79D861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4657B8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5A2FD1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383C67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70992B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8CEF9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847D1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A7C4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D27CAC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F7AA51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71EC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4B4AB0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3673E1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C5357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63961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22E5A2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7DA16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3334B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480E8A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657985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6DA718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38193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2D818E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275205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64ED2C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5A76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A6C458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4C523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2AAA8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19E102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6E5664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3A668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926AD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0E8F41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3BF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FEC3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77CD4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A145C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230E93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0FFFE7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66ACAF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55442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52B2EC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15FDE1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1DE77E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75CBD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46B87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38550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40D4D8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1D0D09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52E6E4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C6B74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5B577C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484A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A4B50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3A6FC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458B06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164747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7E8D22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D2A5A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A67E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6A56AAA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9F686C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22DCF1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784B74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3F5C6E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7B9C5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530A6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4CABE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739AA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4EB8D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7F3E72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579BA8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DDE9A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1739E2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4AD7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29294B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4DDA4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59A612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30F3DF6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6D5680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10CC7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3A109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3BDE8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919A7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425F4C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EA94B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398D454F">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30" w:name="_Toc9941"/>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评价</w:t>
      </w:r>
      <w:r>
        <w:rPr>
          <w:rFonts w:hint="eastAsia" w:ascii="仿宋_GB2312" w:hAnsi="仿宋_GB2312" w:eastAsia="仿宋_GB2312" w:cs="仿宋_GB2312"/>
          <w:color w:val="auto"/>
          <w:sz w:val="32"/>
          <w:szCs w:val="32"/>
          <w:highlight w:val="none"/>
          <w:shd w:val="clear" w:color="auto" w:fill="auto"/>
          <w:lang w:val="en-US" w:eastAsia="zh-CN"/>
        </w:rPr>
        <w:t>方法</w:t>
      </w:r>
      <w:bookmarkEnd w:id="30"/>
    </w:p>
    <w:p w14:paraId="1EFCE0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rPr>
        <w:t>本次绩效评价采用的方法</w:t>
      </w:r>
      <w:r>
        <w:rPr>
          <w:rFonts w:hint="eastAsia" w:ascii="仿宋_GB2312" w:hAnsi="仿宋_GB2312" w:eastAsia="仿宋_GB2312" w:cs="仿宋_GB2312"/>
          <w:color w:val="auto"/>
          <w:sz w:val="32"/>
          <w:szCs w:val="32"/>
          <w:highlight w:val="none"/>
          <w:shd w:val="clear" w:color="auto" w:fill="auto"/>
          <w:lang w:val="en-US" w:eastAsia="zh-CN"/>
        </w:rPr>
        <w:t>为</w:t>
      </w:r>
      <w:r>
        <w:rPr>
          <w:rFonts w:hint="eastAsia" w:ascii="仿宋_GB2312" w:hAnsi="仿宋_GB2312" w:eastAsia="仿宋_GB2312" w:cs="仿宋_GB2312"/>
          <w:color w:val="auto"/>
          <w:sz w:val="32"/>
          <w:szCs w:val="32"/>
          <w:highlight w:val="none"/>
          <w:shd w:val="clear" w:color="auto" w:fill="auto"/>
        </w:rPr>
        <w:t>比较法</w:t>
      </w:r>
      <w:r>
        <w:rPr>
          <w:rFonts w:hint="eastAsia" w:ascii="仿宋_GB2312" w:hAnsi="仿宋_GB2312" w:eastAsia="仿宋_GB2312" w:cs="仿宋_GB2312"/>
          <w:color w:val="auto"/>
          <w:sz w:val="32"/>
          <w:szCs w:val="32"/>
          <w:highlight w:val="none"/>
          <w:shd w:val="clear" w:color="auto" w:fill="auto"/>
          <w:lang w:eastAsia="zh-CN"/>
        </w:rPr>
        <w:t>、因素分析法、公众评判法</w:t>
      </w:r>
      <w:r>
        <w:rPr>
          <w:rFonts w:hint="eastAsia" w:ascii="仿宋_GB2312" w:hAnsi="仿宋_GB2312" w:eastAsia="仿宋_GB2312" w:cs="仿宋_GB2312"/>
          <w:color w:val="auto"/>
          <w:sz w:val="32"/>
          <w:szCs w:val="32"/>
          <w:highlight w:val="none"/>
          <w:shd w:val="clear" w:color="auto" w:fill="auto"/>
          <w:lang w:val="en-US" w:eastAsia="zh-CN"/>
        </w:rPr>
        <w:t>对项目绩效目标预期目标值与实施情况进行比较，以及采取公众问卷及抽样调查等方式进行评判的方法对2023年自治区基本公卫补助资金-全民健康体检项目进行评价。</w:t>
      </w:r>
    </w:p>
    <w:p w14:paraId="5570F704">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31" w:name="_Toc25391"/>
      <w:r>
        <w:rPr>
          <w:rFonts w:hint="eastAsia" w:ascii="仿宋_GB2312" w:hAnsi="仿宋_GB2312" w:eastAsia="仿宋_GB2312" w:cs="仿宋_GB2312"/>
          <w:color w:val="auto"/>
          <w:sz w:val="32"/>
          <w:szCs w:val="32"/>
          <w:highlight w:val="none"/>
          <w:shd w:val="clear" w:color="auto" w:fill="auto"/>
          <w:lang w:val="en-US" w:eastAsia="zh-CN"/>
        </w:rPr>
        <w:t>4.评价标准</w:t>
      </w:r>
      <w:bookmarkEnd w:id="31"/>
    </w:p>
    <w:p w14:paraId="34E9BF6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（1）计划标准。指以预先制定的目标、计划、预算、定额等作为评价标准。</w:t>
      </w:r>
    </w:p>
    <w:p w14:paraId="0BB61A5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（2）行业标准。指参照国家公布的行业指标数据制定的评价标准。</w:t>
      </w:r>
    </w:p>
    <w:p w14:paraId="5E58EF9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（3）历史标准。指参照历史数据制定的评价标准，为体现绩效改进的原则，在可实现的条件下应当确定相对较高的评价标准。</w:t>
      </w:r>
    </w:p>
    <w:p w14:paraId="366F979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（4）财政部门和预算部门确认或认可的其他标准。</w:t>
      </w:r>
    </w:p>
    <w:p w14:paraId="33848563">
      <w:pPr>
        <w:pStyle w:val="5"/>
        <w:outlineLvl w:val="1"/>
        <w:rPr>
          <w:rFonts w:hint="eastAsia" w:ascii="楷体" w:hAnsi="楷体" w:eastAsia="楷体" w:cs="楷体"/>
          <w:b/>
          <w:bCs/>
          <w:color w:val="auto"/>
          <w:sz w:val="32"/>
          <w:szCs w:val="32"/>
          <w:highlight w:val="none"/>
          <w:shd w:val="clear" w:color="auto" w:fill="auto"/>
          <w:lang w:val="en-US" w:eastAsia="zh-CN"/>
        </w:rPr>
      </w:pPr>
      <w:bookmarkStart w:id="32" w:name="_Toc1070"/>
      <w:r>
        <w:rPr>
          <w:rFonts w:hint="eastAsia" w:ascii="楷体" w:hAnsi="楷体" w:eastAsia="楷体" w:cs="楷体"/>
          <w:b/>
          <w:bCs/>
          <w:color w:val="auto"/>
          <w:sz w:val="32"/>
          <w:szCs w:val="32"/>
          <w:highlight w:val="none"/>
          <w:shd w:val="clear" w:color="auto" w:fill="auto"/>
          <w:lang w:val="en-US" w:eastAsia="zh-CN"/>
        </w:rPr>
        <w:t>（三）绩效评价工作过程</w:t>
      </w:r>
      <w:bookmarkEnd w:id="32"/>
    </w:p>
    <w:p w14:paraId="3FDDE750">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2"/>
        <w:rPr>
          <w:rFonts w:hint="eastAsia" w:ascii="仿宋_GB2312" w:hAnsi="仿宋_GB2312" w:eastAsia="仿宋_GB2312" w:cs="仿宋_GB2312"/>
          <w:color w:val="auto"/>
          <w:sz w:val="32"/>
          <w:szCs w:val="32"/>
          <w:highlight w:val="none"/>
          <w:shd w:val="clear" w:color="auto" w:fill="auto"/>
          <w:lang w:val="en-US" w:eastAsia="zh-CN"/>
        </w:rPr>
      </w:pPr>
      <w:bookmarkStart w:id="33" w:name="_Toc12862"/>
      <w:r>
        <w:rPr>
          <w:rFonts w:hint="eastAsia" w:ascii="仿宋_GB2312" w:hAnsi="仿宋_GB2312" w:eastAsia="仿宋_GB2312" w:cs="仿宋_GB2312"/>
          <w:color w:val="auto"/>
          <w:sz w:val="32"/>
          <w:szCs w:val="32"/>
          <w:highlight w:val="none"/>
          <w:shd w:val="clear" w:color="auto" w:fill="auto"/>
          <w:lang w:val="en-US" w:eastAsia="zh-CN"/>
        </w:rPr>
        <w:t>1.前期准备</w:t>
      </w:r>
      <w:bookmarkEnd w:id="33"/>
    </w:p>
    <w:p w14:paraId="687C0436">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（1）成立绩效评价项目小组</w:t>
      </w:r>
    </w:p>
    <w:p w14:paraId="1E522F7E">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2E507A58">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34" w:name="_Toc31571"/>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（2）开展前期调研</w:t>
      </w:r>
      <w:bookmarkEnd w:id="34"/>
    </w:p>
    <w:p w14:paraId="386E1F7E">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35" w:name="_Toc21240"/>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绩效评价项目小组依据此次绩效评价受委托内容，对拟评价的项目实施前期调研。通过调研对2023年自治区基本公卫补助资金-全民健康体检项目实施内容、目标信息、预算信息以及其他的一些项目基本信息，有了初步了解，为制定绩效评价工作方案做好准备。</w:t>
      </w:r>
      <w:bookmarkEnd w:id="35"/>
    </w:p>
    <w:p w14:paraId="40F62688">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36" w:name="_Toc27977"/>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（3）制订绩效评价工作方案</w:t>
      </w:r>
      <w:bookmarkEnd w:id="36"/>
    </w:p>
    <w:p w14:paraId="24C509AD">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37" w:name="_Toc19659"/>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绩效评价项目小组根据有关规定和评价对象的特点以及前期调研收集的一些信息，拟定详细的绩效评价工作方案。</w:t>
      </w:r>
      <w:bookmarkEnd w:id="37"/>
    </w:p>
    <w:p w14:paraId="4E0CFCE9">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2"/>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38" w:name="_Toc11353"/>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2.具体实施</w:t>
      </w:r>
      <w:bookmarkEnd w:id="38"/>
    </w:p>
    <w:p w14:paraId="1BA7FA29">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39" w:name="_Toc14111"/>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（1）收集基础资料</w:t>
      </w:r>
      <w:bookmarkEnd w:id="39"/>
    </w:p>
    <w:p w14:paraId="30DD2B1A">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0" w:name="_Toc28524"/>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根据评价工作的需要和要求，在前期调研的基础上，通过多种渠道全面收集项目基础信息资料，主要包括：</w:t>
      </w:r>
      <w:bookmarkEnd w:id="40"/>
    </w:p>
    <w:p w14:paraId="419F1CAB">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1" w:name="_Toc32216"/>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①被评价单位基本概况，如单位职能、事业发展规划、预决算情况、项目立项依据等；</w:t>
      </w:r>
      <w:bookmarkEnd w:id="41"/>
    </w:p>
    <w:p w14:paraId="107CF0F1">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2" w:name="_Toc10505"/>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②绩效目标及其设立依据和调整情况；</w:t>
      </w:r>
      <w:bookmarkEnd w:id="42"/>
    </w:p>
    <w:p w14:paraId="1B21A5B6">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3" w:name="_Toc28365"/>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③管理措施及组织实施情况；</w:t>
      </w:r>
      <w:bookmarkEnd w:id="43"/>
    </w:p>
    <w:p w14:paraId="10DE2633">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4" w:name="_Toc10091"/>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④被评价单位总结分析的绩效目标完成情况及绩效报告；</w:t>
      </w:r>
      <w:bookmarkEnd w:id="44"/>
    </w:p>
    <w:p w14:paraId="2C83C7D0">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5" w:name="_Toc1"/>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⑤与绩效评价相关的计划标准、行业标准、历史标准等；</w:t>
      </w:r>
      <w:bookmarkEnd w:id="45"/>
    </w:p>
    <w:p w14:paraId="7E21AA51">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6" w:name="_Toc20059"/>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⑥其他必要的相关资料等。</w:t>
      </w:r>
      <w:bookmarkEnd w:id="46"/>
    </w:p>
    <w:p w14:paraId="67F9BD4B">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7" w:name="_Toc31911"/>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（2）整理、研读基础资料</w:t>
      </w:r>
      <w:bookmarkEnd w:id="47"/>
    </w:p>
    <w:p w14:paraId="3CDAAD18">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8" w:name="_Toc167"/>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123AD8D7">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2"/>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49" w:name="_Toc30513"/>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3.分析评价和撰写报告</w:t>
      </w:r>
      <w:bookmarkEnd w:id="49"/>
    </w:p>
    <w:p w14:paraId="4E8AF524">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50" w:name="_Toc15974"/>
      <w:r>
        <w:rPr>
          <w:rFonts w:hint="eastAsia" w:ascii="仿宋_GB2312" w:hAnsi="仿宋_GB2312" w:eastAsia="仿宋_GB2312" w:cs="仿宋_GB2312"/>
          <w:b w:val="0"/>
          <w:bCs w:val="0"/>
          <w:color w:val="auto"/>
          <w:sz w:val="32"/>
          <w:szCs w:val="32"/>
          <w:highlight w:val="none"/>
          <w:shd w:val="clear" w:color="auto" w:fill="auto"/>
        </w:rPr>
        <w:t>（</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1）综合分析评价</w:t>
      </w:r>
      <w:bookmarkEnd w:id="50"/>
    </w:p>
    <w:p w14:paraId="5F2C2447">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51" w:name="_Toc4352"/>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①根据所收集的基础资料，结合现场核查的有关情况，整理出绩效评价所需的项目材料和基础数据。</w:t>
      </w:r>
      <w:bookmarkEnd w:id="51"/>
    </w:p>
    <w:p w14:paraId="276713DC">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bCs/>
          <w:color w:val="auto"/>
          <w:kern w:val="2"/>
          <w:sz w:val="32"/>
          <w:szCs w:val="32"/>
          <w:highlight w:val="none"/>
          <w:shd w:val="clear" w:color="auto" w:fill="auto"/>
          <w:lang w:val="en-US" w:eastAsia="zh-CN" w:bidi="ar-SA"/>
        </w:rPr>
      </w:pPr>
      <w:bookmarkStart w:id="52" w:name="_Toc26231"/>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②将初步评价结论、调整事项、专家咨询意见和有关说明等提交单位内部讨论并征求意见。之后，对所征求的意见及时地进行收集和整理。</w:t>
      </w:r>
      <w:bookmarkEnd w:id="52"/>
    </w:p>
    <w:p w14:paraId="2A463C4C">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53" w:name="_Toc27759"/>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（2）撰写报告</w:t>
      </w:r>
      <w:bookmarkEnd w:id="53"/>
    </w:p>
    <w:p w14:paraId="655AC248">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54" w:name="_Toc15579"/>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绩效评价项目小组依照整理、分析后的项目材料、数据资料，依据评价形成的初步结论，按照既定的格式和内容要求撰写绩效评价初步报告，最终形成评价结果。</w:t>
      </w:r>
      <w:bookmarkEnd w:id="54"/>
    </w:p>
    <w:p w14:paraId="1D36F97F">
      <w:pPr>
        <w:pStyle w:val="3"/>
        <w:keepNext/>
        <w:keepLines/>
        <w:pageBreakBefore w:val="0"/>
        <w:widowControl w:val="0"/>
        <w:kinsoku/>
        <w:wordWrap/>
        <w:overflowPunct/>
        <w:topLinePunct w:val="0"/>
        <w:autoSpaceDE/>
        <w:autoSpaceDN/>
        <w:bidi w:val="0"/>
        <w:adjustRightInd/>
        <w:snapToGrid/>
        <w:spacing w:beforeLines="0" w:afterLines="0" w:line="640" w:lineRule="exact"/>
        <w:textAlignment w:val="auto"/>
        <w:rPr>
          <w:rFonts w:hint="eastAsia" w:ascii="黑体" w:hAnsi="黑体" w:eastAsia="黑体" w:cs="黑体"/>
          <w:b w:val="0"/>
          <w:bCs w:val="0"/>
          <w:color w:val="auto"/>
          <w:highlight w:val="none"/>
          <w:shd w:val="clear" w:color="auto" w:fill="auto"/>
        </w:rPr>
      </w:pPr>
      <w:bookmarkStart w:id="55" w:name="_Toc1100"/>
      <w:r>
        <w:rPr>
          <w:rFonts w:hint="eastAsia" w:ascii="黑体" w:hAnsi="黑体" w:eastAsia="黑体" w:cs="黑体"/>
          <w:b w:val="0"/>
          <w:bCs w:val="0"/>
          <w:color w:val="auto"/>
          <w:highlight w:val="none"/>
          <w:shd w:val="clear" w:color="auto" w:fill="auto"/>
          <w:lang w:val="en-US" w:eastAsia="zh-CN"/>
        </w:rPr>
        <w:t>三、</w:t>
      </w:r>
      <w:r>
        <w:rPr>
          <w:rFonts w:hint="eastAsia" w:ascii="黑体" w:hAnsi="黑体" w:eastAsia="黑体" w:cs="黑体"/>
          <w:b w:val="0"/>
          <w:bCs w:val="0"/>
          <w:color w:val="auto"/>
          <w:highlight w:val="none"/>
          <w:shd w:val="clear" w:color="auto" w:fill="auto"/>
        </w:rPr>
        <w:t>综合评价情况及评价结论</w:t>
      </w:r>
      <w:bookmarkEnd w:id="55"/>
    </w:p>
    <w:p w14:paraId="40B5589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zh-TW" w:eastAsia="zh-TW"/>
        </w:rPr>
      </w:pPr>
      <w:r>
        <w:rPr>
          <w:rFonts w:hint="eastAsia" w:ascii="仿宋_GB2312" w:hAnsi="仿宋_GB2312" w:eastAsia="仿宋_GB2312" w:cs="仿宋_GB2312"/>
          <w:color w:val="auto"/>
          <w:sz w:val="32"/>
          <w:szCs w:val="32"/>
          <w:highlight w:val="none"/>
          <w:shd w:val="clear" w:color="auto" w:fill="auto"/>
          <w:lang w:val="en-US" w:eastAsia="zh-CN"/>
        </w:rPr>
        <w:t>此次绩效评价</w:t>
      </w:r>
      <w:r>
        <w:rPr>
          <w:rFonts w:hint="eastAsia" w:ascii="仿宋_GB2312" w:hAnsi="仿宋_GB2312" w:eastAsia="仿宋_GB2312" w:cs="仿宋_GB2312"/>
          <w:color w:val="auto"/>
          <w:sz w:val="32"/>
          <w:szCs w:val="32"/>
          <w:highlight w:val="none"/>
          <w:shd w:val="clear" w:color="auto" w:fill="auto"/>
          <w:lang w:val="zh-TW" w:eastAsia="zh-TW"/>
        </w:rPr>
        <w:t>通过组论证的评价指标体系及评分标准，</w:t>
      </w:r>
      <w:r>
        <w:rPr>
          <w:rFonts w:hint="eastAsia" w:ascii="仿宋_GB2312" w:hAnsi="仿宋_GB2312" w:eastAsia="仿宋_GB2312" w:cs="仿宋_GB2312"/>
          <w:color w:val="auto"/>
          <w:sz w:val="32"/>
          <w:szCs w:val="32"/>
          <w:highlight w:val="none"/>
          <w:shd w:val="clear" w:color="auto" w:fill="auto"/>
        </w:rPr>
        <w:t>采用的方法比较法</w:t>
      </w:r>
      <w:r>
        <w:rPr>
          <w:rFonts w:hint="eastAsia" w:ascii="仿宋_GB2312" w:hAnsi="仿宋_GB2312" w:eastAsia="仿宋_GB2312" w:cs="仿宋_GB2312"/>
          <w:color w:val="auto"/>
          <w:sz w:val="32"/>
          <w:szCs w:val="32"/>
          <w:highlight w:val="none"/>
          <w:shd w:val="clear" w:color="auto" w:fill="auto"/>
          <w:lang w:eastAsia="zh-CN"/>
        </w:rPr>
        <w:t>、因素分析法、公众评判法，</w:t>
      </w:r>
      <w:r>
        <w:rPr>
          <w:rFonts w:hint="eastAsia" w:ascii="仿宋_GB2312" w:hAnsi="仿宋_GB2312" w:eastAsia="仿宋_GB2312" w:cs="仿宋_GB2312"/>
          <w:color w:val="auto"/>
          <w:sz w:val="32"/>
          <w:szCs w:val="32"/>
          <w:highlight w:val="none"/>
          <w:shd w:val="clear" w:color="auto" w:fill="auto"/>
          <w:lang w:val="zh-TW" w:eastAsia="zh-TW"/>
        </w:rPr>
        <w:t>对</w:t>
      </w:r>
      <w:r>
        <w:rPr>
          <w:rFonts w:hint="eastAsia" w:ascii="仿宋_GB2312" w:hAnsi="仿宋_GB2312" w:eastAsia="仿宋_GB2312" w:cs="仿宋_GB2312"/>
          <w:color w:val="auto"/>
          <w:sz w:val="32"/>
          <w:szCs w:val="32"/>
          <w:highlight w:val="none"/>
          <w:shd w:val="clear" w:color="auto" w:fill="auto"/>
          <w:lang w:val="en-US" w:eastAsia="zh-CN"/>
        </w:rPr>
        <w:t>2023年自治区基本公卫补助资金-全民健康体检项目</w:t>
      </w:r>
      <w:r>
        <w:rPr>
          <w:rFonts w:hint="eastAsia" w:ascii="仿宋_GB2312" w:hAnsi="仿宋_GB2312" w:eastAsia="仿宋_GB2312" w:cs="仿宋_GB2312"/>
          <w:color w:val="auto"/>
          <w:sz w:val="32"/>
          <w:szCs w:val="32"/>
          <w:highlight w:val="none"/>
          <w:shd w:val="clear" w:color="auto" w:fill="auto"/>
          <w:lang w:val="zh-TW" w:eastAsia="zh-TW"/>
        </w:rPr>
        <w:t>绩效进行客观评价，最终评分结果：总分为</w:t>
      </w:r>
      <w:r>
        <w:rPr>
          <w:rFonts w:hint="eastAsia" w:ascii="仿宋_GB2312" w:hAnsi="仿宋_GB2312" w:eastAsia="仿宋_GB2312" w:cs="仿宋_GB2312"/>
          <w:color w:val="auto"/>
          <w:sz w:val="32"/>
          <w:szCs w:val="32"/>
          <w:highlight w:val="none"/>
          <w:shd w:val="clear" w:color="auto" w:fill="auto"/>
          <w:lang w:val="en-US" w:eastAsia="zh-CN"/>
        </w:rPr>
        <w:t>99.2</w:t>
      </w:r>
      <w:r>
        <w:rPr>
          <w:rFonts w:hint="eastAsia" w:ascii="仿宋_GB2312" w:hAnsi="仿宋_GB2312" w:eastAsia="仿宋_GB2312" w:cs="仿宋_GB2312"/>
          <w:color w:val="auto"/>
          <w:sz w:val="32"/>
          <w:szCs w:val="32"/>
          <w:highlight w:val="none"/>
          <w:shd w:val="clear" w:color="auto" w:fill="auto"/>
          <w:lang w:val="zh-TW" w:eastAsia="zh-TW"/>
        </w:rPr>
        <w:t>分，绩效评级为“</w:t>
      </w:r>
      <w:r>
        <w:rPr>
          <w:rFonts w:hint="eastAsia" w:ascii="仿宋_GB2312" w:hAnsi="仿宋_GB2312" w:eastAsia="仿宋_GB2312" w:cs="仿宋_GB2312"/>
          <w:color w:val="auto"/>
          <w:sz w:val="32"/>
          <w:szCs w:val="32"/>
          <w:highlight w:val="none"/>
          <w:shd w:val="clear" w:color="auto" w:fill="auto"/>
          <w:lang w:val="en-US" w:eastAsia="zh-CN"/>
        </w:rPr>
        <w:t>优</w:t>
      </w:r>
      <w:r>
        <w:rPr>
          <w:rFonts w:hint="eastAsia" w:ascii="仿宋_GB2312" w:hAnsi="仿宋_GB2312" w:eastAsia="仿宋_GB2312" w:cs="仿宋_GB2312"/>
          <w:color w:val="auto"/>
          <w:sz w:val="32"/>
          <w:szCs w:val="32"/>
          <w:highlight w:val="none"/>
          <w:shd w:val="clear" w:color="auto" w:fill="auto"/>
          <w:lang w:val="zh-TW" w:eastAsia="zh-TW"/>
        </w:rPr>
        <w:t>”。各部分权重和绩效</w:t>
      </w:r>
      <w:r>
        <w:rPr>
          <w:rFonts w:hint="eastAsia" w:ascii="仿宋_GB2312" w:hAnsi="仿宋_GB2312" w:eastAsia="仿宋_GB2312" w:cs="仿宋_GB2312"/>
          <w:color w:val="auto"/>
          <w:sz w:val="32"/>
          <w:szCs w:val="32"/>
          <w:highlight w:val="none"/>
          <w:shd w:val="clear" w:color="auto" w:fill="auto"/>
          <w:lang w:val="en-US" w:eastAsia="zh-CN"/>
        </w:rPr>
        <w:t>汇总</w:t>
      </w:r>
      <w:r>
        <w:rPr>
          <w:rFonts w:hint="eastAsia" w:ascii="仿宋_GB2312" w:hAnsi="仿宋_GB2312" w:eastAsia="仿宋_GB2312" w:cs="仿宋_GB2312"/>
          <w:color w:val="auto"/>
          <w:sz w:val="32"/>
          <w:szCs w:val="32"/>
          <w:highlight w:val="none"/>
          <w:shd w:val="clear" w:color="auto" w:fill="auto"/>
          <w:lang w:val="zh-TW" w:eastAsia="zh-TW"/>
        </w:rPr>
        <w:t>分值如下表</w:t>
      </w:r>
      <w:r>
        <w:rPr>
          <w:rFonts w:hint="eastAsia" w:ascii="仿宋_GB2312" w:hAnsi="仿宋_GB2312" w:eastAsia="仿宋_GB2312" w:cs="仿宋_GB2312"/>
          <w:b/>
          <w:bCs/>
          <w:color w:val="auto"/>
          <w:kern w:val="0"/>
          <w:sz w:val="32"/>
          <w:szCs w:val="32"/>
          <w:highlight w:val="none"/>
          <w:shd w:val="clear" w:color="auto" w:fill="auto"/>
          <w:lang w:val="en-US" w:eastAsia="zh-CN"/>
        </w:rPr>
        <w:t>3-1</w:t>
      </w:r>
      <w:r>
        <w:rPr>
          <w:rFonts w:hint="eastAsia" w:ascii="仿宋_GB2312" w:hAnsi="仿宋_GB2312" w:eastAsia="仿宋_GB2312" w:cs="仿宋_GB2312"/>
          <w:color w:val="auto"/>
          <w:sz w:val="32"/>
          <w:szCs w:val="32"/>
          <w:highlight w:val="none"/>
          <w:shd w:val="clear" w:color="auto" w:fill="auto"/>
          <w:lang w:val="zh-TW" w:eastAsia="zh-TW"/>
        </w:rPr>
        <w:t>所示</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b/>
          <w:bCs/>
          <w:color w:val="auto"/>
          <w:sz w:val="32"/>
          <w:szCs w:val="32"/>
          <w:highlight w:val="none"/>
          <w:shd w:val="clear" w:color="auto" w:fill="auto"/>
          <w:lang w:val="en-US" w:eastAsia="zh-CN"/>
        </w:rPr>
        <w:t>详见上传的附件</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color w:val="auto"/>
          <w:sz w:val="32"/>
          <w:szCs w:val="32"/>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BAE16F2">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6DEA8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2023年自治区基本公卫补助资金-全民健康体检项目</w:t>
            </w:r>
            <w:r>
              <w:rPr>
                <w:rFonts w:hint="eastAsia" w:ascii="宋体" w:hAnsi="宋体" w:eastAsia="宋体" w:cs="宋体"/>
                <w:b/>
                <w:bCs/>
                <w:color w:val="auto"/>
                <w:kern w:val="0"/>
                <w:sz w:val="28"/>
                <w:szCs w:val="28"/>
                <w:highlight w:val="none"/>
                <w:shd w:val="clear" w:color="auto" w:fill="auto"/>
                <w:lang w:val="en-US" w:eastAsia="zh-CN"/>
              </w:rPr>
              <w:t>得分表</w:t>
            </w:r>
          </w:p>
          <w:p w14:paraId="0BB1AE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36C0157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E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2A8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474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B52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D69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C41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1AC5E405">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908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065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54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86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B8E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79A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2DF166C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DD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5A8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3A9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EA3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21B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CFB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7E086AE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F4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F19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default"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5C9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7AC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FCF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F9A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14:paraId="0306A53A">
      <w:pPr>
        <w:pStyle w:val="3"/>
        <w:keepNext/>
        <w:keepLines/>
        <w:pageBreakBefore w:val="0"/>
        <w:widowControl w:val="0"/>
        <w:kinsoku/>
        <w:wordWrap/>
        <w:overflowPunct/>
        <w:topLinePunct w:val="0"/>
        <w:autoSpaceDE/>
        <w:autoSpaceDN/>
        <w:bidi w:val="0"/>
        <w:adjustRightInd/>
        <w:snapToGrid/>
        <w:spacing w:beforeLines="0" w:afterLines="0" w:line="640" w:lineRule="exact"/>
        <w:textAlignment w:val="auto"/>
        <w:rPr>
          <w:rFonts w:hint="eastAsia" w:ascii="黑体" w:hAnsi="黑体" w:eastAsia="黑体" w:cs="黑体"/>
          <w:b/>
          <w:bCs/>
          <w:color w:val="auto"/>
          <w:highlight w:val="none"/>
          <w:shd w:val="clear" w:color="auto" w:fill="auto"/>
          <w:lang w:val="en-US" w:eastAsia="zh-CN"/>
        </w:rPr>
      </w:pPr>
      <w:bookmarkStart w:id="56" w:name="_Toc9421"/>
      <w:r>
        <w:rPr>
          <w:rFonts w:hint="eastAsia" w:ascii="黑体" w:hAnsi="黑体" w:eastAsia="黑体" w:cs="黑体"/>
          <w:b/>
          <w:bCs/>
          <w:color w:val="auto"/>
          <w:highlight w:val="none"/>
          <w:shd w:val="clear" w:color="auto" w:fill="auto"/>
          <w:lang w:val="en-US" w:eastAsia="zh-CN"/>
        </w:rPr>
        <w:t>四、绩效评价指标分析</w:t>
      </w:r>
      <w:bookmarkEnd w:id="56"/>
    </w:p>
    <w:p w14:paraId="1278B610">
      <w:pPr>
        <w:pStyle w:val="4"/>
        <w:keepNext/>
        <w:keepLines/>
        <w:pageBreakBefore w:val="0"/>
        <w:widowControl w:val="0"/>
        <w:kinsoku/>
        <w:wordWrap/>
        <w:overflowPunct/>
        <w:topLinePunct w:val="0"/>
        <w:autoSpaceDE/>
        <w:autoSpaceDN/>
        <w:bidi w:val="0"/>
        <w:adjustRightInd/>
        <w:snapToGrid/>
        <w:spacing w:beforeLines="0" w:afterLines="0" w:line="640" w:lineRule="exact"/>
        <w:textAlignment w:val="auto"/>
        <w:rPr>
          <w:rFonts w:hint="eastAsia" w:ascii="楷体" w:hAnsi="楷体" w:eastAsia="楷体" w:cs="楷体"/>
          <w:color w:val="auto"/>
          <w:highlight w:val="none"/>
          <w:shd w:val="clear" w:color="auto" w:fill="auto"/>
        </w:rPr>
      </w:pPr>
      <w:bookmarkStart w:id="57" w:name="_Toc15355"/>
      <w:r>
        <w:rPr>
          <w:rFonts w:hint="eastAsia" w:ascii="楷体" w:hAnsi="楷体" w:eastAsia="楷体" w:cs="楷体"/>
          <w:color w:val="auto"/>
          <w:highlight w:val="none"/>
          <w:shd w:val="clear" w:color="auto" w:fill="auto"/>
        </w:rPr>
        <w:t>（一）项目决策情况</w:t>
      </w:r>
      <w:bookmarkEnd w:id="57"/>
    </w:p>
    <w:p w14:paraId="49B3F127">
      <w:pPr>
        <w:keepNext w:val="0"/>
        <w:keepLines w:val="0"/>
        <w:pageBreakBefore w:val="0"/>
        <w:widowControl w:val="0"/>
        <w:kinsoku/>
        <w:wordWrap/>
        <w:overflowPunct/>
        <w:topLinePunct w:val="0"/>
        <w:autoSpaceDE/>
        <w:autoSpaceDN/>
        <w:bidi w:val="0"/>
        <w:adjustRightInd/>
        <w:snapToGrid/>
        <w:spacing w:line="560" w:lineRule="exact"/>
        <w:ind w:firstLine="723"/>
        <w:textAlignment w:val="auto"/>
        <w:rPr>
          <w:rFonts w:hint="eastAsia" w:ascii="仿宋_GB2312" w:hAnsi="仿宋_GB2312" w:eastAsia="仿宋_GB2312" w:cs="仿宋_GB2312"/>
          <w:b/>
          <w:bCs/>
          <w:color w:val="auto"/>
          <w:kern w:val="0"/>
          <w:sz w:val="32"/>
          <w:szCs w:val="32"/>
          <w:highlight w:val="none"/>
          <w:shd w:val="clear" w:color="auto" w:fill="auto"/>
          <w:lang w:val="zh-TW" w:eastAsia="zh-CN"/>
        </w:rPr>
      </w:pPr>
      <w:r>
        <w:rPr>
          <w:rFonts w:hint="eastAsia" w:ascii="仿宋_GB2312" w:hAnsi="仿宋_GB2312" w:eastAsia="仿宋_GB2312" w:cs="仿宋_GB2312"/>
          <w:color w:val="auto"/>
          <w:sz w:val="32"/>
          <w:szCs w:val="32"/>
          <w:highlight w:val="none"/>
          <w:shd w:val="clear" w:color="auto" w:fill="auto"/>
          <w:lang w:val="en-US" w:eastAsia="zh-CN"/>
        </w:rPr>
        <w:t>项目决策由3个二级指标和6个三级指标构成，权重分20分，实际得分19.2分，</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4</w:t>
      </w:r>
      <w:r>
        <w:rPr>
          <w:rFonts w:hint="eastAsia" w:ascii="仿宋_GB2312" w:hAnsi="仿宋_GB2312" w:eastAsia="仿宋_GB2312" w:cs="仿宋_GB2312"/>
          <w:b/>
          <w:bCs/>
          <w:color w:val="auto"/>
          <w:kern w:val="2"/>
          <w:sz w:val="32"/>
          <w:szCs w:val="32"/>
          <w:highlight w:val="none"/>
          <w:u w:color="000000"/>
          <w:shd w:val="clear" w:color="auto" w:fill="auto"/>
          <w:lang w:eastAsia="zh-CN"/>
        </w:rPr>
        <w:t>-1</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b/>
          <w:bCs/>
          <w:color w:val="auto"/>
          <w:sz w:val="32"/>
          <w:szCs w:val="32"/>
          <w:highlight w:val="none"/>
          <w:shd w:val="clear" w:color="auto" w:fill="auto"/>
          <w:lang w:val="en-US" w:eastAsia="zh-CN"/>
        </w:rPr>
        <w:t>详见上传的附件</w:t>
      </w:r>
      <w:r>
        <w:rPr>
          <w:rFonts w:hint="eastAsia" w:ascii="仿宋_GB2312" w:hAnsi="仿宋_GB2312" w:eastAsia="仿宋_GB2312" w:cs="仿宋_GB2312"/>
          <w:b/>
          <w:bCs/>
          <w:color w:val="auto"/>
          <w:sz w:val="32"/>
          <w:szCs w:val="32"/>
          <w:highlight w:val="none"/>
          <w:shd w:val="clear" w:color="auto" w:fill="auto"/>
          <w:lang w:val="zh-TW" w:eastAsia="zh-CN"/>
        </w:rPr>
        <w:t>）</w:t>
      </w:r>
    </w:p>
    <w:p w14:paraId="37B0CCFC">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23DDC4C3">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17E6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6527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AE1B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E366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1C32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5BA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E96F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C32E064">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2E91D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11F00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C2EAF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EF255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2574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9028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832A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1F8648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6924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D1A0E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50D1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A881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98C8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B6AB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280E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563E6BD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1434C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168A9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5A9B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CF67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EF9F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EEEF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7E97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D05DAB3">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EA46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5B517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CAB2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F02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1B53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CE5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E1A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91BBB9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E8C76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139C4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51B76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29A0F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5977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6012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79AF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7E60C5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C85D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6F96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61EA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301C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5A25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172B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C4BC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B0DBDEC">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A320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E3D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3B7C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355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ABFE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14:paraId="773A7DE8">
      <w:pPr>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58" w:name="_Toc13522"/>
      <w:r>
        <w:rPr>
          <w:rFonts w:hint="eastAsia" w:ascii="仿宋_GB2312" w:hAnsi="仿宋_GB2312" w:eastAsia="仿宋_GB2312" w:cs="仿宋_GB2312"/>
          <w:b/>
          <w:bCs/>
          <w:color w:val="auto"/>
          <w:sz w:val="32"/>
          <w:szCs w:val="32"/>
          <w:highlight w:val="none"/>
          <w:shd w:val="clear" w:color="auto" w:fill="auto"/>
          <w:lang w:val="en-US" w:eastAsia="zh-CN"/>
        </w:rPr>
        <w:t>1.立项依据充分性</w:t>
      </w:r>
      <w:bookmarkEnd w:id="58"/>
    </w:p>
    <w:p w14:paraId="6E9D407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①根据《“健康中国2030”规划纲要》《健康体检管理暂行规定》（卫医政发〔2009〕77号）、《健康体检中心基本标准（试行）》《健康体检中心管理规范(试行)》《关于进一步加强健康体检机构管理促进健康体检行业规范有序发展的通知》（国卫办医函〔2018〕913号），该项目符合国家法律法规、国民经济发展规划和相关政策；</w:t>
      </w:r>
    </w:p>
    <w:p w14:paraId="7D0ED3F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②该项目符合国家有关健康中国发展规划和阜康市医疗卫生行业发展规划的政策要求；</w:t>
      </w:r>
    </w:p>
    <w:p w14:paraId="03EA33D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③我院为全市人民提供基本医疗、公共卫生、全民健康体检等工作，而该项目与阜康市财政及医疗卫生部门职责范围相符，属于部门履职和我院基本医疗工作所需；</w:t>
      </w:r>
    </w:p>
    <w:p w14:paraId="2FB9D16F">
      <w:pPr>
        <w:pStyle w:val="3"/>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32"/>
          <w:szCs w:val="32"/>
          <w:highlight w:val="none"/>
          <w:shd w:val="clear" w:color="auto" w:fill="auto"/>
          <w:lang w:val="en-US" w:eastAsia="zh-CN" w:bidi="ar-SA"/>
        </w:rPr>
      </w:pPr>
      <w:r>
        <w:rPr>
          <w:rFonts w:hint="eastAsia" w:ascii="仿宋_GB2312" w:hAnsi="仿宋_GB2312" w:eastAsia="仿宋_GB2312" w:cs="仿宋_GB2312"/>
          <w:color w:val="auto"/>
          <w:kern w:val="2"/>
          <w:sz w:val="32"/>
          <w:szCs w:val="32"/>
          <w:highlight w:val="none"/>
          <w:shd w:val="clear" w:color="auto" w:fill="auto"/>
          <w:lang w:val="en-US" w:eastAsia="zh-CN" w:bidi="ar-SA"/>
        </w:rPr>
        <w:t>④基本医疗卫生事业中全民健康体检项目属于公共财政支持范围，也符合中央、地方事权支出责任划分原则；</w:t>
      </w:r>
    </w:p>
    <w:p w14:paraId="5115115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⑤该项目与阜康市财政部门和医疗卫生相关部门同类项目或部门内部相关项目不重复。</w:t>
      </w:r>
    </w:p>
    <w:p w14:paraId="7C805A5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综上，该项指标满分2分，得分2分。</w:t>
      </w:r>
    </w:p>
    <w:p w14:paraId="0B2033B0">
      <w:pPr>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59" w:name="_Toc21976"/>
      <w:r>
        <w:rPr>
          <w:rFonts w:hint="eastAsia" w:ascii="仿宋_GB2312" w:hAnsi="仿宋_GB2312" w:eastAsia="仿宋_GB2312" w:cs="仿宋_GB2312"/>
          <w:b/>
          <w:bCs/>
          <w:color w:val="auto"/>
          <w:sz w:val="32"/>
          <w:szCs w:val="32"/>
          <w:highlight w:val="none"/>
          <w:shd w:val="clear" w:color="auto" w:fill="auto"/>
          <w:lang w:val="en-US" w:eastAsia="zh-CN"/>
        </w:rPr>
        <w:t>2.立项程序规范性</w:t>
      </w:r>
      <w:bookmarkEnd w:id="59"/>
    </w:p>
    <w:p w14:paraId="06B21EA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①该项目按照阜康市财政地方级项目预算相关立项规定的程序申请设立；</w:t>
      </w:r>
    </w:p>
    <w:p w14:paraId="420AC640">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②该项目由市卫健委申请并经市财政局审批的审批文件、材料符合有关项目立项程序的工作要求；</w:t>
      </w:r>
    </w:p>
    <w:p w14:paraId="1FE8738D">
      <w:pPr>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③该项目事前经过阜康市财政局、阜康市卫健委及医院院长办公会会议进行集体决策，但未进行必要的可行性研究、专家论证、风险评估、绩效评估，扣</w:t>
      </w:r>
      <w:r>
        <w:rPr>
          <w:rFonts w:hint="eastAsia" w:ascii="仿宋_GB2312" w:hAnsi="仿宋_GB2312" w:eastAsia="仿宋_GB2312" w:cs="仿宋_GB2312"/>
          <w:color w:val="auto"/>
          <w:sz w:val="32"/>
          <w:szCs w:val="32"/>
          <w:highlight w:val="none"/>
          <w:shd w:val="clear" w:color="auto" w:fill="auto"/>
          <w:lang w:val="en-US" w:eastAsia="zh-CN"/>
        </w:rPr>
        <w:t>0.8分。</w:t>
      </w:r>
    </w:p>
    <w:p w14:paraId="76E6D55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综上，该项指标满分3分，得分2.2分。</w:t>
      </w:r>
    </w:p>
    <w:p w14:paraId="0A3C6248">
      <w:pPr>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60" w:name="_Toc15382"/>
      <w:r>
        <w:rPr>
          <w:rFonts w:hint="eastAsia" w:ascii="仿宋_GB2312" w:hAnsi="仿宋_GB2312" w:eastAsia="仿宋_GB2312" w:cs="仿宋_GB2312"/>
          <w:b/>
          <w:bCs/>
          <w:color w:val="auto"/>
          <w:sz w:val="32"/>
          <w:szCs w:val="32"/>
          <w:highlight w:val="none"/>
          <w:shd w:val="clear" w:color="auto" w:fill="auto"/>
          <w:lang w:val="en-US" w:eastAsia="zh-CN"/>
        </w:rPr>
        <w:t>3.绩效目标合理性</w:t>
      </w:r>
      <w:bookmarkEnd w:id="60"/>
    </w:p>
    <w:p w14:paraId="3278B73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①该项目在立项时已按阜康市财政局和市卫健委有关全民健康体检工作的要求设定了绩效目标；</w:t>
      </w:r>
    </w:p>
    <w:p w14:paraId="0A7B9CF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②该项目绩效目标的设定是根据</w:t>
      </w:r>
      <w:r>
        <w:rPr>
          <w:rFonts w:hint="eastAsia" w:ascii="仿宋_GB2312" w:hAnsi="仿宋_GB2312" w:eastAsia="仿宋_GB2312" w:cs="仿宋_GB2312"/>
          <w:color w:val="auto"/>
          <w:sz w:val="32"/>
          <w:szCs w:val="32"/>
          <w:highlight w:val="none"/>
          <w:shd w:val="clear" w:color="auto" w:fill="auto"/>
          <w:lang w:val="en-US" w:eastAsia="zh-CN"/>
        </w:rPr>
        <w:t>阜体检办发【2023】1号</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关于做好202</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年全民健康体检工作的通知</w:t>
      </w:r>
      <w:r>
        <w:rPr>
          <w:rFonts w:hint="eastAsia" w:ascii="仿宋_GB2312" w:hAnsi="仿宋_GB2312" w:eastAsia="仿宋_GB2312" w:cs="仿宋_GB2312"/>
          <w:color w:val="auto"/>
          <w:sz w:val="32"/>
          <w:szCs w:val="32"/>
          <w:highlight w:val="none"/>
          <w:shd w:val="clear" w:color="auto" w:fill="auto"/>
          <w:lang w:eastAsia="zh-CN"/>
        </w:rPr>
        <w:t>》及《阜康市人民医院</w:t>
      </w:r>
      <w:r>
        <w:rPr>
          <w:rFonts w:hint="eastAsia" w:ascii="仿宋_GB2312" w:hAnsi="仿宋_GB2312" w:eastAsia="仿宋_GB2312" w:cs="仿宋_GB2312"/>
          <w:color w:val="auto"/>
          <w:sz w:val="32"/>
          <w:szCs w:val="32"/>
          <w:highlight w:val="none"/>
          <w:shd w:val="clear" w:color="auto" w:fill="auto"/>
          <w:lang w:val="en-US" w:eastAsia="zh-CN"/>
        </w:rPr>
        <w:t>2023年全民健康体检工作实施方案</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的内容</w:t>
      </w:r>
      <w:r>
        <w:rPr>
          <w:rFonts w:hint="eastAsia" w:ascii="仿宋_GB2312" w:hAnsi="仿宋_GB2312" w:eastAsia="仿宋_GB2312" w:cs="仿宋_GB2312"/>
          <w:color w:val="auto"/>
          <w:sz w:val="32"/>
          <w:szCs w:val="32"/>
          <w:highlight w:val="none"/>
          <w:shd w:val="clear" w:color="auto" w:fill="auto"/>
          <w:lang w:eastAsia="zh-CN"/>
        </w:rPr>
        <w:t>设定，与实际工作内容具有相关性；</w:t>
      </w:r>
    </w:p>
    <w:p w14:paraId="6453F1F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③该项目预期产出效益和效果指标的编制是根据我院历年全民健康体检工作的相关数据，结合我院</w:t>
      </w:r>
      <w:r>
        <w:rPr>
          <w:rFonts w:hint="eastAsia" w:ascii="仿宋_GB2312" w:hAnsi="仿宋_GB2312" w:eastAsia="仿宋_GB2312" w:cs="仿宋_GB2312"/>
          <w:color w:val="auto"/>
          <w:sz w:val="32"/>
          <w:szCs w:val="32"/>
          <w:highlight w:val="none"/>
          <w:shd w:val="clear" w:color="auto" w:fill="auto"/>
          <w:lang w:val="en-US" w:eastAsia="zh-CN"/>
        </w:rPr>
        <w:t>2023年全民健康体检工作任务</w:t>
      </w:r>
      <w:r>
        <w:rPr>
          <w:rFonts w:hint="eastAsia" w:ascii="仿宋_GB2312" w:hAnsi="仿宋_GB2312" w:eastAsia="仿宋_GB2312" w:cs="仿宋_GB2312"/>
          <w:color w:val="auto"/>
          <w:sz w:val="32"/>
          <w:szCs w:val="32"/>
          <w:highlight w:val="none"/>
          <w:shd w:val="clear" w:color="auto" w:fill="auto"/>
          <w:lang w:eastAsia="zh-CN"/>
        </w:rPr>
        <w:t>制定，项目预期产出效益和效果符合正常的业绩水平；</w:t>
      </w:r>
    </w:p>
    <w:p w14:paraId="7B6DE7F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④该项目绩效目标的编制与我院全民健康体检预算确定的资金量相匹配。</w:t>
      </w:r>
    </w:p>
    <w:p w14:paraId="01DB31B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综上，该项指标满分5分，得分5分。</w:t>
      </w:r>
    </w:p>
    <w:p w14:paraId="453C6D8E">
      <w:pPr>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61" w:name="_Toc10650"/>
      <w:r>
        <w:rPr>
          <w:rFonts w:hint="eastAsia" w:ascii="仿宋_GB2312" w:hAnsi="仿宋_GB2312" w:eastAsia="仿宋_GB2312" w:cs="仿宋_GB2312"/>
          <w:b/>
          <w:bCs/>
          <w:color w:val="auto"/>
          <w:sz w:val="32"/>
          <w:szCs w:val="32"/>
          <w:highlight w:val="none"/>
          <w:shd w:val="clear" w:color="auto" w:fill="auto"/>
          <w:lang w:val="en-US" w:eastAsia="zh-CN"/>
        </w:rPr>
        <w:t>4.绩效指标明确性</w:t>
      </w:r>
      <w:bookmarkEnd w:id="61"/>
    </w:p>
    <w:p w14:paraId="024B655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①设定项目绩效时，已将项目绩效目标细化分解</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lang w:eastAsia="zh-CN"/>
        </w:rPr>
        <w:t>个一级指标、</w:t>
      </w:r>
      <w:r>
        <w:rPr>
          <w:rFonts w:hint="eastAsia" w:ascii="仿宋_GB2312" w:hAnsi="仿宋_GB2312" w:eastAsia="仿宋_GB2312" w:cs="仿宋_GB2312"/>
          <w:color w:val="auto"/>
          <w:sz w:val="32"/>
          <w:szCs w:val="32"/>
          <w:highlight w:val="none"/>
          <w:shd w:val="clear" w:color="auto" w:fill="auto"/>
          <w:lang w:val="en-US" w:eastAsia="zh-CN"/>
        </w:rPr>
        <w:t>5个二级指标，10个三级指标，指标编制均</w:t>
      </w:r>
      <w:r>
        <w:rPr>
          <w:rFonts w:hint="eastAsia" w:ascii="仿宋_GB2312" w:hAnsi="仿宋_GB2312" w:eastAsia="仿宋_GB2312" w:cs="仿宋_GB2312"/>
          <w:color w:val="auto"/>
          <w:sz w:val="32"/>
          <w:szCs w:val="32"/>
          <w:highlight w:val="none"/>
          <w:shd w:val="clear" w:color="auto" w:fill="auto"/>
          <w:lang w:eastAsia="zh-CN"/>
        </w:rPr>
        <w:t>细化分解为具体的绩效指标；</w:t>
      </w:r>
    </w:p>
    <w:p w14:paraId="2361B04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②该项目的绩效目标指标值均为清晰、可衡量的数量指标予以体现，量化率达到</w:t>
      </w:r>
      <w:r>
        <w:rPr>
          <w:rFonts w:hint="eastAsia" w:ascii="仿宋_GB2312" w:hAnsi="仿宋_GB2312" w:eastAsia="仿宋_GB2312" w:cs="仿宋_GB2312"/>
          <w:color w:val="auto"/>
          <w:sz w:val="32"/>
          <w:szCs w:val="32"/>
          <w:highlight w:val="none"/>
          <w:shd w:val="clear" w:color="auto" w:fill="auto"/>
          <w:lang w:val="en-US" w:eastAsia="zh-CN"/>
        </w:rPr>
        <w:t>100%</w:t>
      </w:r>
      <w:r>
        <w:rPr>
          <w:rFonts w:hint="eastAsia" w:ascii="仿宋_GB2312" w:hAnsi="仿宋_GB2312" w:eastAsia="仿宋_GB2312" w:cs="仿宋_GB2312"/>
          <w:color w:val="auto"/>
          <w:sz w:val="32"/>
          <w:szCs w:val="32"/>
          <w:highlight w:val="none"/>
          <w:shd w:val="clear" w:color="auto" w:fill="auto"/>
          <w:lang w:eastAsia="zh-CN"/>
        </w:rPr>
        <w:t>；</w:t>
      </w:r>
    </w:p>
    <w:p w14:paraId="5F84852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③该项目绩效指标目标值均与项目目标任务数或计划数相对应。</w:t>
      </w:r>
    </w:p>
    <w:p w14:paraId="0D1E3F6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综上，该项指标满分5分，得分5分。</w:t>
      </w:r>
    </w:p>
    <w:p w14:paraId="3ADF66E7">
      <w:pPr>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62" w:name="_Toc19401"/>
      <w:r>
        <w:rPr>
          <w:rFonts w:hint="eastAsia" w:ascii="仿宋_GB2312" w:hAnsi="仿宋_GB2312" w:eastAsia="仿宋_GB2312" w:cs="仿宋_GB2312"/>
          <w:b/>
          <w:bCs/>
          <w:color w:val="auto"/>
          <w:sz w:val="32"/>
          <w:szCs w:val="32"/>
          <w:highlight w:val="none"/>
          <w:shd w:val="clear" w:color="auto" w:fill="auto"/>
          <w:lang w:val="en-US" w:eastAsia="zh-CN"/>
        </w:rPr>
        <w:t>5.预算编制科学性</w:t>
      </w:r>
      <w:bookmarkEnd w:id="62"/>
    </w:p>
    <w:p w14:paraId="59B917C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①该项目预算编制事前由阜康市财政局、阜康市卫健委经过科学论证；</w:t>
      </w:r>
    </w:p>
    <w:p w14:paraId="7891E97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②该项目由我院根据项目开展需要的经费支出和预计产生的社会效益等内容进行预算指标的设置，预算内容与项目内容匹配；</w:t>
      </w:r>
    </w:p>
    <w:p w14:paraId="546AF4C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③该项目预算额度测算根据阜康市财政局预算拨付全民健康体检工作项目经费、我院</w:t>
      </w:r>
      <w:r>
        <w:rPr>
          <w:rFonts w:hint="eastAsia" w:ascii="仿宋_GB2312" w:hAnsi="仿宋_GB2312" w:eastAsia="仿宋_GB2312" w:cs="仿宋_GB2312"/>
          <w:color w:val="auto"/>
          <w:sz w:val="32"/>
          <w:szCs w:val="32"/>
          <w:highlight w:val="none"/>
          <w:shd w:val="clear" w:color="auto" w:fill="auto"/>
          <w:lang w:val="en-US" w:eastAsia="zh-CN"/>
        </w:rPr>
        <w:t>2023年开展</w:t>
      </w:r>
      <w:r>
        <w:rPr>
          <w:rFonts w:hint="eastAsia" w:ascii="仿宋_GB2312" w:hAnsi="仿宋_GB2312" w:eastAsia="仿宋_GB2312" w:cs="仿宋_GB2312"/>
          <w:color w:val="auto"/>
          <w:sz w:val="32"/>
          <w:szCs w:val="32"/>
          <w:highlight w:val="none"/>
          <w:shd w:val="clear" w:color="auto" w:fill="auto"/>
          <w:lang w:eastAsia="zh-CN"/>
        </w:rPr>
        <w:t>全民健康体检办工作所需的人、财、物支出进行额度测算，预算额度测算依据充分，并按照标准编制；</w:t>
      </w:r>
    </w:p>
    <w:p w14:paraId="04CBBBB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④该项目预算是根据我院开展</w:t>
      </w:r>
      <w:r>
        <w:rPr>
          <w:rFonts w:hint="eastAsia" w:ascii="仿宋_GB2312" w:hAnsi="仿宋_GB2312" w:eastAsia="仿宋_GB2312" w:cs="仿宋_GB2312"/>
          <w:color w:val="auto"/>
          <w:sz w:val="32"/>
          <w:szCs w:val="32"/>
          <w:highlight w:val="none"/>
          <w:shd w:val="clear" w:color="auto" w:fill="auto"/>
          <w:lang w:val="en-US" w:eastAsia="zh-CN"/>
        </w:rPr>
        <w:t>2023年全民健康体检工作的工作任务和经费需求</w:t>
      </w:r>
      <w:r>
        <w:rPr>
          <w:rFonts w:hint="eastAsia" w:ascii="仿宋_GB2312" w:hAnsi="仿宋_GB2312" w:eastAsia="仿宋_GB2312" w:cs="仿宋_GB2312"/>
          <w:color w:val="auto"/>
          <w:sz w:val="32"/>
          <w:szCs w:val="32"/>
          <w:highlight w:val="none"/>
          <w:shd w:val="clear" w:color="auto" w:fill="auto"/>
          <w:lang w:eastAsia="zh-CN"/>
        </w:rPr>
        <w:t>确定，项目资金量与工作任务相匹配。</w:t>
      </w:r>
    </w:p>
    <w:p w14:paraId="1C1A37E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综上，该项指标满分2分，得分2分。</w:t>
      </w:r>
    </w:p>
    <w:p w14:paraId="1E283D88">
      <w:pPr>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63" w:name="_Toc697"/>
      <w:r>
        <w:rPr>
          <w:rFonts w:hint="eastAsia" w:ascii="仿宋_GB2312" w:hAnsi="仿宋_GB2312" w:eastAsia="仿宋_GB2312" w:cs="仿宋_GB2312"/>
          <w:b/>
          <w:bCs/>
          <w:color w:val="auto"/>
          <w:sz w:val="32"/>
          <w:szCs w:val="32"/>
          <w:highlight w:val="none"/>
          <w:shd w:val="clear" w:color="auto" w:fill="auto"/>
          <w:lang w:val="en-US" w:eastAsia="zh-CN"/>
        </w:rPr>
        <w:t>6.资金分配合理性</w:t>
      </w:r>
      <w:bookmarkEnd w:id="63"/>
    </w:p>
    <w:p w14:paraId="1E0F502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①该项目预算资金由阜康市卫健委根据我院</w:t>
      </w:r>
      <w:r>
        <w:rPr>
          <w:rFonts w:hint="eastAsia" w:ascii="仿宋_GB2312" w:hAnsi="仿宋_GB2312" w:eastAsia="仿宋_GB2312" w:cs="仿宋_GB2312"/>
          <w:color w:val="auto"/>
          <w:sz w:val="32"/>
          <w:szCs w:val="32"/>
          <w:highlight w:val="none"/>
          <w:shd w:val="clear" w:color="auto" w:fill="auto"/>
          <w:lang w:val="en-US" w:eastAsia="zh-CN"/>
        </w:rPr>
        <w:t>历年全民健康体检人数和自治区有关全民健康体检资金分配标准进行分配，</w:t>
      </w:r>
      <w:r>
        <w:rPr>
          <w:rFonts w:hint="eastAsia" w:ascii="仿宋_GB2312" w:hAnsi="仿宋_GB2312" w:eastAsia="仿宋_GB2312" w:cs="仿宋_GB2312"/>
          <w:color w:val="auto"/>
          <w:sz w:val="32"/>
          <w:szCs w:val="32"/>
          <w:highlight w:val="none"/>
          <w:shd w:val="clear" w:color="auto" w:fill="auto"/>
          <w:lang w:eastAsia="zh-CN"/>
        </w:rPr>
        <w:t>预算资金分配依据充分；</w:t>
      </w:r>
    </w:p>
    <w:p w14:paraId="6EEB10A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②该项目预算资金额度的</w:t>
      </w:r>
      <w:r>
        <w:rPr>
          <w:rFonts w:hint="eastAsia" w:ascii="仿宋_GB2312" w:hAnsi="仿宋_GB2312" w:eastAsia="仿宋_GB2312" w:cs="仿宋_GB2312"/>
          <w:color w:val="auto"/>
          <w:sz w:val="32"/>
          <w:szCs w:val="32"/>
          <w:highlight w:val="none"/>
          <w:shd w:val="clear" w:color="auto" w:fill="auto"/>
          <w:lang w:val="en-US" w:eastAsia="zh-CN"/>
        </w:rPr>
        <w:t>分配是参照自治区有关全民健康体检资金分配的标准进行，</w:t>
      </w:r>
      <w:r>
        <w:rPr>
          <w:rFonts w:hint="eastAsia" w:ascii="仿宋_GB2312" w:hAnsi="仿宋_GB2312" w:eastAsia="仿宋_GB2312" w:cs="仿宋_GB2312"/>
          <w:color w:val="auto"/>
          <w:sz w:val="32"/>
          <w:szCs w:val="32"/>
          <w:highlight w:val="none"/>
          <w:shd w:val="clear" w:color="auto" w:fill="auto"/>
          <w:lang w:eastAsia="zh-CN"/>
        </w:rPr>
        <w:t>资金分配额度合理，与我院全民健康体检工作任务相适应。</w:t>
      </w:r>
    </w:p>
    <w:p w14:paraId="133FAC8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综上，该项指标满分3分，得分3分。</w:t>
      </w:r>
    </w:p>
    <w:p w14:paraId="033640C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楷体" w:hAnsi="楷体" w:eastAsia="楷体" w:cs="楷体"/>
          <w:color w:val="auto"/>
          <w:highlight w:val="none"/>
          <w:shd w:val="clear" w:color="auto" w:fill="auto"/>
        </w:rPr>
      </w:pPr>
      <w:bookmarkStart w:id="64" w:name="_Toc11361"/>
      <w:r>
        <w:rPr>
          <w:rFonts w:hint="eastAsia" w:ascii="楷体" w:hAnsi="楷体" w:eastAsia="楷体" w:cs="楷体"/>
          <w:color w:val="auto"/>
          <w:highlight w:val="none"/>
          <w:shd w:val="clear" w:color="auto" w:fill="auto"/>
          <w:lang w:eastAsia="zh-CN"/>
        </w:rPr>
        <w:t>（</w:t>
      </w:r>
      <w:r>
        <w:rPr>
          <w:rFonts w:hint="eastAsia" w:ascii="楷体" w:hAnsi="楷体" w:eastAsia="楷体" w:cs="楷体"/>
          <w:color w:val="auto"/>
          <w:highlight w:val="none"/>
          <w:shd w:val="clear" w:color="auto" w:fill="auto"/>
          <w:lang w:val="en-US" w:eastAsia="zh-CN"/>
        </w:rPr>
        <w:t>二</w:t>
      </w:r>
      <w:r>
        <w:rPr>
          <w:rFonts w:hint="eastAsia" w:ascii="楷体" w:hAnsi="楷体" w:eastAsia="楷体" w:cs="楷体"/>
          <w:color w:val="auto"/>
          <w:highlight w:val="none"/>
          <w:shd w:val="clear" w:color="auto" w:fill="auto"/>
          <w:lang w:eastAsia="zh-CN"/>
        </w:rPr>
        <w:t>）</w:t>
      </w:r>
      <w:r>
        <w:rPr>
          <w:rFonts w:hint="eastAsia" w:ascii="楷体" w:hAnsi="楷体" w:eastAsia="楷体" w:cs="楷体"/>
          <w:color w:val="auto"/>
          <w:highlight w:val="none"/>
          <w:shd w:val="clear" w:color="auto" w:fill="auto"/>
        </w:rPr>
        <w:t>项目过程情况</w:t>
      </w:r>
      <w:bookmarkEnd w:id="64"/>
    </w:p>
    <w:p w14:paraId="48274904">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rPr>
        <w:t>过程</w:t>
      </w:r>
      <w:r>
        <w:rPr>
          <w:rFonts w:hint="eastAsia" w:ascii="仿宋_GB2312" w:hAnsi="仿宋_GB2312" w:eastAsia="仿宋_GB2312" w:cs="仿宋_GB2312"/>
          <w:color w:val="auto"/>
          <w:kern w:val="2"/>
          <w:sz w:val="32"/>
          <w:szCs w:val="32"/>
          <w:highlight w:val="none"/>
          <w:u w:color="000000"/>
          <w:shd w:val="clear" w:color="auto" w:fill="auto"/>
          <w:lang w:eastAsia="zh-CN"/>
        </w:rPr>
        <w:t>管理</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类指标由</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5</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14:paraId="721EE43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F3AC1B9">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CD22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950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8CF3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1A4F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FE94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1641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8112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0DF2DA8">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08BA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51E9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C582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8DF5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5F90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48E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C746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A3F847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98D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C36F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CE2E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B03D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3FD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E741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C939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E43E79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FBDB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0962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227D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DBB0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3E06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F678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CA60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8FF3B4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4439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1E39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675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7C5D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5E49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C7E3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4884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A9B2ED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EC93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778C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89C2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E0C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A04B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77C2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88DA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ECB3091">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F529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40F3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6B82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BB50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C61F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13E364AD">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65" w:name="_Toc3886"/>
      <w:r>
        <w:rPr>
          <w:rFonts w:hint="eastAsia" w:ascii="仿宋_GB2312" w:hAnsi="仿宋_GB2312" w:eastAsia="仿宋_GB2312" w:cs="仿宋_GB2312"/>
          <w:b/>
          <w:bCs/>
          <w:color w:val="auto"/>
          <w:sz w:val="32"/>
          <w:szCs w:val="32"/>
          <w:highlight w:val="none"/>
          <w:shd w:val="clear" w:color="auto" w:fill="auto"/>
          <w:lang w:val="en-US" w:eastAsia="zh-CN"/>
        </w:rPr>
        <w:t>1.资金到位率</w:t>
      </w:r>
      <w:bookmarkEnd w:id="65"/>
    </w:p>
    <w:p w14:paraId="7D8DC43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资金到位率=（</w:t>
      </w:r>
      <w:r>
        <w:rPr>
          <w:rFonts w:hint="eastAsia" w:ascii="仿宋_GB2312" w:hAnsi="仿宋_GB2312" w:eastAsia="仿宋_GB2312" w:cs="仿宋_GB2312"/>
          <w:color w:val="auto"/>
          <w:sz w:val="32"/>
          <w:szCs w:val="32"/>
          <w:highlight w:val="none"/>
          <w:shd w:val="clear" w:color="auto" w:fill="auto"/>
          <w:lang w:val="en-US" w:eastAsia="zh-CN"/>
        </w:rPr>
        <w:t>53.17万元</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53.17万元</w:t>
      </w:r>
      <w:r>
        <w:rPr>
          <w:rFonts w:hint="eastAsia" w:ascii="仿宋_GB2312" w:hAnsi="仿宋_GB2312" w:eastAsia="仿宋_GB2312" w:cs="仿宋_GB2312"/>
          <w:color w:val="auto"/>
          <w:sz w:val="32"/>
          <w:szCs w:val="32"/>
          <w:highlight w:val="none"/>
          <w:shd w:val="clear" w:color="auto" w:fill="auto"/>
          <w:lang w:eastAsia="zh-CN"/>
        </w:rPr>
        <w:t>）×100%</w:t>
      </w:r>
      <w:r>
        <w:rPr>
          <w:rFonts w:hint="eastAsia" w:ascii="仿宋_GB2312" w:hAnsi="仿宋_GB2312" w:eastAsia="仿宋_GB2312" w:cs="仿宋_GB2312"/>
          <w:b/>
          <w:bCs/>
          <w:color w:val="auto"/>
          <w:sz w:val="32"/>
          <w:szCs w:val="32"/>
          <w:highlight w:val="none"/>
          <w:shd w:val="clear" w:color="auto" w:fill="auto"/>
          <w:lang w:val="en-US" w:eastAsia="zh-CN"/>
        </w:rPr>
        <w:t>=</w:t>
      </w:r>
      <w:r>
        <w:rPr>
          <w:rFonts w:hint="eastAsia" w:ascii="仿宋_GB2312" w:hAnsi="仿宋_GB2312" w:eastAsia="仿宋_GB2312" w:cs="仿宋_GB2312"/>
          <w:color w:val="auto"/>
          <w:sz w:val="32"/>
          <w:szCs w:val="32"/>
          <w:highlight w:val="none"/>
          <w:shd w:val="clear" w:color="auto" w:fill="auto"/>
          <w:lang w:eastAsia="zh-CN"/>
        </w:rPr>
        <w:t>100%</w:t>
      </w:r>
    </w:p>
    <w:p w14:paraId="1764927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综上，该项指标满分4分，得分4分。</w:t>
      </w:r>
    </w:p>
    <w:p w14:paraId="27BE8CF5">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66" w:name="_Toc9705"/>
      <w:r>
        <w:rPr>
          <w:rFonts w:hint="eastAsia" w:ascii="仿宋_GB2312" w:hAnsi="仿宋_GB2312" w:eastAsia="仿宋_GB2312" w:cs="仿宋_GB2312"/>
          <w:b/>
          <w:bCs/>
          <w:color w:val="auto"/>
          <w:sz w:val="32"/>
          <w:szCs w:val="32"/>
          <w:highlight w:val="none"/>
          <w:shd w:val="clear" w:color="auto" w:fill="auto"/>
          <w:lang w:val="en-US" w:eastAsia="zh-CN"/>
        </w:rPr>
        <w:t>2.预算执行率</w:t>
      </w:r>
      <w:bookmarkEnd w:id="66"/>
    </w:p>
    <w:p w14:paraId="56873B7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预算执行率=（</w:t>
      </w:r>
      <w:r>
        <w:rPr>
          <w:rFonts w:hint="eastAsia" w:ascii="仿宋_GB2312" w:hAnsi="仿宋_GB2312" w:eastAsia="仿宋_GB2312" w:cs="仿宋_GB2312"/>
          <w:color w:val="auto"/>
          <w:sz w:val="32"/>
          <w:szCs w:val="32"/>
          <w:highlight w:val="none"/>
          <w:shd w:val="clear" w:color="auto" w:fill="auto"/>
          <w:lang w:val="en-US" w:eastAsia="zh-CN"/>
        </w:rPr>
        <w:t>53.17万元</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53.17万元</w:t>
      </w:r>
      <w:r>
        <w:rPr>
          <w:rFonts w:hint="eastAsia" w:ascii="仿宋_GB2312" w:hAnsi="仿宋_GB2312" w:eastAsia="仿宋_GB2312" w:cs="仿宋_GB2312"/>
          <w:color w:val="auto"/>
          <w:sz w:val="32"/>
          <w:szCs w:val="32"/>
          <w:highlight w:val="none"/>
          <w:shd w:val="clear" w:color="auto" w:fill="auto"/>
          <w:lang w:eastAsia="zh-CN"/>
        </w:rPr>
        <w:t>）×100%</w:t>
      </w:r>
      <w:r>
        <w:rPr>
          <w:rFonts w:hint="eastAsia" w:ascii="仿宋_GB2312" w:hAnsi="仿宋_GB2312" w:eastAsia="仿宋_GB2312" w:cs="仿宋_GB2312"/>
          <w:b/>
          <w:bCs/>
          <w:color w:val="auto"/>
          <w:sz w:val="32"/>
          <w:szCs w:val="32"/>
          <w:highlight w:val="none"/>
          <w:shd w:val="clear" w:color="auto" w:fill="auto"/>
          <w:lang w:val="en-US" w:eastAsia="zh-CN"/>
        </w:rPr>
        <w:t>=</w:t>
      </w:r>
      <w:r>
        <w:rPr>
          <w:rFonts w:hint="eastAsia" w:ascii="仿宋_GB2312" w:hAnsi="仿宋_GB2312" w:eastAsia="仿宋_GB2312" w:cs="仿宋_GB2312"/>
          <w:color w:val="auto"/>
          <w:sz w:val="32"/>
          <w:szCs w:val="32"/>
          <w:highlight w:val="none"/>
          <w:shd w:val="clear" w:color="auto" w:fill="auto"/>
          <w:lang w:eastAsia="zh-CN"/>
        </w:rPr>
        <w:t>100%</w:t>
      </w:r>
    </w:p>
    <w:p w14:paraId="66DB763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综上，该项指标满分4分，得分4分。</w:t>
      </w:r>
    </w:p>
    <w:p w14:paraId="256BE51E">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67" w:name="_Toc18691"/>
      <w:r>
        <w:rPr>
          <w:rFonts w:hint="eastAsia" w:ascii="仿宋_GB2312" w:hAnsi="仿宋_GB2312" w:eastAsia="仿宋_GB2312" w:cs="仿宋_GB2312"/>
          <w:b/>
          <w:bCs/>
          <w:color w:val="auto"/>
          <w:sz w:val="32"/>
          <w:szCs w:val="32"/>
          <w:highlight w:val="none"/>
          <w:shd w:val="clear" w:color="auto" w:fill="auto"/>
          <w:lang w:val="en-US" w:eastAsia="zh-CN"/>
        </w:rPr>
        <w:t>3.资金使用合规性</w:t>
      </w:r>
      <w:bookmarkEnd w:id="67"/>
    </w:p>
    <w:p w14:paraId="4A4AE88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①符合国家《基本公共卫生服务补助资金管理办法》《财务预算管理制度》、《项目管理制度》、《财务管理制度》、《预决算管理制度》等各项规章制度，合理使用该项目资金，做到专款专用。</w:t>
      </w:r>
    </w:p>
    <w:p w14:paraId="497E21F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②该项目资金的拨付由我院项目组提交至市财政部门根据前期预算、政府采购合同审核批复后付款，有完整的审批程序和手续；</w:t>
      </w:r>
    </w:p>
    <w:p w14:paraId="0AD65B4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③该项目资金的使用严格按照项目绩效目标的成本指标执行，符合项目绩效目标和合同规定的用途；</w:t>
      </w:r>
    </w:p>
    <w:p w14:paraId="7DEE898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④我院根据项目绩效目标及与第三方合同协议规定条款及时付款，于202</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lang w:eastAsia="zh-CN"/>
        </w:rPr>
        <w:t>年12月31日前完成202</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lang w:eastAsia="zh-CN"/>
        </w:rPr>
        <w:t>年全民健康体检经费支付，不存在截留、挤占、挪用、虚列支出等情况。</w:t>
      </w:r>
    </w:p>
    <w:p w14:paraId="5E35EED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综上，该项指标满分4分，得分4分。</w:t>
      </w:r>
    </w:p>
    <w:p w14:paraId="5D8409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4.管理制度健全性</w:t>
      </w:r>
    </w:p>
    <w:p w14:paraId="46820E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①阜康市人民医院根据国家相关法规和内部控制制度等制度文件汇编，建立了《财务预算管理制度》、《项目管理制度》、《财务管理制度》、《预决算管理制度》等各项规章制度和工作程序，从制度和程序上严把资金使用、管理和绩效等各环节关口，堵塞漏洞、清除隐患，切实加强资金监管；</w:t>
      </w:r>
    </w:p>
    <w:p w14:paraId="4537849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②我院项目组根据与第三方签订采购合同协议开展项目工作，财务管理上符合《新疆维吾尔自治区基本公共卫生服务补助资金管理办法》和《阜康市人民医院基本公共卫生项目经费使用管理办法》的相关规定；业务管理制度上均符合国家有关医疗废弃物处置的相关法律法规和条例。财务和业务管理制度均合法、合规、完整。</w:t>
      </w:r>
    </w:p>
    <w:p w14:paraId="58FB258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综上，该项指标满分4分，得分4分。</w:t>
      </w:r>
    </w:p>
    <w:p w14:paraId="3F1E29BA">
      <w:pPr>
        <w:keepNext w:val="0"/>
        <w:keepLines w:val="0"/>
        <w:pageBreakBefore w:val="0"/>
        <w:widowControl w:val="0"/>
        <w:kinsoku/>
        <w:wordWrap/>
        <w:overflowPunct/>
        <w:topLinePunct w:val="0"/>
        <w:autoSpaceDE/>
        <w:autoSpaceDN/>
        <w:bidi w:val="0"/>
        <w:adjustRightInd/>
        <w:snapToGrid/>
        <w:spacing w:line="560" w:lineRule="exact"/>
        <w:ind w:left="1524" w:leftChars="200" w:hanging="964" w:hangingChars="300"/>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68" w:name="_Toc31684"/>
      <w:r>
        <w:rPr>
          <w:rFonts w:hint="eastAsia" w:ascii="仿宋_GB2312" w:hAnsi="仿宋_GB2312" w:eastAsia="仿宋_GB2312" w:cs="仿宋_GB2312"/>
          <w:b/>
          <w:bCs/>
          <w:color w:val="auto"/>
          <w:sz w:val="32"/>
          <w:szCs w:val="32"/>
          <w:highlight w:val="none"/>
          <w:shd w:val="clear" w:color="auto" w:fill="auto"/>
          <w:lang w:val="en-US" w:eastAsia="zh-CN"/>
        </w:rPr>
        <w:t>5.制度执行有效性</w:t>
      </w:r>
      <w:bookmarkEnd w:id="68"/>
    </w:p>
    <w:p w14:paraId="1665E1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100" w:firstLine="960" w:firstLineChars="3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①我院严格遵守《财务预算管理制度》、《项目管理制度》、《财务管理制度》、《预决算管理制度》、《国家基本公共卫生服务规范》和《新疆维吾尔自治区基本公共卫生服务补助资金管理办法》</w:t>
      </w:r>
      <w:r>
        <w:rPr>
          <w:rFonts w:hint="eastAsia" w:ascii="仿宋_GB2312" w:hAnsi="仿宋_GB2312" w:eastAsia="仿宋_GB2312" w:cs="仿宋_GB2312"/>
          <w:color w:val="auto"/>
          <w:sz w:val="32"/>
          <w:szCs w:val="32"/>
          <w:highlight w:val="none"/>
          <w:shd w:val="clear" w:color="auto" w:fill="auto"/>
          <w:lang w:val="en-US" w:eastAsia="zh-CN"/>
        </w:rPr>
        <w:t>等</w:t>
      </w:r>
      <w:r>
        <w:rPr>
          <w:rFonts w:hint="eastAsia" w:ascii="仿宋_GB2312" w:hAnsi="仿宋_GB2312" w:eastAsia="仿宋_GB2312" w:cs="仿宋_GB2312"/>
          <w:color w:val="auto"/>
          <w:sz w:val="32"/>
          <w:szCs w:val="32"/>
          <w:highlight w:val="none"/>
          <w:shd w:val="clear" w:color="auto" w:fill="auto"/>
          <w:lang w:eastAsia="zh-CN"/>
        </w:rPr>
        <w:t>相关法律法规和相关管理规定；</w:t>
      </w:r>
    </w:p>
    <w:p w14:paraId="739821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②该项目设定后，我院严格按照项目设定任务和签订协议开展工作，无项目调整情况；</w:t>
      </w:r>
    </w:p>
    <w:p w14:paraId="68F433C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③通过政府采购，取得《成交通知书》《政府采购合同》设备到位后出具《验收报告》，并及时做好固定资产入库出库登记，相关资料齐全并及时归档；</w:t>
      </w:r>
    </w:p>
    <w:p w14:paraId="2868BB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④该项目有符合条件的管理人员、业务操作人员，由专门负责全民健康体检的工作人员</w:t>
      </w:r>
      <w:r>
        <w:rPr>
          <w:rFonts w:hint="eastAsia" w:ascii="仿宋_GB2312" w:hAnsi="仿宋_GB2312" w:eastAsia="仿宋_GB2312" w:cs="仿宋_GB2312"/>
          <w:color w:val="auto"/>
          <w:sz w:val="32"/>
          <w:szCs w:val="32"/>
          <w:highlight w:val="none"/>
          <w:shd w:val="clear" w:color="auto" w:fill="auto"/>
          <w:lang w:val="en-US" w:eastAsia="zh-CN"/>
        </w:rPr>
        <w:t>10</w:t>
      </w:r>
      <w:r>
        <w:rPr>
          <w:rFonts w:hint="eastAsia" w:ascii="仿宋_GB2312" w:hAnsi="仿宋_GB2312" w:eastAsia="仿宋_GB2312" w:cs="仿宋_GB2312"/>
          <w:color w:val="auto"/>
          <w:sz w:val="32"/>
          <w:szCs w:val="32"/>
          <w:highlight w:val="none"/>
          <w:shd w:val="clear" w:color="auto" w:fill="auto"/>
          <w:lang w:eastAsia="zh-CN"/>
        </w:rPr>
        <w:t>名，并抽调相关应急人员备用；根据国家关于全民健康体检工作的相关要求，成立了以院长为组长的全民健康体检工作领导小组；为确保体检工作的质量，项目开始前对工作人员进行业务培训；由健康体检管理中心负责项目的具体实施，并由医院纪检专干负责项目实施全过程的监管。</w:t>
      </w:r>
    </w:p>
    <w:p w14:paraId="5F98B08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健康体检中心设在医院门诊四楼，设有挂号、信息登记、外科、内科、口腔科 、五官科、心电图室、B超室等近</w:t>
      </w:r>
      <w:r>
        <w:rPr>
          <w:rFonts w:hint="eastAsia" w:ascii="仿宋_GB2312" w:hAnsi="仿宋_GB2312" w:eastAsia="仿宋_GB2312" w:cs="仿宋_GB2312"/>
          <w:color w:val="auto"/>
          <w:sz w:val="32"/>
          <w:szCs w:val="32"/>
          <w:highlight w:val="none"/>
          <w:shd w:val="clear" w:color="auto" w:fill="auto"/>
          <w:lang w:val="en-US" w:eastAsia="zh-CN"/>
        </w:rPr>
        <w:t>10个体检用房</w:t>
      </w:r>
      <w:r>
        <w:rPr>
          <w:rFonts w:hint="eastAsia" w:ascii="仿宋_GB2312" w:hAnsi="仿宋_GB2312" w:eastAsia="仿宋_GB2312" w:cs="仿宋_GB2312"/>
          <w:color w:val="auto"/>
          <w:sz w:val="32"/>
          <w:szCs w:val="32"/>
          <w:highlight w:val="none"/>
          <w:shd w:val="clear" w:color="auto" w:fill="auto"/>
          <w:lang w:eastAsia="zh-CN"/>
        </w:rPr>
        <w:t>；配备电脑5台、血压计2台、身高体重秤2台、全自动生化仪、尿液分析仪、血球仪各</w:t>
      </w:r>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lang w:eastAsia="zh-CN"/>
        </w:rPr>
        <w:t>台，心电图机2台，DR影像设备</w:t>
      </w:r>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lang w:eastAsia="zh-CN"/>
        </w:rPr>
        <w:t>台，B超</w:t>
      </w:r>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lang w:eastAsia="zh-CN"/>
        </w:rPr>
        <w:t>台等专用设备用于全民健康体检项目，设备均处于可正常使用状态，满足项目实施的需求；全民健康体检所需物资耗材由后勤保障部负责通过政府采购等方式进行采购并及时发放使用；为满足信息化要求，提高全民健康信息化管理水平，医院为体检管理中心配备基层管理软件一套。</w:t>
      </w:r>
    </w:p>
    <w:p w14:paraId="62687BA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项目实施所需的人员条件、场地设备、信息支撑等均能落实到位、满足需要。</w:t>
      </w:r>
    </w:p>
    <w:p w14:paraId="4BA1710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综上，该项指标满分4分，得分4分。</w:t>
      </w:r>
    </w:p>
    <w:p w14:paraId="179728AD">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楷体" w:hAnsi="楷体" w:eastAsia="楷体" w:cs="楷体"/>
          <w:color w:val="auto"/>
          <w:highlight w:val="none"/>
          <w:shd w:val="clear" w:color="auto" w:fill="auto"/>
        </w:rPr>
      </w:pPr>
      <w:bookmarkStart w:id="69" w:name="_Toc16268"/>
      <w:r>
        <w:rPr>
          <w:rFonts w:hint="eastAsia" w:ascii="楷体" w:hAnsi="楷体" w:eastAsia="楷体" w:cs="楷体"/>
          <w:color w:val="auto"/>
          <w:highlight w:val="none"/>
          <w:shd w:val="clear" w:color="auto" w:fill="auto"/>
          <w:lang w:eastAsia="zh-CN"/>
        </w:rPr>
        <w:t>（</w:t>
      </w:r>
      <w:r>
        <w:rPr>
          <w:rFonts w:hint="eastAsia" w:ascii="楷体" w:hAnsi="楷体" w:eastAsia="楷体" w:cs="楷体"/>
          <w:color w:val="auto"/>
          <w:highlight w:val="none"/>
          <w:shd w:val="clear" w:color="auto" w:fill="auto"/>
          <w:lang w:val="en-US" w:eastAsia="zh-CN"/>
        </w:rPr>
        <w:t>三</w:t>
      </w:r>
      <w:r>
        <w:rPr>
          <w:rFonts w:hint="eastAsia" w:ascii="楷体" w:hAnsi="楷体" w:eastAsia="楷体" w:cs="楷体"/>
          <w:color w:val="auto"/>
          <w:highlight w:val="none"/>
          <w:shd w:val="clear" w:color="auto" w:fill="auto"/>
          <w:lang w:eastAsia="zh-CN"/>
        </w:rPr>
        <w:t>）</w:t>
      </w:r>
      <w:r>
        <w:rPr>
          <w:rFonts w:hint="eastAsia" w:ascii="楷体" w:hAnsi="楷体" w:eastAsia="楷体" w:cs="楷体"/>
          <w:color w:val="auto"/>
          <w:highlight w:val="none"/>
          <w:shd w:val="clear" w:color="auto" w:fill="auto"/>
        </w:rPr>
        <w:t>项目产出情况</w:t>
      </w:r>
      <w:bookmarkEnd w:id="69"/>
    </w:p>
    <w:p w14:paraId="7D4B8643">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产出</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类指标由</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9</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30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30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3</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14:paraId="6040EAA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37C3C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14:paraId="600901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auto"/>
            <w:tcMar>
              <w:top w:w="15" w:type="dxa"/>
              <w:left w:w="15" w:type="dxa"/>
              <w:right w:w="15" w:type="dxa"/>
            </w:tcMar>
            <w:vAlign w:val="center"/>
          </w:tcPr>
          <w:p w14:paraId="466F0F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shd w:val="clear" w:color="auto" w:fill="auto"/>
            <w:tcMar>
              <w:top w:w="15" w:type="dxa"/>
              <w:left w:w="15" w:type="dxa"/>
              <w:right w:w="15" w:type="dxa"/>
            </w:tcMar>
            <w:vAlign w:val="center"/>
          </w:tcPr>
          <w:p w14:paraId="7FB561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auto"/>
            <w:tcMar>
              <w:top w:w="15" w:type="dxa"/>
              <w:left w:w="15" w:type="dxa"/>
              <w:right w:w="15" w:type="dxa"/>
            </w:tcMar>
            <w:vAlign w:val="center"/>
          </w:tcPr>
          <w:p w14:paraId="54F02C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14:paraId="7A4964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14:paraId="021C92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14:paraId="39B72A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535C5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restart"/>
            <w:shd w:val="clear" w:color="auto" w:fill="auto"/>
            <w:tcMar>
              <w:top w:w="15" w:type="dxa"/>
              <w:left w:w="15" w:type="dxa"/>
              <w:right w:w="15" w:type="dxa"/>
            </w:tcMar>
            <w:vAlign w:val="center"/>
          </w:tcPr>
          <w:p w14:paraId="1B5CD7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shd w:val="clear" w:color="auto" w:fill="auto"/>
            <w:tcMar>
              <w:top w:w="15" w:type="dxa"/>
              <w:left w:w="15" w:type="dxa"/>
              <w:right w:w="15" w:type="dxa"/>
            </w:tcMar>
            <w:vAlign w:val="center"/>
          </w:tcPr>
          <w:p w14:paraId="228083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14:paraId="6F44E7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全民健康体检人数</w:t>
            </w:r>
          </w:p>
        </w:tc>
        <w:tc>
          <w:tcPr>
            <w:tcW w:w="1437" w:type="dxa"/>
            <w:shd w:val="clear" w:color="auto" w:fill="auto"/>
            <w:tcMar>
              <w:top w:w="15" w:type="dxa"/>
              <w:left w:w="15" w:type="dxa"/>
              <w:right w:w="15" w:type="dxa"/>
            </w:tcMar>
            <w:vAlign w:val="center"/>
          </w:tcPr>
          <w:p w14:paraId="09AEBC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≥10000人</w:t>
            </w:r>
          </w:p>
        </w:tc>
        <w:tc>
          <w:tcPr>
            <w:tcW w:w="558" w:type="dxa"/>
            <w:shd w:val="clear" w:color="auto" w:fill="auto"/>
            <w:tcMar>
              <w:top w:w="15" w:type="dxa"/>
              <w:left w:w="15" w:type="dxa"/>
              <w:right w:w="15" w:type="dxa"/>
            </w:tcMar>
            <w:vAlign w:val="center"/>
          </w:tcPr>
          <w:p w14:paraId="4AC15E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5C2667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10226人</w:t>
            </w:r>
          </w:p>
        </w:tc>
        <w:tc>
          <w:tcPr>
            <w:tcW w:w="631" w:type="dxa"/>
            <w:shd w:val="clear" w:color="auto" w:fill="auto"/>
            <w:tcMar>
              <w:top w:w="15" w:type="dxa"/>
              <w:left w:w="15" w:type="dxa"/>
              <w:right w:w="15" w:type="dxa"/>
            </w:tcMar>
            <w:vAlign w:val="center"/>
          </w:tcPr>
          <w:p w14:paraId="3114E9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061D7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14:paraId="01E41B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423BD8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22A156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15-64周岁人员</w:t>
            </w:r>
          </w:p>
        </w:tc>
        <w:tc>
          <w:tcPr>
            <w:tcW w:w="1437" w:type="dxa"/>
            <w:shd w:val="clear" w:color="auto" w:fill="auto"/>
            <w:tcMar>
              <w:top w:w="15" w:type="dxa"/>
              <w:left w:w="15" w:type="dxa"/>
              <w:right w:w="15" w:type="dxa"/>
            </w:tcMar>
            <w:vAlign w:val="center"/>
          </w:tcPr>
          <w:p w14:paraId="652D32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≥8400人</w:t>
            </w:r>
          </w:p>
        </w:tc>
        <w:tc>
          <w:tcPr>
            <w:tcW w:w="558" w:type="dxa"/>
            <w:shd w:val="clear" w:color="auto" w:fill="auto"/>
            <w:tcMar>
              <w:top w:w="15" w:type="dxa"/>
              <w:left w:w="15" w:type="dxa"/>
              <w:right w:w="15" w:type="dxa"/>
            </w:tcMar>
            <w:vAlign w:val="center"/>
          </w:tcPr>
          <w:p w14:paraId="2763A7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543373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8604人</w:t>
            </w:r>
          </w:p>
        </w:tc>
        <w:tc>
          <w:tcPr>
            <w:tcW w:w="631" w:type="dxa"/>
            <w:shd w:val="clear" w:color="auto" w:fill="auto"/>
            <w:tcMar>
              <w:top w:w="15" w:type="dxa"/>
              <w:left w:w="15" w:type="dxa"/>
              <w:right w:w="15" w:type="dxa"/>
            </w:tcMar>
            <w:vAlign w:val="center"/>
          </w:tcPr>
          <w:p w14:paraId="0C49C3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31DE6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14:paraId="5A3CEA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0B2BD2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3E1D8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65-79周岁人员</w:t>
            </w:r>
          </w:p>
        </w:tc>
        <w:tc>
          <w:tcPr>
            <w:tcW w:w="1437" w:type="dxa"/>
            <w:shd w:val="clear" w:color="auto" w:fill="auto"/>
            <w:tcMar>
              <w:top w:w="15" w:type="dxa"/>
              <w:left w:w="15" w:type="dxa"/>
              <w:right w:w="15" w:type="dxa"/>
            </w:tcMar>
            <w:vAlign w:val="center"/>
          </w:tcPr>
          <w:p w14:paraId="277398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≥1300人</w:t>
            </w:r>
          </w:p>
        </w:tc>
        <w:tc>
          <w:tcPr>
            <w:tcW w:w="558" w:type="dxa"/>
            <w:shd w:val="clear" w:color="auto" w:fill="auto"/>
            <w:tcMar>
              <w:top w:w="15" w:type="dxa"/>
              <w:left w:w="15" w:type="dxa"/>
              <w:right w:w="15" w:type="dxa"/>
            </w:tcMar>
            <w:vAlign w:val="center"/>
          </w:tcPr>
          <w:p w14:paraId="47E504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22EBEF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1352人</w:t>
            </w:r>
          </w:p>
        </w:tc>
        <w:tc>
          <w:tcPr>
            <w:tcW w:w="631" w:type="dxa"/>
            <w:shd w:val="clear" w:color="auto" w:fill="auto"/>
            <w:tcMar>
              <w:top w:w="15" w:type="dxa"/>
              <w:left w:w="15" w:type="dxa"/>
              <w:right w:w="15" w:type="dxa"/>
            </w:tcMar>
            <w:vAlign w:val="center"/>
          </w:tcPr>
          <w:p w14:paraId="669F06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5D86E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14:paraId="4DAFE9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58C0CD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06F731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80周岁以上人员</w:t>
            </w:r>
          </w:p>
        </w:tc>
        <w:tc>
          <w:tcPr>
            <w:tcW w:w="1437" w:type="dxa"/>
            <w:shd w:val="clear" w:color="auto" w:fill="auto"/>
            <w:tcMar>
              <w:top w:w="15" w:type="dxa"/>
              <w:left w:w="15" w:type="dxa"/>
              <w:right w:w="15" w:type="dxa"/>
            </w:tcMar>
            <w:vAlign w:val="center"/>
          </w:tcPr>
          <w:p w14:paraId="2E4B1C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≥130人</w:t>
            </w:r>
          </w:p>
        </w:tc>
        <w:tc>
          <w:tcPr>
            <w:tcW w:w="558" w:type="dxa"/>
            <w:shd w:val="clear" w:color="auto" w:fill="auto"/>
            <w:tcMar>
              <w:top w:w="15" w:type="dxa"/>
              <w:left w:w="15" w:type="dxa"/>
              <w:right w:w="15" w:type="dxa"/>
            </w:tcMar>
            <w:vAlign w:val="center"/>
          </w:tcPr>
          <w:p w14:paraId="1DBED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4193C8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142人</w:t>
            </w:r>
          </w:p>
        </w:tc>
        <w:tc>
          <w:tcPr>
            <w:tcW w:w="631" w:type="dxa"/>
            <w:shd w:val="clear" w:color="auto" w:fill="auto"/>
            <w:tcMar>
              <w:top w:w="15" w:type="dxa"/>
              <w:left w:w="15" w:type="dxa"/>
              <w:right w:w="15" w:type="dxa"/>
            </w:tcMar>
            <w:vAlign w:val="center"/>
          </w:tcPr>
          <w:p w14:paraId="508B23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0A895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14:paraId="7D1101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76636E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shd w:val="clear" w:color="auto" w:fill="auto"/>
            <w:tcMar>
              <w:top w:w="15" w:type="dxa"/>
              <w:left w:w="15" w:type="dxa"/>
              <w:right w:w="15" w:type="dxa"/>
            </w:tcMar>
            <w:vAlign w:val="center"/>
          </w:tcPr>
          <w:p w14:paraId="586C1A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全民体检A/B类阳性患者随访率</w:t>
            </w:r>
          </w:p>
        </w:tc>
        <w:tc>
          <w:tcPr>
            <w:tcW w:w="1437" w:type="dxa"/>
            <w:shd w:val="clear" w:color="auto" w:fill="auto"/>
            <w:tcMar>
              <w:top w:w="15" w:type="dxa"/>
              <w:left w:w="15" w:type="dxa"/>
              <w:right w:w="15" w:type="dxa"/>
            </w:tcMar>
            <w:vAlign w:val="center"/>
          </w:tcPr>
          <w:p w14:paraId="6C0E33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1E5088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4A7173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7F4586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5597E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14:paraId="725B65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19A00E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761DFE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设备验收合格率</w:t>
            </w:r>
          </w:p>
        </w:tc>
        <w:tc>
          <w:tcPr>
            <w:tcW w:w="1437" w:type="dxa"/>
            <w:shd w:val="clear" w:color="auto" w:fill="auto"/>
            <w:tcMar>
              <w:top w:w="15" w:type="dxa"/>
              <w:left w:w="15" w:type="dxa"/>
              <w:right w:w="15" w:type="dxa"/>
            </w:tcMar>
            <w:vAlign w:val="center"/>
          </w:tcPr>
          <w:p w14:paraId="75DCD6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2E82C4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06BAC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3445A6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264BA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545F10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7C0B8D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shd w:val="clear" w:color="auto" w:fill="auto"/>
            <w:tcMar>
              <w:top w:w="15" w:type="dxa"/>
              <w:left w:w="15" w:type="dxa"/>
              <w:right w:w="15" w:type="dxa"/>
            </w:tcMar>
            <w:vAlign w:val="center"/>
          </w:tcPr>
          <w:p w14:paraId="4F55D6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全民健康体检完成时间</w:t>
            </w:r>
          </w:p>
        </w:tc>
        <w:tc>
          <w:tcPr>
            <w:tcW w:w="1437" w:type="dxa"/>
            <w:shd w:val="clear" w:color="auto" w:fill="auto"/>
            <w:tcMar>
              <w:top w:w="15" w:type="dxa"/>
              <w:left w:w="15" w:type="dxa"/>
              <w:right w:w="15" w:type="dxa"/>
            </w:tcMar>
            <w:vAlign w:val="center"/>
          </w:tcPr>
          <w:p w14:paraId="63FD0A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2023-8-31</w:t>
            </w:r>
          </w:p>
        </w:tc>
        <w:tc>
          <w:tcPr>
            <w:tcW w:w="558" w:type="dxa"/>
            <w:shd w:val="clear" w:color="auto" w:fill="auto"/>
            <w:tcMar>
              <w:top w:w="15" w:type="dxa"/>
              <w:left w:w="15" w:type="dxa"/>
              <w:right w:w="15" w:type="dxa"/>
            </w:tcMar>
            <w:vAlign w:val="center"/>
          </w:tcPr>
          <w:p w14:paraId="3E0DCD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374404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2023-8-31</w:t>
            </w:r>
          </w:p>
        </w:tc>
        <w:tc>
          <w:tcPr>
            <w:tcW w:w="631" w:type="dxa"/>
            <w:shd w:val="clear" w:color="auto" w:fill="auto"/>
            <w:tcMar>
              <w:top w:w="15" w:type="dxa"/>
              <w:left w:w="15" w:type="dxa"/>
              <w:right w:w="15" w:type="dxa"/>
            </w:tcMar>
            <w:vAlign w:val="center"/>
          </w:tcPr>
          <w:p w14:paraId="4AFB4A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6B5BB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7C13BB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1EFAF5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shd w:val="clear" w:color="auto" w:fill="auto"/>
            <w:tcMar>
              <w:top w:w="15" w:type="dxa"/>
              <w:left w:w="15" w:type="dxa"/>
              <w:right w:w="15" w:type="dxa"/>
            </w:tcMar>
            <w:vAlign w:val="center"/>
          </w:tcPr>
          <w:p w14:paraId="66CEE4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购买体检设备</w:t>
            </w:r>
          </w:p>
        </w:tc>
        <w:tc>
          <w:tcPr>
            <w:tcW w:w="1437" w:type="dxa"/>
            <w:shd w:val="clear" w:color="auto" w:fill="auto"/>
            <w:tcMar>
              <w:top w:w="15" w:type="dxa"/>
              <w:left w:w="15" w:type="dxa"/>
              <w:right w:w="15" w:type="dxa"/>
            </w:tcMar>
            <w:vAlign w:val="center"/>
          </w:tcPr>
          <w:p w14:paraId="718771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≤53.07万元</w:t>
            </w:r>
          </w:p>
        </w:tc>
        <w:tc>
          <w:tcPr>
            <w:tcW w:w="558" w:type="dxa"/>
            <w:shd w:val="clear" w:color="auto" w:fill="auto"/>
            <w:tcMar>
              <w:top w:w="15" w:type="dxa"/>
              <w:left w:w="15" w:type="dxa"/>
              <w:right w:w="15" w:type="dxa"/>
            </w:tcMar>
            <w:vAlign w:val="center"/>
          </w:tcPr>
          <w:p w14:paraId="0999F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27AD49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53.07万元</w:t>
            </w:r>
          </w:p>
        </w:tc>
        <w:tc>
          <w:tcPr>
            <w:tcW w:w="631" w:type="dxa"/>
            <w:shd w:val="clear" w:color="auto" w:fill="auto"/>
            <w:tcMar>
              <w:top w:w="15" w:type="dxa"/>
              <w:left w:w="15" w:type="dxa"/>
              <w:right w:w="15" w:type="dxa"/>
            </w:tcMar>
            <w:vAlign w:val="center"/>
          </w:tcPr>
          <w:p w14:paraId="397920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0A00E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3B399C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13D738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52F980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体检办公耗材</w:t>
            </w:r>
          </w:p>
        </w:tc>
        <w:tc>
          <w:tcPr>
            <w:tcW w:w="1437" w:type="dxa"/>
            <w:shd w:val="clear" w:color="auto" w:fill="auto"/>
            <w:tcMar>
              <w:top w:w="15" w:type="dxa"/>
              <w:left w:w="15" w:type="dxa"/>
              <w:right w:w="15" w:type="dxa"/>
            </w:tcMar>
            <w:vAlign w:val="center"/>
          </w:tcPr>
          <w:p w14:paraId="30B227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≤0.1万元</w:t>
            </w:r>
          </w:p>
        </w:tc>
        <w:tc>
          <w:tcPr>
            <w:tcW w:w="558" w:type="dxa"/>
            <w:shd w:val="clear" w:color="auto" w:fill="auto"/>
            <w:tcMar>
              <w:top w:w="15" w:type="dxa"/>
              <w:left w:w="15" w:type="dxa"/>
              <w:right w:w="15" w:type="dxa"/>
            </w:tcMar>
            <w:vAlign w:val="center"/>
          </w:tcPr>
          <w:p w14:paraId="5F06BA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53FFD9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0.1万元</w:t>
            </w:r>
          </w:p>
        </w:tc>
        <w:tc>
          <w:tcPr>
            <w:tcW w:w="631" w:type="dxa"/>
            <w:shd w:val="clear" w:color="auto" w:fill="auto"/>
            <w:tcMar>
              <w:top w:w="15" w:type="dxa"/>
              <w:left w:w="15" w:type="dxa"/>
              <w:right w:w="15" w:type="dxa"/>
            </w:tcMar>
            <w:vAlign w:val="center"/>
          </w:tcPr>
          <w:p w14:paraId="67AA53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4F8DD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14:paraId="7ACE93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14:paraId="5C2580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14:paraId="3EDFBC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14:paraId="4FE001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E989BC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shd w:val="clear" w:color="auto" w:fill="auto"/>
          <w:lang w:val="en-US" w:eastAsia="zh-CN"/>
        </w:rPr>
      </w:pPr>
      <w:bookmarkStart w:id="70" w:name="_Toc11067"/>
      <w:r>
        <w:rPr>
          <w:rFonts w:hint="eastAsia" w:ascii="仿宋_GB2312" w:hAnsi="仿宋_GB2312" w:eastAsia="仿宋_GB2312" w:cs="仿宋_GB2312"/>
          <w:b/>
          <w:bCs/>
          <w:color w:val="auto"/>
          <w:sz w:val="32"/>
          <w:szCs w:val="32"/>
          <w:highlight w:val="none"/>
          <w:shd w:val="clear" w:color="auto" w:fill="auto"/>
          <w:lang w:val="en-US" w:eastAsia="zh-CN"/>
        </w:rPr>
        <w:t>1.项目完成数量</w:t>
      </w:r>
      <w:bookmarkEnd w:id="70"/>
    </w:p>
    <w:p w14:paraId="34EE89C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“全民健康体检人数”指标，预期目标值为≥10000人，实际完成为10226人。实际完成率=（10226/10000）×100%=100%；</w:t>
      </w:r>
    </w:p>
    <w:p w14:paraId="582A0C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“15-64周岁人员”指标，预期目标值为≥8400人，实际完成为8604人。实际完成率=（8604/8400）×100%=100%。</w:t>
      </w:r>
    </w:p>
    <w:p w14:paraId="2E0E915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“65-79周岁人员”指标，预期目标值为≥1300人，实际完成为1352人。实际完成率=（1352/1300）×100%=100%。</w:t>
      </w:r>
    </w:p>
    <w:p w14:paraId="38C7C28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“80周岁以上人员”指标，预期目标值为≥130人，实际完成为142人。实际完成率=（142/130）×100%=100%。</w:t>
      </w:r>
    </w:p>
    <w:p w14:paraId="3A56650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综上，该项指标满分11分，得分11分。</w:t>
      </w:r>
    </w:p>
    <w:p w14:paraId="32BEF123">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71" w:name="_Toc31739"/>
      <w:r>
        <w:rPr>
          <w:rFonts w:hint="eastAsia" w:ascii="仿宋_GB2312" w:hAnsi="仿宋_GB2312" w:eastAsia="仿宋_GB2312" w:cs="仿宋_GB2312"/>
          <w:b/>
          <w:bCs/>
          <w:color w:val="auto"/>
          <w:sz w:val="32"/>
          <w:szCs w:val="32"/>
          <w:highlight w:val="none"/>
          <w:shd w:val="clear" w:color="auto" w:fill="auto"/>
          <w:lang w:val="en-US" w:eastAsia="zh-CN"/>
        </w:rPr>
        <w:t>2.项目完成质量</w:t>
      </w:r>
      <w:bookmarkEnd w:id="71"/>
    </w:p>
    <w:p w14:paraId="0102A13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全民体检A/B类阳性患者随访率</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指标，预期目标值为100%，实际完成为100%。</w:t>
      </w:r>
    </w:p>
    <w:p w14:paraId="343C809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设备验收合格率</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指标，预期目标值为100%，实际完成为100%。</w:t>
      </w:r>
    </w:p>
    <w:p w14:paraId="585E61A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综上，该项指标满分8分，得分8分。</w:t>
      </w:r>
    </w:p>
    <w:p w14:paraId="231C41B6">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72" w:name="_Toc18307"/>
      <w:r>
        <w:rPr>
          <w:rFonts w:hint="eastAsia" w:ascii="仿宋_GB2312" w:hAnsi="仿宋_GB2312" w:eastAsia="仿宋_GB2312" w:cs="仿宋_GB2312"/>
          <w:b/>
          <w:bCs/>
          <w:color w:val="auto"/>
          <w:sz w:val="32"/>
          <w:szCs w:val="32"/>
          <w:highlight w:val="none"/>
          <w:shd w:val="clear" w:color="auto" w:fill="auto"/>
          <w:lang w:val="en-US" w:eastAsia="zh-CN"/>
        </w:rPr>
        <w:t>3.项目完成时效</w:t>
      </w:r>
      <w:bookmarkEnd w:id="72"/>
    </w:p>
    <w:p w14:paraId="71601D9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“全民健康体检完成时间”指标，预期目标值为2023-8-31，实际完成为2023-8-31。</w:t>
      </w:r>
    </w:p>
    <w:p w14:paraId="34680B3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综上，该项指标满分5分，得分5分。</w:t>
      </w:r>
    </w:p>
    <w:p w14:paraId="52D62A60">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73" w:name="_Toc32765"/>
      <w:r>
        <w:rPr>
          <w:rFonts w:hint="eastAsia" w:ascii="仿宋_GB2312" w:hAnsi="仿宋_GB2312" w:eastAsia="仿宋_GB2312" w:cs="仿宋_GB2312"/>
          <w:b/>
          <w:bCs/>
          <w:color w:val="auto"/>
          <w:sz w:val="32"/>
          <w:szCs w:val="32"/>
          <w:highlight w:val="none"/>
          <w:shd w:val="clear" w:color="auto" w:fill="auto"/>
          <w:lang w:val="en-US" w:eastAsia="zh-CN"/>
        </w:rPr>
        <w:t>4.项目完成成本</w:t>
      </w:r>
      <w:bookmarkEnd w:id="73"/>
    </w:p>
    <w:p w14:paraId="7525212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购买体检设备</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指标，预期目标值为≤53.07万元，实际完成为53.07万元。实际完成率=（53.07/53.07）×100%=100%。</w:t>
      </w:r>
    </w:p>
    <w:p w14:paraId="53EF8F4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体检办公耗材</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指标，预期目标值为≤0.1万元，实际完成为0.1万元。实际完成率=（0.1/0.1）×100%=100%。</w:t>
      </w:r>
    </w:p>
    <w:p w14:paraId="29EDA0C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综上，该项指标满分6分，得分6分。</w:t>
      </w:r>
    </w:p>
    <w:p w14:paraId="003240C7">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楷体" w:hAnsi="楷体" w:eastAsia="楷体" w:cs="楷体"/>
          <w:color w:val="auto"/>
          <w:highlight w:val="none"/>
          <w:shd w:val="clear" w:color="auto" w:fill="auto"/>
        </w:rPr>
      </w:pPr>
      <w:bookmarkStart w:id="74" w:name="_Toc18446"/>
      <w:r>
        <w:rPr>
          <w:rFonts w:hint="eastAsia" w:ascii="楷体" w:hAnsi="楷体" w:eastAsia="楷体" w:cs="楷体"/>
          <w:color w:val="auto"/>
          <w:highlight w:val="none"/>
          <w:shd w:val="clear" w:color="auto" w:fill="auto"/>
          <w:lang w:eastAsia="zh-CN"/>
        </w:rPr>
        <w:t>（</w:t>
      </w:r>
      <w:r>
        <w:rPr>
          <w:rFonts w:hint="eastAsia" w:ascii="楷体" w:hAnsi="楷体" w:eastAsia="楷体" w:cs="楷体"/>
          <w:color w:val="auto"/>
          <w:highlight w:val="none"/>
          <w:shd w:val="clear" w:color="auto" w:fill="auto"/>
          <w:lang w:val="en-US" w:eastAsia="zh-CN"/>
        </w:rPr>
        <w:t>四</w:t>
      </w:r>
      <w:r>
        <w:rPr>
          <w:rFonts w:hint="eastAsia" w:ascii="楷体" w:hAnsi="楷体" w:eastAsia="楷体" w:cs="楷体"/>
          <w:color w:val="auto"/>
          <w:highlight w:val="none"/>
          <w:shd w:val="clear" w:color="auto" w:fill="auto"/>
          <w:lang w:eastAsia="zh-CN"/>
        </w:rPr>
        <w:t>）</w:t>
      </w:r>
      <w:r>
        <w:rPr>
          <w:rFonts w:hint="eastAsia" w:ascii="楷体" w:hAnsi="楷体" w:eastAsia="楷体" w:cs="楷体"/>
          <w:color w:val="auto"/>
          <w:highlight w:val="none"/>
          <w:shd w:val="clear" w:color="auto" w:fill="auto"/>
        </w:rPr>
        <w:t>项目效益情况</w:t>
      </w:r>
      <w:bookmarkEnd w:id="74"/>
    </w:p>
    <w:p w14:paraId="7615668C">
      <w:pPr>
        <w:keepNext w:val="0"/>
        <w:keepLines w:val="0"/>
        <w:pageBreakBefore w:val="0"/>
        <w:widowControl w:val="0"/>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效益</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类指标由</w:t>
      </w:r>
      <w:r>
        <w:rPr>
          <w:rFonts w:hint="eastAsia" w:ascii="仿宋_GB2312" w:hAnsi="仿宋_GB2312" w:eastAsia="仿宋_GB2312" w:cs="仿宋_GB2312"/>
          <w:color w:val="auto"/>
          <w:kern w:val="2"/>
          <w:sz w:val="32"/>
          <w:szCs w:val="32"/>
          <w:highlight w:val="none"/>
          <w:u w:color="000000"/>
          <w:shd w:val="clear" w:color="auto" w:fill="auto"/>
          <w:lang w:val="en-US" w:eastAsia="zh-CN"/>
        </w:rPr>
        <w:t>5</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30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30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14:paraId="4D193639">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1E661DBD">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6080D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735785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8311C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889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F88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227CF7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CB6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3DF4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BDB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65DBD1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ECD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048A96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9434C0E">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2190BD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11298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C3D61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3EF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9BA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A9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765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4B4E9F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35BB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A8136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852DA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提高全民健康意识及自我健康管理水平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E2D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7AD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45A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92.5%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72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4037DD4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0A69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50915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DD27F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564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A6F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652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EE1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844578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23B18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73CCB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8BBA6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F50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D34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E6F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1E9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98D6CB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B2B18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F3A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DE8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门诊就诊患者满意度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694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w:t>
            </w:r>
            <w:r>
              <w:rPr>
                <w:rFonts w:hint="eastAsia" w:ascii="宋体" w:hAnsi="宋体" w:eastAsia="宋体" w:cs="宋体"/>
                <w:color w:val="auto"/>
                <w:kern w:val="0"/>
                <w:sz w:val="20"/>
                <w:szCs w:val="20"/>
                <w:highlight w:val="none"/>
                <w:shd w:val="clear" w:color="auto" w:fill="auto"/>
                <w:lang w:val="en-US" w:eastAsia="zh-CN"/>
              </w:rPr>
              <w:t>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EAF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EFC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91.75%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D06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49E055DC">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E3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41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394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35D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D4A94D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shd w:val="clear" w:color="auto" w:fill="auto"/>
          <w:lang w:val="en-US" w:eastAsia="zh-CN"/>
        </w:rPr>
      </w:pPr>
      <w:bookmarkStart w:id="75" w:name="_Toc8010"/>
      <w:r>
        <w:rPr>
          <w:rFonts w:hint="eastAsia" w:ascii="仿宋_GB2312" w:hAnsi="仿宋_GB2312" w:eastAsia="仿宋_GB2312" w:cs="仿宋_GB2312"/>
          <w:b/>
          <w:bCs/>
          <w:color w:val="auto"/>
          <w:sz w:val="32"/>
          <w:szCs w:val="32"/>
          <w:highlight w:val="none"/>
          <w:shd w:val="clear" w:color="auto" w:fill="auto"/>
          <w:lang w:val="en-US" w:eastAsia="zh-CN"/>
        </w:rPr>
        <w:t>1.经济效益指标</w:t>
      </w:r>
      <w:bookmarkEnd w:id="75"/>
    </w:p>
    <w:p w14:paraId="6EF1894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本项目不涉及经济效益指标。</w:t>
      </w:r>
    </w:p>
    <w:p w14:paraId="1F7B6BAD">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76" w:name="_Toc27006"/>
      <w:r>
        <w:rPr>
          <w:rFonts w:hint="eastAsia" w:ascii="仿宋_GB2312" w:hAnsi="仿宋_GB2312" w:eastAsia="仿宋_GB2312" w:cs="仿宋_GB2312"/>
          <w:b/>
          <w:bCs/>
          <w:color w:val="auto"/>
          <w:sz w:val="32"/>
          <w:szCs w:val="32"/>
          <w:highlight w:val="none"/>
          <w:shd w:val="clear" w:color="auto" w:fill="auto"/>
          <w:lang w:val="en-US" w:eastAsia="zh-CN"/>
        </w:rPr>
        <w:t>2.社会效益指标</w:t>
      </w:r>
      <w:bookmarkEnd w:id="76"/>
    </w:p>
    <w:p w14:paraId="08072F4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“提高全民健康意识及自我健康管理水平”指标，预期目标值为≥80%，实际完成为92.5%。</w:t>
      </w:r>
    </w:p>
    <w:p w14:paraId="43F71A0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综上，该项指标满分15分，得分15分。</w:t>
      </w:r>
    </w:p>
    <w:p w14:paraId="202F3A57">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color w:val="auto"/>
          <w:sz w:val="32"/>
          <w:szCs w:val="32"/>
          <w:highlight w:val="none"/>
          <w:shd w:val="clear" w:color="auto" w:fill="auto"/>
          <w:lang w:val="en-US" w:eastAsia="zh-CN"/>
        </w:rPr>
      </w:pPr>
      <w:bookmarkStart w:id="77" w:name="_Toc23106"/>
      <w:r>
        <w:rPr>
          <w:rFonts w:hint="eastAsia" w:ascii="仿宋_GB2312" w:hAnsi="仿宋_GB2312" w:eastAsia="仿宋_GB2312" w:cs="仿宋_GB2312"/>
          <w:b/>
          <w:bCs/>
          <w:color w:val="auto"/>
          <w:sz w:val="32"/>
          <w:szCs w:val="32"/>
          <w:highlight w:val="none"/>
          <w:shd w:val="clear" w:color="auto" w:fill="auto"/>
          <w:lang w:val="en-US" w:eastAsia="zh-CN"/>
        </w:rPr>
        <w:t>3.生态效益指标</w:t>
      </w:r>
      <w:bookmarkEnd w:id="77"/>
    </w:p>
    <w:p w14:paraId="3320EF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本项目不涉及生态效益指标。</w:t>
      </w:r>
    </w:p>
    <w:p w14:paraId="1BAC20CD">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4.可持续影响指标</w:t>
      </w:r>
    </w:p>
    <w:p w14:paraId="49CAFFE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本项目不涉及可持续影响指标。</w:t>
      </w:r>
    </w:p>
    <w:p w14:paraId="302F4E0B">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仿宋_GB2312" w:hAnsi="仿宋_GB2312" w:eastAsia="仿宋_GB2312" w:cs="仿宋_GB2312"/>
          <w:b/>
          <w:bCs/>
          <w:color w:val="auto"/>
          <w:sz w:val="32"/>
          <w:szCs w:val="32"/>
          <w:highlight w:val="none"/>
          <w:shd w:val="clear" w:color="auto" w:fill="auto"/>
          <w:lang w:val="en-US" w:eastAsia="zh-CN"/>
        </w:rPr>
      </w:pPr>
      <w:bookmarkStart w:id="78" w:name="_Toc3271"/>
      <w:r>
        <w:rPr>
          <w:rFonts w:hint="eastAsia" w:ascii="仿宋_GB2312" w:hAnsi="仿宋_GB2312" w:eastAsia="仿宋_GB2312" w:cs="仿宋_GB2312"/>
          <w:b/>
          <w:bCs/>
          <w:color w:val="auto"/>
          <w:sz w:val="32"/>
          <w:szCs w:val="32"/>
          <w:highlight w:val="none"/>
          <w:shd w:val="clear" w:color="auto" w:fill="auto"/>
          <w:lang w:val="en-US" w:eastAsia="zh-CN"/>
        </w:rPr>
        <w:t>5.满意度指标</w:t>
      </w:r>
      <w:bookmarkEnd w:id="78"/>
    </w:p>
    <w:p w14:paraId="03E888B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“门诊就诊患者满意度”指标，预期目标值为≥90%，实际完成为91.75%。</w:t>
      </w:r>
    </w:p>
    <w:p w14:paraId="3ACBF04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综上，该项指标满分15分，得分15分。</w:t>
      </w:r>
    </w:p>
    <w:p w14:paraId="2174D27D">
      <w:pPr>
        <w:pStyle w:val="3"/>
        <w:keepNext/>
        <w:keepLines/>
        <w:pageBreakBefore w:val="0"/>
        <w:widowControl w:val="0"/>
        <w:kinsoku/>
        <w:wordWrap/>
        <w:overflowPunct/>
        <w:topLinePunct w:val="0"/>
        <w:autoSpaceDE/>
        <w:autoSpaceDN/>
        <w:bidi w:val="0"/>
        <w:adjustRightInd/>
        <w:snapToGrid/>
        <w:spacing w:beforeLines="0" w:afterLines="0" w:line="640" w:lineRule="exact"/>
        <w:textAlignment w:val="auto"/>
        <w:rPr>
          <w:rFonts w:hint="eastAsia" w:ascii="黑体" w:hAnsi="黑体" w:eastAsia="黑体" w:cs="黑体"/>
          <w:b w:val="0"/>
          <w:bCs w:val="0"/>
          <w:color w:val="auto"/>
          <w:highlight w:val="none"/>
          <w:shd w:val="clear" w:color="auto" w:fill="auto"/>
          <w:lang w:val="en-US" w:eastAsia="zh-CN"/>
        </w:rPr>
      </w:pPr>
      <w:bookmarkStart w:id="79" w:name="_Toc19962"/>
      <w:r>
        <w:rPr>
          <w:rFonts w:hint="eastAsia" w:ascii="黑体" w:hAnsi="黑体" w:eastAsia="黑体" w:cs="黑体"/>
          <w:b w:val="0"/>
          <w:bCs w:val="0"/>
          <w:color w:val="auto"/>
          <w:highlight w:val="none"/>
          <w:shd w:val="clear" w:color="auto" w:fill="auto"/>
          <w:lang w:val="en-US" w:eastAsia="zh-CN"/>
        </w:rPr>
        <w:t>五、预算执行进度与指标偏差</w:t>
      </w:r>
      <w:bookmarkEnd w:id="79"/>
    </w:p>
    <w:p w14:paraId="5DE5560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lang w:val="en-US" w:eastAsia="zh-CN"/>
        </w:rPr>
        <w:t>该</w:t>
      </w:r>
      <w:r>
        <w:rPr>
          <w:rFonts w:hint="eastAsia" w:ascii="仿宋_GB2312" w:hAnsi="仿宋_GB2312" w:eastAsia="仿宋_GB2312" w:cs="仿宋_GB2312"/>
          <w:color w:val="auto"/>
          <w:sz w:val="32"/>
          <w:szCs w:val="32"/>
          <w:highlight w:val="none"/>
          <w:shd w:val="clear" w:color="auto" w:fill="auto"/>
          <w:lang w:eastAsia="zh-CN"/>
        </w:rPr>
        <w:t>项目</w:t>
      </w:r>
      <w:r>
        <w:rPr>
          <w:rFonts w:hint="eastAsia" w:ascii="仿宋_GB2312" w:hAnsi="仿宋_GB2312" w:eastAsia="仿宋_GB2312" w:cs="仿宋_GB2312"/>
          <w:b w:val="0"/>
          <w:bCs w:val="0"/>
          <w:color w:val="auto"/>
          <w:sz w:val="32"/>
          <w:szCs w:val="32"/>
          <w:highlight w:val="none"/>
          <w:shd w:val="clear" w:color="auto" w:fill="auto"/>
          <w:lang w:eastAsia="zh-CN"/>
        </w:rPr>
        <w:t>预算资金总额为</w:t>
      </w:r>
      <w:r>
        <w:rPr>
          <w:rFonts w:hint="eastAsia" w:ascii="仿宋_GB2312" w:hAnsi="仿宋_GB2312" w:eastAsia="仿宋_GB2312" w:cs="仿宋_GB2312"/>
          <w:b w:val="0"/>
          <w:bCs w:val="0"/>
          <w:color w:val="auto"/>
          <w:sz w:val="32"/>
          <w:szCs w:val="32"/>
          <w:highlight w:val="none"/>
          <w:shd w:val="clear" w:color="auto" w:fill="auto"/>
          <w:lang w:val="en-US" w:eastAsia="zh-CN"/>
        </w:rPr>
        <w:t>53.17万元，全年执行数为53.17万元，预算执行率为100%，</w:t>
      </w:r>
      <w:r>
        <w:rPr>
          <w:rFonts w:hint="eastAsia" w:ascii="仿宋_GB2312" w:hAnsi="仿宋_GB2312" w:eastAsia="仿宋_GB2312" w:cs="仿宋_GB2312"/>
          <w:b w:val="0"/>
          <w:bCs w:val="0"/>
          <w:color w:val="auto"/>
          <w:sz w:val="32"/>
          <w:szCs w:val="32"/>
          <w:highlight w:val="none"/>
          <w:shd w:val="clear" w:color="auto" w:fill="auto"/>
          <w:lang w:eastAsia="zh-CN"/>
        </w:rPr>
        <w:t>总体完成率为</w:t>
      </w:r>
      <w:r>
        <w:rPr>
          <w:rFonts w:hint="eastAsia" w:ascii="仿宋_GB2312" w:hAnsi="仿宋_GB2312" w:eastAsia="仿宋_GB2312" w:cs="仿宋_GB2312"/>
          <w:b w:val="0"/>
          <w:bCs w:val="0"/>
          <w:color w:val="auto"/>
          <w:sz w:val="32"/>
          <w:szCs w:val="32"/>
          <w:highlight w:val="none"/>
          <w:shd w:val="clear" w:color="auto" w:fill="auto"/>
          <w:lang w:val="en-US" w:eastAsia="zh-CN"/>
        </w:rPr>
        <w:t>98.7</w:t>
      </w:r>
      <w:r>
        <w:rPr>
          <w:rFonts w:hint="eastAsia" w:ascii="仿宋_GB2312" w:hAnsi="仿宋_GB2312" w:eastAsia="仿宋_GB2312" w:cs="仿宋_GB2312"/>
          <w:b w:val="0"/>
          <w:bCs w:val="0"/>
          <w:color w:val="auto"/>
          <w:sz w:val="32"/>
          <w:szCs w:val="32"/>
          <w:highlight w:val="none"/>
          <w:shd w:val="clear" w:color="auto" w:fill="auto"/>
          <w:lang w:val="zh-TW" w:eastAsia="zh-TW"/>
        </w:rPr>
        <w:t>%。</w:t>
      </w:r>
      <w:r>
        <w:rPr>
          <w:rFonts w:hint="eastAsia" w:ascii="仿宋_GB2312" w:hAnsi="仿宋_GB2312" w:eastAsia="仿宋_GB2312" w:cs="仿宋_GB2312"/>
          <w:b w:val="0"/>
          <w:bCs w:val="0"/>
          <w:color w:val="auto"/>
          <w:sz w:val="32"/>
          <w:szCs w:val="32"/>
          <w:highlight w:val="none"/>
          <w:shd w:val="clear" w:color="auto" w:fill="auto"/>
          <w:lang w:val="en-US" w:eastAsia="zh-CN"/>
        </w:rPr>
        <w:t>预算执行率与总体完成率之间的偏差为1.3%，无</w:t>
      </w:r>
      <w:r>
        <w:rPr>
          <w:rFonts w:hint="eastAsia" w:ascii="仿宋_GB2312" w:hAnsi="仿宋_GB2312" w:eastAsia="仿宋_GB2312" w:cs="仿宋_GB2312"/>
          <w:b w:val="0"/>
          <w:bCs w:val="0"/>
          <w:color w:val="auto"/>
          <w:sz w:val="32"/>
          <w:szCs w:val="32"/>
          <w:highlight w:val="none"/>
          <w:shd w:val="clear" w:color="auto" w:fill="auto"/>
        </w:rPr>
        <w:t>偏差。</w:t>
      </w:r>
    </w:p>
    <w:p w14:paraId="363BCD97">
      <w:pPr>
        <w:pStyle w:val="3"/>
        <w:pageBreakBefore w:val="0"/>
        <w:widowControl w:val="0"/>
        <w:kinsoku/>
        <w:wordWrap/>
        <w:overflowPunct/>
        <w:topLinePunct w:val="0"/>
        <w:autoSpaceDE/>
        <w:autoSpaceDN/>
        <w:bidi w:val="0"/>
        <w:adjustRightInd/>
        <w:snapToGrid/>
        <w:spacing w:beforeLines="0" w:afterLines="0" w:line="640" w:lineRule="exact"/>
        <w:textAlignment w:val="auto"/>
        <w:rPr>
          <w:rFonts w:hint="eastAsia" w:ascii="黑体" w:hAnsi="黑体" w:eastAsia="黑体" w:cs="黑体"/>
          <w:b w:val="0"/>
          <w:bCs w:val="0"/>
          <w:color w:val="auto"/>
          <w:highlight w:val="none"/>
          <w:shd w:val="clear" w:color="auto" w:fill="auto"/>
          <w:lang w:val="en-US" w:eastAsia="zh-CN"/>
        </w:rPr>
      </w:pPr>
      <w:bookmarkStart w:id="80" w:name="_Toc29934"/>
      <w:r>
        <w:rPr>
          <w:rFonts w:hint="eastAsia" w:ascii="黑体" w:hAnsi="黑体" w:eastAsia="黑体" w:cs="黑体"/>
          <w:b w:val="0"/>
          <w:bCs w:val="0"/>
          <w:color w:val="auto"/>
          <w:highlight w:val="none"/>
          <w:shd w:val="clear" w:color="auto" w:fill="auto"/>
          <w:lang w:val="en-US" w:eastAsia="zh-CN"/>
        </w:rPr>
        <w:t>六、主要经验及做法、存在的问题及原因分析</w:t>
      </w:r>
      <w:bookmarkEnd w:id="80"/>
    </w:p>
    <w:p w14:paraId="165ACCD3">
      <w:pPr>
        <w:pageBreakBefore w:val="0"/>
        <w:widowControl w:val="0"/>
        <w:numPr>
          <w:ilvl w:val="0"/>
          <w:numId w:val="0"/>
        </w:numPr>
        <w:kinsoku/>
        <w:wordWrap/>
        <w:overflowPunct/>
        <w:topLinePunct w:val="0"/>
        <w:autoSpaceDE/>
        <w:autoSpaceDN/>
        <w:bidi w:val="0"/>
        <w:adjustRightInd/>
        <w:snapToGrid/>
        <w:spacing w:line="640" w:lineRule="exact"/>
        <w:ind w:left="560" w:leftChars="0"/>
        <w:textAlignment w:val="auto"/>
        <w:outlineLvl w:val="1"/>
        <w:rPr>
          <w:rFonts w:hint="eastAsia" w:ascii="楷体" w:hAnsi="楷体" w:eastAsia="楷体" w:cs="楷体"/>
          <w:b/>
          <w:bCs/>
          <w:color w:val="auto"/>
          <w:sz w:val="32"/>
          <w:szCs w:val="32"/>
          <w:highlight w:val="none"/>
          <w:shd w:val="clear" w:color="auto" w:fill="auto"/>
          <w:lang w:eastAsia="zh-CN"/>
        </w:rPr>
      </w:pPr>
      <w:bookmarkStart w:id="81" w:name="_Toc13160"/>
      <w:bookmarkStart w:id="82" w:name="_Toc1921"/>
      <w:bookmarkStart w:id="83" w:name="_Toc28290"/>
      <w:r>
        <w:rPr>
          <w:rFonts w:hint="eastAsia" w:ascii="楷体" w:hAnsi="楷体" w:eastAsia="楷体" w:cs="楷体"/>
          <w:b/>
          <w:bCs/>
          <w:color w:val="auto"/>
          <w:sz w:val="32"/>
          <w:szCs w:val="32"/>
          <w:highlight w:val="none"/>
          <w:shd w:val="clear" w:color="auto" w:fill="auto"/>
          <w:lang w:eastAsia="zh-CN"/>
        </w:rPr>
        <w:t>（</w:t>
      </w:r>
      <w:r>
        <w:rPr>
          <w:rFonts w:hint="eastAsia" w:ascii="楷体" w:hAnsi="楷体" w:eastAsia="楷体" w:cs="楷体"/>
          <w:b/>
          <w:bCs/>
          <w:color w:val="auto"/>
          <w:sz w:val="32"/>
          <w:szCs w:val="32"/>
          <w:highlight w:val="none"/>
          <w:shd w:val="clear" w:color="auto" w:fill="auto"/>
          <w:lang w:val="en-US" w:eastAsia="zh-CN"/>
        </w:rPr>
        <w:t>一</w:t>
      </w:r>
      <w:r>
        <w:rPr>
          <w:rFonts w:hint="eastAsia" w:ascii="楷体" w:hAnsi="楷体" w:eastAsia="楷体" w:cs="楷体"/>
          <w:b/>
          <w:bCs/>
          <w:color w:val="auto"/>
          <w:sz w:val="32"/>
          <w:szCs w:val="32"/>
          <w:highlight w:val="none"/>
          <w:shd w:val="clear" w:color="auto" w:fill="auto"/>
          <w:lang w:eastAsia="zh-CN"/>
        </w:rPr>
        <w:t>）</w:t>
      </w:r>
      <w:r>
        <w:rPr>
          <w:rFonts w:hint="eastAsia" w:ascii="楷体" w:hAnsi="楷体" w:eastAsia="楷体" w:cs="楷体"/>
          <w:b/>
          <w:bCs/>
          <w:color w:val="auto"/>
          <w:sz w:val="32"/>
          <w:szCs w:val="32"/>
          <w:highlight w:val="none"/>
          <w:shd w:val="clear" w:color="auto" w:fill="auto"/>
        </w:rPr>
        <w:t>主要经验及做法</w:t>
      </w:r>
      <w:bookmarkEnd w:id="81"/>
    </w:p>
    <w:p w14:paraId="3563AC7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val="en-US" w:eastAsia="zh-CN"/>
        </w:rPr>
        <w:t>2023年自治区基本公卫补助资金-全民健康体检项目</w:t>
      </w:r>
      <w:r>
        <w:rPr>
          <w:rFonts w:hint="eastAsia" w:ascii="仿宋_GB2312" w:hAnsi="仿宋_GB2312" w:eastAsia="仿宋_GB2312" w:cs="仿宋_GB2312"/>
          <w:color w:val="auto"/>
          <w:sz w:val="32"/>
          <w:szCs w:val="32"/>
          <w:highlight w:val="none"/>
          <w:shd w:val="clear" w:color="auto" w:fill="auto"/>
          <w:lang w:eastAsia="zh-CN"/>
        </w:rPr>
        <w:t>20</w:t>
      </w:r>
      <w:r>
        <w:rPr>
          <w:rFonts w:hint="eastAsia" w:ascii="仿宋_GB2312" w:hAnsi="仿宋_GB2312" w:eastAsia="仿宋_GB2312" w:cs="仿宋_GB2312"/>
          <w:color w:val="auto"/>
          <w:sz w:val="32"/>
          <w:szCs w:val="32"/>
          <w:highlight w:val="none"/>
          <w:shd w:val="clear" w:color="auto" w:fill="auto"/>
          <w:lang w:val="en-US" w:eastAsia="zh-CN"/>
        </w:rPr>
        <w:t>23</w:t>
      </w:r>
      <w:r>
        <w:rPr>
          <w:rFonts w:hint="eastAsia" w:ascii="仿宋_GB2312" w:hAnsi="仿宋_GB2312" w:eastAsia="仿宋_GB2312" w:cs="仿宋_GB2312"/>
          <w:color w:val="auto"/>
          <w:sz w:val="32"/>
          <w:szCs w:val="32"/>
          <w:highlight w:val="none"/>
          <w:shd w:val="clear" w:color="auto" w:fill="auto"/>
          <w:lang w:eastAsia="zh-CN"/>
        </w:rPr>
        <w:t>年预算</w:t>
      </w:r>
      <w:r>
        <w:rPr>
          <w:rFonts w:hint="eastAsia" w:ascii="仿宋_GB2312" w:hAnsi="仿宋_GB2312" w:eastAsia="仿宋_GB2312" w:cs="仿宋_GB2312"/>
          <w:color w:val="auto"/>
          <w:sz w:val="32"/>
          <w:szCs w:val="32"/>
          <w:highlight w:val="none"/>
          <w:shd w:val="clear" w:color="auto" w:fill="auto"/>
          <w:lang w:val="en-US" w:eastAsia="zh-CN"/>
        </w:rPr>
        <w:t>数</w:t>
      </w:r>
      <w:r>
        <w:rPr>
          <w:rFonts w:hint="eastAsia" w:ascii="仿宋_GB2312" w:hAnsi="仿宋_GB2312" w:eastAsia="仿宋_GB2312" w:cs="仿宋_GB2312"/>
          <w:color w:val="auto"/>
          <w:sz w:val="32"/>
          <w:szCs w:val="32"/>
          <w:highlight w:val="none"/>
          <w:shd w:val="clear" w:color="auto" w:fill="auto"/>
          <w:lang w:eastAsia="zh-CN"/>
        </w:rPr>
        <w:t>为</w:t>
      </w:r>
      <w:r>
        <w:rPr>
          <w:rFonts w:hint="eastAsia" w:ascii="仿宋_GB2312" w:hAnsi="仿宋_GB2312" w:eastAsia="仿宋_GB2312" w:cs="仿宋_GB2312"/>
          <w:color w:val="auto"/>
          <w:sz w:val="32"/>
          <w:szCs w:val="32"/>
          <w:highlight w:val="none"/>
          <w:shd w:val="clear" w:color="auto" w:fill="auto"/>
          <w:lang w:val="en-US" w:eastAsia="zh-CN"/>
        </w:rPr>
        <w:t>53.17</w:t>
      </w:r>
      <w:r>
        <w:rPr>
          <w:rFonts w:hint="eastAsia" w:ascii="仿宋_GB2312" w:hAnsi="仿宋_GB2312" w:eastAsia="仿宋_GB2312" w:cs="仿宋_GB2312"/>
          <w:color w:val="auto"/>
          <w:sz w:val="32"/>
          <w:szCs w:val="32"/>
          <w:highlight w:val="none"/>
          <w:shd w:val="clear" w:color="auto" w:fill="auto"/>
          <w:lang w:eastAsia="zh-CN"/>
        </w:rPr>
        <w:t>万元，</w:t>
      </w:r>
      <w:r>
        <w:rPr>
          <w:rFonts w:hint="eastAsia" w:ascii="仿宋_GB2312" w:hAnsi="仿宋_GB2312" w:eastAsia="仿宋_GB2312" w:cs="仿宋_GB2312"/>
          <w:color w:val="auto"/>
          <w:sz w:val="32"/>
          <w:szCs w:val="32"/>
          <w:highlight w:val="none"/>
          <w:shd w:val="clear" w:color="auto" w:fill="auto"/>
          <w:lang w:val="en-US" w:eastAsia="zh-CN"/>
        </w:rPr>
        <w:t>截至2023年12月31日共</w:t>
      </w:r>
      <w:r>
        <w:rPr>
          <w:rFonts w:hint="eastAsia" w:ascii="仿宋_GB2312" w:hAnsi="仿宋_GB2312" w:eastAsia="仿宋_GB2312" w:cs="仿宋_GB2312"/>
          <w:color w:val="auto"/>
          <w:sz w:val="32"/>
          <w:szCs w:val="32"/>
          <w:highlight w:val="none"/>
          <w:shd w:val="clear" w:color="auto" w:fill="auto"/>
          <w:lang w:eastAsia="zh-CN"/>
        </w:rPr>
        <w:t>支出</w:t>
      </w:r>
      <w:r>
        <w:rPr>
          <w:rFonts w:hint="eastAsia" w:ascii="仿宋_GB2312" w:hAnsi="仿宋_GB2312" w:eastAsia="仿宋_GB2312" w:cs="仿宋_GB2312"/>
          <w:color w:val="auto"/>
          <w:sz w:val="32"/>
          <w:szCs w:val="32"/>
          <w:highlight w:val="none"/>
          <w:shd w:val="clear" w:color="auto" w:fill="auto"/>
          <w:lang w:val="en-US" w:eastAsia="zh-CN"/>
        </w:rPr>
        <w:t>53.17</w:t>
      </w:r>
      <w:r>
        <w:rPr>
          <w:rFonts w:hint="eastAsia" w:ascii="仿宋_GB2312" w:hAnsi="仿宋_GB2312" w:eastAsia="仿宋_GB2312" w:cs="仿宋_GB2312"/>
          <w:color w:val="auto"/>
          <w:sz w:val="32"/>
          <w:szCs w:val="32"/>
          <w:highlight w:val="none"/>
          <w:shd w:val="clear" w:color="auto" w:fill="auto"/>
          <w:lang w:eastAsia="zh-CN"/>
        </w:rPr>
        <w:t>万元，预算</w:t>
      </w:r>
      <w:r>
        <w:rPr>
          <w:rFonts w:hint="eastAsia" w:ascii="仿宋_GB2312" w:hAnsi="仿宋_GB2312" w:eastAsia="仿宋_GB2312" w:cs="仿宋_GB2312"/>
          <w:color w:val="auto"/>
          <w:sz w:val="32"/>
          <w:szCs w:val="32"/>
          <w:highlight w:val="none"/>
          <w:shd w:val="clear" w:color="auto" w:fill="auto"/>
          <w:lang w:val="en-US" w:eastAsia="zh-CN"/>
        </w:rPr>
        <w:t>执行</w:t>
      </w:r>
      <w:r>
        <w:rPr>
          <w:rFonts w:hint="eastAsia" w:ascii="仿宋_GB2312" w:hAnsi="仿宋_GB2312" w:eastAsia="仿宋_GB2312" w:cs="仿宋_GB2312"/>
          <w:color w:val="auto"/>
          <w:sz w:val="32"/>
          <w:szCs w:val="32"/>
          <w:highlight w:val="none"/>
          <w:shd w:val="clear" w:color="auto" w:fill="auto"/>
          <w:lang w:eastAsia="zh-CN"/>
        </w:rPr>
        <w:t>率为</w:t>
      </w:r>
      <w:r>
        <w:rPr>
          <w:rFonts w:hint="eastAsia" w:ascii="仿宋_GB2312" w:hAnsi="仿宋_GB2312" w:eastAsia="仿宋_GB2312" w:cs="仿宋_GB2312"/>
          <w:color w:val="auto"/>
          <w:sz w:val="32"/>
          <w:szCs w:val="32"/>
          <w:highlight w:val="none"/>
          <w:shd w:val="clear" w:color="auto" w:fill="auto"/>
          <w:lang w:val="en-US" w:eastAsia="zh-CN"/>
        </w:rPr>
        <w:t>100</w:t>
      </w:r>
      <w:r>
        <w:rPr>
          <w:rFonts w:hint="eastAsia" w:ascii="仿宋_GB2312" w:hAnsi="仿宋_GB2312" w:eastAsia="仿宋_GB2312" w:cs="仿宋_GB2312"/>
          <w:color w:val="auto"/>
          <w:sz w:val="32"/>
          <w:szCs w:val="32"/>
          <w:highlight w:val="none"/>
          <w:shd w:val="clear" w:color="auto" w:fill="auto"/>
          <w:lang w:eastAsia="zh-CN"/>
        </w:rPr>
        <w:t>%。</w:t>
      </w:r>
    </w:p>
    <w:p w14:paraId="55BF894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val="en-US" w:eastAsia="zh-CN"/>
        </w:rPr>
        <w:t>一是领导重视，建章立制。院领导积极召开专题会议、成立专门的工作领导小组，</w:t>
      </w:r>
      <w:r>
        <w:rPr>
          <w:rFonts w:hint="eastAsia" w:ascii="仿宋_GB2312" w:hAnsi="仿宋_GB2312" w:eastAsia="仿宋_GB2312" w:cs="仿宋_GB2312"/>
          <w:color w:val="auto"/>
          <w:sz w:val="32"/>
          <w:szCs w:val="32"/>
          <w:highlight w:val="none"/>
          <w:shd w:val="clear" w:color="auto" w:fill="auto"/>
          <w:lang w:eastAsia="zh-CN"/>
        </w:rPr>
        <w:t>动员各相关部门严格按照预算编制的原则和要求做好当年预算编制工作；结合历年项目运行情况，进一步建立健全医院有关预算管理规章制度。</w:t>
      </w:r>
    </w:p>
    <w:p w14:paraId="6E084B8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二是遵循原则，合理调配。在预算绩效管理工作中，医院能做到合理安排各项资金，重点保障基本支出，按轻重缓急顺序原则，优先安排了</w:t>
      </w:r>
      <w:r>
        <w:rPr>
          <w:rFonts w:hint="eastAsia" w:ascii="仿宋_GB2312" w:hAnsi="仿宋_GB2312" w:eastAsia="仿宋_GB2312" w:cs="仿宋_GB2312"/>
          <w:color w:val="auto"/>
          <w:sz w:val="32"/>
          <w:szCs w:val="32"/>
          <w:highlight w:val="none"/>
          <w:shd w:val="clear" w:color="auto" w:fill="auto"/>
          <w:lang w:val="en-US" w:eastAsia="zh-CN"/>
        </w:rPr>
        <w:t>阜康市人民医院</w:t>
      </w:r>
      <w:r>
        <w:rPr>
          <w:rFonts w:hint="eastAsia" w:ascii="仿宋_GB2312" w:hAnsi="仿宋_GB2312" w:eastAsia="仿宋_GB2312" w:cs="仿宋_GB2312"/>
          <w:color w:val="auto"/>
          <w:sz w:val="32"/>
          <w:szCs w:val="32"/>
          <w:highlight w:val="none"/>
          <w:shd w:val="clear" w:color="auto" w:fill="auto"/>
          <w:lang w:eastAsia="zh-CN"/>
        </w:rPr>
        <w:t>事业发展中关系民生与稳定的项目，尤其是事关群众基本健康和有助于提高居民健康意识的项目；根据项目开展的具体需求，统筹人财物的投入，切实优化资源配置，有效提高了资金使用的效率和效果。</w:t>
      </w:r>
      <w:bookmarkEnd w:id="82"/>
      <w:bookmarkEnd w:id="83"/>
      <w:bookmarkStart w:id="84" w:name="_Toc9582"/>
    </w:p>
    <w:p w14:paraId="1C734F7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bCs/>
          <w:color w:val="auto"/>
          <w:sz w:val="32"/>
          <w:szCs w:val="32"/>
          <w:highlight w:val="none"/>
          <w:shd w:val="clear" w:color="auto" w:fill="auto"/>
          <w:lang w:eastAsia="zh-CN"/>
        </w:rPr>
      </w:pPr>
      <w:r>
        <w:rPr>
          <w:rFonts w:hint="eastAsia" w:ascii="楷体" w:hAnsi="楷体" w:eastAsia="楷体" w:cs="楷体"/>
          <w:b/>
          <w:bCs/>
          <w:color w:val="auto"/>
          <w:sz w:val="32"/>
          <w:szCs w:val="32"/>
          <w:highlight w:val="none"/>
          <w:shd w:val="clear" w:color="auto" w:fill="auto"/>
          <w:lang w:eastAsia="zh-CN"/>
        </w:rPr>
        <w:t>（</w:t>
      </w:r>
      <w:r>
        <w:rPr>
          <w:rFonts w:hint="eastAsia" w:ascii="楷体" w:hAnsi="楷体" w:eastAsia="楷体" w:cs="楷体"/>
          <w:b/>
          <w:bCs/>
          <w:color w:val="auto"/>
          <w:sz w:val="32"/>
          <w:szCs w:val="32"/>
          <w:highlight w:val="none"/>
          <w:shd w:val="clear" w:color="auto" w:fill="auto"/>
          <w:lang w:val="en-US" w:eastAsia="zh-CN"/>
        </w:rPr>
        <w:t>二</w:t>
      </w:r>
      <w:r>
        <w:rPr>
          <w:rFonts w:hint="eastAsia" w:ascii="楷体" w:hAnsi="楷体" w:eastAsia="楷体" w:cs="楷体"/>
          <w:b/>
          <w:bCs/>
          <w:color w:val="auto"/>
          <w:sz w:val="32"/>
          <w:szCs w:val="32"/>
          <w:highlight w:val="none"/>
          <w:shd w:val="clear" w:color="auto" w:fill="auto"/>
          <w:lang w:eastAsia="zh-CN"/>
        </w:rPr>
        <w:t>）</w:t>
      </w:r>
      <w:r>
        <w:rPr>
          <w:rFonts w:hint="eastAsia" w:ascii="楷体" w:hAnsi="楷体" w:eastAsia="楷体" w:cs="楷体"/>
          <w:b/>
          <w:bCs/>
          <w:color w:val="auto"/>
          <w:sz w:val="32"/>
          <w:szCs w:val="32"/>
          <w:highlight w:val="none"/>
          <w:shd w:val="clear" w:color="auto" w:fill="auto"/>
        </w:rPr>
        <w:t>存在的问题及原因分析</w:t>
      </w:r>
      <w:bookmarkEnd w:id="84"/>
    </w:p>
    <w:p w14:paraId="38503E7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sz w:val="32"/>
          <w:szCs w:val="32"/>
          <w:highlight w:val="none"/>
          <w:shd w:val="clear" w:color="auto" w:fill="auto"/>
          <w:lang w:val="en-US" w:eastAsia="zh-CN"/>
        </w:rPr>
      </w:pPr>
      <w:bookmarkStart w:id="85" w:name="_Toc5230"/>
      <w:r>
        <w:rPr>
          <w:rFonts w:hint="eastAsia" w:ascii="仿宋_GB2312" w:hAnsi="仿宋_GB2312" w:eastAsia="仿宋_GB2312" w:cs="仿宋_GB2312"/>
          <w:b w:val="0"/>
          <w:bCs w:val="0"/>
          <w:color w:val="auto"/>
          <w:sz w:val="32"/>
          <w:szCs w:val="32"/>
          <w:highlight w:val="none"/>
          <w:shd w:val="clear" w:color="auto" w:fill="auto"/>
          <w:lang w:val="en-US" w:eastAsia="zh-CN"/>
        </w:rPr>
        <w:t>1.绩效指标</w:t>
      </w:r>
    </w:p>
    <w:p w14:paraId="12E362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预算编制工作缺乏政策导向，绩效预算目标设定</w:t>
      </w:r>
      <w:r>
        <w:rPr>
          <w:rFonts w:hint="eastAsia" w:ascii="仿宋_GB2312" w:hAnsi="仿宋_GB2312" w:eastAsia="仿宋_GB2312" w:cs="仿宋_GB2312"/>
          <w:color w:val="auto"/>
          <w:sz w:val="32"/>
          <w:szCs w:val="32"/>
          <w:highlight w:val="none"/>
          <w:shd w:val="clear" w:color="auto" w:fill="auto"/>
          <w:lang w:val="en-US" w:eastAsia="zh-CN"/>
        </w:rPr>
        <w:t>缺乏全面性。由于本单位项目绩效编制采取财务人员主导、业务科室参与配合的方式进行，业务科室人员对项目绩效工作的相关政策和知识理解不到位同导致指标编制不科学。</w:t>
      </w:r>
    </w:p>
    <w:p w14:paraId="07FDB2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shd w:val="clear" w:color="auto" w:fill="auto"/>
          <w:lang w:val="en-US" w:eastAsia="zh-CN"/>
        </w:rPr>
      </w:pPr>
      <w:r>
        <w:rPr>
          <w:rFonts w:hint="eastAsia" w:ascii="仿宋_GB2312" w:hAnsi="仿宋_GB2312" w:eastAsia="仿宋_GB2312" w:cs="仿宋_GB2312"/>
          <w:b w:val="0"/>
          <w:bCs w:val="0"/>
          <w:color w:val="auto"/>
          <w:sz w:val="32"/>
          <w:szCs w:val="32"/>
          <w:highlight w:val="none"/>
          <w:shd w:val="clear" w:color="auto" w:fill="auto"/>
          <w:lang w:val="en-US" w:eastAsia="zh-CN"/>
        </w:rPr>
        <w:t>2.组织保障</w:t>
      </w:r>
    </w:p>
    <w:p w14:paraId="797DED3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随着对预、决算编制工作水平要求越来越高，数据编制要求越来越精准、规范；时间紧、任务大；会计人员业务明显增加，人员紧缺，加之业务操作水平有限和信息化建设不高，业务科室参与其中且在预算绩效中水平有限，导致财务人员在实际操作中确实感到力不从心，不能及时有效完成预算及效果的各项工作。</w:t>
      </w:r>
    </w:p>
    <w:p w14:paraId="581364C2">
      <w:pPr>
        <w:pStyle w:val="3"/>
        <w:pageBreakBefore w:val="0"/>
        <w:widowControl w:val="0"/>
        <w:numPr>
          <w:ilvl w:val="0"/>
          <w:numId w:val="3"/>
        </w:numPr>
        <w:kinsoku/>
        <w:wordWrap/>
        <w:overflowPunct/>
        <w:topLinePunct w:val="0"/>
        <w:autoSpaceDE/>
        <w:autoSpaceDN/>
        <w:bidi w:val="0"/>
        <w:adjustRightInd/>
        <w:snapToGrid/>
        <w:spacing w:beforeLines="0" w:afterLines="0" w:line="640" w:lineRule="exact"/>
        <w:textAlignment w:val="auto"/>
        <w:rPr>
          <w:rFonts w:hint="eastAsia" w:ascii="黑体" w:hAnsi="黑体" w:eastAsia="黑体" w:cs="黑体"/>
          <w:b w:val="0"/>
          <w:bCs w:val="0"/>
          <w:color w:val="auto"/>
          <w:highlight w:val="none"/>
          <w:shd w:val="clear" w:color="auto" w:fill="auto"/>
          <w:lang w:val="en-US" w:eastAsia="zh-CN"/>
        </w:rPr>
      </w:pPr>
      <w:r>
        <w:rPr>
          <w:rFonts w:hint="eastAsia" w:ascii="黑体" w:hAnsi="黑体" w:eastAsia="黑体" w:cs="黑体"/>
          <w:b w:val="0"/>
          <w:bCs w:val="0"/>
          <w:color w:val="auto"/>
          <w:highlight w:val="none"/>
          <w:shd w:val="clear" w:color="auto" w:fill="auto"/>
          <w:lang w:val="en-US" w:eastAsia="zh-CN"/>
        </w:rPr>
        <w:t>有关建议</w:t>
      </w:r>
      <w:bookmarkEnd w:id="85"/>
    </w:p>
    <w:p w14:paraId="5D11D50D">
      <w:pPr>
        <w:pageBreakBefore w:val="0"/>
        <w:widowControl w:val="0"/>
        <w:kinsoku/>
        <w:wordWrap/>
        <w:overflowPunct/>
        <w:topLinePunct w:val="0"/>
        <w:autoSpaceDE/>
        <w:autoSpaceDN/>
        <w:bidi w:val="0"/>
        <w:adjustRightInd/>
        <w:snapToGrid/>
        <w:spacing w:line="640" w:lineRule="exact"/>
        <w:ind w:left="0" w:leftChars="0" w:firstLine="643" w:firstLineChars="200"/>
        <w:textAlignment w:val="auto"/>
        <w:rPr>
          <w:rFonts w:hint="eastAsia" w:ascii="楷体" w:hAnsi="楷体" w:eastAsia="楷体" w:cs="楷体"/>
          <w:color w:val="auto"/>
          <w:sz w:val="32"/>
          <w:szCs w:val="32"/>
          <w:highlight w:val="none"/>
          <w:shd w:val="clear" w:color="auto" w:fill="auto"/>
          <w:lang w:val="en-US" w:eastAsia="zh-CN"/>
        </w:rPr>
      </w:pPr>
      <w:r>
        <w:rPr>
          <w:rFonts w:hint="eastAsia" w:ascii="楷体" w:hAnsi="楷体" w:eastAsia="楷体" w:cs="楷体"/>
          <w:b/>
          <w:bCs/>
          <w:color w:val="auto"/>
          <w:sz w:val="32"/>
          <w:szCs w:val="32"/>
          <w:highlight w:val="none"/>
          <w:shd w:val="clear" w:color="auto" w:fill="auto"/>
          <w:lang w:val="en-US" w:eastAsia="zh-CN"/>
        </w:rPr>
        <w:t>（一）、加强学习，提高思想认识。</w:t>
      </w:r>
    </w:p>
    <w:p w14:paraId="60B0C14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加强单位内部预算绩效目标编制培训学习的全员性，提高单位负责人对项目绩效工作的重视程度及项目相关科室的参与度和项目预算编制水平。组织单位财务人员和相关项目业务科室认真学习《预算法》等相关法规、制度，提高单位领导对全面预算管理的重视程度，增强财务人员和项目业务科室负责人的预算意识和业务水平，从而提高绩效目标编制质量，确保绩效目标“够得着、能实现”。</w:t>
      </w:r>
    </w:p>
    <w:p w14:paraId="3F8082C1">
      <w:pPr>
        <w:bidi w:val="0"/>
        <w:ind w:left="0" w:leftChars="0" w:firstLine="643" w:firstLineChars="200"/>
        <w:rPr>
          <w:rFonts w:hint="eastAsia" w:ascii="楷体" w:hAnsi="楷体" w:eastAsia="楷体" w:cs="楷体"/>
          <w:b/>
          <w:bCs/>
          <w:color w:val="auto"/>
          <w:sz w:val="32"/>
          <w:szCs w:val="32"/>
          <w:highlight w:val="none"/>
          <w:shd w:val="clear" w:color="auto" w:fill="auto"/>
          <w:lang w:val="en-US" w:eastAsia="zh-CN"/>
        </w:rPr>
      </w:pPr>
      <w:r>
        <w:rPr>
          <w:rFonts w:hint="eastAsia" w:ascii="楷体" w:hAnsi="楷体" w:eastAsia="楷体" w:cs="楷体"/>
          <w:b/>
          <w:bCs/>
          <w:color w:val="auto"/>
          <w:sz w:val="32"/>
          <w:szCs w:val="32"/>
          <w:highlight w:val="none"/>
          <w:shd w:val="clear" w:color="auto" w:fill="auto"/>
          <w:lang w:val="en-US" w:eastAsia="zh-CN"/>
        </w:rPr>
        <w:t>（二）、加强投入，提高工作效率。</w:t>
      </w:r>
    </w:p>
    <w:p w14:paraId="35C2A4C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在加强预算编制人员业务能力，提高预算编制全面性的同时，加强预算管理和绩效管理的信息化建设，提高预算编制、执行、监控和事后评价全过程的工作效率。</w:t>
      </w:r>
    </w:p>
    <w:p w14:paraId="0C36DCE1">
      <w:pPr>
        <w:pStyle w:val="3"/>
        <w:keepNext/>
        <w:keepLines/>
        <w:pageBreakBefore w:val="0"/>
        <w:widowControl w:val="0"/>
        <w:kinsoku/>
        <w:wordWrap/>
        <w:overflowPunct/>
        <w:topLinePunct w:val="0"/>
        <w:autoSpaceDE/>
        <w:autoSpaceDN/>
        <w:bidi w:val="0"/>
        <w:adjustRightInd/>
        <w:snapToGrid/>
        <w:spacing w:beforeLines="0" w:afterLines="0" w:line="640" w:lineRule="exact"/>
        <w:textAlignment w:val="auto"/>
        <w:rPr>
          <w:rFonts w:hint="eastAsia" w:ascii="黑体" w:hAnsi="黑体" w:eastAsia="黑体" w:cs="黑体"/>
          <w:b w:val="0"/>
          <w:bCs w:val="0"/>
          <w:color w:val="auto"/>
          <w:highlight w:val="none"/>
          <w:shd w:val="clear" w:color="auto" w:fill="auto"/>
          <w:lang w:val="en-US" w:eastAsia="zh-CN"/>
        </w:rPr>
      </w:pPr>
      <w:bookmarkStart w:id="86" w:name="_Toc15618"/>
      <w:r>
        <w:rPr>
          <w:rFonts w:hint="eastAsia" w:ascii="黑体" w:hAnsi="黑体" w:eastAsia="黑体" w:cs="黑体"/>
          <w:b w:val="0"/>
          <w:bCs w:val="0"/>
          <w:color w:val="auto"/>
          <w:highlight w:val="none"/>
          <w:shd w:val="clear" w:color="auto" w:fill="auto"/>
          <w:lang w:val="en-US" w:eastAsia="zh-CN"/>
        </w:rPr>
        <w:t>八、其他需要说明的问题</w:t>
      </w:r>
      <w:bookmarkEnd w:id="86"/>
    </w:p>
    <w:p w14:paraId="69D5D01F">
      <w:pPr>
        <w:bidi w:val="0"/>
        <w:rPr>
          <w:rFonts w:hint="default"/>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color w:val="auto"/>
          <w:highlight w:val="none"/>
          <w:shd w:val="clear" w:color="auto" w:fill="auto"/>
          <w:lang w:val="en-US" w:eastAsia="zh-CN"/>
        </w:rPr>
        <w:t>无其他需要说明的问题。</w:t>
      </w:r>
    </w:p>
    <w:p w14:paraId="2BFC92D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default"/>
          <w:color w:val="auto"/>
          <w:highlight w:val="none"/>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492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91"/>
        <w:gridCol w:w="891"/>
        <w:gridCol w:w="891"/>
        <w:gridCol w:w="1159"/>
        <w:gridCol w:w="1514"/>
        <w:gridCol w:w="892"/>
        <w:gridCol w:w="892"/>
        <w:gridCol w:w="892"/>
        <w:gridCol w:w="892"/>
        <w:gridCol w:w="892"/>
        <w:gridCol w:w="1514"/>
        <w:gridCol w:w="1070"/>
        <w:gridCol w:w="892"/>
        <w:gridCol w:w="892"/>
      </w:tblGrid>
      <w:tr w14:paraId="066ED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6A5A9FC0">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CC3F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5693BF1E">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57939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07" w:type="dxa"/>
            <w:gridSpan w:val="2"/>
            <w:tcBorders>
              <w:top w:val="single" w:color="auto" w:sz="4" w:space="0"/>
            </w:tcBorders>
            <w:shd w:val="clear" w:color="auto" w:fill="auto"/>
            <w:vAlign w:val="center"/>
          </w:tcPr>
          <w:p w14:paraId="50D331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67" w:type="dxa"/>
            <w:gridSpan w:val="12"/>
            <w:tcBorders>
              <w:top w:val="single" w:color="auto" w:sz="4" w:space="0"/>
            </w:tcBorders>
            <w:shd w:val="clear" w:color="auto" w:fill="auto"/>
            <w:vAlign w:val="center"/>
          </w:tcPr>
          <w:p w14:paraId="4460EB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2023年自治区基本公卫补助资金-全民健康体检经费</w:t>
            </w:r>
          </w:p>
        </w:tc>
      </w:tr>
      <w:tr w14:paraId="1DB3C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07" w:type="dxa"/>
            <w:gridSpan w:val="2"/>
            <w:shd w:val="clear" w:color="auto" w:fill="auto"/>
            <w:vAlign w:val="center"/>
          </w:tcPr>
          <w:p w14:paraId="341627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58" w:type="dxa"/>
            <w:gridSpan w:val="5"/>
            <w:shd w:val="clear" w:color="auto" w:fill="auto"/>
            <w:vAlign w:val="center"/>
          </w:tcPr>
          <w:p w14:paraId="3BAE68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2334" w:type="dxa"/>
            <w:gridSpan w:val="2"/>
            <w:shd w:val="clear" w:color="auto" w:fill="auto"/>
            <w:vAlign w:val="center"/>
          </w:tcPr>
          <w:p w14:paraId="5EFEBB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275" w:type="dxa"/>
            <w:gridSpan w:val="5"/>
            <w:shd w:val="clear" w:color="auto" w:fill="auto"/>
            <w:vAlign w:val="center"/>
          </w:tcPr>
          <w:p w14:paraId="687078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阜康市人民医院</w:t>
            </w:r>
          </w:p>
        </w:tc>
      </w:tr>
      <w:tr w14:paraId="77FEE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07" w:type="dxa"/>
            <w:gridSpan w:val="2"/>
            <w:vMerge w:val="restart"/>
            <w:shd w:val="clear" w:color="auto" w:fill="auto"/>
            <w:vAlign w:val="center"/>
          </w:tcPr>
          <w:p w14:paraId="473520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509" w:type="dxa"/>
            <w:gridSpan w:val="2"/>
            <w:shd w:val="clear" w:color="auto" w:fill="auto"/>
            <w:vAlign w:val="center"/>
          </w:tcPr>
          <w:p w14:paraId="5F7CC9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72" w:type="dxa"/>
            <w:shd w:val="clear" w:color="auto" w:fill="auto"/>
            <w:vAlign w:val="center"/>
          </w:tcPr>
          <w:p w14:paraId="538B1E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77" w:type="dxa"/>
            <w:gridSpan w:val="2"/>
            <w:shd w:val="clear" w:color="auto" w:fill="auto"/>
            <w:vAlign w:val="center"/>
          </w:tcPr>
          <w:p w14:paraId="762508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334" w:type="dxa"/>
            <w:gridSpan w:val="2"/>
            <w:shd w:val="clear" w:color="auto" w:fill="auto"/>
            <w:vAlign w:val="center"/>
          </w:tcPr>
          <w:p w14:paraId="6BB537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61" w:type="dxa"/>
            <w:gridSpan w:val="2"/>
            <w:shd w:val="clear" w:color="auto" w:fill="auto"/>
            <w:vAlign w:val="center"/>
          </w:tcPr>
          <w:p w14:paraId="409BB7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717" w:type="dxa"/>
            <w:gridSpan w:val="2"/>
            <w:shd w:val="clear" w:color="auto" w:fill="auto"/>
            <w:vAlign w:val="center"/>
          </w:tcPr>
          <w:p w14:paraId="200ABE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697" w:type="dxa"/>
            <w:shd w:val="clear" w:color="auto" w:fill="auto"/>
            <w:vAlign w:val="center"/>
          </w:tcPr>
          <w:p w14:paraId="015D2E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05736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1407" w:type="dxa"/>
            <w:gridSpan w:val="2"/>
            <w:vMerge w:val="continue"/>
            <w:shd w:val="clear" w:color="auto" w:fill="auto"/>
            <w:vAlign w:val="center"/>
          </w:tcPr>
          <w:p w14:paraId="6E2F5AA0">
            <w:pPr>
              <w:jc w:val="center"/>
              <w:rPr>
                <w:rFonts w:hint="eastAsia" w:ascii="宋体" w:hAnsi="宋体" w:eastAsia="宋体" w:cs="宋体"/>
                <w:i w:val="0"/>
                <w:iCs w:val="0"/>
                <w:color w:val="000000"/>
                <w:sz w:val="20"/>
                <w:szCs w:val="20"/>
                <w:u w:val="none"/>
              </w:rPr>
            </w:pPr>
          </w:p>
        </w:tc>
        <w:tc>
          <w:tcPr>
            <w:tcW w:w="2509" w:type="dxa"/>
            <w:gridSpan w:val="2"/>
            <w:shd w:val="clear" w:color="auto" w:fill="auto"/>
            <w:vAlign w:val="center"/>
          </w:tcPr>
          <w:p w14:paraId="2D27F8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72" w:type="dxa"/>
            <w:shd w:val="clear" w:color="auto" w:fill="auto"/>
            <w:vAlign w:val="center"/>
          </w:tcPr>
          <w:p w14:paraId="3247EC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53.17 </w:t>
            </w:r>
          </w:p>
        </w:tc>
        <w:tc>
          <w:tcPr>
            <w:tcW w:w="1577" w:type="dxa"/>
            <w:gridSpan w:val="2"/>
            <w:shd w:val="clear" w:color="auto" w:fill="auto"/>
            <w:vAlign w:val="center"/>
          </w:tcPr>
          <w:p w14:paraId="756A60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53.17 </w:t>
            </w:r>
          </w:p>
        </w:tc>
        <w:tc>
          <w:tcPr>
            <w:tcW w:w="2334" w:type="dxa"/>
            <w:gridSpan w:val="2"/>
            <w:shd w:val="clear" w:color="auto" w:fill="auto"/>
            <w:vAlign w:val="center"/>
          </w:tcPr>
          <w:p w14:paraId="0F48F3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53.17 </w:t>
            </w:r>
          </w:p>
        </w:tc>
        <w:tc>
          <w:tcPr>
            <w:tcW w:w="1861" w:type="dxa"/>
            <w:gridSpan w:val="2"/>
            <w:shd w:val="clear" w:color="auto" w:fill="auto"/>
            <w:vAlign w:val="center"/>
          </w:tcPr>
          <w:p w14:paraId="6DD185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17" w:type="dxa"/>
            <w:gridSpan w:val="2"/>
            <w:shd w:val="clear" w:color="auto" w:fill="auto"/>
            <w:vAlign w:val="center"/>
          </w:tcPr>
          <w:p w14:paraId="34CF50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97" w:type="dxa"/>
            <w:shd w:val="clear" w:color="auto" w:fill="auto"/>
            <w:vAlign w:val="center"/>
          </w:tcPr>
          <w:p w14:paraId="65AA15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D908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1407" w:type="dxa"/>
            <w:gridSpan w:val="2"/>
            <w:vMerge w:val="continue"/>
            <w:shd w:val="clear" w:color="auto" w:fill="auto"/>
            <w:vAlign w:val="center"/>
          </w:tcPr>
          <w:p w14:paraId="1D2FD0DA">
            <w:pPr>
              <w:jc w:val="center"/>
              <w:rPr>
                <w:rFonts w:hint="eastAsia" w:ascii="宋体" w:hAnsi="宋体" w:eastAsia="宋体" w:cs="宋体"/>
                <w:i w:val="0"/>
                <w:iCs w:val="0"/>
                <w:color w:val="000000"/>
                <w:sz w:val="20"/>
                <w:szCs w:val="20"/>
                <w:u w:val="none"/>
              </w:rPr>
            </w:pPr>
          </w:p>
        </w:tc>
        <w:tc>
          <w:tcPr>
            <w:tcW w:w="2509" w:type="dxa"/>
            <w:gridSpan w:val="2"/>
            <w:shd w:val="clear" w:color="auto" w:fill="auto"/>
            <w:vAlign w:val="center"/>
          </w:tcPr>
          <w:p w14:paraId="5FBA08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72" w:type="dxa"/>
            <w:shd w:val="clear" w:color="auto" w:fill="auto"/>
            <w:vAlign w:val="center"/>
          </w:tcPr>
          <w:p w14:paraId="5A988D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53.17 </w:t>
            </w:r>
          </w:p>
        </w:tc>
        <w:tc>
          <w:tcPr>
            <w:tcW w:w="1577" w:type="dxa"/>
            <w:gridSpan w:val="2"/>
            <w:shd w:val="clear" w:color="auto" w:fill="auto"/>
            <w:vAlign w:val="center"/>
          </w:tcPr>
          <w:p w14:paraId="16CA25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53.17 </w:t>
            </w:r>
          </w:p>
        </w:tc>
        <w:tc>
          <w:tcPr>
            <w:tcW w:w="2334" w:type="dxa"/>
            <w:gridSpan w:val="2"/>
            <w:shd w:val="clear" w:color="auto" w:fill="auto"/>
            <w:vAlign w:val="center"/>
          </w:tcPr>
          <w:p w14:paraId="4BC0E3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53.17 </w:t>
            </w:r>
          </w:p>
        </w:tc>
        <w:tc>
          <w:tcPr>
            <w:tcW w:w="1861" w:type="dxa"/>
            <w:gridSpan w:val="2"/>
            <w:shd w:val="clear" w:color="auto" w:fill="auto"/>
            <w:vAlign w:val="center"/>
          </w:tcPr>
          <w:p w14:paraId="1F3E71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7" w:type="dxa"/>
            <w:gridSpan w:val="2"/>
            <w:shd w:val="clear" w:color="auto" w:fill="auto"/>
            <w:vAlign w:val="center"/>
          </w:tcPr>
          <w:p w14:paraId="61FF3A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97" w:type="dxa"/>
            <w:shd w:val="clear" w:color="auto" w:fill="auto"/>
            <w:vAlign w:val="center"/>
          </w:tcPr>
          <w:p w14:paraId="5A03F5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3017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1407" w:type="dxa"/>
            <w:gridSpan w:val="2"/>
            <w:vMerge w:val="continue"/>
            <w:shd w:val="clear" w:color="auto" w:fill="auto"/>
            <w:vAlign w:val="center"/>
          </w:tcPr>
          <w:p w14:paraId="6A32650B">
            <w:pPr>
              <w:jc w:val="center"/>
              <w:rPr>
                <w:rFonts w:hint="eastAsia" w:ascii="宋体" w:hAnsi="宋体" w:eastAsia="宋体" w:cs="宋体"/>
                <w:i w:val="0"/>
                <w:iCs w:val="0"/>
                <w:color w:val="000000"/>
                <w:sz w:val="20"/>
                <w:szCs w:val="20"/>
                <w:u w:val="none"/>
              </w:rPr>
            </w:pPr>
          </w:p>
        </w:tc>
        <w:tc>
          <w:tcPr>
            <w:tcW w:w="2509" w:type="dxa"/>
            <w:gridSpan w:val="2"/>
            <w:shd w:val="clear" w:color="auto" w:fill="auto"/>
            <w:vAlign w:val="center"/>
          </w:tcPr>
          <w:p w14:paraId="3424EF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2" w:type="dxa"/>
            <w:shd w:val="clear" w:color="auto" w:fill="auto"/>
            <w:vAlign w:val="center"/>
          </w:tcPr>
          <w:p w14:paraId="4DA85B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77" w:type="dxa"/>
            <w:gridSpan w:val="2"/>
            <w:shd w:val="clear" w:color="auto" w:fill="auto"/>
            <w:vAlign w:val="center"/>
          </w:tcPr>
          <w:p w14:paraId="68E327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334" w:type="dxa"/>
            <w:gridSpan w:val="2"/>
            <w:shd w:val="clear" w:color="auto" w:fill="auto"/>
            <w:vAlign w:val="center"/>
          </w:tcPr>
          <w:p w14:paraId="637E62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1" w:type="dxa"/>
            <w:gridSpan w:val="2"/>
            <w:shd w:val="clear" w:color="auto" w:fill="auto"/>
            <w:vAlign w:val="center"/>
          </w:tcPr>
          <w:p w14:paraId="0515E2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7" w:type="dxa"/>
            <w:gridSpan w:val="2"/>
            <w:shd w:val="clear" w:color="auto" w:fill="auto"/>
            <w:vAlign w:val="center"/>
          </w:tcPr>
          <w:p w14:paraId="318A86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97" w:type="dxa"/>
            <w:shd w:val="clear" w:color="auto" w:fill="auto"/>
            <w:vAlign w:val="center"/>
          </w:tcPr>
          <w:p w14:paraId="16414B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4981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703" w:type="dxa"/>
            <w:vMerge w:val="restart"/>
            <w:shd w:val="clear" w:color="auto" w:fill="auto"/>
            <w:vAlign w:val="center"/>
          </w:tcPr>
          <w:p w14:paraId="338ECB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96" w:type="dxa"/>
            <w:gridSpan w:val="8"/>
            <w:shd w:val="clear" w:color="auto" w:fill="auto"/>
            <w:vAlign w:val="center"/>
          </w:tcPr>
          <w:p w14:paraId="64B8EA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275" w:type="dxa"/>
            <w:gridSpan w:val="5"/>
            <w:shd w:val="clear" w:color="auto" w:fill="auto"/>
            <w:vAlign w:val="center"/>
          </w:tcPr>
          <w:p w14:paraId="3C25E4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7133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703" w:type="dxa"/>
            <w:vMerge w:val="continue"/>
            <w:shd w:val="clear" w:color="auto" w:fill="auto"/>
            <w:vAlign w:val="center"/>
          </w:tcPr>
          <w:p w14:paraId="4683A2CF">
            <w:pPr>
              <w:jc w:val="center"/>
              <w:rPr>
                <w:rFonts w:hint="eastAsia" w:ascii="宋体" w:hAnsi="宋体" w:eastAsia="宋体" w:cs="宋体"/>
                <w:i w:val="0"/>
                <w:iCs w:val="0"/>
                <w:color w:val="000000"/>
                <w:sz w:val="20"/>
                <w:szCs w:val="20"/>
                <w:u w:val="none"/>
              </w:rPr>
            </w:pPr>
          </w:p>
        </w:tc>
        <w:tc>
          <w:tcPr>
            <w:tcW w:w="8196" w:type="dxa"/>
            <w:gridSpan w:val="8"/>
            <w:shd w:val="clear" w:color="auto" w:fill="auto"/>
            <w:vAlign w:val="center"/>
          </w:tcPr>
          <w:p w14:paraId="4C28F8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对此项目阜康市人民医院负责开展全民健康体检项目资金的使用，落实全民健康体检工作，阜康市人民医院预计完成10000人的体检，按照全民健康体检要求，对A、B类阳性病例随访，跟踪服务，慢性病的规范治疗提高，成本控制，全民自我健康管理提升等。</w:t>
            </w:r>
          </w:p>
        </w:tc>
        <w:tc>
          <w:tcPr>
            <w:tcW w:w="5275" w:type="dxa"/>
            <w:gridSpan w:val="5"/>
            <w:shd w:val="clear" w:color="auto" w:fill="auto"/>
            <w:vAlign w:val="center"/>
          </w:tcPr>
          <w:p w14:paraId="31A4CD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截至2023年12月31日，本项目完成全民健康体检10226人,15-64周岁人员8604人，65-79周岁人员1352人，80周岁以上人员142人；全民体检A/B类阳性患者随访率100%，设备验收合格率100%；购买体检设备53.07万元，体检办公耗材0.1万元，达到98%提高全民健康意识及自我健康管理水平的社会效益。</w:t>
            </w:r>
          </w:p>
        </w:tc>
      </w:tr>
      <w:tr w14:paraId="17849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03" w:type="dxa"/>
            <w:vMerge w:val="restart"/>
            <w:shd w:val="clear" w:color="auto" w:fill="auto"/>
            <w:vAlign w:val="center"/>
          </w:tcPr>
          <w:p w14:paraId="668B4C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04" w:type="dxa"/>
            <w:shd w:val="clear" w:color="auto" w:fill="auto"/>
            <w:vAlign w:val="center"/>
          </w:tcPr>
          <w:p w14:paraId="27AA6C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15" w:type="dxa"/>
            <w:shd w:val="clear" w:color="auto" w:fill="auto"/>
            <w:vAlign w:val="center"/>
          </w:tcPr>
          <w:p w14:paraId="63B4FB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94" w:type="dxa"/>
            <w:shd w:val="clear" w:color="auto" w:fill="auto"/>
            <w:vAlign w:val="center"/>
          </w:tcPr>
          <w:p w14:paraId="0FCC4B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72" w:type="dxa"/>
            <w:shd w:val="clear" w:color="auto" w:fill="auto"/>
            <w:vAlign w:val="center"/>
          </w:tcPr>
          <w:p w14:paraId="00C4F5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45" w:type="dxa"/>
            <w:shd w:val="clear" w:color="auto" w:fill="auto"/>
            <w:vAlign w:val="center"/>
          </w:tcPr>
          <w:p w14:paraId="1B5BEE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32" w:type="dxa"/>
            <w:shd w:val="clear" w:color="auto" w:fill="auto"/>
            <w:vAlign w:val="center"/>
          </w:tcPr>
          <w:p w14:paraId="10380D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91" w:type="dxa"/>
            <w:shd w:val="clear" w:color="auto" w:fill="auto"/>
            <w:vAlign w:val="center"/>
          </w:tcPr>
          <w:p w14:paraId="0616A0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443" w:type="dxa"/>
            <w:shd w:val="clear" w:color="auto" w:fill="auto"/>
            <w:vAlign w:val="center"/>
          </w:tcPr>
          <w:p w14:paraId="43A709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787" w:type="dxa"/>
            <w:shd w:val="clear" w:color="auto" w:fill="auto"/>
            <w:vAlign w:val="center"/>
          </w:tcPr>
          <w:p w14:paraId="3521F4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74" w:type="dxa"/>
            <w:shd w:val="clear" w:color="auto" w:fill="auto"/>
            <w:vAlign w:val="center"/>
          </w:tcPr>
          <w:p w14:paraId="3F878F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16" w:type="dxa"/>
            <w:shd w:val="clear" w:color="auto" w:fill="auto"/>
            <w:vAlign w:val="center"/>
          </w:tcPr>
          <w:p w14:paraId="236FFB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01" w:type="dxa"/>
            <w:shd w:val="clear" w:color="auto" w:fill="auto"/>
            <w:vAlign w:val="center"/>
          </w:tcPr>
          <w:p w14:paraId="606C4B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697" w:type="dxa"/>
            <w:shd w:val="clear" w:color="auto" w:fill="auto"/>
            <w:vAlign w:val="center"/>
          </w:tcPr>
          <w:p w14:paraId="1F0180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E604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03" w:type="dxa"/>
            <w:vMerge w:val="continue"/>
            <w:shd w:val="clear" w:color="auto" w:fill="auto"/>
            <w:vAlign w:val="center"/>
          </w:tcPr>
          <w:p w14:paraId="38FE0655">
            <w:pPr>
              <w:jc w:val="center"/>
              <w:rPr>
                <w:rFonts w:hint="eastAsia" w:ascii="宋体" w:hAnsi="宋体" w:eastAsia="宋体" w:cs="宋体"/>
                <w:i w:val="0"/>
                <w:iCs w:val="0"/>
                <w:color w:val="000000"/>
                <w:sz w:val="20"/>
                <w:szCs w:val="20"/>
                <w:u w:val="none"/>
              </w:rPr>
            </w:pPr>
          </w:p>
        </w:tc>
        <w:tc>
          <w:tcPr>
            <w:tcW w:w="704" w:type="dxa"/>
            <w:vMerge w:val="restart"/>
            <w:shd w:val="clear" w:color="auto" w:fill="auto"/>
            <w:vAlign w:val="center"/>
          </w:tcPr>
          <w:p w14:paraId="1CAEC0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15" w:type="dxa"/>
            <w:vMerge w:val="restart"/>
            <w:shd w:val="clear" w:color="auto" w:fill="auto"/>
            <w:vAlign w:val="center"/>
          </w:tcPr>
          <w:p w14:paraId="6CDAE9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94" w:type="dxa"/>
            <w:shd w:val="clear" w:color="auto" w:fill="auto"/>
            <w:vAlign w:val="center"/>
          </w:tcPr>
          <w:p w14:paraId="206C61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全民健康体检人数</w:t>
            </w:r>
          </w:p>
        </w:tc>
        <w:tc>
          <w:tcPr>
            <w:tcW w:w="1072" w:type="dxa"/>
            <w:shd w:val="clear" w:color="auto" w:fill="auto"/>
            <w:vAlign w:val="center"/>
          </w:tcPr>
          <w:p w14:paraId="39A62E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≥10000人</w:t>
            </w:r>
          </w:p>
        </w:tc>
        <w:tc>
          <w:tcPr>
            <w:tcW w:w="845" w:type="dxa"/>
            <w:shd w:val="clear" w:color="auto" w:fill="auto"/>
            <w:vAlign w:val="center"/>
          </w:tcPr>
          <w:p w14:paraId="02ACD2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084BA6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239B9A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43" w:type="dxa"/>
            <w:shd w:val="clear" w:color="auto" w:fill="auto"/>
            <w:vAlign w:val="center"/>
          </w:tcPr>
          <w:p w14:paraId="7CE591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13E019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4" w:type="dxa"/>
            <w:shd w:val="clear" w:color="auto" w:fill="auto"/>
            <w:vAlign w:val="center"/>
          </w:tcPr>
          <w:p w14:paraId="77EAD3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10226人</w:t>
            </w:r>
          </w:p>
        </w:tc>
        <w:tc>
          <w:tcPr>
            <w:tcW w:w="816" w:type="dxa"/>
            <w:shd w:val="clear" w:color="auto" w:fill="auto"/>
            <w:vAlign w:val="center"/>
          </w:tcPr>
          <w:p w14:paraId="16634E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0C069A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97" w:type="dxa"/>
            <w:shd w:val="clear" w:color="auto" w:fill="auto"/>
            <w:vAlign w:val="center"/>
          </w:tcPr>
          <w:p w14:paraId="695A3277">
            <w:pPr>
              <w:jc w:val="center"/>
              <w:rPr>
                <w:rFonts w:hint="eastAsia" w:ascii="宋体" w:hAnsi="宋体" w:eastAsia="宋体" w:cs="宋体"/>
                <w:i w:val="0"/>
                <w:iCs w:val="0"/>
                <w:color w:val="000000"/>
                <w:sz w:val="20"/>
                <w:szCs w:val="20"/>
                <w:u w:val="none"/>
              </w:rPr>
            </w:pPr>
          </w:p>
        </w:tc>
      </w:tr>
      <w:tr w14:paraId="383F6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03" w:type="dxa"/>
            <w:vMerge w:val="continue"/>
            <w:shd w:val="clear" w:color="auto" w:fill="auto"/>
            <w:vAlign w:val="center"/>
          </w:tcPr>
          <w:p w14:paraId="30BC8DD0">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4939C843">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702DC664">
            <w:pPr>
              <w:jc w:val="center"/>
              <w:rPr>
                <w:rFonts w:hint="eastAsia" w:ascii="宋体" w:hAnsi="宋体" w:eastAsia="宋体" w:cs="宋体"/>
                <w:i w:val="0"/>
                <w:iCs w:val="0"/>
                <w:color w:val="000000"/>
                <w:sz w:val="20"/>
                <w:szCs w:val="20"/>
                <w:u w:val="none"/>
              </w:rPr>
            </w:pPr>
          </w:p>
        </w:tc>
        <w:tc>
          <w:tcPr>
            <w:tcW w:w="1594" w:type="dxa"/>
            <w:shd w:val="clear" w:color="auto" w:fill="auto"/>
            <w:vAlign w:val="center"/>
          </w:tcPr>
          <w:p w14:paraId="07B31A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15-64周岁人员</w:t>
            </w:r>
          </w:p>
        </w:tc>
        <w:tc>
          <w:tcPr>
            <w:tcW w:w="1072" w:type="dxa"/>
            <w:shd w:val="clear" w:color="auto" w:fill="auto"/>
            <w:vAlign w:val="center"/>
          </w:tcPr>
          <w:p w14:paraId="7FBFC7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≥8400人</w:t>
            </w:r>
          </w:p>
        </w:tc>
        <w:tc>
          <w:tcPr>
            <w:tcW w:w="845" w:type="dxa"/>
            <w:shd w:val="clear" w:color="auto" w:fill="auto"/>
            <w:vAlign w:val="center"/>
          </w:tcPr>
          <w:p w14:paraId="1E299D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075E56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5C342B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43" w:type="dxa"/>
            <w:shd w:val="clear" w:color="auto" w:fill="auto"/>
            <w:vAlign w:val="center"/>
          </w:tcPr>
          <w:p w14:paraId="2368AA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290F5B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4" w:type="dxa"/>
            <w:shd w:val="clear" w:color="auto" w:fill="auto"/>
            <w:vAlign w:val="center"/>
          </w:tcPr>
          <w:p w14:paraId="15A5BF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8604人</w:t>
            </w:r>
          </w:p>
        </w:tc>
        <w:tc>
          <w:tcPr>
            <w:tcW w:w="816" w:type="dxa"/>
            <w:shd w:val="clear" w:color="auto" w:fill="auto"/>
            <w:vAlign w:val="center"/>
          </w:tcPr>
          <w:p w14:paraId="6BC10F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5FA6A5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697" w:type="dxa"/>
            <w:shd w:val="clear" w:color="auto" w:fill="auto"/>
            <w:vAlign w:val="center"/>
          </w:tcPr>
          <w:p w14:paraId="1CF8FC33">
            <w:pPr>
              <w:jc w:val="center"/>
              <w:rPr>
                <w:rFonts w:hint="eastAsia" w:ascii="宋体" w:hAnsi="宋体" w:eastAsia="宋体" w:cs="宋体"/>
                <w:i w:val="0"/>
                <w:iCs w:val="0"/>
                <w:color w:val="000000"/>
                <w:sz w:val="20"/>
                <w:szCs w:val="20"/>
                <w:u w:val="none"/>
              </w:rPr>
            </w:pPr>
          </w:p>
        </w:tc>
      </w:tr>
      <w:tr w14:paraId="00DCD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03" w:type="dxa"/>
            <w:vMerge w:val="continue"/>
            <w:shd w:val="clear" w:color="auto" w:fill="auto"/>
            <w:vAlign w:val="center"/>
          </w:tcPr>
          <w:p w14:paraId="684844C2">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2EE20926">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71B05291">
            <w:pPr>
              <w:jc w:val="center"/>
              <w:rPr>
                <w:rFonts w:hint="eastAsia" w:ascii="宋体" w:hAnsi="宋体" w:eastAsia="宋体" w:cs="宋体"/>
                <w:i w:val="0"/>
                <w:iCs w:val="0"/>
                <w:color w:val="000000"/>
                <w:sz w:val="20"/>
                <w:szCs w:val="20"/>
                <w:u w:val="none"/>
              </w:rPr>
            </w:pPr>
          </w:p>
        </w:tc>
        <w:tc>
          <w:tcPr>
            <w:tcW w:w="1594" w:type="dxa"/>
            <w:shd w:val="clear" w:color="auto" w:fill="auto"/>
            <w:vAlign w:val="center"/>
          </w:tcPr>
          <w:p w14:paraId="33FC6F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65-79周岁人员</w:t>
            </w:r>
          </w:p>
        </w:tc>
        <w:tc>
          <w:tcPr>
            <w:tcW w:w="1072" w:type="dxa"/>
            <w:shd w:val="clear" w:color="auto" w:fill="auto"/>
            <w:vAlign w:val="center"/>
          </w:tcPr>
          <w:p w14:paraId="71E339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≥1300人</w:t>
            </w:r>
          </w:p>
        </w:tc>
        <w:tc>
          <w:tcPr>
            <w:tcW w:w="845" w:type="dxa"/>
            <w:shd w:val="clear" w:color="auto" w:fill="auto"/>
            <w:vAlign w:val="center"/>
          </w:tcPr>
          <w:p w14:paraId="4D62D5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12D386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6203C0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43" w:type="dxa"/>
            <w:shd w:val="clear" w:color="auto" w:fill="auto"/>
            <w:vAlign w:val="center"/>
          </w:tcPr>
          <w:p w14:paraId="4E4F65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55D798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4" w:type="dxa"/>
            <w:shd w:val="clear" w:color="auto" w:fill="auto"/>
            <w:vAlign w:val="center"/>
          </w:tcPr>
          <w:p w14:paraId="6A0394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1352人</w:t>
            </w:r>
          </w:p>
        </w:tc>
        <w:tc>
          <w:tcPr>
            <w:tcW w:w="816" w:type="dxa"/>
            <w:shd w:val="clear" w:color="auto" w:fill="auto"/>
            <w:vAlign w:val="center"/>
          </w:tcPr>
          <w:p w14:paraId="42CE75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60199B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697" w:type="dxa"/>
            <w:shd w:val="clear" w:color="auto" w:fill="auto"/>
            <w:vAlign w:val="center"/>
          </w:tcPr>
          <w:p w14:paraId="2F7F9A58">
            <w:pPr>
              <w:jc w:val="center"/>
              <w:rPr>
                <w:rFonts w:hint="eastAsia" w:ascii="宋体" w:hAnsi="宋体" w:eastAsia="宋体" w:cs="宋体"/>
                <w:i w:val="0"/>
                <w:iCs w:val="0"/>
                <w:color w:val="000000"/>
                <w:sz w:val="20"/>
                <w:szCs w:val="20"/>
                <w:u w:val="none"/>
              </w:rPr>
            </w:pPr>
          </w:p>
        </w:tc>
      </w:tr>
      <w:tr w14:paraId="671E3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03" w:type="dxa"/>
            <w:vMerge w:val="continue"/>
            <w:shd w:val="clear" w:color="auto" w:fill="auto"/>
            <w:vAlign w:val="center"/>
          </w:tcPr>
          <w:p w14:paraId="129946AD">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173879D7">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4C8EEEEE">
            <w:pPr>
              <w:jc w:val="center"/>
              <w:rPr>
                <w:rFonts w:hint="eastAsia" w:ascii="宋体" w:hAnsi="宋体" w:eastAsia="宋体" w:cs="宋体"/>
                <w:i w:val="0"/>
                <w:iCs w:val="0"/>
                <w:color w:val="000000"/>
                <w:sz w:val="20"/>
                <w:szCs w:val="20"/>
                <w:u w:val="none"/>
              </w:rPr>
            </w:pPr>
          </w:p>
        </w:tc>
        <w:tc>
          <w:tcPr>
            <w:tcW w:w="1594" w:type="dxa"/>
            <w:shd w:val="clear" w:color="auto" w:fill="auto"/>
            <w:vAlign w:val="center"/>
          </w:tcPr>
          <w:p w14:paraId="47FC01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80周岁以上人员</w:t>
            </w:r>
          </w:p>
        </w:tc>
        <w:tc>
          <w:tcPr>
            <w:tcW w:w="1072" w:type="dxa"/>
            <w:shd w:val="clear" w:color="auto" w:fill="auto"/>
            <w:vAlign w:val="center"/>
          </w:tcPr>
          <w:p w14:paraId="1060DB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≥130人</w:t>
            </w:r>
          </w:p>
        </w:tc>
        <w:tc>
          <w:tcPr>
            <w:tcW w:w="845" w:type="dxa"/>
            <w:shd w:val="clear" w:color="auto" w:fill="auto"/>
            <w:vAlign w:val="center"/>
          </w:tcPr>
          <w:p w14:paraId="7DDDFE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4DD982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2EDEEB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43" w:type="dxa"/>
            <w:shd w:val="clear" w:color="auto" w:fill="auto"/>
            <w:vAlign w:val="center"/>
          </w:tcPr>
          <w:p w14:paraId="71890D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79D595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4" w:type="dxa"/>
            <w:shd w:val="clear" w:color="auto" w:fill="auto"/>
            <w:vAlign w:val="center"/>
          </w:tcPr>
          <w:p w14:paraId="7E9024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142人</w:t>
            </w:r>
          </w:p>
        </w:tc>
        <w:tc>
          <w:tcPr>
            <w:tcW w:w="816" w:type="dxa"/>
            <w:shd w:val="clear" w:color="auto" w:fill="auto"/>
            <w:vAlign w:val="center"/>
          </w:tcPr>
          <w:p w14:paraId="3A1DCA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1461C1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697" w:type="dxa"/>
            <w:shd w:val="clear" w:color="auto" w:fill="auto"/>
            <w:vAlign w:val="center"/>
          </w:tcPr>
          <w:p w14:paraId="04907E36">
            <w:pPr>
              <w:jc w:val="center"/>
              <w:rPr>
                <w:rFonts w:hint="eastAsia" w:ascii="宋体" w:hAnsi="宋体" w:eastAsia="宋体" w:cs="宋体"/>
                <w:i w:val="0"/>
                <w:iCs w:val="0"/>
                <w:color w:val="000000"/>
                <w:sz w:val="20"/>
                <w:szCs w:val="20"/>
                <w:u w:val="none"/>
              </w:rPr>
            </w:pPr>
          </w:p>
        </w:tc>
      </w:tr>
      <w:tr w14:paraId="54793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03" w:type="dxa"/>
            <w:vMerge w:val="continue"/>
            <w:shd w:val="clear" w:color="auto" w:fill="auto"/>
            <w:vAlign w:val="center"/>
          </w:tcPr>
          <w:p w14:paraId="098DD50C">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3623C760">
            <w:pPr>
              <w:jc w:val="center"/>
              <w:rPr>
                <w:rFonts w:hint="eastAsia" w:ascii="宋体" w:hAnsi="宋体" w:eastAsia="宋体" w:cs="宋体"/>
                <w:i w:val="0"/>
                <w:iCs w:val="0"/>
                <w:color w:val="000000"/>
                <w:sz w:val="20"/>
                <w:szCs w:val="20"/>
                <w:u w:val="none"/>
              </w:rPr>
            </w:pPr>
          </w:p>
        </w:tc>
        <w:tc>
          <w:tcPr>
            <w:tcW w:w="915" w:type="dxa"/>
            <w:vMerge w:val="restart"/>
            <w:shd w:val="clear" w:color="auto" w:fill="auto"/>
            <w:vAlign w:val="center"/>
          </w:tcPr>
          <w:p w14:paraId="1DD342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94" w:type="dxa"/>
            <w:shd w:val="clear" w:color="auto" w:fill="auto"/>
            <w:vAlign w:val="center"/>
          </w:tcPr>
          <w:p w14:paraId="09A00F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全民体检A/B类阳性患者随访率</w:t>
            </w:r>
          </w:p>
        </w:tc>
        <w:tc>
          <w:tcPr>
            <w:tcW w:w="1072" w:type="dxa"/>
            <w:shd w:val="clear" w:color="auto" w:fill="auto"/>
            <w:vAlign w:val="center"/>
          </w:tcPr>
          <w:p w14:paraId="72496C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shd w:val="clear" w:color="auto" w:fill="auto"/>
            <w:vAlign w:val="center"/>
          </w:tcPr>
          <w:p w14:paraId="43B96A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3E1D8E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0AAFC4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43" w:type="dxa"/>
            <w:shd w:val="clear" w:color="auto" w:fill="auto"/>
            <w:vAlign w:val="center"/>
          </w:tcPr>
          <w:p w14:paraId="26470E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548683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4" w:type="dxa"/>
            <w:shd w:val="clear" w:color="auto" w:fill="auto"/>
            <w:vAlign w:val="center"/>
          </w:tcPr>
          <w:p w14:paraId="089C43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6" w:type="dxa"/>
            <w:shd w:val="clear" w:color="auto" w:fill="auto"/>
            <w:vAlign w:val="center"/>
          </w:tcPr>
          <w:p w14:paraId="728FCE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48B603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697" w:type="dxa"/>
            <w:shd w:val="clear" w:color="auto" w:fill="auto"/>
            <w:vAlign w:val="center"/>
          </w:tcPr>
          <w:p w14:paraId="070A0AE9">
            <w:pPr>
              <w:jc w:val="center"/>
              <w:rPr>
                <w:rFonts w:hint="eastAsia" w:ascii="宋体" w:hAnsi="宋体" w:eastAsia="宋体" w:cs="宋体"/>
                <w:i w:val="0"/>
                <w:iCs w:val="0"/>
                <w:color w:val="000000"/>
                <w:sz w:val="20"/>
                <w:szCs w:val="20"/>
                <w:u w:val="none"/>
              </w:rPr>
            </w:pPr>
          </w:p>
        </w:tc>
      </w:tr>
      <w:tr w14:paraId="33B1C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03" w:type="dxa"/>
            <w:vMerge w:val="continue"/>
            <w:shd w:val="clear" w:color="auto" w:fill="auto"/>
            <w:vAlign w:val="center"/>
          </w:tcPr>
          <w:p w14:paraId="2C00ED75">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7EF51AA4">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2EB0D0C7">
            <w:pPr>
              <w:jc w:val="center"/>
              <w:rPr>
                <w:rFonts w:hint="eastAsia" w:ascii="宋体" w:hAnsi="宋体" w:eastAsia="宋体" w:cs="宋体"/>
                <w:i w:val="0"/>
                <w:iCs w:val="0"/>
                <w:color w:val="000000"/>
                <w:sz w:val="20"/>
                <w:szCs w:val="20"/>
                <w:u w:val="none"/>
              </w:rPr>
            </w:pPr>
          </w:p>
        </w:tc>
        <w:tc>
          <w:tcPr>
            <w:tcW w:w="1594" w:type="dxa"/>
            <w:shd w:val="clear" w:color="auto" w:fill="auto"/>
            <w:vAlign w:val="center"/>
          </w:tcPr>
          <w:p w14:paraId="4E229F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设备验收合格率</w:t>
            </w:r>
          </w:p>
        </w:tc>
        <w:tc>
          <w:tcPr>
            <w:tcW w:w="1072" w:type="dxa"/>
            <w:shd w:val="clear" w:color="auto" w:fill="auto"/>
            <w:vAlign w:val="center"/>
          </w:tcPr>
          <w:p w14:paraId="3ED64C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shd w:val="clear" w:color="auto" w:fill="auto"/>
            <w:vAlign w:val="center"/>
          </w:tcPr>
          <w:p w14:paraId="5EB261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1A56EA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352B8E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43" w:type="dxa"/>
            <w:shd w:val="clear" w:color="auto" w:fill="auto"/>
            <w:vAlign w:val="center"/>
          </w:tcPr>
          <w:p w14:paraId="215FD2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265157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4" w:type="dxa"/>
            <w:shd w:val="clear" w:color="auto" w:fill="auto"/>
            <w:vAlign w:val="center"/>
          </w:tcPr>
          <w:p w14:paraId="66B5E4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6" w:type="dxa"/>
            <w:shd w:val="clear" w:color="auto" w:fill="auto"/>
            <w:vAlign w:val="center"/>
          </w:tcPr>
          <w:p w14:paraId="7BFBF9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404941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97" w:type="dxa"/>
            <w:shd w:val="clear" w:color="auto" w:fill="auto"/>
            <w:vAlign w:val="center"/>
          </w:tcPr>
          <w:p w14:paraId="406EDB6E">
            <w:pPr>
              <w:jc w:val="center"/>
              <w:rPr>
                <w:rFonts w:hint="eastAsia" w:ascii="宋体" w:hAnsi="宋体" w:eastAsia="宋体" w:cs="宋体"/>
                <w:i w:val="0"/>
                <w:iCs w:val="0"/>
                <w:color w:val="000000"/>
                <w:sz w:val="20"/>
                <w:szCs w:val="20"/>
                <w:u w:val="none"/>
              </w:rPr>
            </w:pPr>
          </w:p>
        </w:tc>
      </w:tr>
      <w:tr w14:paraId="6E121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03" w:type="dxa"/>
            <w:vMerge w:val="continue"/>
            <w:shd w:val="clear" w:color="auto" w:fill="auto"/>
            <w:vAlign w:val="center"/>
          </w:tcPr>
          <w:p w14:paraId="65F19DF0">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6D32E5C3">
            <w:pPr>
              <w:jc w:val="center"/>
              <w:rPr>
                <w:rFonts w:hint="eastAsia" w:ascii="宋体" w:hAnsi="宋体" w:eastAsia="宋体" w:cs="宋体"/>
                <w:i w:val="0"/>
                <w:iCs w:val="0"/>
                <w:color w:val="000000"/>
                <w:sz w:val="20"/>
                <w:szCs w:val="20"/>
                <w:u w:val="none"/>
              </w:rPr>
            </w:pPr>
          </w:p>
        </w:tc>
        <w:tc>
          <w:tcPr>
            <w:tcW w:w="915" w:type="dxa"/>
            <w:shd w:val="clear" w:color="auto" w:fill="auto"/>
            <w:vAlign w:val="center"/>
          </w:tcPr>
          <w:p w14:paraId="24A461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94" w:type="dxa"/>
            <w:shd w:val="clear" w:color="auto" w:fill="auto"/>
            <w:vAlign w:val="center"/>
          </w:tcPr>
          <w:p w14:paraId="7E88E9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全民健康体检完成时间</w:t>
            </w:r>
          </w:p>
        </w:tc>
        <w:tc>
          <w:tcPr>
            <w:tcW w:w="1072" w:type="dxa"/>
            <w:shd w:val="clear" w:color="auto" w:fill="auto"/>
            <w:vAlign w:val="center"/>
          </w:tcPr>
          <w:p w14:paraId="2FF36D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2023/8/31</w:t>
            </w:r>
          </w:p>
        </w:tc>
        <w:tc>
          <w:tcPr>
            <w:tcW w:w="845" w:type="dxa"/>
            <w:shd w:val="clear" w:color="auto" w:fill="auto"/>
            <w:vAlign w:val="center"/>
          </w:tcPr>
          <w:p w14:paraId="0FA148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070125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38665E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43" w:type="dxa"/>
            <w:shd w:val="clear" w:color="auto" w:fill="auto"/>
            <w:vAlign w:val="center"/>
          </w:tcPr>
          <w:p w14:paraId="6333B1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095A29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4" w:type="dxa"/>
            <w:shd w:val="clear" w:color="auto" w:fill="auto"/>
            <w:vAlign w:val="center"/>
          </w:tcPr>
          <w:p w14:paraId="08AEBF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2023/8/31</w:t>
            </w:r>
          </w:p>
        </w:tc>
        <w:tc>
          <w:tcPr>
            <w:tcW w:w="816" w:type="dxa"/>
            <w:shd w:val="clear" w:color="auto" w:fill="auto"/>
            <w:vAlign w:val="center"/>
          </w:tcPr>
          <w:p w14:paraId="0DE062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38E7CC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97" w:type="dxa"/>
            <w:shd w:val="clear" w:color="auto" w:fill="auto"/>
            <w:vAlign w:val="center"/>
          </w:tcPr>
          <w:p w14:paraId="7E34E65E">
            <w:pPr>
              <w:jc w:val="center"/>
              <w:rPr>
                <w:rFonts w:hint="eastAsia" w:ascii="宋体" w:hAnsi="宋体" w:eastAsia="宋体" w:cs="宋体"/>
                <w:i w:val="0"/>
                <w:iCs w:val="0"/>
                <w:color w:val="000000"/>
                <w:sz w:val="20"/>
                <w:szCs w:val="20"/>
                <w:u w:val="none"/>
              </w:rPr>
            </w:pPr>
          </w:p>
        </w:tc>
      </w:tr>
      <w:tr w14:paraId="017A5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03" w:type="dxa"/>
            <w:vMerge w:val="continue"/>
            <w:shd w:val="clear" w:color="auto" w:fill="auto"/>
            <w:vAlign w:val="center"/>
          </w:tcPr>
          <w:p w14:paraId="35E99764">
            <w:pPr>
              <w:jc w:val="center"/>
              <w:rPr>
                <w:rFonts w:hint="eastAsia" w:ascii="宋体" w:hAnsi="宋体" w:eastAsia="宋体" w:cs="宋体"/>
                <w:i w:val="0"/>
                <w:iCs w:val="0"/>
                <w:color w:val="000000"/>
                <w:sz w:val="20"/>
                <w:szCs w:val="20"/>
                <w:u w:val="none"/>
              </w:rPr>
            </w:pPr>
          </w:p>
        </w:tc>
        <w:tc>
          <w:tcPr>
            <w:tcW w:w="704" w:type="dxa"/>
            <w:vMerge w:val="restart"/>
            <w:shd w:val="clear" w:color="auto" w:fill="auto"/>
            <w:vAlign w:val="center"/>
          </w:tcPr>
          <w:p w14:paraId="2BCA97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15" w:type="dxa"/>
            <w:vMerge w:val="restart"/>
            <w:shd w:val="clear" w:color="auto" w:fill="auto"/>
            <w:vAlign w:val="center"/>
          </w:tcPr>
          <w:p w14:paraId="5F131C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94" w:type="dxa"/>
            <w:shd w:val="clear" w:color="auto" w:fill="auto"/>
            <w:vAlign w:val="center"/>
          </w:tcPr>
          <w:p w14:paraId="05DAA5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购买体检设备</w:t>
            </w:r>
          </w:p>
        </w:tc>
        <w:tc>
          <w:tcPr>
            <w:tcW w:w="1072" w:type="dxa"/>
            <w:shd w:val="clear" w:color="auto" w:fill="auto"/>
            <w:vAlign w:val="center"/>
          </w:tcPr>
          <w:p w14:paraId="258120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≤53.07万元</w:t>
            </w:r>
          </w:p>
        </w:tc>
        <w:tc>
          <w:tcPr>
            <w:tcW w:w="845" w:type="dxa"/>
            <w:shd w:val="clear" w:color="auto" w:fill="auto"/>
            <w:vAlign w:val="center"/>
          </w:tcPr>
          <w:p w14:paraId="7AC441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10CD97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5C1C33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43" w:type="dxa"/>
            <w:shd w:val="clear" w:color="auto" w:fill="auto"/>
            <w:vAlign w:val="center"/>
          </w:tcPr>
          <w:p w14:paraId="17312D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7DD651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74" w:type="dxa"/>
            <w:shd w:val="clear" w:color="auto" w:fill="auto"/>
            <w:vAlign w:val="center"/>
          </w:tcPr>
          <w:p w14:paraId="27E25D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53.07万元</w:t>
            </w:r>
          </w:p>
        </w:tc>
        <w:tc>
          <w:tcPr>
            <w:tcW w:w="816" w:type="dxa"/>
            <w:shd w:val="clear" w:color="auto" w:fill="auto"/>
            <w:vAlign w:val="center"/>
          </w:tcPr>
          <w:p w14:paraId="5CB4F4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17389D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97" w:type="dxa"/>
            <w:shd w:val="clear" w:color="auto" w:fill="auto"/>
            <w:vAlign w:val="center"/>
          </w:tcPr>
          <w:p w14:paraId="002732F9">
            <w:pPr>
              <w:jc w:val="center"/>
              <w:rPr>
                <w:rFonts w:hint="eastAsia" w:ascii="宋体" w:hAnsi="宋体" w:eastAsia="宋体" w:cs="宋体"/>
                <w:i w:val="0"/>
                <w:iCs w:val="0"/>
                <w:color w:val="000000"/>
                <w:sz w:val="20"/>
                <w:szCs w:val="20"/>
                <w:u w:val="none"/>
              </w:rPr>
            </w:pPr>
          </w:p>
        </w:tc>
      </w:tr>
      <w:tr w14:paraId="5E2FB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03" w:type="dxa"/>
            <w:vMerge w:val="continue"/>
            <w:shd w:val="clear" w:color="auto" w:fill="auto"/>
            <w:vAlign w:val="center"/>
          </w:tcPr>
          <w:p w14:paraId="77A07448">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5ACBDDD0">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6DCD5CCF">
            <w:pPr>
              <w:jc w:val="center"/>
              <w:rPr>
                <w:rFonts w:hint="eastAsia" w:ascii="宋体" w:hAnsi="宋体" w:eastAsia="宋体" w:cs="宋体"/>
                <w:i w:val="0"/>
                <w:iCs w:val="0"/>
                <w:color w:val="000000"/>
                <w:sz w:val="20"/>
                <w:szCs w:val="20"/>
                <w:u w:val="none"/>
              </w:rPr>
            </w:pPr>
          </w:p>
        </w:tc>
        <w:tc>
          <w:tcPr>
            <w:tcW w:w="1594" w:type="dxa"/>
            <w:shd w:val="clear" w:color="auto" w:fill="auto"/>
            <w:vAlign w:val="center"/>
          </w:tcPr>
          <w:p w14:paraId="5F8F2E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体检办公耗材</w:t>
            </w:r>
          </w:p>
        </w:tc>
        <w:tc>
          <w:tcPr>
            <w:tcW w:w="1072" w:type="dxa"/>
            <w:shd w:val="clear" w:color="auto" w:fill="auto"/>
            <w:vAlign w:val="center"/>
          </w:tcPr>
          <w:p w14:paraId="24AD1E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≤0.1万元</w:t>
            </w:r>
          </w:p>
        </w:tc>
        <w:tc>
          <w:tcPr>
            <w:tcW w:w="845" w:type="dxa"/>
            <w:shd w:val="clear" w:color="auto" w:fill="auto"/>
            <w:vAlign w:val="center"/>
          </w:tcPr>
          <w:p w14:paraId="0DFB29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4CA9ED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7327E1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43" w:type="dxa"/>
            <w:shd w:val="clear" w:color="auto" w:fill="auto"/>
            <w:vAlign w:val="center"/>
          </w:tcPr>
          <w:p w14:paraId="24CCD0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5FF10D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74" w:type="dxa"/>
            <w:shd w:val="clear" w:color="auto" w:fill="auto"/>
            <w:vAlign w:val="center"/>
          </w:tcPr>
          <w:p w14:paraId="69EF32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0.1万元</w:t>
            </w:r>
          </w:p>
        </w:tc>
        <w:tc>
          <w:tcPr>
            <w:tcW w:w="816" w:type="dxa"/>
            <w:shd w:val="clear" w:color="auto" w:fill="auto"/>
            <w:vAlign w:val="center"/>
          </w:tcPr>
          <w:p w14:paraId="0E849B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2EF17E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97" w:type="dxa"/>
            <w:shd w:val="clear" w:color="auto" w:fill="auto"/>
            <w:vAlign w:val="center"/>
          </w:tcPr>
          <w:p w14:paraId="312847AE">
            <w:pPr>
              <w:jc w:val="center"/>
              <w:rPr>
                <w:rFonts w:hint="eastAsia" w:ascii="宋体" w:hAnsi="宋体" w:eastAsia="宋体" w:cs="宋体"/>
                <w:i w:val="0"/>
                <w:iCs w:val="0"/>
                <w:color w:val="000000"/>
                <w:sz w:val="20"/>
                <w:szCs w:val="20"/>
                <w:u w:val="none"/>
              </w:rPr>
            </w:pPr>
          </w:p>
        </w:tc>
      </w:tr>
      <w:tr w14:paraId="438A6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703" w:type="dxa"/>
            <w:vMerge w:val="continue"/>
            <w:shd w:val="clear" w:color="auto" w:fill="auto"/>
            <w:vAlign w:val="center"/>
          </w:tcPr>
          <w:p w14:paraId="38351553">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481A14F3">
            <w:pPr>
              <w:jc w:val="center"/>
              <w:rPr>
                <w:rFonts w:hint="eastAsia" w:ascii="宋体" w:hAnsi="宋体" w:eastAsia="宋体" w:cs="宋体"/>
                <w:i w:val="0"/>
                <w:iCs w:val="0"/>
                <w:color w:val="000000"/>
                <w:sz w:val="20"/>
                <w:szCs w:val="20"/>
                <w:u w:val="none"/>
              </w:rPr>
            </w:pPr>
          </w:p>
        </w:tc>
        <w:tc>
          <w:tcPr>
            <w:tcW w:w="915" w:type="dxa"/>
            <w:shd w:val="clear" w:color="auto" w:fill="auto"/>
            <w:vAlign w:val="center"/>
          </w:tcPr>
          <w:p w14:paraId="398D77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594" w:type="dxa"/>
            <w:shd w:val="clear" w:color="auto" w:fill="auto"/>
            <w:vAlign w:val="center"/>
          </w:tcPr>
          <w:p w14:paraId="6ABDFB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shd w:val="clear" w:color="auto" w:fill="auto"/>
            <w:vAlign w:val="center"/>
          </w:tcPr>
          <w:p w14:paraId="22ECD9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5" w:type="dxa"/>
            <w:shd w:val="clear" w:color="auto" w:fill="auto"/>
            <w:vAlign w:val="center"/>
          </w:tcPr>
          <w:p w14:paraId="3EAED8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2" w:type="dxa"/>
            <w:shd w:val="clear" w:color="auto" w:fill="auto"/>
            <w:vAlign w:val="center"/>
          </w:tcPr>
          <w:p w14:paraId="5696D4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3D60DF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43" w:type="dxa"/>
            <w:shd w:val="clear" w:color="auto" w:fill="auto"/>
            <w:vAlign w:val="center"/>
          </w:tcPr>
          <w:p w14:paraId="7D62CF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0F132D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074" w:type="dxa"/>
            <w:shd w:val="clear" w:color="auto" w:fill="auto"/>
            <w:vAlign w:val="center"/>
          </w:tcPr>
          <w:p w14:paraId="4AAD87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6" w:type="dxa"/>
            <w:shd w:val="clear" w:color="auto" w:fill="auto"/>
            <w:vAlign w:val="center"/>
          </w:tcPr>
          <w:p w14:paraId="07826E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1" w:type="dxa"/>
            <w:shd w:val="clear" w:color="auto" w:fill="auto"/>
            <w:vAlign w:val="center"/>
          </w:tcPr>
          <w:p w14:paraId="7B23EB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97" w:type="dxa"/>
            <w:shd w:val="clear" w:color="auto" w:fill="auto"/>
            <w:vAlign w:val="center"/>
          </w:tcPr>
          <w:p w14:paraId="5879B50D">
            <w:pPr>
              <w:jc w:val="center"/>
              <w:rPr>
                <w:rFonts w:hint="eastAsia" w:ascii="宋体" w:hAnsi="宋体" w:eastAsia="宋体" w:cs="宋体"/>
                <w:i w:val="0"/>
                <w:iCs w:val="0"/>
                <w:color w:val="000000"/>
                <w:sz w:val="20"/>
                <w:szCs w:val="20"/>
                <w:u w:val="none"/>
              </w:rPr>
            </w:pPr>
          </w:p>
        </w:tc>
      </w:tr>
      <w:tr w14:paraId="7A444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703" w:type="dxa"/>
            <w:vMerge w:val="continue"/>
            <w:shd w:val="clear" w:color="auto" w:fill="auto"/>
            <w:vAlign w:val="center"/>
          </w:tcPr>
          <w:p w14:paraId="305F35C6">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11B8BB5F">
            <w:pPr>
              <w:jc w:val="center"/>
              <w:rPr>
                <w:rFonts w:hint="eastAsia" w:ascii="宋体" w:hAnsi="宋体" w:eastAsia="宋体" w:cs="宋体"/>
                <w:i w:val="0"/>
                <w:iCs w:val="0"/>
                <w:color w:val="000000"/>
                <w:sz w:val="20"/>
                <w:szCs w:val="20"/>
                <w:u w:val="none"/>
              </w:rPr>
            </w:pPr>
          </w:p>
        </w:tc>
        <w:tc>
          <w:tcPr>
            <w:tcW w:w="915" w:type="dxa"/>
            <w:shd w:val="clear" w:color="auto" w:fill="auto"/>
            <w:vAlign w:val="center"/>
          </w:tcPr>
          <w:p w14:paraId="4B20A4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594" w:type="dxa"/>
            <w:shd w:val="clear" w:color="auto" w:fill="auto"/>
            <w:vAlign w:val="center"/>
          </w:tcPr>
          <w:p w14:paraId="24CC9B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shd w:val="clear" w:color="auto" w:fill="auto"/>
            <w:vAlign w:val="center"/>
          </w:tcPr>
          <w:p w14:paraId="7AD3ED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5" w:type="dxa"/>
            <w:shd w:val="clear" w:color="auto" w:fill="auto"/>
            <w:vAlign w:val="center"/>
          </w:tcPr>
          <w:p w14:paraId="168C16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2" w:type="dxa"/>
            <w:shd w:val="clear" w:color="auto" w:fill="auto"/>
            <w:vAlign w:val="center"/>
          </w:tcPr>
          <w:p w14:paraId="49CD52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554D2E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43" w:type="dxa"/>
            <w:shd w:val="clear" w:color="auto" w:fill="auto"/>
            <w:vAlign w:val="center"/>
          </w:tcPr>
          <w:p w14:paraId="7C6D60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301F28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324075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6" w:type="dxa"/>
            <w:shd w:val="clear" w:color="auto" w:fill="auto"/>
            <w:vAlign w:val="center"/>
          </w:tcPr>
          <w:p w14:paraId="7D0606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1" w:type="dxa"/>
            <w:shd w:val="clear" w:color="auto" w:fill="auto"/>
            <w:vAlign w:val="center"/>
          </w:tcPr>
          <w:p w14:paraId="043349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97" w:type="dxa"/>
            <w:shd w:val="clear" w:color="auto" w:fill="auto"/>
            <w:vAlign w:val="center"/>
          </w:tcPr>
          <w:p w14:paraId="52A3B18D">
            <w:pPr>
              <w:jc w:val="center"/>
              <w:rPr>
                <w:rFonts w:hint="eastAsia" w:ascii="宋体" w:hAnsi="宋体" w:eastAsia="宋体" w:cs="宋体"/>
                <w:i w:val="0"/>
                <w:iCs w:val="0"/>
                <w:color w:val="000000"/>
                <w:sz w:val="20"/>
                <w:szCs w:val="20"/>
                <w:u w:val="none"/>
              </w:rPr>
            </w:pPr>
          </w:p>
        </w:tc>
      </w:tr>
      <w:tr w14:paraId="750D1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03" w:type="dxa"/>
            <w:vMerge w:val="continue"/>
            <w:shd w:val="clear" w:color="auto" w:fill="auto"/>
            <w:vAlign w:val="center"/>
          </w:tcPr>
          <w:p w14:paraId="54E42CF0">
            <w:pPr>
              <w:jc w:val="center"/>
              <w:rPr>
                <w:rFonts w:hint="eastAsia" w:ascii="宋体" w:hAnsi="宋体" w:eastAsia="宋体" w:cs="宋体"/>
                <w:i w:val="0"/>
                <w:iCs w:val="0"/>
                <w:color w:val="000000"/>
                <w:sz w:val="20"/>
                <w:szCs w:val="20"/>
                <w:u w:val="none"/>
              </w:rPr>
            </w:pPr>
          </w:p>
        </w:tc>
        <w:tc>
          <w:tcPr>
            <w:tcW w:w="704" w:type="dxa"/>
            <w:vMerge w:val="restart"/>
            <w:shd w:val="clear" w:color="auto" w:fill="auto"/>
            <w:vAlign w:val="center"/>
          </w:tcPr>
          <w:p w14:paraId="05353F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15" w:type="dxa"/>
            <w:shd w:val="clear" w:color="auto" w:fill="auto"/>
            <w:vAlign w:val="center"/>
          </w:tcPr>
          <w:p w14:paraId="57FFDA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594" w:type="dxa"/>
            <w:shd w:val="clear" w:color="auto" w:fill="auto"/>
            <w:vAlign w:val="center"/>
          </w:tcPr>
          <w:p w14:paraId="43F14A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shd w:val="clear" w:color="auto" w:fill="auto"/>
            <w:vAlign w:val="center"/>
          </w:tcPr>
          <w:p w14:paraId="2E957D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5" w:type="dxa"/>
            <w:shd w:val="clear" w:color="auto" w:fill="auto"/>
            <w:vAlign w:val="center"/>
          </w:tcPr>
          <w:p w14:paraId="554413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2" w:type="dxa"/>
            <w:shd w:val="clear" w:color="auto" w:fill="auto"/>
            <w:vAlign w:val="center"/>
          </w:tcPr>
          <w:p w14:paraId="75EDC7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1346DF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43" w:type="dxa"/>
            <w:shd w:val="clear" w:color="auto" w:fill="auto"/>
            <w:vAlign w:val="center"/>
          </w:tcPr>
          <w:p w14:paraId="461A43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117069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202172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6" w:type="dxa"/>
            <w:shd w:val="clear" w:color="auto" w:fill="auto"/>
            <w:vAlign w:val="center"/>
          </w:tcPr>
          <w:p w14:paraId="13CB30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1" w:type="dxa"/>
            <w:shd w:val="clear" w:color="auto" w:fill="auto"/>
            <w:vAlign w:val="center"/>
          </w:tcPr>
          <w:p w14:paraId="5D959A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97" w:type="dxa"/>
            <w:shd w:val="clear" w:color="auto" w:fill="auto"/>
            <w:vAlign w:val="center"/>
          </w:tcPr>
          <w:p w14:paraId="6D3045CE">
            <w:pPr>
              <w:jc w:val="center"/>
              <w:rPr>
                <w:rFonts w:hint="eastAsia" w:ascii="宋体" w:hAnsi="宋体" w:eastAsia="宋体" w:cs="宋体"/>
                <w:i w:val="0"/>
                <w:iCs w:val="0"/>
                <w:color w:val="000000"/>
                <w:sz w:val="20"/>
                <w:szCs w:val="20"/>
                <w:u w:val="none"/>
              </w:rPr>
            </w:pPr>
          </w:p>
        </w:tc>
      </w:tr>
      <w:tr w14:paraId="087B8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03" w:type="dxa"/>
            <w:vMerge w:val="continue"/>
            <w:shd w:val="clear" w:color="auto" w:fill="auto"/>
            <w:vAlign w:val="center"/>
          </w:tcPr>
          <w:p w14:paraId="74EE8F0A">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4E70B1CE">
            <w:pPr>
              <w:jc w:val="center"/>
              <w:rPr>
                <w:rFonts w:hint="eastAsia" w:ascii="宋体" w:hAnsi="宋体" w:eastAsia="宋体" w:cs="宋体"/>
                <w:i w:val="0"/>
                <w:iCs w:val="0"/>
                <w:color w:val="000000"/>
                <w:sz w:val="20"/>
                <w:szCs w:val="20"/>
                <w:u w:val="none"/>
              </w:rPr>
            </w:pPr>
          </w:p>
        </w:tc>
        <w:tc>
          <w:tcPr>
            <w:tcW w:w="915" w:type="dxa"/>
            <w:shd w:val="clear" w:color="auto" w:fill="auto"/>
            <w:vAlign w:val="center"/>
          </w:tcPr>
          <w:p w14:paraId="1253D6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94" w:type="dxa"/>
            <w:shd w:val="clear" w:color="auto" w:fill="auto"/>
            <w:vAlign w:val="center"/>
          </w:tcPr>
          <w:p w14:paraId="646A17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提高全民健康意识及自我健康管理水平</w:t>
            </w:r>
          </w:p>
        </w:tc>
        <w:tc>
          <w:tcPr>
            <w:tcW w:w="1072" w:type="dxa"/>
            <w:shd w:val="clear" w:color="auto" w:fill="auto"/>
            <w:vAlign w:val="center"/>
          </w:tcPr>
          <w:p w14:paraId="6152C4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845" w:type="dxa"/>
            <w:shd w:val="clear" w:color="auto" w:fill="auto"/>
            <w:vAlign w:val="center"/>
          </w:tcPr>
          <w:p w14:paraId="6A9550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shd w:val="clear" w:color="auto" w:fill="auto"/>
            <w:vAlign w:val="center"/>
          </w:tcPr>
          <w:p w14:paraId="5126F9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654478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43" w:type="dxa"/>
            <w:shd w:val="clear" w:color="auto" w:fill="auto"/>
            <w:vAlign w:val="center"/>
          </w:tcPr>
          <w:p w14:paraId="45EE79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787" w:type="dxa"/>
            <w:shd w:val="clear" w:color="auto" w:fill="auto"/>
            <w:vAlign w:val="center"/>
          </w:tcPr>
          <w:p w14:paraId="596933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4" w:type="dxa"/>
            <w:shd w:val="clear" w:color="auto" w:fill="auto"/>
            <w:vAlign w:val="center"/>
          </w:tcPr>
          <w:p w14:paraId="6C2E97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92.5%</w:t>
            </w:r>
          </w:p>
        </w:tc>
        <w:tc>
          <w:tcPr>
            <w:tcW w:w="816" w:type="dxa"/>
            <w:shd w:val="clear" w:color="auto" w:fill="auto"/>
            <w:vAlign w:val="center"/>
          </w:tcPr>
          <w:p w14:paraId="5F45A7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1" w:type="dxa"/>
            <w:shd w:val="clear" w:color="auto" w:fill="auto"/>
            <w:vAlign w:val="center"/>
          </w:tcPr>
          <w:p w14:paraId="3B63D9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697" w:type="dxa"/>
            <w:shd w:val="clear" w:color="auto" w:fill="auto"/>
            <w:vAlign w:val="center"/>
          </w:tcPr>
          <w:p w14:paraId="21C9B348">
            <w:pPr>
              <w:jc w:val="center"/>
              <w:rPr>
                <w:rFonts w:hint="eastAsia" w:ascii="宋体" w:hAnsi="宋体" w:eastAsia="宋体" w:cs="宋体"/>
                <w:i w:val="0"/>
                <w:iCs w:val="0"/>
                <w:color w:val="000000"/>
                <w:sz w:val="20"/>
                <w:szCs w:val="20"/>
                <w:u w:val="none"/>
              </w:rPr>
            </w:pPr>
          </w:p>
        </w:tc>
      </w:tr>
      <w:tr w14:paraId="59E37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03" w:type="dxa"/>
            <w:vMerge w:val="continue"/>
            <w:shd w:val="clear" w:color="auto" w:fill="auto"/>
            <w:vAlign w:val="center"/>
          </w:tcPr>
          <w:p w14:paraId="62616872">
            <w:pPr>
              <w:jc w:val="center"/>
              <w:rPr>
                <w:rFonts w:hint="eastAsia" w:ascii="宋体" w:hAnsi="宋体" w:eastAsia="宋体" w:cs="宋体"/>
                <w:i w:val="0"/>
                <w:iCs w:val="0"/>
                <w:color w:val="000000"/>
                <w:sz w:val="20"/>
                <w:szCs w:val="20"/>
                <w:u w:val="none"/>
              </w:rPr>
            </w:pPr>
          </w:p>
        </w:tc>
        <w:tc>
          <w:tcPr>
            <w:tcW w:w="704" w:type="dxa"/>
            <w:vMerge w:val="continue"/>
            <w:shd w:val="clear" w:color="auto" w:fill="auto"/>
            <w:vAlign w:val="center"/>
          </w:tcPr>
          <w:p w14:paraId="143D29E1">
            <w:pPr>
              <w:jc w:val="center"/>
              <w:rPr>
                <w:rFonts w:hint="eastAsia" w:ascii="宋体" w:hAnsi="宋体" w:eastAsia="宋体" w:cs="宋体"/>
                <w:i w:val="0"/>
                <w:iCs w:val="0"/>
                <w:color w:val="000000"/>
                <w:sz w:val="20"/>
                <w:szCs w:val="20"/>
                <w:u w:val="none"/>
              </w:rPr>
            </w:pPr>
          </w:p>
        </w:tc>
        <w:tc>
          <w:tcPr>
            <w:tcW w:w="915" w:type="dxa"/>
            <w:shd w:val="clear" w:color="auto" w:fill="auto"/>
            <w:vAlign w:val="center"/>
          </w:tcPr>
          <w:p w14:paraId="08F32C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594" w:type="dxa"/>
            <w:shd w:val="clear" w:color="auto" w:fill="auto"/>
            <w:vAlign w:val="center"/>
          </w:tcPr>
          <w:p w14:paraId="716F40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shd w:val="clear" w:color="auto" w:fill="auto"/>
            <w:vAlign w:val="center"/>
          </w:tcPr>
          <w:p w14:paraId="1876E3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5" w:type="dxa"/>
            <w:shd w:val="clear" w:color="auto" w:fill="auto"/>
            <w:vAlign w:val="center"/>
          </w:tcPr>
          <w:p w14:paraId="45A6E4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2" w:type="dxa"/>
            <w:shd w:val="clear" w:color="auto" w:fill="auto"/>
            <w:vAlign w:val="center"/>
          </w:tcPr>
          <w:p w14:paraId="139CC4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39C8DC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43" w:type="dxa"/>
            <w:shd w:val="clear" w:color="auto" w:fill="auto"/>
            <w:vAlign w:val="center"/>
          </w:tcPr>
          <w:p w14:paraId="2AD95B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248BBC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16A186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6" w:type="dxa"/>
            <w:shd w:val="clear" w:color="auto" w:fill="auto"/>
            <w:vAlign w:val="center"/>
          </w:tcPr>
          <w:p w14:paraId="69E87A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1" w:type="dxa"/>
            <w:shd w:val="clear" w:color="auto" w:fill="auto"/>
            <w:vAlign w:val="center"/>
          </w:tcPr>
          <w:p w14:paraId="7A79B6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97" w:type="dxa"/>
            <w:shd w:val="clear" w:color="auto" w:fill="auto"/>
            <w:vAlign w:val="center"/>
          </w:tcPr>
          <w:p w14:paraId="0749E52D">
            <w:pPr>
              <w:jc w:val="center"/>
              <w:rPr>
                <w:rFonts w:hint="eastAsia" w:ascii="宋体" w:hAnsi="宋体" w:eastAsia="宋体" w:cs="宋体"/>
                <w:i w:val="0"/>
                <w:iCs w:val="0"/>
                <w:color w:val="000000"/>
                <w:sz w:val="20"/>
                <w:szCs w:val="20"/>
                <w:u w:val="none"/>
              </w:rPr>
            </w:pPr>
          </w:p>
        </w:tc>
      </w:tr>
      <w:tr w14:paraId="010A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03" w:type="dxa"/>
            <w:vMerge w:val="continue"/>
            <w:shd w:val="clear" w:color="auto" w:fill="auto"/>
            <w:vAlign w:val="center"/>
          </w:tcPr>
          <w:p w14:paraId="20455202">
            <w:pPr>
              <w:jc w:val="center"/>
              <w:rPr>
                <w:rFonts w:hint="eastAsia" w:ascii="宋体" w:hAnsi="宋体" w:eastAsia="宋体" w:cs="宋体"/>
                <w:i w:val="0"/>
                <w:iCs w:val="0"/>
                <w:color w:val="000000"/>
                <w:sz w:val="20"/>
                <w:szCs w:val="20"/>
                <w:u w:val="none"/>
              </w:rPr>
            </w:pPr>
          </w:p>
        </w:tc>
        <w:tc>
          <w:tcPr>
            <w:tcW w:w="704" w:type="dxa"/>
            <w:shd w:val="clear" w:color="auto" w:fill="auto"/>
            <w:vAlign w:val="center"/>
          </w:tcPr>
          <w:p w14:paraId="75B482D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15" w:type="dxa"/>
            <w:shd w:val="clear" w:color="auto" w:fill="auto"/>
            <w:vAlign w:val="center"/>
          </w:tcPr>
          <w:p w14:paraId="516C8F5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594" w:type="dxa"/>
            <w:shd w:val="clear" w:color="auto" w:fill="auto"/>
            <w:vAlign w:val="center"/>
          </w:tcPr>
          <w:p w14:paraId="3913FC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shd w:val="clear" w:color="auto" w:fill="auto"/>
            <w:vAlign w:val="center"/>
          </w:tcPr>
          <w:p w14:paraId="6CF0899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45" w:type="dxa"/>
            <w:shd w:val="clear" w:color="auto" w:fill="auto"/>
            <w:vAlign w:val="center"/>
          </w:tcPr>
          <w:p w14:paraId="72467CF5">
            <w:pPr>
              <w:keepNext w:val="0"/>
              <w:keepLines w:val="0"/>
              <w:widowControl/>
              <w:suppressLineNumbers w:val="0"/>
              <w:ind w:firstLine="400" w:firstLineChars="20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2" w:type="dxa"/>
            <w:shd w:val="clear" w:color="auto" w:fill="auto"/>
            <w:vAlign w:val="center"/>
          </w:tcPr>
          <w:p w14:paraId="49DEEF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dxa"/>
            <w:shd w:val="clear" w:color="auto" w:fill="auto"/>
            <w:vAlign w:val="center"/>
          </w:tcPr>
          <w:p w14:paraId="0521F4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43" w:type="dxa"/>
            <w:shd w:val="clear" w:color="auto" w:fill="auto"/>
            <w:vAlign w:val="center"/>
          </w:tcPr>
          <w:p w14:paraId="23AAC9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5667C5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529B34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6" w:type="dxa"/>
            <w:shd w:val="clear" w:color="auto" w:fill="auto"/>
            <w:vAlign w:val="center"/>
          </w:tcPr>
          <w:p w14:paraId="2EAA5B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1" w:type="dxa"/>
            <w:shd w:val="clear" w:color="auto" w:fill="auto"/>
            <w:vAlign w:val="center"/>
          </w:tcPr>
          <w:p w14:paraId="2AF3FC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97" w:type="dxa"/>
            <w:shd w:val="clear" w:color="auto" w:fill="auto"/>
            <w:vAlign w:val="center"/>
          </w:tcPr>
          <w:p w14:paraId="28CC3EBC">
            <w:pPr>
              <w:jc w:val="center"/>
              <w:rPr>
                <w:rFonts w:hint="eastAsia" w:ascii="宋体" w:hAnsi="宋体" w:eastAsia="宋体" w:cs="宋体"/>
                <w:i w:val="0"/>
                <w:iCs w:val="0"/>
                <w:color w:val="000000"/>
                <w:sz w:val="20"/>
                <w:szCs w:val="20"/>
                <w:u w:val="none"/>
              </w:rPr>
            </w:pPr>
          </w:p>
        </w:tc>
      </w:tr>
    </w:tbl>
    <w:p w14:paraId="2A0543F8">
      <w:pPr>
        <w:ind w:left="0" w:leftChars="0" w:firstLine="0" w:firstLineChars="0"/>
        <w:rPr>
          <w:rFonts w:hint="default"/>
          <w:color w:val="auto"/>
          <w:highlight w:val="none"/>
          <w:shd w:val="clear" w:color="auto" w:fill="auto"/>
          <w:lang w:val="en-US" w:eastAsia="zh-CN"/>
        </w:rPr>
        <w:sectPr>
          <w:footerReference r:id="rId6" w:type="default"/>
          <w:pgSz w:w="16838" w:h="11906" w:orient="landscape"/>
          <w:pgMar w:top="1800" w:right="1440" w:bottom="1800" w:left="1440" w:header="737" w:footer="851" w:gutter="0"/>
          <w:pgNumType w:fmt="decimal" w:start="1"/>
          <w:cols w:space="720" w:num="1"/>
          <w:docGrid w:type="lines" w:linePitch="408" w:charSpace="0"/>
        </w:sectPr>
      </w:pPr>
    </w:p>
    <w:p w14:paraId="3BD0C3E8">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9909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442409B">
            <w:pPr>
              <w:widowControl/>
              <w:spacing w:line="0" w:lineRule="atLeast"/>
              <w:ind w:firstLine="0" w:firstLineChars="0"/>
              <w:jc w:val="center"/>
              <w:rPr>
                <w:rFonts w:ascii="宋体" w:hAnsi="宋体" w:eastAsia="宋体" w:cs="宋体"/>
                <w:b/>
                <w:bCs/>
                <w:color w:val="auto"/>
                <w:kern w:val="0"/>
                <w:sz w:val="22"/>
                <w:szCs w:val="22"/>
                <w:highlight w:val="none"/>
                <w:shd w:val="clear" w:color="auto" w:fill="auto"/>
              </w:rPr>
            </w:pPr>
            <w:r>
              <w:rPr>
                <w:rFonts w:hint="eastAsia" w:ascii="宋体" w:hAnsi="宋体" w:eastAsia="宋体" w:cs="宋体"/>
                <w:b/>
                <w:bCs/>
                <w:color w:val="auto"/>
                <w:kern w:val="0"/>
                <w:sz w:val="22"/>
                <w:szCs w:val="22"/>
                <w:highlight w:val="none"/>
                <w:shd w:val="clear" w:color="auto" w:fill="auto"/>
              </w:rPr>
              <w:t>一级指标</w:t>
            </w:r>
          </w:p>
        </w:tc>
        <w:tc>
          <w:tcPr>
            <w:tcW w:w="727" w:type="dxa"/>
            <w:shd w:val="clear" w:color="auto" w:fill="auto"/>
            <w:noWrap w:val="0"/>
            <w:vAlign w:val="center"/>
          </w:tcPr>
          <w:p w14:paraId="5A493FE5">
            <w:pPr>
              <w:widowControl/>
              <w:spacing w:line="0" w:lineRule="atLeast"/>
              <w:ind w:firstLine="0" w:firstLineChars="0"/>
              <w:jc w:val="center"/>
              <w:rPr>
                <w:rFonts w:ascii="宋体" w:hAnsi="宋体" w:eastAsia="宋体" w:cs="宋体"/>
                <w:b/>
                <w:bCs/>
                <w:color w:val="auto"/>
                <w:kern w:val="0"/>
                <w:sz w:val="22"/>
                <w:szCs w:val="22"/>
                <w:highlight w:val="none"/>
                <w:shd w:val="clear" w:color="auto" w:fill="auto"/>
              </w:rPr>
            </w:pPr>
            <w:r>
              <w:rPr>
                <w:rFonts w:hint="eastAsia" w:ascii="宋体" w:hAnsi="宋体" w:eastAsia="宋体" w:cs="宋体"/>
                <w:b/>
                <w:bCs/>
                <w:color w:val="auto"/>
                <w:kern w:val="0"/>
                <w:sz w:val="22"/>
                <w:szCs w:val="22"/>
                <w:highlight w:val="none"/>
                <w:shd w:val="clear" w:color="auto" w:fill="auto"/>
              </w:rPr>
              <w:t>二级指标</w:t>
            </w:r>
          </w:p>
        </w:tc>
        <w:tc>
          <w:tcPr>
            <w:tcW w:w="820" w:type="dxa"/>
            <w:shd w:val="clear" w:color="auto" w:fill="auto"/>
            <w:noWrap w:val="0"/>
            <w:vAlign w:val="center"/>
          </w:tcPr>
          <w:p w14:paraId="1785A558">
            <w:pPr>
              <w:widowControl/>
              <w:spacing w:line="0" w:lineRule="atLeast"/>
              <w:ind w:firstLine="0" w:firstLineChars="0"/>
              <w:jc w:val="center"/>
              <w:rPr>
                <w:rFonts w:ascii="宋体" w:hAnsi="宋体" w:eastAsia="宋体" w:cs="宋体"/>
                <w:b/>
                <w:bCs/>
                <w:color w:val="auto"/>
                <w:kern w:val="0"/>
                <w:sz w:val="22"/>
                <w:szCs w:val="22"/>
                <w:highlight w:val="none"/>
                <w:shd w:val="clear" w:color="auto" w:fill="auto"/>
              </w:rPr>
            </w:pPr>
            <w:r>
              <w:rPr>
                <w:rFonts w:hint="eastAsia" w:ascii="宋体" w:hAnsi="宋体" w:eastAsia="宋体" w:cs="宋体"/>
                <w:b/>
                <w:bCs/>
                <w:color w:val="auto"/>
                <w:kern w:val="0"/>
                <w:sz w:val="22"/>
                <w:szCs w:val="22"/>
                <w:highlight w:val="none"/>
                <w:shd w:val="clear" w:color="auto" w:fill="auto"/>
              </w:rPr>
              <w:t>三级指标</w:t>
            </w:r>
          </w:p>
        </w:tc>
        <w:tc>
          <w:tcPr>
            <w:tcW w:w="2141" w:type="dxa"/>
            <w:shd w:val="clear" w:color="auto" w:fill="auto"/>
            <w:noWrap w:val="0"/>
            <w:vAlign w:val="center"/>
          </w:tcPr>
          <w:p w14:paraId="21DD3757">
            <w:pPr>
              <w:widowControl/>
              <w:spacing w:line="0" w:lineRule="atLeast"/>
              <w:ind w:firstLine="0" w:firstLineChars="0"/>
              <w:jc w:val="center"/>
              <w:rPr>
                <w:rFonts w:ascii="宋体" w:hAnsi="宋体" w:eastAsia="宋体" w:cs="宋体"/>
                <w:b/>
                <w:bCs/>
                <w:color w:val="auto"/>
                <w:kern w:val="0"/>
                <w:sz w:val="22"/>
                <w:szCs w:val="22"/>
                <w:highlight w:val="none"/>
                <w:shd w:val="clear" w:color="auto" w:fill="auto"/>
              </w:rPr>
            </w:pPr>
            <w:r>
              <w:rPr>
                <w:rFonts w:hint="eastAsia" w:ascii="宋体" w:hAnsi="宋体" w:eastAsia="宋体" w:cs="宋体"/>
                <w:b/>
                <w:bCs/>
                <w:color w:val="auto"/>
                <w:kern w:val="0"/>
                <w:sz w:val="22"/>
                <w:szCs w:val="22"/>
                <w:highlight w:val="none"/>
                <w:shd w:val="clear" w:color="auto" w:fill="auto"/>
              </w:rPr>
              <w:t>指标解释</w:t>
            </w:r>
          </w:p>
        </w:tc>
        <w:tc>
          <w:tcPr>
            <w:tcW w:w="7821" w:type="dxa"/>
            <w:shd w:val="clear" w:color="auto" w:fill="auto"/>
            <w:noWrap w:val="0"/>
            <w:vAlign w:val="center"/>
          </w:tcPr>
          <w:p w14:paraId="18A06B19">
            <w:pPr>
              <w:widowControl/>
              <w:spacing w:line="0" w:lineRule="atLeast"/>
              <w:ind w:firstLine="0" w:firstLineChars="0"/>
              <w:jc w:val="center"/>
              <w:rPr>
                <w:rFonts w:ascii="宋体" w:hAnsi="宋体" w:eastAsia="宋体" w:cs="宋体"/>
                <w:b/>
                <w:bCs/>
                <w:color w:val="auto"/>
                <w:kern w:val="0"/>
                <w:sz w:val="22"/>
                <w:szCs w:val="22"/>
                <w:highlight w:val="none"/>
                <w:shd w:val="clear" w:color="auto" w:fill="auto"/>
              </w:rPr>
            </w:pPr>
            <w:r>
              <w:rPr>
                <w:rFonts w:hint="eastAsia" w:ascii="宋体" w:hAnsi="宋体" w:eastAsia="宋体" w:cs="宋体"/>
                <w:b/>
                <w:bCs/>
                <w:color w:val="auto"/>
                <w:kern w:val="0"/>
                <w:sz w:val="22"/>
                <w:szCs w:val="22"/>
                <w:highlight w:val="none"/>
                <w:shd w:val="clear" w:color="auto" w:fill="auto"/>
              </w:rPr>
              <w:t>指标说明</w:t>
            </w:r>
          </w:p>
        </w:tc>
        <w:tc>
          <w:tcPr>
            <w:tcW w:w="785" w:type="dxa"/>
            <w:shd w:val="clear" w:color="auto" w:fill="auto"/>
            <w:noWrap w:val="0"/>
            <w:vAlign w:val="center"/>
          </w:tcPr>
          <w:p w14:paraId="50DFB559">
            <w:pPr>
              <w:widowControl/>
              <w:spacing w:line="0" w:lineRule="atLeast"/>
              <w:ind w:firstLine="0" w:firstLineChars="0"/>
              <w:jc w:val="center"/>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分值</w:t>
            </w:r>
          </w:p>
        </w:tc>
        <w:tc>
          <w:tcPr>
            <w:tcW w:w="769" w:type="dxa"/>
            <w:shd w:val="clear" w:color="auto" w:fill="auto"/>
            <w:noWrap w:val="0"/>
            <w:vAlign w:val="center"/>
          </w:tcPr>
          <w:p w14:paraId="263A3A18">
            <w:pPr>
              <w:widowControl/>
              <w:spacing w:line="0" w:lineRule="atLeast"/>
              <w:ind w:firstLine="0" w:firstLineChars="0"/>
              <w:jc w:val="center"/>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得分</w:t>
            </w:r>
          </w:p>
        </w:tc>
      </w:tr>
      <w:tr w14:paraId="0CDABF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FEB7EFD">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决策　</w:t>
            </w:r>
          </w:p>
          <w:p w14:paraId="44B47BD1">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　</w:t>
            </w:r>
          </w:p>
          <w:p w14:paraId="1D9C947B">
            <w:pPr>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　</w:t>
            </w:r>
          </w:p>
        </w:tc>
        <w:tc>
          <w:tcPr>
            <w:tcW w:w="727" w:type="dxa"/>
            <w:vMerge w:val="restart"/>
            <w:shd w:val="clear" w:color="auto" w:fill="auto"/>
            <w:noWrap w:val="0"/>
            <w:vAlign w:val="center"/>
          </w:tcPr>
          <w:p w14:paraId="57EF9A33">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项目立项　</w:t>
            </w:r>
          </w:p>
        </w:tc>
        <w:tc>
          <w:tcPr>
            <w:tcW w:w="820" w:type="dxa"/>
            <w:shd w:val="clear" w:color="auto" w:fill="auto"/>
            <w:noWrap w:val="0"/>
            <w:vAlign w:val="center"/>
          </w:tcPr>
          <w:p w14:paraId="1BE825A7">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立项依据</w:t>
            </w:r>
          </w:p>
          <w:p w14:paraId="1C9443BB">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充分性</w:t>
            </w:r>
          </w:p>
        </w:tc>
        <w:tc>
          <w:tcPr>
            <w:tcW w:w="2141" w:type="dxa"/>
            <w:shd w:val="clear" w:color="auto" w:fill="auto"/>
            <w:noWrap w:val="0"/>
            <w:vAlign w:val="center"/>
          </w:tcPr>
          <w:p w14:paraId="4E6FA465">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项目立项是否符合法律法规、相关政策、发展规划以及部门职责，用以反映和考核项目立项依据情况。</w:t>
            </w:r>
          </w:p>
        </w:tc>
        <w:tc>
          <w:tcPr>
            <w:tcW w:w="7821" w:type="dxa"/>
            <w:shd w:val="clear" w:color="auto" w:fill="auto"/>
            <w:noWrap w:val="0"/>
            <w:vAlign w:val="center"/>
          </w:tcPr>
          <w:p w14:paraId="40E5FC58">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评价要点：</w:t>
            </w:r>
          </w:p>
          <w:p w14:paraId="61187D6B">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①项目立项是否符合国家法律法规、国民经济发展规划和相关政策；</w:t>
            </w:r>
          </w:p>
          <w:p w14:paraId="6C32D04A">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②项目立项是否符合行业发展规划和政策要求；</w:t>
            </w:r>
          </w:p>
          <w:p w14:paraId="3B6B8B94">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③项目立项是否与部门职责范围相符，属于部门履职所需；</w:t>
            </w:r>
          </w:p>
          <w:p w14:paraId="6E46A8B1">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④项目是否属于公共财政支持范围，是否符合中央、地方事权支出责任划分原则；</w:t>
            </w:r>
          </w:p>
          <w:p w14:paraId="1322AB4E">
            <w:pPr>
              <w:widowControl/>
              <w:spacing w:line="0" w:lineRule="atLeast"/>
              <w:ind w:firstLine="0" w:firstLineChars="0"/>
              <w:jc w:val="left"/>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⑤项目是否与相关部门同类项目或部门内部相关项目重复。</w:t>
            </w:r>
          </w:p>
        </w:tc>
        <w:tc>
          <w:tcPr>
            <w:tcW w:w="785" w:type="dxa"/>
            <w:shd w:val="clear" w:color="auto" w:fill="auto"/>
            <w:noWrap w:val="0"/>
            <w:vAlign w:val="center"/>
          </w:tcPr>
          <w:p w14:paraId="154113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7F8F597">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2</w:t>
            </w:r>
          </w:p>
        </w:tc>
      </w:tr>
      <w:tr w14:paraId="0A6AD8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1CFC8A36">
            <w:pPr>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vMerge w:val="continue"/>
            <w:shd w:val="clear" w:color="auto" w:fill="auto"/>
            <w:noWrap w:val="0"/>
            <w:vAlign w:val="center"/>
          </w:tcPr>
          <w:p w14:paraId="09827D90">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820" w:type="dxa"/>
            <w:shd w:val="clear" w:color="auto" w:fill="auto"/>
            <w:noWrap w:val="0"/>
            <w:vAlign w:val="center"/>
          </w:tcPr>
          <w:p w14:paraId="525F2E5E">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立项程序</w:t>
            </w:r>
          </w:p>
          <w:p w14:paraId="36642F10">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规范性</w:t>
            </w:r>
          </w:p>
        </w:tc>
        <w:tc>
          <w:tcPr>
            <w:tcW w:w="2141" w:type="dxa"/>
            <w:shd w:val="clear" w:color="auto" w:fill="auto"/>
            <w:noWrap w:val="0"/>
            <w:vAlign w:val="center"/>
          </w:tcPr>
          <w:p w14:paraId="30872249">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项目申请、设立过程是否符合相关要求，用以反映和考核项目立项的规范情况。</w:t>
            </w:r>
          </w:p>
        </w:tc>
        <w:tc>
          <w:tcPr>
            <w:tcW w:w="7821" w:type="dxa"/>
            <w:shd w:val="clear" w:color="auto" w:fill="auto"/>
            <w:noWrap w:val="0"/>
            <w:vAlign w:val="center"/>
          </w:tcPr>
          <w:p w14:paraId="606D41CC">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评价要点：</w:t>
            </w:r>
          </w:p>
          <w:p w14:paraId="735220DF">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①项目是否按照规定的程序申请设立；</w:t>
            </w:r>
          </w:p>
          <w:p w14:paraId="40CA516A">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②审批文件、材料是否符合相关要求；</w:t>
            </w:r>
          </w:p>
          <w:p w14:paraId="0F4EAB0A">
            <w:pPr>
              <w:widowControl/>
              <w:spacing w:line="0" w:lineRule="atLeast"/>
              <w:ind w:firstLine="0" w:firstLineChars="0"/>
              <w:jc w:val="left"/>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③事前是否已经过必要的可行性研究、专家论证、风险评估、绩效评估、集体决策。</w:t>
            </w:r>
          </w:p>
        </w:tc>
        <w:tc>
          <w:tcPr>
            <w:tcW w:w="785" w:type="dxa"/>
            <w:shd w:val="clear" w:color="auto" w:fill="auto"/>
            <w:noWrap w:val="0"/>
            <w:vAlign w:val="center"/>
          </w:tcPr>
          <w:p w14:paraId="48C8AD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C8C5F76">
            <w:pPr>
              <w:widowControl/>
              <w:spacing w:line="0" w:lineRule="atLeast"/>
              <w:ind w:firstLine="0" w:firstLineChars="0"/>
              <w:jc w:val="left"/>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2.2</w:t>
            </w:r>
          </w:p>
        </w:tc>
      </w:tr>
      <w:tr w14:paraId="4FE9AE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3F46F1CF">
            <w:pPr>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shd w:val="clear" w:color="auto" w:fill="auto"/>
            <w:noWrap w:val="0"/>
            <w:vAlign w:val="center"/>
          </w:tcPr>
          <w:p w14:paraId="6D6A71D1">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绩效目标　</w:t>
            </w:r>
          </w:p>
        </w:tc>
        <w:tc>
          <w:tcPr>
            <w:tcW w:w="820" w:type="dxa"/>
            <w:shd w:val="clear" w:color="auto" w:fill="auto"/>
            <w:noWrap w:val="0"/>
            <w:vAlign w:val="center"/>
          </w:tcPr>
          <w:p w14:paraId="3809DB6A">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绩效目标</w:t>
            </w:r>
          </w:p>
          <w:p w14:paraId="7C006D4F">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合理性</w:t>
            </w:r>
          </w:p>
        </w:tc>
        <w:tc>
          <w:tcPr>
            <w:tcW w:w="2141" w:type="dxa"/>
            <w:shd w:val="clear" w:color="auto" w:fill="auto"/>
            <w:noWrap w:val="0"/>
            <w:vAlign w:val="center"/>
          </w:tcPr>
          <w:p w14:paraId="21B932BF">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15C67814">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评价要点：</w:t>
            </w:r>
          </w:p>
          <w:p w14:paraId="38893DCA">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（如未设定预算绩效目标，也可考核其他工作任务目标）</w:t>
            </w:r>
          </w:p>
          <w:p w14:paraId="5A623B98">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①项目是否有绩效目标；</w:t>
            </w:r>
          </w:p>
          <w:p w14:paraId="5E516439">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②项目绩效目标与实际工作内容是否具有相关性；</w:t>
            </w:r>
          </w:p>
          <w:p w14:paraId="129C1DBE">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③项目预期产出效益和效果是否符合正常的业绩水平；</w:t>
            </w:r>
          </w:p>
          <w:p w14:paraId="0570AD40">
            <w:pPr>
              <w:widowControl/>
              <w:spacing w:line="0" w:lineRule="atLeast"/>
              <w:ind w:firstLine="0" w:firstLineChars="0"/>
              <w:jc w:val="left"/>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④是否与预算确定的项目投资额或资金量相匹配。</w:t>
            </w:r>
          </w:p>
        </w:tc>
        <w:tc>
          <w:tcPr>
            <w:tcW w:w="785" w:type="dxa"/>
            <w:shd w:val="clear" w:color="auto" w:fill="auto"/>
            <w:noWrap w:val="0"/>
            <w:vAlign w:val="center"/>
          </w:tcPr>
          <w:p w14:paraId="7ECD1C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E80A5CA">
            <w:pPr>
              <w:widowControl/>
              <w:spacing w:line="0" w:lineRule="atLeast"/>
              <w:ind w:firstLine="0" w:firstLineChars="0"/>
              <w:jc w:val="left"/>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5</w:t>
            </w:r>
          </w:p>
        </w:tc>
      </w:tr>
      <w:tr w14:paraId="65337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7534180">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决策　</w:t>
            </w:r>
          </w:p>
        </w:tc>
        <w:tc>
          <w:tcPr>
            <w:tcW w:w="727" w:type="dxa"/>
            <w:shd w:val="clear" w:color="auto" w:fill="auto"/>
            <w:noWrap w:val="0"/>
            <w:vAlign w:val="center"/>
          </w:tcPr>
          <w:p w14:paraId="2FC829D2">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绩效目标</w:t>
            </w:r>
          </w:p>
        </w:tc>
        <w:tc>
          <w:tcPr>
            <w:tcW w:w="820" w:type="dxa"/>
            <w:shd w:val="clear" w:color="auto" w:fill="auto"/>
            <w:noWrap w:val="0"/>
            <w:vAlign w:val="center"/>
          </w:tcPr>
          <w:p w14:paraId="7981EAF0">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绩效指标</w:t>
            </w:r>
          </w:p>
          <w:p w14:paraId="6EEB9008">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明确性</w:t>
            </w:r>
          </w:p>
        </w:tc>
        <w:tc>
          <w:tcPr>
            <w:tcW w:w="2141" w:type="dxa"/>
            <w:shd w:val="clear" w:color="auto" w:fill="auto"/>
            <w:noWrap w:val="0"/>
            <w:vAlign w:val="center"/>
          </w:tcPr>
          <w:p w14:paraId="7FF707AF">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依据绩效目标设定的绩效指标是否清晰、细化、可衡量等，用以反映和考核项目绩效目标的明细化情况。</w:t>
            </w:r>
          </w:p>
        </w:tc>
        <w:tc>
          <w:tcPr>
            <w:tcW w:w="7821" w:type="dxa"/>
            <w:shd w:val="clear" w:color="auto" w:fill="auto"/>
            <w:noWrap w:val="0"/>
            <w:vAlign w:val="center"/>
          </w:tcPr>
          <w:p w14:paraId="0FD4F748">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评价要点：</w:t>
            </w:r>
          </w:p>
          <w:p w14:paraId="51C5A234">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①是否将项目绩效目标细化分解为具体的绩效指标；</w:t>
            </w:r>
          </w:p>
          <w:p w14:paraId="742B2894">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②是否通过清晰、可衡量的指标值予以体现；</w:t>
            </w:r>
          </w:p>
          <w:p w14:paraId="5631622D">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③是否与项目目标任务数或计划数相对应。</w:t>
            </w:r>
          </w:p>
          <w:p w14:paraId="0F759E4C">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p>
        </w:tc>
        <w:tc>
          <w:tcPr>
            <w:tcW w:w="785" w:type="dxa"/>
            <w:shd w:val="clear" w:color="auto" w:fill="auto"/>
            <w:noWrap w:val="0"/>
            <w:vAlign w:val="center"/>
          </w:tcPr>
          <w:p w14:paraId="07FE72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683998A">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5</w:t>
            </w:r>
          </w:p>
        </w:tc>
      </w:tr>
      <w:tr w14:paraId="5589FE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7F532266">
            <w:pPr>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vMerge w:val="restart"/>
            <w:shd w:val="clear" w:color="auto" w:fill="auto"/>
            <w:noWrap w:val="0"/>
            <w:vAlign w:val="center"/>
          </w:tcPr>
          <w:p w14:paraId="5849A589">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资金投入</w:t>
            </w:r>
          </w:p>
          <w:p w14:paraId="14642014">
            <w:pPr>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　</w:t>
            </w:r>
          </w:p>
        </w:tc>
        <w:tc>
          <w:tcPr>
            <w:tcW w:w="820" w:type="dxa"/>
            <w:shd w:val="clear" w:color="auto" w:fill="auto"/>
            <w:noWrap w:val="0"/>
            <w:vAlign w:val="center"/>
          </w:tcPr>
          <w:p w14:paraId="0F49AB0E">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预算编制</w:t>
            </w:r>
          </w:p>
          <w:p w14:paraId="0E61DA16">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科学性</w:t>
            </w:r>
          </w:p>
        </w:tc>
        <w:tc>
          <w:tcPr>
            <w:tcW w:w="2141" w:type="dxa"/>
            <w:shd w:val="clear" w:color="auto" w:fill="auto"/>
            <w:noWrap w:val="0"/>
            <w:vAlign w:val="center"/>
          </w:tcPr>
          <w:p w14:paraId="73580EBD">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72648978">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评价要点：</w:t>
            </w:r>
          </w:p>
          <w:p w14:paraId="00F19BDA">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①预算编制是否经过科学论证；</w:t>
            </w:r>
          </w:p>
          <w:p w14:paraId="1F74CD23">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②预算内容与项目内容是否匹配；</w:t>
            </w:r>
          </w:p>
          <w:p w14:paraId="7D7245EE">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③预算额度测算依据是否充分，是否按照标准编制；</w:t>
            </w:r>
          </w:p>
          <w:p w14:paraId="6FB29A33">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④预算确定的项目投资额或资金量是否与工作任务相匹配。</w:t>
            </w:r>
          </w:p>
        </w:tc>
        <w:tc>
          <w:tcPr>
            <w:tcW w:w="785" w:type="dxa"/>
            <w:shd w:val="clear" w:color="auto" w:fill="auto"/>
            <w:noWrap w:val="0"/>
            <w:vAlign w:val="center"/>
          </w:tcPr>
          <w:p w14:paraId="4693DA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22ED686D">
            <w:pPr>
              <w:widowControl/>
              <w:spacing w:line="0" w:lineRule="atLeast"/>
              <w:ind w:firstLine="0" w:firstLineChars="0"/>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2</w:t>
            </w:r>
          </w:p>
        </w:tc>
      </w:tr>
      <w:tr w14:paraId="6E2488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8A17126">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vMerge w:val="continue"/>
            <w:shd w:val="clear" w:color="auto" w:fill="auto"/>
            <w:noWrap w:val="0"/>
            <w:vAlign w:val="center"/>
          </w:tcPr>
          <w:p w14:paraId="0D082C71">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820" w:type="dxa"/>
            <w:shd w:val="clear" w:color="auto" w:fill="auto"/>
            <w:noWrap w:val="0"/>
            <w:vAlign w:val="center"/>
          </w:tcPr>
          <w:p w14:paraId="7F6A9AD5">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资金分配</w:t>
            </w:r>
          </w:p>
          <w:p w14:paraId="125F826C">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合理性</w:t>
            </w:r>
          </w:p>
        </w:tc>
        <w:tc>
          <w:tcPr>
            <w:tcW w:w="2141" w:type="dxa"/>
            <w:shd w:val="clear" w:color="auto" w:fill="auto"/>
            <w:noWrap w:val="0"/>
            <w:vAlign w:val="center"/>
          </w:tcPr>
          <w:p w14:paraId="6183B078">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7A87A388">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评价要点：</w:t>
            </w:r>
          </w:p>
          <w:p w14:paraId="5C22210D">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①预算资金分配依据是否充分；</w:t>
            </w:r>
          </w:p>
          <w:p w14:paraId="424418ED">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②资金分配额度是否合理，与项目单位或地方实际是否相适应。</w:t>
            </w:r>
          </w:p>
        </w:tc>
        <w:tc>
          <w:tcPr>
            <w:tcW w:w="785" w:type="dxa"/>
            <w:shd w:val="clear" w:color="auto" w:fill="auto"/>
            <w:noWrap w:val="0"/>
            <w:vAlign w:val="center"/>
          </w:tcPr>
          <w:p w14:paraId="46155E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72E1DD8">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3</w:t>
            </w:r>
          </w:p>
        </w:tc>
      </w:tr>
      <w:tr w14:paraId="33ECEC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79C7074A">
            <w:pPr>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过程</w:t>
            </w:r>
          </w:p>
        </w:tc>
        <w:tc>
          <w:tcPr>
            <w:tcW w:w="727" w:type="dxa"/>
            <w:vMerge w:val="restart"/>
            <w:shd w:val="clear" w:color="auto" w:fill="auto"/>
            <w:noWrap w:val="0"/>
            <w:vAlign w:val="center"/>
          </w:tcPr>
          <w:p w14:paraId="4DF9278E">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资金管理</w:t>
            </w:r>
          </w:p>
        </w:tc>
        <w:tc>
          <w:tcPr>
            <w:tcW w:w="820" w:type="dxa"/>
            <w:shd w:val="clear" w:color="auto" w:fill="auto"/>
            <w:noWrap w:val="0"/>
            <w:vAlign w:val="center"/>
          </w:tcPr>
          <w:p w14:paraId="6F90D5D7">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资金到位率</w:t>
            </w:r>
          </w:p>
        </w:tc>
        <w:tc>
          <w:tcPr>
            <w:tcW w:w="2141" w:type="dxa"/>
            <w:shd w:val="clear" w:color="auto" w:fill="auto"/>
            <w:noWrap w:val="0"/>
            <w:vAlign w:val="center"/>
          </w:tcPr>
          <w:p w14:paraId="60996BD8">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实际到位资金与预算资金的比率，用以反映和考核资金落实情况对项目实施的总体保障程度。</w:t>
            </w:r>
          </w:p>
        </w:tc>
        <w:tc>
          <w:tcPr>
            <w:tcW w:w="7821" w:type="dxa"/>
            <w:shd w:val="clear" w:color="auto" w:fill="auto"/>
            <w:noWrap w:val="0"/>
            <w:vAlign w:val="center"/>
          </w:tcPr>
          <w:p w14:paraId="70ADC5DC">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资金到位率=（实际到位资金/预算资金）×100%。</w:t>
            </w:r>
          </w:p>
          <w:p w14:paraId="36FC3B4D">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实际到位资金：一定时期（本年度或项目期）内落实到具体项目的资金。</w:t>
            </w:r>
          </w:p>
          <w:p w14:paraId="4697A0A0">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预算资金：一定时期（本年度或项目期）内预算安排到具体项目的资金。</w:t>
            </w:r>
          </w:p>
        </w:tc>
        <w:tc>
          <w:tcPr>
            <w:tcW w:w="785" w:type="dxa"/>
            <w:shd w:val="clear" w:color="auto" w:fill="auto"/>
            <w:noWrap w:val="0"/>
            <w:vAlign w:val="center"/>
          </w:tcPr>
          <w:p w14:paraId="365328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93EB9DA">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r>
      <w:tr w14:paraId="37177D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2FF5B21">
            <w:pPr>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727" w:type="dxa"/>
            <w:vMerge w:val="continue"/>
            <w:shd w:val="clear" w:color="auto" w:fill="auto"/>
            <w:noWrap w:val="0"/>
            <w:vAlign w:val="center"/>
          </w:tcPr>
          <w:p w14:paraId="55188651">
            <w:pPr>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820" w:type="dxa"/>
            <w:shd w:val="clear" w:color="auto" w:fill="auto"/>
            <w:noWrap w:val="0"/>
            <w:vAlign w:val="center"/>
          </w:tcPr>
          <w:p w14:paraId="23CD198F">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预算执行率</w:t>
            </w:r>
          </w:p>
        </w:tc>
        <w:tc>
          <w:tcPr>
            <w:tcW w:w="2141" w:type="dxa"/>
            <w:shd w:val="clear" w:color="auto" w:fill="auto"/>
            <w:noWrap w:val="0"/>
            <w:vAlign w:val="center"/>
          </w:tcPr>
          <w:p w14:paraId="1330CBBD">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项目预算资金是否按照计划执行，用以反映或考核项目预算执行情况。</w:t>
            </w:r>
          </w:p>
        </w:tc>
        <w:tc>
          <w:tcPr>
            <w:tcW w:w="7821" w:type="dxa"/>
            <w:shd w:val="clear" w:color="auto" w:fill="auto"/>
            <w:noWrap w:val="0"/>
            <w:vAlign w:val="center"/>
          </w:tcPr>
          <w:p w14:paraId="69885A34">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预算执行率=（实际支出资金/实际到位资金）×100%。</w:t>
            </w:r>
          </w:p>
          <w:p w14:paraId="70AEFFAB">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实际支出资金：一定时期（本年度或项目期）内项目实际拨付的资金。</w:t>
            </w:r>
          </w:p>
        </w:tc>
        <w:tc>
          <w:tcPr>
            <w:tcW w:w="785" w:type="dxa"/>
            <w:shd w:val="clear" w:color="auto" w:fill="auto"/>
            <w:noWrap w:val="0"/>
            <w:vAlign w:val="center"/>
          </w:tcPr>
          <w:p w14:paraId="5E07F0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1D23093">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r>
      <w:tr w14:paraId="78A458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69373D57">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　</w:t>
            </w:r>
          </w:p>
          <w:p w14:paraId="28011529">
            <w:pPr>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过程　</w:t>
            </w:r>
          </w:p>
        </w:tc>
        <w:tc>
          <w:tcPr>
            <w:tcW w:w="727" w:type="dxa"/>
            <w:shd w:val="clear" w:color="auto" w:fill="auto"/>
            <w:noWrap w:val="0"/>
            <w:vAlign w:val="center"/>
          </w:tcPr>
          <w:p w14:paraId="6DEDD8B1">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资金管理</w:t>
            </w:r>
          </w:p>
        </w:tc>
        <w:tc>
          <w:tcPr>
            <w:tcW w:w="820" w:type="dxa"/>
            <w:shd w:val="clear" w:color="auto" w:fill="auto"/>
            <w:noWrap w:val="0"/>
            <w:vAlign w:val="center"/>
          </w:tcPr>
          <w:p w14:paraId="55BEFE3F">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资金使用</w:t>
            </w:r>
          </w:p>
          <w:p w14:paraId="259AEDB6">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合规性</w:t>
            </w:r>
          </w:p>
        </w:tc>
        <w:tc>
          <w:tcPr>
            <w:tcW w:w="2141" w:type="dxa"/>
            <w:shd w:val="clear" w:color="auto" w:fill="auto"/>
            <w:noWrap w:val="0"/>
            <w:vAlign w:val="center"/>
          </w:tcPr>
          <w:p w14:paraId="4EB01377">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项目资金使用是否符合相关的财务管理制度规定，用以反映和考核项目资金的规范运行情况。</w:t>
            </w:r>
          </w:p>
        </w:tc>
        <w:tc>
          <w:tcPr>
            <w:tcW w:w="7821" w:type="dxa"/>
            <w:shd w:val="clear" w:color="auto" w:fill="auto"/>
            <w:noWrap w:val="0"/>
            <w:vAlign w:val="center"/>
          </w:tcPr>
          <w:p w14:paraId="3941DE9C">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评价要点：</w:t>
            </w:r>
          </w:p>
          <w:p w14:paraId="6DA93A2A">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①是否符合国家财经法规和财务管理制度以及有关专项资金管理办法的规定；</w:t>
            </w:r>
          </w:p>
          <w:p w14:paraId="533CACAA">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②资金的拨付是否有完整的审批程序和手续；</w:t>
            </w:r>
          </w:p>
          <w:p w14:paraId="26B7868F">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③是否符合项目预算批复或合同规定的用途；</w:t>
            </w:r>
          </w:p>
          <w:p w14:paraId="09A4E408">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④是否存在截留、挤占、挪用、虚列支出等情况。</w:t>
            </w:r>
          </w:p>
        </w:tc>
        <w:tc>
          <w:tcPr>
            <w:tcW w:w="785" w:type="dxa"/>
            <w:shd w:val="clear" w:color="auto" w:fill="auto"/>
            <w:noWrap w:val="0"/>
            <w:vAlign w:val="center"/>
          </w:tcPr>
          <w:p w14:paraId="2F796A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3CA59B3">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r>
      <w:tr w14:paraId="276AF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14DCD252">
            <w:pPr>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vMerge w:val="restart"/>
            <w:shd w:val="clear" w:color="auto" w:fill="auto"/>
            <w:noWrap w:val="0"/>
            <w:vAlign w:val="center"/>
          </w:tcPr>
          <w:p w14:paraId="3F1DAD6D">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组织实施</w:t>
            </w:r>
          </w:p>
          <w:p w14:paraId="65438948">
            <w:pPr>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　</w:t>
            </w:r>
          </w:p>
        </w:tc>
        <w:tc>
          <w:tcPr>
            <w:tcW w:w="820" w:type="dxa"/>
            <w:shd w:val="clear" w:color="auto" w:fill="auto"/>
            <w:noWrap w:val="0"/>
            <w:vAlign w:val="center"/>
          </w:tcPr>
          <w:p w14:paraId="39EAFA63">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管理制度</w:t>
            </w:r>
          </w:p>
          <w:p w14:paraId="7F528C05">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健全性</w:t>
            </w:r>
          </w:p>
        </w:tc>
        <w:tc>
          <w:tcPr>
            <w:tcW w:w="2141" w:type="dxa"/>
            <w:shd w:val="clear" w:color="auto" w:fill="auto"/>
            <w:noWrap w:val="0"/>
            <w:vAlign w:val="center"/>
          </w:tcPr>
          <w:p w14:paraId="66D946D2">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144C5F57">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评价要点：</w:t>
            </w:r>
          </w:p>
          <w:p w14:paraId="2DE678F8">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①是否已制定或具有相应的财务和业务管理制度；</w:t>
            </w:r>
          </w:p>
          <w:p w14:paraId="7753673F">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②财务和业务管理制度是否合法、合规、完整。</w:t>
            </w:r>
          </w:p>
        </w:tc>
        <w:tc>
          <w:tcPr>
            <w:tcW w:w="785" w:type="dxa"/>
            <w:shd w:val="clear" w:color="auto" w:fill="auto"/>
            <w:noWrap w:val="0"/>
            <w:vAlign w:val="center"/>
          </w:tcPr>
          <w:p w14:paraId="463543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7BFA505">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r>
      <w:tr w14:paraId="1CCB57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1B4B3504">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vMerge w:val="continue"/>
            <w:shd w:val="clear" w:color="auto" w:fill="auto"/>
            <w:noWrap w:val="0"/>
            <w:vAlign w:val="center"/>
          </w:tcPr>
          <w:p w14:paraId="4789AA64">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820" w:type="dxa"/>
            <w:shd w:val="clear" w:color="auto" w:fill="auto"/>
            <w:noWrap w:val="0"/>
            <w:vAlign w:val="center"/>
          </w:tcPr>
          <w:p w14:paraId="3B60DEA2">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制度执行</w:t>
            </w:r>
          </w:p>
          <w:p w14:paraId="549768D3">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有效性</w:t>
            </w:r>
          </w:p>
        </w:tc>
        <w:tc>
          <w:tcPr>
            <w:tcW w:w="2141" w:type="dxa"/>
            <w:shd w:val="clear" w:color="auto" w:fill="auto"/>
            <w:noWrap w:val="0"/>
            <w:vAlign w:val="center"/>
          </w:tcPr>
          <w:p w14:paraId="329F6472">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项目实施是否符合相关管理规定，用以反映和考核相关管理制度的有效执行情况。</w:t>
            </w:r>
          </w:p>
        </w:tc>
        <w:tc>
          <w:tcPr>
            <w:tcW w:w="7821" w:type="dxa"/>
            <w:shd w:val="clear" w:color="auto" w:fill="auto"/>
            <w:noWrap w:val="0"/>
            <w:vAlign w:val="center"/>
          </w:tcPr>
          <w:p w14:paraId="7C1ACDAF">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评价要点：</w:t>
            </w:r>
          </w:p>
          <w:p w14:paraId="7ADEB52A">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①是否遵守相关法律法规和相关管理规定；</w:t>
            </w:r>
          </w:p>
          <w:p w14:paraId="14906FEF">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②项目调整及支出调整手续是否完备；</w:t>
            </w:r>
          </w:p>
          <w:p w14:paraId="25554461">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③项目合同书、验收报告、技术鉴定等资料是否齐全并及时归档；</w:t>
            </w:r>
          </w:p>
          <w:p w14:paraId="2D85613D">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④项目实施的人员条件、场地设备、信息支撑等是否落实到位。</w:t>
            </w:r>
          </w:p>
          <w:p w14:paraId="44229176">
            <w:pPr>
              <w:pStyle w:val="2"/>
              <w:spacing w:before="0" w:after="0" w:line="240" w:lineRule="auto"/>
              <w:ind w:firstLine="0" w:firstLineChars="0"/>
              <w:rPr>
                <w:color w:val="auto"/>
                <w:highlight w:val="none"/>
                <w:shd w:val="clear" w:color="auto" w:fill="auto"/>
              </w:rPr>
            </w:pPr>
          </w:p>
        </w:tc>
        <w:tc>
          <w:tcPr>
            <w:tcW w:w="785" w:type="dxa"/>
            <w:shd w:val="clear" w:color="auto" w:fill="auto"/>
            <w:noWrap w:val="0"/>
            <w:vAlign w:val="center"/>
          </w:tcPr>
          <w:p w14:paraId="58B22B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1BF5EBD">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r>
      <w:tr w14:paraId="3322EB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0" w:hRule="atLeast"/>
          <w:jc w:val="center"/>
        </w:trPr>
        <w:tc>
          <w:tcPr>
            <w:tcW w:w="861" w:type="dxa"/>
            <w:vMerge w:val="restart"/>
            <w:shd w:val="clear" w:color="auto" w:fill="auto"/>
            <w:noWrap w:val="0"/>
            <w:vAlign w:val="center"/>
          </w:tcPr>
          <w:p w14:paraId="4CD1A3A4">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产出</w:t>
            </w:r>
          </w:p>
        </w:tc>
        <w:tc>
          <w:tcPr>
            <w:tcW w:w="727" w:type="dxa"/>
            <w:vMerge w:val="restart"/>
            <w:shd w:val="clear" w:color="auto" w:fill="auto"/>
            <w:noWrap w:val="0"/>
            <w:vAlign w:val="center"/>
          </w:tcPr>
          <w:p w14:paraId="3E294356">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数量</w:t>
            </w:r>
            <w:r>
              <w:rPr>
                <w:rFonts w:hint="eastAsia" w:cs="宋体"/>
                <w:color w:val="auto"/>
                <w:kern w:val="0"/>
                <w:sz w:val="22"/>
                <w:szCs w:val="22"/>
                <w:highlight w:val="none"/>
                <w:shd w:val="clear" w:color="auto" w:fill="auto"/>
                <w:lang w:eastAsia="zh-CN"/>
              </w:rPr>
              <w:t>指标</w:t>
            </w:r>
          </w:p>
        </w:tc>
        <w:tc>
          <w:tcPr>
            <w:tcW w:w="820" w:type="dxa"/>
            <w:tcBorders>
              <w:bottom w:val="single" w:color="auto" w:sz="4" w:space="0"/>
            </w:tcBorders>
            <w:shd w:val="clear" w:color="auto" w:fill="auto"/>
            <w:noWrap w:val="0"/>
            <w:vAlign w:val="center"/>
          </w:tcPr>
          <w:p w14:paraId="5BE9A664">
            <w:pPr>
              <w:widowControl/>
              <w:spacing w:line="240" w:lineRule="auto"/>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全民健康体检人数</w:t>
            </w:r>
          </w:p>
        </w:tc>
        <w:tc>
          <w:tcPr>
            <w:tcW w:w="2141" w:type="dxa"/>
            <w:vMerge w:val="restart"/>
            <w:shd w:val="clear" w:color="auto" w:fill="auto"/>
            <w:noWrap w:val="0"/>
            <w:vAlign w:val="center"/>
          </w:tcPr>
          <w:p w14:paraId="62B93763">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项目实施的实际产出数与计划产出数的比率，用以反映和考核项目产出数量目标的实现程度。</w:t>
            </w:r>
          </w:p>
        </w:tc>
        <w:tc>
          <w:tcPr>
            <w:tcW w:w="7821" w:type="dxa"/>
            <w:vMerge w:val="restart"/>
            <w:shd w:val="clear" w:color="auto" w:fill="auto"/>
            <w:noWrap w:val="0"/>
            <w:vAlign w:val="center"/>
          </w:tcPr>
          <w:p w14:paraId="0399F00A">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实际完成率=（实际产出数/计划产出数）×100%。</w:t>
            </w:r>
          </w:p>
          <w:p w14:paraId="4F9260ED">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实际产出数：一定时期（本年度或项目期）内项目实际产出的产品或提供的服务数量。</w:t>
            </w:r>
          </w:p>
          <w:p w14:paraId="58C67A6B">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计划产出数：项目绩效目标确定的在一定时期（本年度或项目期）内计划产出的产品或提供的服务数量。</w:t>
            </w:r>
          </w:p>
        </w:tc>
        <w:tc>
          <w:tcPr>
            <w:tcW w:w="785" w:type="dxa"/>
            <w:vMerge w:val="restart"/>
            <w:shd w:val="clear" w:color="auto" w:fill="auto"/>
            <w:noWrap w:val="0"/>
            <w:vAlign w:val="center"/>
          </w:tcPr>
          <w:p w14:paraId="1C2323A4">
            <w:pPr>
              <w:widowControl/>
              <w:spacing w:line="0" w:lineRule="atLeast"/>
              <w:ind w:firstLine="0" w:firstLineChars="0"/>
              <w:jc w:val="center"/>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11</w:t>
            </w:r>
          </w:p>
        </w:tc>
        <w:tc>
          <w:tcPr>
            <w:tcW w:w="769" w:type="dxa"/>
            <w:vMerge w:val="restart"/>
            <w:shd w:val="clear" w:color="auto" w:fill="auto"/>
            <w:noWrap w:val="0"/>
            <w:vAlign w:val="center"/>
          </w:tcPr>
          <w:p w14:paraId="3568E02F">
            <w:pPr>
              <w:widowControl/>
              <w:spacing w:line="0" w:lineRule="atLeast"/>
              <w:ind w:firstLine="0" w:firstLineChars="0"/>
              <w:jc w:val="center"/>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11</w:t>
            </w:r>
          </w:p>
        </w:tc>
      </w:tr>
      <w:tr w14:paraId="44B66E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80" w:hRule="atLeast"/>
          <w:jc w:val="center"/>
        </w:trPr>
        <w:tc>
          <w:tcPr>
            <w:tcW w:w="861" w:type="dxa"/>
            <w:vMerge w:val="continue"/>
            <w:shd w:val="clear" w:color="auto" w:fill="auto"/>
            <w:noWrap w:val="0"/>
            <w:vAlign w:val="center"/>
          </w:tcPr>
          <w:p w14:paraId="2AD8007C">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eastAsia="zh-CN"/>
              </w:rPr>
            </w:pPr>
            <w:r>
              <w:rPr>
                <w:rFonts w:hint="eastAsia" w:cs="宋体"/>
                <w:color w:val="auto"/>
                <w:kern w:val="0"/>
                <w:sz w:val="22"/>
                <w:szCs w:val="22"/>
                <w:highlight w:val="none"/>
                <w:shd w:val="clear" w:color="auto" w:fill="auto"/>
                <w:lang w:eastAsia="zh-CN"/>
              </w:rPr>
              <w:t>2</w:t>
            </w:r>
          </w:p>
        </w:tc>
        <w:tc>
          <w:tcPr>
            <w:tcW w:w="727" w:type="dxa"/>
            <w:vMerge w:val="continue"/>
            <w:shd w:val="clear" w:color="auto" w:fill="auto"/>
            <w:noWrap w:val="0"/>
            <w:vAlign w:val="center"/>
          </w:tcPr>
          <w:p w14:paraId="4ADF0396">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820" w:type="dxa"/>
            <w:tcBorders>
              <w:top w:val="single" w:color="auto" w:sz="4" w:space="0"/>
              <w:bottom w:val="single" w:color="auto" w:sz="4" w:space="0"/>
            </w:tcBorders>
            <w:shd w:val="clear" w:color="auto" w:fill="auto"/>
            <w:noWrap w:val="0"/>
            <w:vAlign w:val="center"/>
          </w:tcPr>
          <w:p w14:paraId="2EDB7C49">
            <w:pPr>
              <w:widowControl/>
              <w:spacing w:line="240" w:lineRule="auto"/>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15-64周岁人员</w:t>
            </w:r>
          </w:p>
        </w:tc>
        <w:tc>
          <w:tcPr>
            <w:tcW w:w="2141" w:type="dxa"/>
            <w:vMerge w:val="continue"/>
            <w:shd w:val="clear" w:color="auto" w:fill="auto"/>
            <w:noWrap w:val="0"/>
            <w:vAlign w:val="center"/>
          </w:tcPr>
          <w:p w14:paraId="6AAED1F5">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21" w:type="dxa"/>
            <w:vMerge w:val="continue"/>
            <w:shd w:val="clear" w:color="auto" w:fill="auto"/>
            <w:noWrap w:val="0"/>
            <w:vAlign w:val="center"/>
          </w:tcPr>
          <w:p w14:paraId="7A72AD2E">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5" w:type="dxa"/>
            <w:vMerge w:val="continue"/>
            <w:shd w:val="clear" w:color="auto" w:fill="auto"/>
            <w:noWrap w:val="0"/>
            <w:vAlign w:val="center"/>
          </w:tcPr>
          <w:p w14:paraId="6656E7E7">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c>
          <w:tcPr>
            <w:tcW w:w="769" w:type="dxa"/>
            <w:vMerge w:val="continue"/>
            <w:shd w:val="clear" w:color="auto" w:fill="auto"/>
            <w:noWrap w:val="0"/>
            <w:vAlign w:val="center"/>
          </w:tcPr>
          <w:p w14:paraId="37F6EC38">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r>
      <w:tr w14:paraId="43965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42" w:hRule="atLeast"/>
          <w:jc w:val="center"/>
        </w:trPr>
        <w:tc>
          <w:tcPr>
            <w:tcW w:w="861" w:type="dxa"/>
            <w:vMerge w:val="continue"/>
            <w:shd w:val="clear" w:color="auto" w:fill="auto"/>
            <w:noWrap w:val="0"/>
            <w:vAlign w:val="center"/>
          </w:tcPr>
          <w:p w14:paraId="6F2BC82D">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727" w:type="dxa"/>
            <w:vMerge w:val="continue"/>
            <w:shd w:val="clear" w:color="auto" w:fill="auto"/>
            <w:noWrap w:val="0"/>
            <w:vAlign w:val="center"/>
          </w:tcPr>
          <w:p w14:paraId="2F0CDCCB">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820" w:type="dxa"/>
            <w:tcBorders>
              <w:top w:val="single" w:color="auto" w:sz="4" w:space="0"/>
              <w:bottom w:val="single" w:color="auto" w:sz="4" w:space="0"/>
            </w:tcBorders>
            <w:shd w:val="clear" w:color="auto" w:fill="auto"/>
            <w:noWrap w:val="0"/>
            <w:vAlign w:val="center"/>
          </w:tcPr>
          <w:p w14:paraId="7761103E">
            <w:pPr>
              <w:widowControl/>
              <w:spacing w:line="240" w:lineRule="auto"/>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65-79周岁人员</w:t>
            </w:r>
          </w:p>
        </w:tc>
        <w:tc>
          <w:tcPr>
            <w:tcW w:w="2141" w:type="dxa"/>
            <w:vMerge w:val="continue"/>
            <w:shd w:val="clear" w:color="auto" w:fill="auto"/>
            <w:noWrap w:val="0"/>
            <w:vAlign w:val="center"/>
          </w:tcPr>
          <w:p w14:paraId="35472663">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21" w:type="dxa"/>
            <w:vMerge w:val="continue"/>
            <w:shd w:val="clear" w:color="auto" w:fill="auto"/>
            <w:noWrap w:val="0"/>
            <w:vAlign w:val="center"/>
          </w:tcPr>
          <w:p w14:paraId="704C2300">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5" w:type="dxa"/>
            <w:vMerge w:val="continue"/>
            <w:shd w:val="clear" w:color="auto" w:fill="auto"/>
            <w:noWrap w:val="0"/>
            <w:vAlign w:val="center"/>
          </w:tcPr>
          <w:p w14:paraId="1BCCAA2A">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c>
          <w:tcPr>
            <w:tcW w:w="769" w:type="dxa"/>
            <w:vMerge w:val="continue"/>
            <w:shd w:val="clear" w:color="auto" w:fill="auto"/>
            <w:noWrap w:val="0"/>
            <w:vAlign w:val="center"/>
          </w:tcPr>
          <w:p w14:paraId="2141F713">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r>
      <w:tr w14:paraId="1A21E2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45" w:hRule="atLeast"/>
          <w:jc w:val="center"/>
        </w:trPr>
        <w:tc>
          <w:tcPr>
            <w:tcW w:w="861" w:type="dxa"/>
            <w:vMerge w:val="continue"/>
            <w:shd w:val="clear" w:color="auto" w:fill="auto"/>
            <w:noWrap w:val="0"/>
            <w:vAlign w:val="center"/>
          </w:tcPr>
          <w:p w14:paraId="4E9B998C">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727" w:type="dxa"/>
            <w:vMerge w:val="continue"/>
            <w:shd w:val="clear" w:color="auto" w:fill="auto"/>
            <w:noWrap w:val="0"/>
            <w:vAlign w:val="center"/>
          </w:tcPr>
          <w:p w14:paraId="184BF995">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820" w:type="dxa"/>
            <w:tcBorders>
              <w:top w:val="single" w:color="auto" w:sz="4" w:space="0"/>
            </w:tcBorders>
            <w:shd w:val="clear" w:color="auto" w:fill="auto"/>
            <w:noWrap w:val="0"/>
            <w:vAlign w:val="center"/>
          </w:tcPr>
          <w:p w14:paraId="1F6C82CB">
            <w:pPr>
              <w:widowControl/>
              <w:spacing w:line="240" w:lineRule="auto"/>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80周岁以上人员</w:t>
            </w:r>
          </w:p>
        </w:tc>
        <w:tc>
          <w:tcPr>
            <w:tcW w:w="2141" w:type="dxa"/>
            <w:vMerge w:val="continue"/>
            <w:shd w:val="clear" w:color="auto" w:fill="auto"/>
            <w:noWrap w:val="0"/>
            <w:vAlign w:val="center"/>
          </w:tcPr>
          <w:p w14:paraId="54A2747A">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21" w:type="dxa"/>
            <w:vMerge w:val="continue"/>
            <w:shd w:val="clear" w:color="auto" w:fill="auto"/>
            <w:noWrap w:val="0"/>
            <w:vAlign w:val="center"/>
          </w:tcPr>
          <w:p w14:paraId="4C2BD4C7">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5" w:type="dxa"/>
            <w:vMerge w:val="continue"/>
            <w:shd w:val="clear" w:color="auto" w:fill="auto"/>
            <w:noWrap w:val="0"/>
            <w:vAlign w:val="center"/>
          </w:tcPr>
          <w:p w14:paraId="0A057EA5">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c>
          <w:tcPr>
            <w:tcW w:w="769" w:type="dxa"/>
            <w:vMerge w:val="continue"/>
            <w:shd w:val="clear" w:color="auto" w:fill="auto"/>
            <w:noWrap w:val="0"/>
            <w:vAlign w:val="center"/>
          </w:tcPr>
          <w:p w14:paraId="54D164D5">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r>
      <w:tr w14:paraId="58DC6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81" w:hRule="atLeast"/>
          <w:jc w:val="center"/>
        </w:trPr>
        <w:tc>
          <w:tcPr>
            <w:tcW w:w="861" w:type="dxa"/>
            <w:vMerge w:val="restart"/>
            <w:shd w:val="clear" w:color="auto" w:fill="auto"/>
            <w:noWrap w:val="0"/>
            <w:vAlign w:val="center"/>
          </w:tcPr>
          <w:p w14:paraId="4290EA2A">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产出</w:t>
            </w:r>
          </w:p>
        </w:tc>
        <w:tc>
          <w:tcPr>
            <w:tcW w:w="727" w:type="dxa"/>
            <w:vMerge w:val="restart"/>
            <w:shd w:val="clear" w:color="auto" w:fill="auto"/>
            <w:noWrap w:val="0"/>
            <w:vAlign w:val="center"/>
          </w:tcPr>
          <w:p w14:paraId="73864D63">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质量</w:t>
            </w:r>
            <w:r>
              <w:rPr>
                <w:rFonts w:hint="eastAsia" w:cs="宋体"/>
                <w:color w:val="auto"/>
                <w:kern w:val="0"/>
                <w:sz w:val="22"/>
                <w:szCs w:val="22"/>
                <w:highlight w:val="none"/>
                <w:shd w:val="clear" w:color="auto" w:fill="auto"/>
                <w:lang w:eastAsia="zh-CN"/>
              </w:rPr>
              <w:t>指标</w:t>
            </w:r>
          </w:p>
        </w:tc>
        <w:tc>
          <w:tcPr>
            <w:tcW w:w="820" w:type="dxa"/>
            <w:tcBorders>
              <w:bottom w:val="single" w:color="auto" w:sz="4" w:space="0"/>
            </w:tcBorders>
            <w:shd w:val="clear" w:color="auto" w:fill="auto"/>
            <w:noWrap w:val="0"/>
            <w:vAlign w:val="center"/>
          </w:tcPr>
          <w:p w14:paraId="53EF484A">
            <w:pPr>
              <w:widowControl/>
              <w:spacing w:line="0" w:lineRule="atLeast"/>
              <w:ind w:firstLine="0" w:firstLineChars="0"/>
              <w:jc w:val="both"/>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全民体检A/B类阳性患者随访率</w:t>
            </w:r>
          </w:p>
        </w:tc>
        <w:tc>
          <w:tcPr>
            <w:tcW w:w="2141" w:type="dxa"/>
            <w:vMerge w:val="restart"/>
            <w:shd w:val="clear" w:color="auto" w:fill="auto"/>
            <w:noWrap w:val="0"/>
            <w:vAlign w:val="center"/>
          </w:tcPr>
          <w:p w14:paraId="189CB793">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项目完成的质量达标产出数与实际产出数的比率，用以反映和考核项目产出质量目标的实现程度。</w:t>
            </w:r>
          </w:p>
        </w:tc>
        <w:tc>
          <w:tcPr>
            <w:tcW w:w="7821" w:type="dxa"/>
            <w:vMerge w:val="restart"/>
            <w:shd w:val="clear" w:color="auto" w:fill="auto"/>
            <w:noWrap w:val="0"/>
            <w:vAlign w:val="center"/>
          </w:tcPr>
          <w:p w14:paraId="5116E0BD">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质量达标率=（质量达标产出数/实际产出数）×100%。</w:t>
            </w:r>
          </w:p>
          <w:p w14:paraId="25381574">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vMerge w:val="restart"/>
            <w:shd w:val="clear" w:color="auto" w:fill="auto"/>
            <w:noWrap w:val="0"/>
            <w:vAlign w:val="center"/>
          </w:tcPr>
          <w:p w14:paraId="7F93DD03">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8</w:t>
            </w:r>
          </w:p>
        </w:tc>
        <w:tc>
          <w:tcPr>
            <w:tcW w:w="769" w:type="dxa"/>
            <w:vMerge w:val="restart"/>
            <w:shd w:val="clear" w:color="auto" w:fill="auto"/>
            <w:noWrap w:val="0"/>
            <w:vAlign w:val="center"/>
          </w:tcPr>
          <w:p w14:paraId="319517A4">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8</w:t>
            </w:r>
          </w:p>
        </w:tc>
      </w:tr>
      <w:tr w14:paraId="4E8884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77" w:hRule="atLeast"/>
          <w:jc w:val="center"/>
        </w:trPr>
        <w:tc>
          <w:tcPr>
            <w:tcW w:w="861" w:type="dxa"/>
            <w:vMerge w:val="continue"/>
            <w:shd w:val="clear" w:color="auto" w:fill="auto"/>
            <w:noWrap w:val="0"/>
            <w:vAlign w:val="center"/>
          </w:tcPr>
          <w:p w14:paraId="0A10E5A5">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727" w:type="dxa"/>
            <w:vMerge w:val="continue"/>
            <w:shd w:val="clear" w:color="auto" w:fill="auto"/>
            <w:noWrap w:val="0"/>
            <w:vAlign w:val="center"/>
          </w:tcPr>
          <w:p w14:paraId="6FD4D90A">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820" w:type="dxa"/>
            <w:tcBorders>
              <w:top w:val="single" w:color="auto" w:sz="4" w:space="0"/>
            </w:tcBorders>
            <w:shd w:val="clear" w:color="auto" w:fill="auto"/>
            <w:noWrap w:val="0"/>
            <w:vAlign w:val="center"/>
          </w:tcPr>
          <w:p w14:paraId="6C92EF4D">
            <w:pPr>
              <w:widowControl/>
              <w:spacing w:line="0" w:lineRule="atLeast"/>
              <w:ind w:firstLine="0" w:firstLineChars="0"/>
              <w:jc w:val="both"/>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设备验收合格率</w:t>
            </w:r>
          </w:p>
        </w:tc>
        <w:tc>
          <w:tcPr>
            <w:tcW w:w="2141" w:type="dxa"/>
            <w:vMerge w:val="continue"/>
            <w:shd w:val="clear" w:color="auto" w:fill="auto"/>
            <w:noWrap w:val="0"/>
            <w:vAlign w:val="center"/>
          </w:tcPr>
          <w:p w14:paraId="5FC92833">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21" w:type="dxa"/>
            <w:vMerge w:val="continue"/>
            <w:shd w:val="clear" w:color="auto" w:fill="auto"/>
            <w:noWrap w:val="0"/>
            <w:vAlign w:val="center"/>
          </w:tcPr>
          <w:p w14:paraId="0D6E3D20">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5" w:type="dxa"/>
            <w:vMerge w:val="continue"/>
            <w:shd w:val="clear" w:color="auto" w:fill="auto"/>
            <w:noWrap w:val="0"/>
            <w:vAlign w:val="center"/>
          </w:tcPr>
          <w:p w14:paraId="0C68DE59">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c>
          <w:tcPr>
            <w:tcW w:w="769" w:type="dxa"/>
            <w:vMerge w:val="continue"/>
            <w:shd w:val="clear" w:color="auto" w:fill="auto"/>
            <w:noWrap w:val="0"/>
            <w:vAlign w:val="center"/>
          </w:tcPr>
          <w:p w14:paraId="75FA897C">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r>
      <w:tr w14:paraId="61381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2BFEBF11">
            <w:pPr>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shd w:val="clear" w:color="auto" w:fill="auto"/>
            <w:noWrap w:val="0"/>
            <w:vAlign w:val="center"/>
          </w:tcPr>
          <w:p w14:paraId="4F9ED927">
            <w:pPr>
              <w:spacing w:line="0" w:lineRule="atLeast"/>
              <w:ind w:firstLine="0" w:firstLineChars="0"/>
              <w:jc w:val="center"/>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时效</w:t>
            </w:r>
            <w:r>
              <w:rPr>
                <w:rFonts w:hint="eastAsia" w:cs="宋体"/>
                <w:color w:val="auto"/>
                <w:kern w:val="0"/>
                <w:sz w:val="22"/>
                <w:szCs w:val="22"/>
                <w:highlight w:val="none"/>
                <w:shd w:val="clear" w:color="auto" w:fill="auto"/>
                <w:lang w:eastAsia="zh-CN"/>
              </w:rPr>
              <w:t>指标</w:t>
            </w:r>
          </w:p>
        </w:tc>
        <w:tc>
          <w:tcPr>
            <w:tcW w:w="820" w:type="dxa"/>
            <w:shd w:val="clear" w:color="auto" w:fill="auto"/>
            <w:noWrap w:val="0"/>
            <w:vAlign w:val="center"/>
          </w:tcPr>
          <w:p w14:paraId="43E211E0">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全民健康体检完成时间</w:t>
            </w:r>
          </w:p>
        </w:tc>
        <w:tc>
          <w:tcPr>
            <w:tcW w:w="2141" w:type="dxa"/>
            <w:shd w:val="clear" w:color="auto" w:fill="auto"/>
            <w:noWrap w:val="0"/>
            <w:vAlign w:val="center"/>
          </w:tcPr>
          <w:p w14:paraId="333D7134">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项目实际完成时间与计划完成时间的比较，用以反映和考核项目产出时效目标的实现程度。</w:t>
            </w:r>
          </w:p>
        </w:tc>
        <w:tc>
          <w:tcPr>
            <w:tcW w:w="7821" w:type="dxa"/>
            <w:shd w:val="clear" w:color="auto" w:fill="auto"/>
            <w:noWrap w:val="0"/>
            <w:vAlign w:val="center"/>
          </w:tcPr>
          <w:p w14:paraId="739F0C50">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实际完成时间：项目实施单位完成该项目实际所耗用的时间。</w:t>
            </w:r>
          </w:p>
          <w:p w14:paraId="4FFA7377">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计划完成时间：按照项目实施计划或相关规定完成该项目所需的时间。</w:t>
            </w:r>
          </w:p>
        </w:tc>
        <w:tc>
          <w:tcPr>
            <w:tcW w:w="785" w:type="dxa"/>
            <w:shd w:val="clear" w:color="auto" w:fill="auto"/>
            <w:noWrap w:val="0"/>
            <w:vAlign w:val="center"/>
          </w:tcPr>
          <w:p w14:paraId="3AECDB2A">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5</w:t>
            </w:r>
          </w:p>
        </w:tc>
        <w:tc>
          <w:tcPr>
            <w:tcW w:w="769" w:type="dxa"/>
            <w:shd w:val="clear" w:color="auto" w:fill="auto"/>
            <w:noWrap w:val="0"/>
            <w:vAlign w:val="center"/>
          </w:tcPr>
          <w:p w14:paraId="40F27A98">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5</w:t>
            </w:r>
          </w:p>
        </w:tc>
      </w:tr>
      <w:tr w14:paraId="55BFE1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2" w:hRule="atLeast"/>
          <w:jc w:val="center"/>
        </w:trPr>
        <w:tc>
          <w:tcPr>
            <w:tcW w:w="861" w:type="dxa"/>
            <w:vMerge w:val="continue"/>
            <w:shd w:val="clear" w:color="auto" w:fill="auto"/>
            <w:noWrap w:val="0"/>
            <w:vAlign w:val="center"/>
          </w:tcPr>
          <w:p w14:paraId="73DAC53D">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vMerge w:val="restart"/>
            <w:shd w:val="clear" w:color="auto" w:fill="auto"/>
            <w:noWrap w:val="0"/>
            <w:vAlign w:val="center"/>
          </w:tcPr>
          <w:p w14:paraId="0A168B28">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成本</w:t>
            </w:r>
            <w:r>
              <w:rPr>
                <w:rFonts w:hint="eastAsia" w:cs="宋体"/>
                <w:color w:val="auto"/>
                <w:kern w:val="0"/>
                <w:sz w:val="22"/>
                <w:szCs w:val="22"/>
                <w:highlight w:val="none"/>
                <w:shd w:val="clear" w:color="auto" w:fill="auto"/>
                <w:lang w:eastAsia="zh-CN"/>
              </w:rPr>
              <w:t>指标</w:t>
            </w:r>
          </w:p>
        </w:tc>
        <w:tc>
          <w:tcPr>
            <w:tcW w:w="820" w:type="dxa"/>
            <w:tcBorders>
              <w:bottom w:val="single" w:color="auto" w:sz="4" w:space="0"/>
            </w:tcBorders>
            <w:shd w:val="clear" w:color="auto" w:fill="auto"/>
            <w:noWrap w:val="0"/>
            <w:vAlign w:val="center"/>
          </w:tcPr>
          <w:p w14:paraId="7A00104A">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购买体检设备</w:t>
            </w:r>
          </w:p>
        </w:tc>
        <w:tc>
          <w:tcPr>
            <w:tcW w:w="2141" w:type="dxa"/>
            <w:vMerge w:val="restart"/>
            <w:shd w:val="clear" w:color="auto" w:fill="auto"/>
            <w:noWrap w:val="0"/>
            <w:vAlign w:val="center"/>
          </w:tcPr>
          <w:p w14:paraId="5CBFCB64">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完成项目计划工作目标的实际节约成本与计划成本的比率，用以反映和考核项目的成本节约程度。</w:t>
            </w:r>
          </w:p>
        </w:tc>
        <w:tc>
          <w:tcPr>
            <w:tcW w:w="7821" w:type="dxa"/>
            <w:vMerge w:val="restart"/>
            <w:shd w:val="clear" w:color="auto" w:fill="auto"/>
            <w:noWrap w:val="0"/>
            <w:vAlign w:val="center"/>
          </w:tcPr>
          <w:p w14:paraId="088967EB">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p>
          <w:p w14:paraId="109AE393">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成本节约率=[（计划成本-实际成本）/计划成本]×100%。</w:t>
            </w:r>
          </w:p>
          <w:p w14:paraId="0CE826B7">
            <w:pPr>
              <w:widowControl/>
              <w:spacing w:line="0" w:lineRule="atLeast"/>
              <w:ind w:firstLine="0" w:firstLineChars="0"/>
              <w:rPr>
                <w:rFonts w:hint="eastAsia" w:ascii="宋体" w:hAnsi="宋体" w:eastAsia="宋体" w:cs="宋体"/>
                <w:color w:val="auto"/>
                <w:kern w:val="0"/>
                <w:sz w:val="22"/>
                <w:szCs w:val="22"/>
                <w:highlight w:val="none"/>
                <w:shd w:val="clear" w:color="auto" w:fill="auto"/>
                <w:lang w:eastAsia="zh-CN"/>
              </w:rPr>
            </w:pPr>
            <w:r>
              <w:rPr>
                <w:rFonts w:hint="eastAsia" w:ascii="宋体" w:hAnsi="宋体" w:eastAsia="宋体" w:cs="宋体"/>
                <w:color w:val="auto"/>
                <w:kern w:val="0"/>
                <w:sz w:val="22"/>
                <w:szCs w:val="22"/>
                <w:highlight w:val="none"/>
                <w:shd w:val="clear" w:color="auto" w:fill="auto"/>
              </w:rPr>
              <w:t>实际成本：项目实施单位如期、保质、保量完成既定工作目标实际所耗费的支出。</w:t>
            </w:r>
          </w:p>
          <w:p w14:paraId="2B5906F8">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计划成本：项目实施单位为完成工作目标计划安排的支出，一般以项目预算为参考。</w:t>
            </w:r>
          </w:p>
        </w:tc>
        <w:tc>
          <w:tcPr>
            <w:tcW w:w="785" w:type="dxa"/>
            <w:vMerge w:val="restart"/>
            <w:shd w:val="clear" w:color="auto" w:fill="auto"/>
            <w:noWrap w:val="0"/>
            <w:vAlign w:val="center"/>
          </w:tcPr>
          <w:p w14:paraId="1934A1F6">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6</w:t>
            </w:r>
          </w:p>
        </w:tc>
        <w:tc>
          <w:tcPr>
            <w:tcW w:w="769" w:type="dxa"/>
            <w:vMerge w:val="restart"/>
            <w:shd w:val="clear" w:color="auto" w:fill="auto"/>
            <w:noWrap w:val="0"/>
            <w:vAlign w:val="center"/>
          </w:tcPr>
          <w:p w14:paraId="0806D918">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6</w:t>
            </w:r>
          </w:p>
        </w:tc>
      </w:tr>
      <w:tr w14:paraId="6D64DD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24" w:hRule="atLeast"/>
          <w:jc w:val="center"/>
        </w:trPr>
        <w:tc>
          <w:tcPr>
            <w:tcW w:w="861" w:type="dxa"/>
            <w:vMerge w:val="continue"/>
            <w:shd w:val="clear" w:color="auto" w:fill="auto"/>
            <w:noWrap w:val="0"/>
            <w:vAlign w:val="center"/>
          </w:tcPr>
          <w:p w14:paraId="0BA50C3F">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vMerge w:val="continue"/>
            <w:shd w:val="clear" w:color="auto" w:fill="auto"/>
            <w:noWrap w:val="0"/>
            <w:vAlign w:val="center"/>
          </w:tcPr>
          <w:p w14:paraId="169887DB">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rPr>
            </w:pPr>
          </w:p>
        </w:tc>
        <w:tc>
          <w:tcPr>
            <w:tcW w:w="820" w:type="dxa"/>
            <w:tcBorders>
              <w:top w:val="single" w:color="auto" w:sz="4" w:space="0"/>
            </w:tcBorders>
            <w:shd w:val="clear" w:color="auto" w:fill="auto"/>
            <w:noWrap w:val="0"/>
            <w:vAlign w:val="center"/>
          </w:tcPr>
          <w:p w14:paraId="370530FB">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体检办公耗材</w:t>
            </w:r>
          </w:p>
        </w:tc>
        <w:tc>
          <w:tcPr>
            <w:tcW w:w="2141" w:type="dxa"/>
            <w:vMerge w:val="continue"/>
            <w:shd w:val="clear" w:color="auto" w:fill="auto"/>
            <w:noWrap w:val="0"/>
            <w:vAlign w:val="center"/>
          </w:tcPr>
          <w:p w14:paraId="4913AB8E">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21" w:type="dxa"/>
            <w:vMerge w:val="continue"/>
            <w:shd w:val="clear" w:color="auto" w:fill="auto"/>
            <w:noWrap w:val="0"/>
            <w:vAlign w:val="center"/>
          </w:tcPr>
          <w:p w14:paraId="2604AB1C">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5" w:type="dxa"/>
            <w:vMerge w:val="continue"/>
            <w:shd w:val="clear" w:color="auto" w:fill="auto"/>
            <w:noWrap w:val="0"/>
            <w:vAlign w:val="center"/>
          </w:tcPr>
          <w:p w14:paraId="74876BC1">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c>
          <w:tcPr>
            <w:tcW w:w="769" w:type="dxa"/>
            <w:vMerge w:val="continue"/>
            <w:shd w:val="clear" w:color="auto" w:fill="auto"/>
            <w:noWrap w:val="0"/>
            <w:vAlign w:val="center"/>
          </w:tcPr>
          <w:p w14:paraId="32F651D5">
            <w:pPr>
              <w:widowControl/>
              <w:spacing w:line="0" w:lineRule="atLeast"/>
              <w:ind w:firstLine="0" w:firstLineChars="0"/>
              <w:jc w:val="center"/>
              <w:rPr>
                <w:rFonts w:hint="eastAsia" w:cs="宋体"/>
                <w:color w:val="auto"/>
                <w:kern w:val="0"/>
                <w:sz w:val="22"/>
                <w:szCs w:val="22"/>
                <w:highlight w:val="none"/>
                <w:shd w:val="clear" w:color="auto" w:fill="auto"/>
                <w:lang w:val="en-US" w:eastAsia="zh-CN"/>
              </w:rPr>
            </w:pPr>
          </w:p>
        </w:tc>
      </w:tr>
      <w:tr w14:paraId="14356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07C0CA86">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效益　</w:t>
            </w:r>
          </w:p>
        </w:tc>
        <w:tc>
          <w:tcPr>
            <w:tcW w:w="727" w:type="dxa"/>
            <w:tcBorders>
              <w:bottom w:val="single" w:color="auto" w:sz="4" w:space="0"/>
            </w:tcBorders>
            <w:shd w:val="clear" w:color="auto" w:fill="auto"/>
            <w:noWrap w:val="0"/>
            <w:vAlign w:val="center"/>
          </w:tcPr>
          <w:p w14:paraId="18AA9BA5">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社会效益指标　</w:t>
            </w:r>
          </w:p>
        </w:tc>
        <w:tc>
          <w:tcPr>
            <w:tcW w:w="820" w:type="dxa"/>
            <w:tcBorders>
              <w:bottom w:val="single" w:color="auto" w:sz="4" w:space="0"/>
            </w:tcBorders>
            <w:shd w:val="clear" w:color="auto" w:fill="auto"/>
            <w:noWrap w:val="0"/>
            <w:vAlign w:val="center"/>
          </w:tcPr>
          <w:p w14:paraId="18DDA11A">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提高全民健康意识及自我健康管理水平</w:t>
            </w:r>
          </w:p>
        </w:tc>
        <w:tc>
          <w:tcPr>
            <w:tcW w:w="2141" w:type="dxa"/>
            <w:shd w:val="clear" w:color="auto" w:fill="auto"/>
            <w:noWrap w:val="0"/>
            <w:vAlign w:val="center"/>
          </w:tcPr>
          <w:p w14:paraId="4BD44815">
            <w:pPr>
              <w:widowControl/>
              <w:spacing w:line="0" w:lineRule="atLeast"/>
              <w:ind w:firstLine="0" w:firstLineChars="0"/>
              <w:jc w:val="left"/>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项目实施所产生的效益。</w:t>
            </w:r>
          </w:p>
        </w:tc>
        <w:tc>
          <w:tcPr>
            <w:tcW w:w="7821" w:type="dxa"/>
            <w:shd w:val="clear" w:color="auto" w:fill="auto"/>
            <w:noWrap w:val="0"/>
            <w:vAlign w:val="center"/>
          </w:tcPr>
          <w:p w14:paraId="48275DDA">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项目实施所产生的社会效益、经济效益、生态效益、可持续影响等。可根据项目实际情况有选择地设置和细化。</w:t>
            </w:r>
          </w:p>
        </w:tc>
        <w:tc>
          <w:tcPr>
            <w:tcW w:w="785" w:type="dxa"/>
            <w:shd w:val="clear" w:color="auto" w:fill="auto"/>
            <w:noWrap w:val="0"/>
            <w:vAlign w:val="center"/>
          </w:tcPr>
          <w:p w14:paraId="14314D28">
            <w:pPr>
              <w:widowControl/>
              <w:spacing w:line="0" w:lineRule="atLeast"/>
              <w:ind w:firstLine="0" w:firstLineChars="0"/>
              <w:jc w:val="center"/>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15</w:t>
            </w:r>
          </w:p>
        </w:tc>
        <w:tc>
          <w:tcPr>
            <w:tcW w:w="769" w:type="dxa"/>
            <w:shd w:val="clear" w:color="auto" w:fill="auto"/>
            <w:noWrap w:val="0"/>
            <w:vAlign w:val="center"/>
          </w:tcPr>
          <w:p w14:paraId="59961155">
            <w:pPr>
              <w:widowControl/>
              <w:spacing w:line="0" w:lineRule="atLeast"/>
              <w:ind w:firstLine="0" w:firstLineChars="0"/>
              <w:jc w:val="center"/>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15</w:t>
            </w:r>
          </w:p>
        </w:tc>
      </w:tr>
      <w:tr w14:paraId="6E680A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6763E422">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p>
        </w:tc>
        <w:tc>
          <w:tcPr>
            <w:tcW w:w="727" w:type="dxa"/>
            <w:tcBorders>
              <w:top w:val="single" w:color="auto" w:sz="4" w:space="0"/>
            </w:tcBorders>
            <w:shd w:val="clear" w:color="auto" w:fill="auto"/>
            <w:noWrap w:val="0"/>
            <w:vAlign w:val="center"/>
          </w:tcPr>
          <w:p w14:paraId="05CE1E3D">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eastAsia="zh-CN"/>
              </w:rPr>
            </w:pPr>
            <w:r>
              <w:rPr>
                <w:rFonts w:hint="eastAsia" w:cs="宋体"/>
                <w:color w:val="auto"/>
                <w:kern w:val="0"/>
                <w:sz w:val="22"/>
                <w:szCs w:val="22"/>
                <w:highlight w:val="none"/>
                <w:shd w:val="clear" w:color="auto" w:fill="auto"/>
                <w:lang w:eastAsia="zh-CN"/>
              </w:rPr>
              <w:t>满意度指标</w:t>
            </w:r>
          </w:p>
        </w:tc>
        <w:tc>
          <w:tcPr>
            <w:tcW w:w="820" w:type="dxa"/>
            <w:tcBorders>
              <w:top w:val="single" w:color="auto" w:sz="4" w:space="0"/>
            </w:tcBorders>
            <w:shd w:val="clear" w:color="auto" w:fill="auto"/>
            <w:noWrap w:val="0"/>
            <w:vAlign w:val="center"/>
          </w:tcPr>
          <w:p w14:paraId="05850E88">
            <w:pPr>
              <w:widowControl/>
              <w:spacing w:line="0" w:lineRule="atLeast"/>
              <w:ind w:firstLine="0" w:firstLineChars="0"/>
              <w:jc w:val="center"/>
              <w:rPr>
                <w:rFonts w:ascii="宋体" w:hAnsi="宋体" w:eastAsia="宋体" w:cs="宋体"/>
                <w:color w:val="auto"/>
                <w:kern w:val="0"/>
                <w:sz w:val="22"/>
                <w:szCs w:val="22"/>
                <w:highlight w:val="none"/>
                <w:shd w:val="clear" w:color="auto" w:fill="auto"/>
              </w:rPr>
            </w:pPr>
            <w:r>
              <w:rPr>
                <w:rFonts w:hint="eastAsia" w:cs="宋体"/>
                <w:color w:val="auto"/>
                <w:kern w:val="0"/>
                <w:sz w:val="22"/>
                <w:szCs w:val="22"/>
                <w:highlight w:val="none"/>
                <w:shd w:val="clear" w:color="auto" w:fill="auto"/>
                <w:lang w:eastAsia="zh-CN"/>
              </w:rPr>
              <w:t>服务对象</w:t>
            </w:r>
            <w:r>
              <w:rPr>
                <w:rFonts w:hint="eastAsia" w:ascii="宋体" w:hAnsi="宋体" w:eastAsia="宋体" w:cs="宋体"/>
                <w:color w:val="auto"/>
                <w:kern w:val="0"/>
                <w:sz w:val="22"/>
                <w:szCs w:val="22"/>
                <w:highlight w:val="none"/>
                <w:shd w:val="clear" w:color="auto" w:fill="auto"/>
              </w:rPr>
              <w:t>满意度</w:t>
            </w:r>
          </w:p>
        </w:tc>
        <w:tc>
          <w:tcPr>
            <w:tcW w:w="2141" w:type="dxa"/>
            <w:shd w:val="clear" w:color="auto" w:fill="auto"/>
            <w:noWrap w:val="0"/>
            <w:vAlign w:val="center"/>
          </w:tcPr>
          <w:p w14:paraId="7ED019B1">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社会公众或服务对象对项目实施效果的满意程度。</w:t>
            </w:r>
          </w:p>
        </w:tc>
        <w:tc>
          <w:tcPr>
            <w:tcW w:w="7821" w:type="dxa"/>
            <w:shd w:val="clear" w:color="auto" w:fill="auto"/>
            <w:noWrap w:val="0"/>
            <w:vAlign w:val="center"/>
          </w:tcPr>
          <w:p w14:paraId="561DF1FB">
            <w:pPr>
              <w:widowControl/>
              <w:spacing w:line="0" w:lineRule="atLeast"/>
              <w:ind w:firstLine="0" w:firstLineChars="0"/>
              <w:rPr>
                <w:rFonts w:ascii="宋体" w:hAnsi="宋体" w:eastAsia="宋体" w:cs="宋体"/>
                <w:color w:val="auto"/>
                <w:kern w:val="0"/>
                <w:sz w:val="22"/>
                <w:szCs w:val="22"/>
                <w:highlight w:val="none"/>
                <w:shd w:val="clear" w:color="auto" w:fill="auto"/>
              </w:rPr>
            </w:pPr>
            <w:r>
              <w:rPr>
                <w:rFonts w:hint="eastAsia" w:ascii="宋体" w:hAnsi="宋体" w:eastAsia="宋体" w:cs="宋体"/>
                <w:color w:val="auto"/>
                <w:kern w:val="0"/>
                <w:sz w:val="22"/>
                <w:szCs w:val="22"/>
                <w:highlight w:val="none"/>
                <w:shd w:val="clear" w:color="auto" w:fill="auto"/>
              </w:rPr>
              <w:t>社会公众或服务对象是指因该项目实施而受到影响的部门（单位）、群体或个人。一般采取社会调查的方式。</w:t>
            </w:r>
          </w:p>
        </w:tc>
        <w:tc>
          <w:tcPr>
            <w:tcW w:w="785" w:type="dxa"/>
            <w:shd w:val="clear" w:color="auto" w:fill="auto"/>
            <w:noWrap w:val="0"/>
            <w:vAlign w:val="center"/>
          </w:tcPr>
          <w:p w14:paraId="5F5CF0B3">
            <w:pPr>
              <w:widowControl/>
              <w:spacing w:line="0" w:lineRule="atLeast"/>
              <w:ind w:firstLine="0" w:firstLineChars="0"/>
              <w:jc w:val="center"/>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15</w:t>
            </w:r>
          </w:p>
        </w:tc>
        <w:tc>
          <w:tcPr>
            <w:tcW w:w="769" w:type="dxa"/>
            <w:shd w:val="clear" w:color="auto" w:fill="auto"/>
            <w:noWrap w:val="0"/>
            <w:vAlign w:val="center"/>
          </w:tcPr>
          <w:p w14:paraId="3824321C">
            <w:pPr>
              <w:widowControl/>
              <w:spacing w:line="0" w:lineRule="atLeast"/>
              <w:ind w:firstLine="0" w:firstLineChars="0"/>
              <w:jc w:val="center"/>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15</w:t>
            </w:r>
          </w:p>
        </w:tc>
      </w:tr>
      <w:tr w14:paraId="1D18D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0FF7A94B">
            <w:pPr>
              <w:widowControl/>
              <w:spacing w:line="0" w:lineRule="atLeast"/>
              <w:ind w:firstLine="0" w:firstLineChars="0"/>
              <w:jc w:val="center"/>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合计</w:t>
            </w:r>
          </w:p>
        </w:tc>
        <w:tc>
          <w:tcPr>
            <w:tcW w:w="7821" w:type="dxa"/>
            <w:shd w:val="clear" w:color="auto" w:fill="auto"/>
            <w:noWrap w:val="0"/>
            <w:vAlign w:val="center"/>
          </w:tcPr>
          <w:p w14:paraId="7B0BBCC5">
            <w:pPr>
              <w:widowControl/>
              <w:spacing w:line="0" w:lineRule="atLeast"/>
              <w:ind w:firstLine="0" w:firstLineChars="0"/>
              <w:rPr>
                <w:rFonts w:hint="eastAsia" w:ascii="宋体" w:hAnsi="宋体" w:eastAsia="宋体" w:cs="宋体"/>
                <w:color w:val="auto"/>
                <w:kern w:val="0"/>
                <w:sz w:val="22"/>
                <w:szCs w:val="22"/>
                <w:highlight w:val="none"/>
                <w:shd w:val="clear" w:color="auto" w:fill="auto"/>
              </w:rPr>
            </w:pPr>
          </w:p>
        </w:tc>
        <w:tc>
          <w:tcPr>
            <w:tcW w:w="785" w:type="dxa"/>
            <w:shd w:val="clear" w:color="auto" w:fill="auto"/>
            <w:noWrap w:val="0"/>
            <w:vAlign w:val="center"/>
          </w:tcPr>
          <w:p w14:paraId="62F9F4E8">
            <w:pPr>
              <w:widowControl/>
              <w:spacing w:line="0" w:lineRule="atLeast"/>
              <w:ind w:firstLine="0" w:firstLineChars="0"/>
              <w:jc w:val="center"/>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100</w:t>
            </w:r>
          </w:p>
        </w:tc>
        <w:tc>
          <w:tcPr>
            <w:tcW w:w="769" w:type="dxa"/>
            <w:shd w:val="clear" w:color="auto" w:fill="auto"/>
            <w:noWrap w:val="0"/>
            <w:vAlign w:val="center"/>
          </w:tcPr>
          <w:p w14:paraId="37E17445">
            <w:pPr>
              <w:widowControl/>
              <w:spacing w:line="0" w:lineRule="atLeast"/>
              <w:ind w:firstLine="0" w:firstLineChars="0"/>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99.2</w:t>
            </w:r>
          </w:p>
        </w:tc>
      </w:tr>
    </w:tbl>
    <w:p w14:paraId="47E92B52">
      <w:pPr>
        <w:spacing w:line="240" w:lineRule="auto"/>
        <w:ind w:firstLine="0" w:firstLineChars="0"/>
        <w:rPr>
          <w:rFonts w:ascii="Times New Roman" w:hAnsi="Times New Roman" w:eastAsia="仿宋_GB2312" w:cs="Times New Roman"/>
          <w:color w:val="auto"/>
          <w:sz w:val="30"/>
          <w:szCs w:val="24"/>
          <w:highlight w:val="none"/>
          <w:shd w:val="clear" w:color="auto" w:fill="auto"/>
        </w:rPr>
      </w:pPr>
    </w:p>
    <w:p w14:paraId="027B7E5E">
      <w:pPr>
        <w:rPr>
          <w:rFonts w:hint="default"/>
          <w:color w:val="auto"/>
          <w:highlight w:val="none"/>
          <w:shd w:val="clear" w:color="auto" w:fill="auto"/>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altName w:val="微软雅黑"/>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4981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B0FD13">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BB0FD13">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6FFB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AEE10D">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9AEE10D">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89D2A298"/>
    <w:multiLevelType w:val="singleLevel"/>
    <w:tmpl w:val="89D2A298"/>
    <w:lvl w:ilvl="0" w:tentative="0">
      <w:start w:val="7"/>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1C3A1E"/>
    <w:rsid w:val="00500138"/>
    <w:rsid w:val="007C717F"/>
    <w:rsid w:val="007D6A04"/>
    <w:rsid w:val="009224FE"/>
    <w:rsid w:val="009444C8"/>
    <w:rsid w:val="00E23C81"/>
    <w:rsid w:val="01253350"/>
    <w:rsid w:val="01282E62"/>
    <w:rsid w:val="014029CF"/>
    <w:rsid w:val="01415CD2"/>
    <w:rsid w:val="014557C2"/>
    <w:rsid w:val="01470C4C"/>
    <w:rsid w:val="0172559E"/>
    <w:rsid w:val="0196601E"/>
    <w:rsid w:val="01A93FA3"/>
    <w:rsid w:val="01CA3F1A"/>
    <w:rsid w:val="01D9415D"/>
    <w:rsid w:val="01E274B5"/>
    <w:rsid w:val="02111B48"/>
    <w:rsid w:val="02192262"/>
    <w:rsid w:val="02200440"/>
    <w:rsid w:val="022650A6"/>
    <w:rsid w:val="02284B43"/>
    <w:rsid w:val="022B0E5C"/>
    <w:rsid w:val="022C6982"/>
    <w:rsid w:val="022D39CD"/>
    <w:rsid w:val="025D08EA"/>
    <w:rsid w:val="02750329"/>
    <w:rsid w:val="02B015E2"/>
    <w:rsid w:val="02C80459"/>
    <w:rsid w:val="02DC08FA"/>
    <w:rsid w:val="03103BAE"/>
    <w:rsid w:val="033B569D"/>
    <w:rsid w:val="036C34DA"/>
    <w:rsid w:val="03807DFD"/>
    <w:rsid w:val="03854013"/>
    <w:rsid w:val="039C3BA0"/>
    <w:rsid w:val="03A845BB"/>
    <w:rsid w:val="03B45AD1"/>
    <w:rsid w:val="03C03826"/>
    <w:rsid w:val="03C41FF9"/>
    <w:rsid w:val="046E318C"/>
    <w:rsid w:val="04D12EE4"/>
    <w:rsid w:val="04D56E5D"/>
    <w:rsid w:val="04D63993"/>
    <w:rsid w:val="04F01EE9"/>
    <w:rsid w:val="04F7077A"/>
    <w:rsid w:val="05047743"/>
    <w:rsid w:val="06190F33"/>
    <w:rsid w:val="064B38C4"/>
    <w:rsid w:val="06514C09"/>
    <w:rsid w:val="06AB431A"/>
    <w:rsid w:val="0708351A"/>
    <w:rsid w:val="07771E59"/>
    <w:rsid w:val="07797F74"/>
    <w:rsid w:val="07890F4F"/>
    <w:rsid w:val="07A64AE1"/>
    <w:rsid w:val="08517143"/>
    <w:rsid w:val="08892439"/>
    <w:rsid w:val="08AF6302"/>
    <w:rsid w:val="08C252EA"/>
    <w:rsid w:val="08C90A87"/>
    <w:rsid w:val="08EB30F3"/>
    <w:rsid w:val="09012917"/>
    <w:rsid w:val="09237408"/>
    <w:rsid w:val="0935611C"/>
    <w:rsid w:val="0958005D"/>
    <w:rsid w:val="09781BD6"/>
    <w:rsid w:val="098D5F59"/>
    <w:rsid w:val="09A75861"/>
    <w:rsid w:val="09E00B6C"/>
    <w:rsid w:val="09E244F6"/>
    <w:rsid w:val="09F359DF"/>
    <w:rsid w:val="0A073F35"/>
    <w:rsid w:val="0A0F696E"/>
    <w:rsid w:val="0A1C608B"/>
    <w:rsid w:val="0A1F1A37"/>
    <w:rsid w:val="0A575E65"/>
    <w:rsid w:val="0A5D1DCF"/>
    <w:rsid w:val="0ACA0AB6"/>
    <w:rsid w:val="0ACC2AB1"/>
    <w:rsid w:val="0ADA5909"/>
    <w:rsid w:val="0AEE6ECB"/>
    <w:rsid w:val="0B1B1342"/>
    <w:rsid w:val="0B557804"/>
    <w:rsid w:val="0B6158EF"/>
    <w:rsid w:val="0B9A2BAF"/>
    <w:rsid w:val="0BB27EF8"/>
    <w:rsid w:val="0C032502"/>
    <w:rsid w:val="0C0500E3"/>
    <w:rsid w:val="0C27698C"/>
    <w:rsid w:val="0C344DB1"/>
    <w:rsid w:val="0C8D2F1C"/>
    <w:rsid w:val="0CD520F0"/>
    <w:rsid w:val="0D122394"/>
    <w:rsid w:val="0D350DE1"/>
    <w:rsid w:val="0D417786"/>
    <w:rsid w:val="0D4452F3"/>
    <w:rsid w:val="0D8D29CB"/>
    <w:rsid w:val="0DE63E89"/>
    <w:rsid w:val="0DF447F8"/>
    <w:rsid w:val="0ED65CAC"/>
    <w:rsid w:val="0EDD528C"/>
    <w:rsid w:val="0F053D8F"/>
    <w:rsid w:val="0F1D1B2D"/>
    <w:rsid w:val="0F4075C9"/>
    <w:rsid w:val="0F451083"/>
    <w:rsid w:val="0F5E5042"/>
    <w:rsid w:val="0FCF247F"/>
    <w:rsid w:val="0FDF4620"/>
    <w:rsid w:val="0FE95707"/>
    <w:rsid w:val="1030763E"/>
    <w:rsid w:val="104430E9"/>
    <w:rsid w:val="10510571"/>
    <w:rsid w:val="10787A20"/>
    <w:rsid w:val="10806817"/>
    <w:rsid w:val="108672DE"/>
    <w:rsid w:val="108D2CE2"/>
    <w:rsid w:val="108D683E"/>
    <w:rsid w:val="10C756F3"/>
    <w:rsid w:val="10EC685A"/>
    <w:rsid w:val="110F0C5D"/>
    <w:rsid w:val="11CE1DCD"/>
    <w:rsid w:val="11D5049D"/>
    <w:rsid w:val="11DD55A3"/>
    <w:rsid w:val="11FA6155"/>
    <w:rsid w:val="11FC46D6"/>
    <w:rsid w:val="12850115"/>
    <w:rsid w:val="12A12A75"/>
    <w:rsid w:val="12CF0947"/>
    <w:rsid w:val="12F1313F"/>
    <w:rsid w:val="130354DD"/>
    <w:rsid w:val="13294F44"/>
    <w:rsid w:val="133438E9"/>
    <w:rsid w:val="136C678E"/>
    <w:rsid w:val="13741F37"/>
    <w:rsid w:val="139F6FB4"/>
    <w:rsid w:val="13D1738A"/>
    <w:rsid w:val="13EB2FF5"/>
    <w:rsid w:val="13EF65C4"/>
    <w:rsid w:val="13F82B68"/>
    <w:rsid w:val="14405748"/>
    <w:rsid w:val="147D7AEF"/>
    <w:rsid w:val="14DB04C0"/>
    <w:rsid w:val="150115A9"/>
    <w:rsid w:val="15565D98"/>
    <w:rsid w:val="15A46B04"/>
    <w:rsid w:val="15F27C56"/>
    <w:rsid w:val="15FA4976"/>
    <w:rsid w:val="16571DC8"/>
    <w:rsid w:val="165825BC"/>
    <w:rsid w:val="16775FC6"/>
    <w:rsid w:val="169528F0"/>
    <w:rsid w:val="16A9014A"/>
    <w:rsid w:val="16BC5D73"/>
    <w:rsid w:val="174F484D"/>
    <w:rsid w:val="176F36D7"/>
    <w:rsid w:val="1795226D"/>
    <w:rsid w:val="17A74689"/>
    <w:rsid w:val="17CD693A"/>
    <w:rsid w:val="17D411F6"/>
    <w:rsid w:val="17FD699F"/>
    <w:rsid w:val="18267CA4"/>
    <w:rsid w:val="18456B1E"/>
    <w:rsid w:val="18AC5CCF"/>
    <w:rsid w:val="18C96881"/>
    <w:rsid w:val="18F356AC"/>
    <w:rsid w:val="194D146B"/>
    <w:rsid w:val="197C2E85"/>
    <w:rsid w:val="199030F5"/>
    <w:rsid w:val="19B23720"/>
    <w:rsid w:val="19F85701"/>
    <w:rsid w:val="1A402B73"/>
    <w:rsid w:val="1A5F56EF"/>
    <w:rsid w:val="1A8F060B"/>
    <w:rsid w:val="1AB374E2"/>
    <w:rsid w:val="1AD74EEC"/>
    <w:rsid w:val="1B397CEE"/>
    <w:rsid w:val="1B590390"/>
    <w:rsid w:val="1C1171C5"/>
    <w:rsid w:val="1C2A5889"/>
    <w:rsid w:val="1C6A3ED7"/>
    <w:rsid w:val="1CAC629E"/>
    <w:rsid w:val="1CB57848"/>
    <w:rsid w:val="1CE974F2"/>
    <w:rsid w:val="1D175E0D"/>
    <w:rsid w:val="1D265138"/>
    <w:rsid w:val="1D7B6BCA"/>
    <w:rsid w:val="1DA41A79"/>
    <w:rsid w:val="1DF53469"/>
    <w:rsid w:val="1E18008F"/>
    <w:rsid w:val="1E205195"/>
    <w:rsid w:val="1E2F24F2"/>
    <w:rsid w:val="1E3955E6"/>
    <w:rsid w:val="1E42335E"/>
    <w:rsid w:val="1E4F5A7B"/>
    <w:rsid w:val="1E5135A1"/>
    <w:rsid w:val="1E58492F"/>
    <w:rsid w:val="1E5B6757"/>
    <w:rsid w:val="1ED10AC6"/>
    <w:rsid w:val="1F0028D1"/>
    <w:rsid w:val="1F176598"/>
    <w:rsid w:val="1F72557D"/>
    <w:rsid w:val="1F89225F"/>
    <w:rsid w:val="1F900A1F"/>
    <w:rsid w:val="1F9F20EA"/>
    <w:rsid w:val="1FC0575D"/>
    <w:rsid w:val="1FCC0168"/>
    <w:rsid w:val="1FE912F1"/>
    <w:rsid w:val="1FF3587A"/>
    <w:rsid w:val="206132C7"/>
    <w:rsid w:val="20694423"/>
    <w:rsid w:val="20874691"/>
    <w:rsid w:val="20924ED8"/>
    <w:rsid w:val="20A976C4"/>
    <w:rsid w:val="20DD497B"/>
    <w:rsid w:val="213F3B84"/>
    <w:rsid w:val="218B501C"/>
    <w:rsid w:val="21A659B2"/>
    <w:rsid w:val="21B00C1D"/>
    <w:rsid w:val="22274D44"/>
    <w:rsid w:val="22C24A6D"/>
    <w:rsid w:val="22D95913"/>
    <w:rsid w:val="23030B29"/>
    <w:rsid w:val="23031BEB"/>
    <w:rsid w:val="235F050E"/>
    <w:rsid w:val="23917691"/>
    <w:rsid w:val="23DA1943"/>
    <w:rsid w:val="23F23130"/>
    <w:rsid w:val="23FA3D93"/>
    <w:rsid w:val="23FE3883"/>
    <w:rsid w:val="240E783E"/>
    <w:rsid w:val="24241890"/>
    <w:rsid w:val="242D5F16"/>
    <w:rsid w:val="244D65B8"/>
    <w:rsid w:val="245E1E24"/>
    <w:rsid w:val="24704055"/>
    <w:rsid w:val="249D7540"/>
    <w:rsid w:val="24E011DB"/>
    <w:rsid w:val="24E567F1"/>
    <w:rsid w:val="25292B82"/>
    <w:rsid w:val="25643BBA"/>
    <w:rsid w:val="2580651A"/>
    <w:rsid w:val="25836A59"/>
    <w:rsid w:val="25AB17E9"/>
    <w:rsid w:val="25AD5E5D"/>
    <w:rsid w:val="25BF7042"/>
    <w:rsid w:val="25CC175F"/>
    <w:rsid w:val="26042925"/>
    <w:rsid w:val="264915BD"/>
    <w:rsid w:val="26A16A27"/>
    <w:rsid w:val="26BE72FA"/>
    <w:rsid w:val="26E63041"/>
    <w:rsid w:val="26ED2085"/>
    <w:rsid w:val="2732478D"/>
    <w:rsid w:val="273B3040"/>
    <w:rsid w:val="27661469"/>
    <w:rsid w:val="27900EAD"/>
    <w:rsid w:val="279B538A"/>
    <w:rsid w:val="27D74B17"/>
    <w:rsid w:val="280011A0"/>
    <w:rsid w:val="28194A1F"/>
    <w:rsid w:val="28546167"/>
    <w:rsid w:val="286F545C"/>
    <w:rsid w:val="28852A4B"/>
    <w:rsid w:val="28996270"/>
    <w:rsid w:val="28CA642A"/>
    <w:rsid w:val="2920429C"/>
    <w:rsid w:val="29314FBC"/>
    <w:rsid w:val="293C7139"/>
    <w:rsid w:val="29567CBD"/>
    <w:rsid w:val="295C2DFA"/>
    <w:rsid w:val="29D2151F"/>
    <w:rsid w:val="2A1A7C98"/>
    <w:rsid w:val="2A1B57ED"/>
    <w:rsid w:val="2A522B7B"/>
    <w:rsid w:val="2A8E41CB"/>
    <w:rsid w:val="2AD57308"/>
    <w:rsid w:val="2ADE440E"/>
    <w:rsid w:val="2B2A1401"/>
    <w:rsid w:val="2B2D3DC3"/>
    <w:rsid w:val="2B597F39"/>
    <w:rsid w:val="2B843908"/>
    <w:rsid w:val="2BDA4BD6"/>
    <w:rsid w:val="2BEB5D7F"/>
    <w:rsid w:val="2BF0264B"/>
    <w:rsid w:val="2C024B86"/>
    <w:rsid w:val="2C1E04CE"/>
    <w:rsid w:val="2C4F62D6"/>
    <w:rsid w:val="2C927671"/>
    <w:rsid w:val="2CAB0320"/>
    <w:rsid w:val="2D7C5CD6"/>
    <w:rsid w:val="2E0A5F34"/>
    <w:rsid w:val="2E112405"/>
    <w:rsid w:val="2E291E44"/>
    <w:rsid w:val="2E3F3DC3"/>
    <w:rsid w:val="2E483E7E"/>
    <w:rsid w:val="2E690493"/>
    <w:rsid w:val="2E9279E9"/>
    <w:rsid w:val="2E9854BD"/>
    <w:rsid w:val="2E9D013C"/>
    <w:rsid w:val="2EBA2A9C"/>
    <w:rsid w:val="2ECE6548"/>
    <w:rsid w:val="2F0D407F"/>
    <w:rsid w:val="2F454B19"/>
    <w:rsid w:val="2FE14632"/>
    <w:rsid w:val="306B0640"/>
    <w:rsid w:val="307A24E3"/>
    <w:rsid w:val="30B81947"/>
    <w:rsid w:val="30C454D7"/>
    <w:rsid w:val="30F0607E"/>
    <w:rsid w:val="30F524B2"/>
    <w:rsid w:val="310224D9"/>
    <w:rsid w:val="313B21E5"/>
    <w:rsid w:val="315E0057"/>
    <w:rsid w:val="31B4621C"/>
    <w:rsid w:val="31C635BD"/>
    <w:rsid w:val="31E3230A"/>
    <w:rsid w:val="32006F4B"/>
    <w:rsid w:val="321E1594"/>
    <w:rsid w:val="325A6A70"/>
    <w:rsid w:val="32D3412D"/>
    <w:rsid w:val="330957E0"/>
    <w:rsid w:val="33356F64"/>
    <w:rsid w:val="333E1EEE"/>
    <w:rsid w:val="335F1E64"/>
    <w:rsid w:val="33661445"/>
    <w:rsid w:val="33944516"/>
    <w:rsid w:val="341744ED"/>
    <w:rsid w:val="34930017"/>
    <w:rsid w:val="34B62907"/>
    <w:rsid w:val="34C71A6F"/>
    <w:rsid w:val="34CE54F3"/>
    <w:rsid w:val="35026F4B"/>
    <w:rsid w:val="350A36BD"/>
    <w:rsid w:val="3529775F"/>
    <w:rsid w:val="35F23AD2"/>
    <w:rsid w:val="35FE5964"/>
    <w:rsid w:val="369462C9"/>
    <w:rsid w:val="36B85B13"/>
    <w:rsid w:val="36BD137C"/>
    <w:rsid w:val="36F11025"/>
    <w:rsid w:val="37182A56"/>
    <w:rsid w:val="376C68FE"/>
    <w:rsid w:val="37922808"/>
    <w:rsid w:val="37BD6AFB"/>
    <w:rsid w:val="37DF17C6"/>
    <w:rsid w:val="37ED5C91"/>
    <w:rsid w:val="38364BED"/>
    <w:rsid w:val="384D672F"/>
    <w:rsid w:val="385D37E7"/>
    <w:rsid w:val="386A72E1"/>
    <w:rsid w:val="38782EDD"/>
    <w:rsid w:val="38855EC9"/>
    <w:rsid w:val="38C42E95"/>
    <w:rsid w:val="390C65EA"/>
    <w:rsid w:val="39335925"/>
    <w:rsid w:val="39BF18AF"/>
    <w:rsid w:val="39EE5CF0"/>
    <w:rsid w:val="3A9248CD"/>
    <w:rsid w:val="3AAC49F3"/>
    <w:rsid w:val="3AAD7959"/>
    <w:rsid w:val="3AC02B61"/>
    <w:rsid w:val="3AEC66D3"/>
    <w:rsid w:val="3B3836E8"/>
    <w:rsid w:val="3B42664A"/>
    <w:rsid w:val="3B6E70E8"/>
    <w:rsid w:val="3B9D5C20"/>
    <w:rsid w:val="3BB0325D"/>
    <w:rsid w:val="3BBA0580"/>
    <w:rsid w:val="3BC136BC"/>
    <w:rsid w:val="3BF27D19"/>
    <w:rsid w:val="3C157564"/>
    <w:rsid w:val="3C320116"/>
    <w:rsid w:val="3C520BD4"/>
    <w:rsid w:val="3C665412"/>
    <w:rsid w:val="3C8B5A78"/>
    <w:rsid w:val="3CCA65A0"/>
    <w:rsid w:val="3D3A1978"/>
    <w:rsid w:val="3D731666"/>
    <w:rsid w:val="3D836A4E"/>
    <w:rsid w:val="3D840E45"/>
    <w:rsid w:val="3DD671C7"/>
    <w:rsid w:val="3DFD4436"/>
    <w:rsid w:val="3E063608"/>
    <w:rsid w:val="3E0C5FEB"/>
    <w:rsid w:val="3EA37E97"/>
    <w:rsid w:val="3EE6168C"/>
    <w:rsid w:val="3F125FDD"/>
    <w:rsid w:val="3F7171A7"/>
    <w:rsid w:val="3F740A45"/>
    <w:rsid w:val="3F7B76C9"/>
    <w:rsid w:val="3FBB48C6"/>
    <w:rsid w:val="3FBE0BC5"/>
    <w:rsid w:val="3FEE0714"/>
    <w:rsid w:val="4048103A"/>
    <w:rsid w:val="40556AC9"/>
    <w:rsid w:val="40565C34"/>
    <w:rsid w:val="406867FC"/>
    <w:rsid w:val="40736643"/>
    <w:rsid w:val="40806E63"/>
    <w:rsid w:val="40844CB8"/>
    <w:rsid w:val="40CF23D7"/>
    <w:rsid w:val="40D24A7A"/>
    <w:rsid w:val="40ED4F53"/>
    <w:rsid w:val="40F77B80"/>
    <w:rsid w:val="410858E9"/>
    <w:rsid w:val="41452699"/>
    <w:rsid w:val="418C2076"/>
    <w:rsid w:val="41C23CEA"/>
    <w:rsid w:val="41D67795"/>
    <w:rsid w:val="41F8595E"/>
    <w:rsid w:val="420C1409"/>
    <w:rsid w:val="421D3616"/>
    <w:rsid w:val="42240501"/>
    <w:rsid w:val="42621029"/>
    <w:rsid w:val="432E38C0"/>
    <w:rsid w:val="435241E2"/>
    <w:rsid w:val="4374370A"/>
    <w:rsid w:val="4374398B"/>
    <w:rsid w:val="438A6A89"/>
    <w:rsid w:val="43975C51"/>
    <w:rsid w:val="439E3FA7"/>
    <w:rsid w:val="43B546D3"/>
    <w:rsid w:val="44202F4A"/>
    <w:rsid w:val="444710C0"/>
    <w:rsid w:val="44562E10"/>
    <w:rsid w:val="44670B79"/>
    <w:rsid w:val="447339C1"/>
    <w:rsid w:val="4487198F"/>
    <w:rsid w:val="4496320C"/>
    <w:rsid w:val="44B32266"/>
    <w:rsid w:val="44FC64F4"/>
    <w:rsid w:val="4517434D"/>
    <w:rsid w:val="45367698"/>
    <w:rsid w:val="453A64BB"/>
    <w:rsid w:val="456926CF"/>
    <w:rsid w:val="459F264E"/>
    <w:rsid w:val="45FB3C6E"/>
    <w:rsid w:val="46081EE8"/>
    <w:rsid w:val="462F3918"/>
    <w:rsid w:val="464322E0"/>
    <w:rsid w:val="464C1D11"/>
    <w:rsid w:val="465B64BB"/>
    <w:rsid w:val="46717A8D"/>
    <w:rsid w:val="467B6B5D"/>
    <w:rsid w:val="467F4585"/>
    <w:rsid w:val="470628CB"/>
    <w:rsid w:val="47555BD4"/>
    <w:rsid w:val="475C24EB"/>
    <w:rsid w:val="47893502"/>
    <w:rsid w:val="479003E6"/>
    <w:rsid w:val="479646D4"/>
    <w:rsid w:val="47AD0F98"/>
    <w:rsid w:val="47CA7D9C"/>
    <w:rsid w:val="47E96399"/>
    <w:rsid w:val="481D611E"/>
    <w:rsid w:val="48360F8E"/>
    <w:rsid w:val="483B65A4"/>
    <w:rsid w:val="48766976"/>
    <w:rsid w:val="488F68F0"/>
    <w:rsid w:val="489108BA"/>
    <w:rsid w:val="48A71E8C"/>
    <w:rsid w:val="48B819A3"/>
    <w:rsid w:val="48C83261"/>
    <w:rsid w:val="48D03BBF"/>
    <w:rsid w:val="48E12B50"/>
    <w:rsid w:val="496F29A9"/>
    <w:rsid w:val="49911067"/>
    <w:rsid w:val="499441BE"/>
    <w:rsid w:val="49963934"/>
    <w:rsid w:val="499A6C1C"/>
    <w:rsid w:val="499C7517"/>
    <w:rsid w:val="4A2138F0"/>
    <w:rsid w:val="4A253068"/>
    <w:rsid w:val="4A4D0811"/>
    <w:rsid w:val="4A583887"/>
    <w:rsid w:val="4A5D4EF8"/>
    <w:rsid w:val="4A850D8F"/>
    <w:rsid w:val="4B0E61F2"/>
    <w:rsid w:val="4B9F6E02"/>
    <w:rsid w:val="4BAB57EF"/>
    <w:rsid w:val="4BB5041C"/>
    <w:rsid w:val="4BDA7E93"/>
    <w:rsid w:val="4BF3219E"/>
    <w:rsid w:val="4C0D2006"/>
    <w:rsid w:val="4C26756B"/>
    <w:rsid w:val="4C3103EA"/>
    <w:rsid w:val="4C6B4F7E"/>
    <w:rsid w:val="4C6C1422"/>
    <w:rsid w:val="4C89637B"/>
    <w:rsid w:val="4D1E59F4"/>
    <w:rsid w:val="4D7D31BB"/>
    <w:rsid w:val="4E161320"/>
    <w:rsid w:val="4E1A0B5B"/>
    <w:rsid w:val="4E2E44B5"/>
    <w:rsid w:val="4E6E48A8"/>
    <w:rsid w:val="4E870795"/>
    <w:rsid w:val="4EA8070C"/>
    <w:rsid w:val="4EE9493F"/>
    <w:rsid w:val="4EEC036B"/>
    <w:rsid w:val="4EF00307"/>
    <w:rsid w:val="4F0C2A48"/>
    <w:rsid w:val="4F31434D"/>
    <w:rsid w:val="4FAB2261"/>
    <w:rsid w:val="500A342C"/>
    <w:rsid w:val="50132662"/>
    <w:rsid w:val="501D2673"/>
    <w:rsid w:val="50471374"/>
    <w:rsid w:val="50B25872"/>
    <w:rsid w:val="50C80BF1"/>
    <w:rsid w:val="50D91050"/>
    <w:rsid w:val="50E33C7D"/>
    <w:rsid w:val="512255E6"/>
    <w:rsid w:val="51852833"/>
    <w:rsid w:val="51DB6702"/>
    <w:rsid w:val="5224454D"/>
    <w:rsid w:val="5262140D"/>
    <w:rsid w:val="5266458F"/>
    <w:rsid w:val="526A01B2"/>
    <w:rsid w:val="52880638"/>
    <w:rsid w:val="52BC43A3"/>
    <w:rsid w:val="52DC2732"/>
    <w:rsid w:val="52F11AC8"/>
    <w:rsid w:val="53000B16"/>
    <w:rsid w:val="534F49D9"/>
    <w:rsid w:val="53555F0F"/>
    <w:rsid w:val="535D23D5"/>
    <w:rsid w:val="53620E89"/>
    <w:rsid w:val="53CE10F6"/>
    <w:rsid w:val="53E53FE7"/>
    <w:rsid w:val="54611A8E"/>
    <w:rsid w:val="546D3F89"/>
    <w:rsid w:val="54EC75A4"/>
    <w:rsid w:val="55564A1D"/>
    <w:rsid w:val="556E620B"/>
    <w:rsid w:val="55BD2CEE"/>
    <w:rsid w:val="55C0251B"/>
    <w:rsid w:val="55CD5707"/>
    <w:rsid w:val="560426CB"/>
    <w:rsid w:val="562C577E"/>
    <w:rsid w:val="564D7C8C"/>
    <w:rsid w:val="5664316A"/>
    <w:rsid w:val="56AB2B47"/>
    <w:rsid w:val="56F4341A"/>
    <w:rsid w:val="56FB1D20"/>
    <w:rsid w:val="57075FA5"/>
    <w:rsid w:val="57272B15"/>
    <w:rsid w:val="57521214"/>
    <w:rsid w:val="575A7321"/>
    <w:rsid w:val="576D24F2"/>
    <w:rsid w:val="580C3AB9"/>
    <w:rsid w:val="58117322"/>
    <w:rsid w:val="583C7AE0"/>
    <w:rsid w:val="586C1E9A"/>
    <w:rsid w:val="586E0800"/>
    <w:rsid w:val="591075D9"/>
    <w:rsid w:val="59216F96"/>
    <w:rsid w:val="598C4145"/>
    <w:rsid w:val="59957D1B"/>
    <w:rsid w:val="59D4294E"/>
    <w:rsid w:val="59DB09CC"/>
    <w:rsid w:val="5A2F3A8F"/>
    <w:rsid w:val="5A366BCB"/>
    <w:rsid w:val="5A4E2167"/>
    <w:rsid w:val="5A6A6DEC"/>
    <w:rsid w:val="5A9A35FE"/>
    <w:rsid w:val="5ACC12DE"/>
    <w:rsid w:val="5AEE74A6"/>
    <w:rsid w:val="5B2F078B"/>
    <w:rsid w:val="5B606E86"/>
    <w:rsid w:val="5B634312"/>
    <w:rsid w:val="5B854D5A"/>
    <w:rsid w:val="5B9D2CCD"/>
    <w:rsid w:val="5B9E71EA"/>
    <w:rsid w:val="5C1318BA"/>
    <w:rsid w:val="5C2F6668"/>
    <w:rsid w:val="5C98591B"/>
    <w:rsid w:val="5CB0535B"/>
    <w:rsid w:val="5CC04E72"/>
    <w:rsid w:val="5CC826A5"/>
    <w:rsid w:val="5D3009CD"/>
    <w:rsid w:val="5D551A5E"/>
    <w:rsid w:val="5DE11544"/>
    <w:rsid w:val="5E127950"/>
    <w:rsid w:val="5E226FBC"/>
    <w:rsid w:val="5E331DA0"/>
    <w:rsid w:val="5E543C3C"/>
    <w:rsid w:val="5F0D7307"/>
    <w:rsid w:val="5F17440C"/>
    <w:rsid w:val="5F585836"/>
    <w:rsid w:val="5F5E109E"/>
    <w:rsid w:val="5F685A79"/>
    <w:rsid w:val="5F7B7DCA"/>
    <w:rsid w:val="5F9F7185"/>
    <w:rsid w:val="5FE72BD2"/>
    <w:rsid w:val="5FFC2665"/>
    <w:rsid w:val="60120613"/>
    <w:rsid w:val="601479AF"/>
    <w:rsid w:val="603E4A2C"/>
    <w:rsid w:val="613B693F"/>
    <w:rsid w:val="618D5292"/>
    <w:rsid w:val="61901CAA"/>
    <w:rsid w:val="61C3343B"/>
    <w:rsid w:val="61D37AA5"/>
    <w:rsid w:val="622E78FA"/>
    <w:rsid w:val="62377985"/>
    <w:rsid w:val="62662018"/>
    <w:rsid w:val="62B2525D"/>
    <w:rsid w:val="62CF35CB"/>
    <w:rsid w:val="62DB47B4"/>
    <w:rsid w:val="63070602"/>
    <w:rsid w:val="630F0222"/>
    <w:rsid w:val="631303F2"/>
    <w:rsid w:val="63343F70"/>
    <w:rsid w:val="635A1B7D"/>
    <w:rsid w:val="635C1DA0"/>
    <w:rsid w:val="64137F7D"/>
    <w:rsid w:val="64155AA4"/>
    <w:rsid w:val="64296E1C"/>
    <w:rsid w:val="64373C6C"/>
    <w:rsid w:val="649E64A2"/>
    <w:rsid w:val="64B57263"/>
    <w:rsid w:val="64B921AC"/>
    <w:rsid w:val="64C5396E"/>
    <w:rsid w:val="64D60C97"/>
    <w:rsid w:val="64FD4EB5"/>
    <w:rsid w:val="6502427A"/>
    <w:rsid w:val="651144BD"/>
    <w:rsid w:val="65516D67"/>
    <w:rsid w:val="656C203B"/>
    <w:rsid w:val="659B647C"/>
    <w:rsid w:val="65D80203"/>
    <w:rsid w:val="65E5270A"/>
    <w:rsid w:val="662D5327"/>
    <w:rsid w:val="663D3C54"/>
    <w:rsid w:val="66833198"/>
    <w:rsid w:val="66862C89"/>
    <w:rsid w:val="66AC6B93"/>
    <w:rsid w:val="66BB486D"/>
    <w:rsid w:val="67394C7D"/>
    <w:rsid w:val="67397CFB"/>
    <w:rsid w:val="67717495"/>
    <w:rsid w:val="677F6056"/>
    <w:rsid w:val="68036CB7"/>
    <w:rsid w:val="68126B38"/>
    <w:rsid w:val="68291A1A"/>
    <w:rsid w:val="68352BB8"/>
    <w:rsid w:val="68815DFE"/>
    <w:rsid w:val="688651C2"/>
    <w:rsid w:val="68953B22"/>
    <w:rsid w:val="68A966AD"/>
    <w:rsid w:val="691B1594"/>
    <w:rsid w:val="693A016B"/>
    <w:rsid w:val="69507BBD"/>
    <w:rsid w:val="6990454A"/>
    <w:rsid w:val="6994390F"/>
    <w:rsid w:val="6A022F6E"/>
    <w:rsid w:val="6A17429C"/>
    <w:rsid w:val="6A274783"/>
    <w:rsid w:val="6A2C1D99"/>
    <w:rsid w:val="6A567EA3"/>
    <w:rsid w:val="6AD95A7D"/>
    <w:rsid w:val="6B102C37"/>
    <w:rsid w:val="6B21172D"/>
    <w:rsid w:val="6B4B4368"/>
    <w:rsid w:val="6B715CB5"/>
    <w:rsid w:val="6B79100E"/>
    <w:rsid w:val="6B8C0D41"/>
    <w:rsid w:val="6BA66756"/>
    <w:rsid w:val="6BC73B27"/>
    <w:rsid w:val="6C7C2B64"/>
    <w:rsid w:val="6C844C00"/>
    <w:rsid w:val="6C9A748E"/>
    <w:rsid w:val="6CD209D6"/>
    <w:rsid w:val="6CE60925"/>
    <w:rsid w:val="6D0843F7"/>
    <w:rsid w:val="6D321474"/>
    <w:rsid w:val="6D3911D9"/>
    <w:rsid w:val="6D655CEE"/>
    <w:rsid w:val="6DA2484C"/>
    <w:rsid w:val="6E10212C"/>
    <w:rsid w:val="6E43561A"/>
    <w:rsid w:val="6E557973"/>
    <w:rsid w:val="6E58315D"/>
    <w:rsid w:val="6E5A5127"/>
    <w:rsid w:val="6E9568DB"/>
    <w:rsid w:val="6ED749C9"/>
    <w:rsid w:val="6F0D6C22"/>
    <w:rsid w:val="6F152DFC"/>
    <w:rsid w:val="6F47657F"/>
    <w:rsid w:val="6F807162"/>
    <w:rsid w:val="6FAF23D9"/>
    <w:rsid w:val="6FD35191"/>
    <w:rsid w:val="6FED5B27"/>
    <w:rsid w:val="6FF9096F"/>
    <w:rsid w:val="703D02B0"/>
    <w:rsid w:val="70635CF6"/>
    <w:rsid w:val="70670707"/>
    <w:rsid w:val="7113767A"/>
    <w:rsid w:val="7141437C"/>
    <w:rsid w:val="7149266F"/>
    <w:rsid w:val="717007BD"/>
    <w:rsid w:val="71BC1C54"/>
    <w:rsid w:val="71F66F14"/>
    <w:rsid w:val="71FB277D"/>
    <w:rsid w:val="720E3691"/>
    <w:rsid w:val="724E244C"/>
    <w:rsid w:val="7256685C"/>
    <w:rsid w:val="72906CE7"/>
    <w:rsid w:val="72952BD1"/>
    <w:rsid w:val="72966949"/>
    <w:rsid w:val="72DA6946"/>
    <w:rsid w:val="732764B3"/>
    <w:rsid w:val="732D4BB8"/>
    <w:rsid w:val="73440153"/>
    <w:rsid w:val="73682094"/>
    <w:rsid w:val="73770529"/>
    <w:rsid w:val="73A429A0"/>
    <w:rsid w:val="73C13552"/>
    <w:rsid w:val="73DD4830"/>
    <w:rsid w:val="73E66C83"/>
    <w:rsid w:val="74026044"/>
    <w:rsid w:val="740D2C3B"/>
    <w:rsid w:val="740D6797"/>
    <w:rsid w:val="74116287"/>
    <w:rsid w:val="741C69DA"/>
    <w:rsid w:val="7428537F"/>
    <w:rsid w:val="74746410"/>
    <w:rsid w:val="748702F8"/>
    <w:rsid w:val="74AC4202"/>
    <w:rsid w:val="74F9046F"/>
    <w:rsid w:val="7507768A"/>
    <w:rsid w:val="75226272"/>
    <w:rsid w:val="75722525"/>
    <w:rsid w:val="75843DAD"/>
    <w:rsid w:val="7592164A"/>
    <w:rsid w:val="75AF2A44"/>
    <w:rsid w:val="75E5007C"/>
    <w:rsid w:val="76481D09"/>
    <w:rsid w:val="767D5E56"/>
    <w:rsid w:val="76C27D0D"/>
    <w:rsid w:val="76F0487A"/>
    <w:rsid w:val="772067E2"/>
    <w:rsid w:val="774921DC"/>
    <w:rsid w:val="77813724"/>
    <w:rsid w:val="77861774"/>
    <w:rsid w:val="77B91110"/>
    <w:rsid w:val="77FA7033"/>
    <w:rsid w:val="78462278"/>
    <w:rsid w:val="78CC4E73"/>
    <w:rsid w:val="78DA7590"/>
    <w:rsid w:val="78F31435"/>
    <w:rsid w:val="792627D5"/>
    <w:rsid w:val="79300B45"/>
    <w:rsid w:val="794D3E18"/>
    <w:rsid w:val="79524732"/>
    <w:rsid w:val="795B0169"/>
    <w:rsid w:val="795D5ACB"/>
    <w:rsid w:val="79667075"/>
    <w:rsid w:val="79984052"/>
    <w:rsid w:val="79F3729A"/>
    <w:rsid w:val="7A0C2637"/>
    <w:rsid w:val="7A356A48"/>
    <w:rsid w:val="7A38190F"/>
    <w:rsid w:val="7A4822D7"/>
    <w:rsid w:val="7A7F1A71"/>
    <w:rsid w:val="7A880722"/>
    <w:rsid w:val="7A8B6321"/>
    <w:rsid w:val="7A9279F6"/>
    <w:rsid w:val="7AA37E55"/>
    <w:rsid w:val="7ACB0498"/>
    <w:rsid w:val="7AED0B4D"/>
    <w:rsid w:val="7AF406B1"/>
    <w:rsid w:val="7B0146D1"/>
    <w:rsid w:val="7B0E3521"/>
    <w:rsid w:val="7B256ABC"/>
    <w:rsid w:val="7B29035B"/>
    <w:rsid w:val="7B407452"/>
    <w:rsid w:val="7B6B2B85"/>
    <w:rsid w:val="7B787230"/>
    <w:rsid w:val="7B933A26"/>
    <w:rsid w:val="7B98728E"/>
    <w:rsid w:val="7B9D48A5"/>
    <w:rsid w:val="7BD1454E"/>
    <w:rsid w:val="7BDC49B5"/>
    <w:rsid w:val="7BDF7229"/>
    <w:rsid w:val="7C1E4487"/>
    <w:rsid w:val="7C215E02"/>
    <w:rsid w:val="7C386031"/>
    <w:rsid w:val="7CF23764"/>
    <w:rsid w:val="7D3D6937"/>
    <w:rsid w:val="7D7D498E"/>
    <w:rsid w:val="7D913F95"/>
    <w:rsid w:val="7DA278ED"/>
    <w:rsid w:val="7DB55ED6"/>
    <w:rsid w:val="7DCC76C3"/>
    <w:rsid w:val="7DE71E07"/>
    <w:rsid w:val="7E0155BF"/>
    <w:rsid w:val="7E665422"/>
    <w:rsid w:val="7E797F74"/>
    <w:rsid w:val="7EAD4DFF"/>
    <w:rsid w:val="7EC42D7C"/>
    <w:rsid w:val="7EDC3936"/>
    <w:rsid w:val="7EFB3DBC"/>
    <w:rsid w:val="7F080287"/>
    <w:rsid w:val="7F3B33E4"/>
    <w:rsid w:val="7F54661F"/>
    <w:rsid w:val="7F587460"/>
    <w:rsid w:val="7F623E3B"/>
    <w:rsid w:val="7F85753C"/>
    <w:rsid w:val="7F924011"/>
    <w:rsid w:val="7F993C8B"/>
    <w:rsid w:val="7FA501CC"/>
    <w:rsid w:val="7FC3447E"/>
    <w:rsid w:val="7FC52DC2"/>
    <w:rsid w:val="7FC56178"/>
    <w:rsid w:val="7FD03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9876</Words>
  <Characters>10493</Characters>
  <Lines>0</Lines>
  <Paragraphs>0</Paragraphs>
  <TotalTime>1</TotalTime>
  <ScaleCrop>false</ScaleCrop>
  <LinksUpToDate>false</LinksUpToDate>
  <CharactersWithSpaces>10552</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2024-10-10T07:47:17Z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