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6" w:name="_GoBack"/>
      <w:bookmarkEnd w:id="86"/>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2022年州人大代表活动经费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项目名称：2022年州人大代表活动经费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阜康市人民代表大会常务委员会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阜康市人民代表大会常务委员会</w:t>
      </w:r>
    </w:p>
    <w:p>
      <w:pPr>
        <w:pStyle w:val="2"/>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widowControl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widowControl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widowControl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2022年州人大代表活动经费项目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val="en-US" w:eastAsia="zh-CN"/>
        </w:rPr>
        <w:t>为贯彻落实中央人大工作会议精神和自治区党委实施意见，体现自治区党委对基层人大工作的重视和关心，</w:t>
      </w:r>
      <w:r>
        <w:rPr>
          <w:rFonts w:hint="eastAsia" w:cs="宋体"/>
          <w:color w:val="auto"/>
          <w:highlight w:val="none"/>
          <w:shd w:val="clear" w:color="auto" w:fill="auto"/>
          <w:lang w:val="en-US" w:eastAsia="zh-CN"/>
        </w:rPr>
        <w:t>更好地支持和保障各级人大代表依法执行代表职务，</w:t>
      </w:r>
      <w:r>
        <w:rPr>
          <w:rFonts w:hint="eastAsia" w:ascii="宋体" w:hAnsi="宋体" w:eastAsia="宋体" w:cs="宋体"/>
          <w:color w:val="auto"/>
          <w:highlight w:val="none"/>
          <w:shd w:val="clear" w:color="auto" w:fill="auto"/>
          <w:lang w:val="en-US" w:eastAsia="zh-CN"/>
        </w:rPr>
        <w:t>发挥人大代表在经济社会发展中的模范作用，激发基层人大工作活力，促进代表活动的经常化、制度化、规范化，设立项目经费</w:t>
      </w:r>
      <w:r>
        <w:rPr>
          <w:rFonts w:hint="eastAsia" w:cs="宋体"/>
          <w:color w:val="auto"/>
          <w:highlight w:val="none"/>
          <w:shd w:val="clear" w:color="auto" w:fill="auto"/>
          <w:lang w:val="en-US" w:eastAsia="zh-CN"/>
        </w:rPr>
        <w:t>——州人大代表活动</w:t>
      </w:r>
      <w:r>
        <w:rPr>
          <w:rFonts w:hint="eastAsia" w:ascii="宋体" w:hAnsi="宋体" w:eastAsia="宋体" w:cs="宋体"/>
          <w:color w:val="auto"/>
          <w:highlight w:val="none"/>
          <w:shd w:val="clear" w:color="auto" w:fill="auto"/>
          <w:lang w:val="en-US" w:eastAsia="zh-CN"/>
        </w:rPr>
        <w:t>经费项目</w:t>
      </w:r>
      <w:r>
        <w:rPr>
          <w:rFonts w:hint="eastAsia" w:cs="宋体"/>
          <w:color w:val="auto"/>
          <w:highlight w:val="none"/>
          <w:shd w:val="clear" w:color="auto" w:fill="auto"/>
          <w:lang w:val="en-US" w:eastAsia="zh-CN"/>
        </w:rPr>
        <w:t>,</w:t>
      </w:r>
      <w:r>
        <w:rPr>
          <w:rFonts w:hint="eastAsia"/>
          <w:color w:val="auto"/>
          <w:highlight w:val="none"/>
          <w:lang w:val="en-US" w:eastAsia="zh-CN"/>
        </w:rPr>
        <w:t>主要用于保障州人大代表在闭会期间的履职活动</w:t>
      </w:r>
      <w:r>
        <w:rPr>
          <w:rFonts w:hint="eastAsia"/>
          <w:color w:val="auto"/>
          <w:highlight w:val="none"/>
        </w:rPr>
        <w:t>。</w:t>
      </w:r>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认真贯彻党的方针、政策、法规的实施；积极参加闭会期间人大组织的学习培训、视察、 专题调研、执法检查、评议 “ 一府两院 ” 工作、代表向选民述职等各项活动 ; 积极参加代表小组的各项活动，负责人大机关后勤保障工作。2023年预计按照《2023年阜康市人大常委会工作要点》组织人大代表开展视察、调研、执法检查和工作评议等活动不少于4次，费用不少于3.5万元，召开常委会不少于2次，费用不少于1.53万元，提高基层人大履职能力，保障人大代表活动的正常开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年经</w:t>
      </w:r>
      <w:r>
        <w:rPr>
          <w:rFonts w:hint="eastAsia" w:cs="宋体"/>
          <w:color w:val="auto"/>
          <w:highlight w:val="none"/>
          <w:shd w:val="clear" w:color="auto" w:fill="auto"/>
          <w:lang w:val="en-US" w:eastAsia="zh-CN"/>
        </w:rPr>
        <w:t>昌州财行(2022)20号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市人大常委会机关</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董英</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甘卫国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项目负责人为邵缨越,</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吕德健</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魏本新、刘丽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吕德健</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魏本新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刘丽</w:t>
      </w:r>
      <w:r>
        <w:rPr>
          <w:rFonts w:hint="eastAsia" w:ascii="宋体" w:hAnsi="宋体" w:eastAsia="宋体" w:cs="宋体"/>
          <w:color w:val="auto"/>
          <w:highlight w:val="none"/>
          <w:shd w:val="clear" w:color="auto" w:fill="auto"/>
          <w:lang w:val="en-US" w:eastAsia="zh-CN"/>
        </w:rPr>
        <w:t>负责资金拨付工作。</w:t>
      </w:r>
    </w:p>
    <w:p>
      <w:pPr>
        <w:pStyle w:val="2"/>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项目完成情况：截止2023年12月31日，阜康市人大常委会计划全年召开全体会议1次；根据市人大常规工作，每两个月开展人大常委会1次，全年不少于6次；围绕强化对法律法规实施情况的监督，强化计划、预算执行监督，强化国有资产管理监督，强化高质量发展监督，全年开展调研、视察、检查工作8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20</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年拨付我单位</w:t>
      </w:r>
      <w:r>
        <w:rPr>
          <w:rFonts w:hint="eastAsia" w:cs="宋体"/>
          <w:color w:val="auto"/>
          <w:highlight w:val="none"/>
          <w:shd w:val="clear" w:color="auto" w:fill="auto"/>
          <w:lang w:val="en-US" w:eastAsia="zh-CN"/>
        </w:rPr>
        <w:t>州人大代表活动</w:t>
      </w:r>
      <w:r>
        <w:rPr>
          <w:rFonts w:hint="eastAsia" w:ascii="宋体" w:hAnsi="宋体" w:eastAsia="宋体" w:cs="宋体"/>
          <w:color w:val="auto"/>
          <w:highlight w:val="none"/>
          <w:shd w:val="clear" w:color="auto" w:fill="auto"/>
          <w:lang w:val="en-US" w:eastAsia="zh-CN"/>
        </w:rPr>
        <w:t>经费</w:t>
      </w:r>
      <w:r>
        <w:rPr>
          <w:rFonts w:hint="eastAsia" w:cs="宋体"/>
          <w:color w:val="auto"/>
          <w:highlight w:val="none"/>
          <w:shd w:val="clear" w:color="auto" w:fill="auto"/>
          <w:lang w:val="en-US" w:eastAsia="zh-CN"/>
        </w:rPr>
        <w:t>5.03</w:t>
      </w:r>
      <w:r>
        <w:rPr>
          <w:rFonts w:hint="eastAsia" w:ascii="宋体" w:hAnsi="宋体" w:eastAsia="宋体" w:cs="宋体"/>
          <w:color w:val="auto"/>
          <w:highlight w:val="none"/>
          <w:shd w:val="clear" w:color="auto" w:fill="auto"/>
          <w:lang w:val="en-US" w:eastAsia="zh-CN"/>
        </w:rPr>
        <w:t>万元，主要用于</w:t>
      </w:r>
      <w:r>
        <w:rPr>
          <w:rFonts w:hint="eastAsia"/>
          <w:color w:val="auto"/>
          <w:highlight w:val="none"/>
          <w:lang w:val="en-US" w:eastAsia="zh-CN"/>
        </w:rPr>
        <w:t>保障州人大代表在闭会期间的</w:t>
      </w:r>
      <w:r>
        <w:rPr>
          <w:rFonts w:hint="eastAsia" w:ascii="宋体" w:hAnsi="宋体" w:eastAsia="宋体" w:cs="宋体"/>
          <w:color w:val="auto"/>
          <w:highlight w:val="none"/>
          <w:shd w:val="clear" w:color="auto" w:fill="auto"/>
          <w:lang w:val="en-US" w:eastAsia="zh-CN"/>
        </w:rPr>
        <w:t>开展视察、调研、执法检查和工作评议等活动</w:t>
      </w:r>
      <w:r>
        <w:rPr>
          <w:rFonts w:hint="eastAsia" w:ascii="方正仿宋_GBK" w:hAnsi="仿宋" w:eastAsia="方正仿宋_GBK"/>
          <w:color w:val="auto"/>
          <w:sz w:val="32"/>
          <w:szCs w:val="32"/>
          <w:highlight w:val="none"/>
        </w:rPr>
        <w:t>。</w:t>
      </w:r>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2022年州人大代表活动经费项目预算安排总额为5.03万元，其中财政资金5.03万元，其他资金0万元，2023年实际收到预算资金5.03万元，预算资金到位率为100%。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（2）项目资金实际使用情况分析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截至2023年12月31日，2022年州人大代表活动经费项目实际支付资金5.03万元，预算执行率100%。项目资金主要用于州人大代表开展各类视察调研、参加常委会议等方面。</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10" w:name="_Toc4487"/>
      <w:r>
        <w:rPr>
          <w:rFonts w:hint="eastAsia" w:ascii="宋体" w:hAnsi="宋体" w:eastAsia="宋体" w:cs="宋体"/>
          <w:b w:val="0"/>
          <w:bCs w:val="0"/>
          <w:color w:val="auto"/>
          <w:kern w:val="2"/>
          <w:sz w:val="28"/>
          <w:szCs w:val="28"/>
          <w:highlight w:val="none"/>
          <w:shd w:val="clear" w:color="auto" w:fill="auto"/>
          <w:lang w:val="en-US" w:eastAsia="zh-CN" w:bidi="ar-SA"/>
        </w:rPr>
        <w:t xml:space="preserve">认真贯彻党的方针、政策、法规的实施；积极参加闭会期间人大组织的学习培训、视察、 专题调研、执法检查、评议 “ 一府两院 ” 工作、代表向选民述职等各项活动 ; 积极参加代表小组的各项活动，负责人大机关后勤保障工作。2023年预计按照《2023年阜康市人大常委会工作要点》组织人大代表开展视察、调研、执法检查和工作评议等活动不少于4次，费用不少于3.5万元，召开常委会不少于2次，费用不少于1.53万元，提高基层人大履职能力，保障人大代表活动的正常开展。 </w:t>
      </w:r>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开展各类视察调研的次数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4次</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召开常委会的次数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视察调研工作完成率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各项工作完成及时率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pPr>
        <w:pStyle w:val="2"/>
        <w:pageBreakBefore w:val="0"/>
        <w:widowControl w:val="0"/>
        <w:numPr>
          <w:ilvl w:val="0"/>
          <w:numId w:val="0"/>
        </w:numPr>
        <w:kinsoku/>
        <w:wordWrap/>
        <w:overflowPunct/>
        <w:topLinePunct w:val="0"/>
        <w:autoSpaceDE/>
        <w:autoSpaceDN/>
        <w:bidi w:val="0"/>
        <w:ind w:firstLine="560" w:firstLineChars="200"/>
        <w:textAlignment w:val="auto"/>
        <w:rPr>
          <w:rFonts w:hint="default"/>
          <w:color w:val="auto"/>
          <w:highlight w:val="none"/>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①</w:t>
      </w:r>
      <w:r>
        <w:rPr>
          <w:rFonts w:hint="eastAsia" w:ascii="宋体" w:hAnsi="宋体" w:cs="宋体"/>
          <w:b w:val="0"/>
          <w:bCs w:val="0"/>
          <w:color w:val="auto"/>
          <w:kern w:val="2"/>
          <w:sz w:val="28"/>
          <w:szCs w:val="28"/>
          <w:highlight w:val="none"/>
          <w:shd w:val="clear" w:color="auto" w:fill="auto"/>
          <w:lang w:val="en-US" w:eastAsia="zh-CN" w:bidi="ar-SA"/>
        </w:rPr>
        <w:t>经济成本指标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开展调研视察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3.5万元</w:t>
      </w:r>
      <w:r>
        <w:rPr>
          <w:rFonts w:hint="eastAsia" w:ascii="宋体" w:hAnsi="宋体" w:eastAsia="宋体" w:cs="宋体"/>
          <w:color w:val="auto"/>
          <w:highlight w:val="none"/>
          <w:shd w:val="clear" w:color="auto" w:fill="auto"/>
          <w:lang w:val="en-US" w:eastAsia="zh-CN"/>
        </w:rPr>
        <w:t>；</w:t>
      </w:r>
    </w:p>
    <w:p>
      <w:pPr>
        <w:pStyle w:val="2"/>
        <w:pageBreakBefore w:val="0"/>
        <w:widowControl w:val="0"/>
        <w:kinsoku/>
        <w:wordWrap/>
        <w:overflowPunct/>
        <w:topLinePunct w:val="0"/>
        <w:autoSpaceDE/>
        <w:autoSpaceDN/>
        <w:bidi w:val="0"/>
        <w:textAlignment w:val="auto"/>
        <w:rPr>
          <w:rFonts w:hint="eastAsia"/>
          <w:color w:val="auto"/>
          <w:sz w:val="28"/>
          <w:szCs w:val="28"/>
          <w:highlight w:val="none"/>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“召开常委会及代表活动”指标，预期目标值为≤</w:t>
      </w:r>
      <w:r>
        <w:rPr>
          <w:rFonts w:hint="eastAsia" w:ascii="宋体" w:hAnsi="宋体" w:cs="宋体"/>
          <w:b w:val="0"/>
          <w:bCs w:val="0"/>
          <w:color w:val="auto"/>
          <w:kern w:val="2"/>
          <w:sz w:val="28"/>
          <w:szCs w:val="28"/>
          <w:highlight w:val="none"/>
          <w:shd w:val="clear" w:color="auto" w:fill="auto"/>
          <w:lang w:val="en-US" w:eastAsia="zh-CN" w:bidi="ar-SA"/>
        </w:rPr>
        <w:t>1.53</w:t>
      </w:r>
      <w:r>
        <w:rPr>
          <w:rFonts w:hint="eastAsia" w:ascii="宋体" w:hAnsi="宋体" w:eastAsia="宋体" w:cs="宋体"/>
          <w:b w:val="0"/>
          <w:bCs w:val="0"/>
          <w:color w:val="auto"/>
          <w:kern w:val="2"/>
          <w:sz w:val="28"/>
          <w:szCs w:val="28"/>
          <w:highlight w:val="none"/>
          <w:shd w:val="clear" w:color="auto" w:fill="auto"/>
          <w:lang w:val="en-US" w:eastAsia="zh-CN" w:bidi="ar-SA"/>
        </w:rPr>
        <w:t>万元；</w:t>
      </w:r>
    </w:p>
    <w:p>
      <w:pPr>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cs="宋体"/>
          <w:color w:val="auto"/>
          <w:highlight w:val="none"/>
          <w:shd w:val="clear" w:color="auto" w:fill="auto"/>
          <w:lang w:val="en-US" w:eastAsia="zh-CN"/>
        </w:rPr>
        <w:t>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为我市的乡村振兴、产业发展、文化建设等方面提供有价值的参考信息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长期</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widowControl w:val="0"/>
        <w:numPr>
          <w:ilvl w:val="0"/>
          <w:numId w:val="4"/>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5258"/>
      <w:bookmarkStart w:id="14" w:name="_Toc5462343"/>
      <w:bookmarkStart w:id="15" w:name="_Toc480473081"/>
      <w:bookmarkStart w:id="16" w:name="_Toc22922"/>
      <w:bookmarkStart w:id="17" w:name="_Toc12868"/>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年度我单位实施的2022年州人大代表活动经费项目开展部门绩效评价。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widowControl w:val="0"/>
        <w:numPr>
          <w:ilvl w:val="0"/>
          <w:numId w:val="4"/>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2022年州人大代表活动经费项目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jc w:val="center"/>
        <w:textAlignment w:val="auto"/>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与实施情况进行比较，以及采取公众问卷及抽样调查等方式进行评判的方法对2022年州人大代表活动经费项目进行评价。</w:t>
      </w:r>
    </w:p>
    <w:p>
      <w:pPr>
        <w:pStyle w:val="5"/>
        <w:pageBreakBefore w:val="0"/>
        <w:widowControl w:val="0"/>
        <w:kinsoku/>
        <w:wordWrap/>
        <w:overflowPunct/>
        <w:topLinePunct w:val="0"/>
        <w:autoSpaceDE/>
        <w:autoSpaceDN/>
        <w:bidi w:val="0"/>
        <w:textAlignment w:val="auto"/>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pageBreakBefore w:val="0"/>
        <w:widowControl w:val="0"/>
        <w:kinsoku/>
        <w:wordWrap/>
        <w:overflowPunct/>
        <w:topLinePunct w:val="0"/>
        <w:autoSpaceDE/>
        <w:autoSpaceDN/>
        <w:bidi w:val="0"/>
        <w:textAlignment w:val="auto"/>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2022年州人大代表活动经费项目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2022年州人大代表活动经费项目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99.17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color w:val="auto"/>
                <w:highlight w:val="none"/>
                <w:shd w:val="clear" w:color="auto" w:fill="auto"/>
                <w:lang w:val="en-US" w:eastAsia="zh-CN"/>
              </w:rPr>
              <w:t>2022年州人大代表活动经费</w:t>
            </w:r>
            <w:r>
              <w:rPr>
                <w:rFonts w:hint="eastAsia" w:ascii="宋体" w:hAnsi="宋体" w:eastAsia="宋体" w:cs="宋体"/>
                <w:b/>
                <w:bCs/>
                <w:color w:val="auto"/>
                <w:kern w:val="0"/>
                <w:sz w:val="28"/>
                <w:szCs w:val="28"/>
                <w:highlight w:val="none"/>
                <w:shd w:val="clear" w:color="auto" w:fill="auto"/>
                <w:lang w:val="en-US" w:eastAsia="zh-CN"/>
              </w:rPr>
              <w:t>项目得分表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29.97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99.17</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99.9%</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99.17%</w:t>
            </w:r>
          </w:p>
        </w:tc>
      </w:tr>
    </w:tbl>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shd w:val="clear" w:color="auto" w:fill="auto"/>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该项目依据</w:t>
      </w:r>
      <w:r>
        <w:rPr>
          <w:rFonts w:hint="eastAsia"/>
          <w:color w:val="auto"/>
          <w:highlight w:val="none"/>
          <w:lang w:eastAsia="zh-CN"/>
        </w:rPr>
        <w:t>《</w:t>
      </w:r>
      <w:r>
        <w:rPr>
          <w:rFonts w:hint="eastAsia"/>
          <w:color w:val="auto"/>
          <w:highlight w:val="none"/>
          <w:lang w:val="en-US" w:eastAsia="zh-CN"/>
        </w:rPr>
        <w:t>中华人民共和国全国人民代表大会和地方各级人民代表大会代表法》及昌州财行(2022)20号州人大代表活动经费文件要求，</w:t>
      </w:r>
      <w:r>
        <w:rPr>
          <w:rFonts w:hint="eastAsia"/>
          <w:b w:val="0"/>
          <w:bCs w:val="0"/>
          <w:color w:val="auto"/>
          <w:highlight w:val="none"/>
          <w:lang w:eastAsia="zh-CN"/>
        </w:rPr>
        <w:t>立项符合国家法律法规、国民经济发展规划</w:t>
      </w:r>
      <w:r>
        <w:rPr>
          <w:rFonts w:hint="eastAsia"/>
          <w:b w:val="0"/>
          <w:bCs w:val="0"/>
          <w:color w:val="auto"/>
          <w:highlight w:val="none"/>
          <w:lang w:val="en-US" w:eastAsia="zh-CN"/>
        </w:rPr>
        <w:t>和人大代表活动经费项目管理要求</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w:t>
      </w:r>
      <w:r>
        <w:rPr>
          <w:rFonts w:hint="eastAsia"/>
          <w:b w:val="0"/>
          <w:bCs w:val="0"/>
          <w:color w:val="auto"/>
          <w:highlight w:val="none"/>
          <w:lang w:val="en-US" w:eastAsia="zh-CN"/>
        </w:rPr>
        <w:t>该项目理想符合《人大章程》及人大代表在实际开展工作中的切实需要，</w:t>
      </w:r>
      <w:r>
        <w:rPr>
          <w:rFonts w:hint="eastAsia"/>
          <w:b w:val="0"/>
          <w:bCs w:val="0"/>
          <w:color w:val="auto"/>
          <w:highlight w:val="none"/>
          <w:lang w:eastAsia="zh-CN"/>
        </w:rPr>
        <w:t>项目</w:t>
      </w:r>
      <w:r>
        <w:rPr>
          <w:rFonts w:hint="eastAsia"/>
          <w:b w:val="0"/>
          <w:bCs w:val="0"/>
          <w:color w:val="auto"/>
          <w:highlight w:val="none"/>
          <w:lang w:val="en-US" w:eastAsia="zh-CN"/>
        </w:rPr>
        <w:t>进一步完善市级人大代表能力提升，符合行业</w:t>
      </w:r>
      <w:r>
        <w:rPr>
          <w:rFonts w:hint="eastAsia"/>
          <w:b w:val="0"/>
          <w:bCs w:val="0"/>
          <w:color w:val="auto"/>
          <w:highlight w:val="none"/>
          <w:lang w:eastAsia="zh-CN"/>
        </w:rPr>
        <w:t>发展规划</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③立项与《</w:t>
      </w:r>
      <w:r>
        <w:rPr>
          <w:rFonts w:hint="eastAsia"/>
          <w:color w:val="auto"/>
          <w:highlight w:val="none"/>
          <w:lang w:val="en-US" w:eastAsia="zh-CN"/>
        </w:rPr>
        <w:t>阜康市人民代表大会常务委员会议事规则》、各工作委员会组织人大代表开展视察、调研、座谈、督查、检查、评议等工作职责相符</w:t>
      </w:r>
      <w:r>
        <w:rPr>
          <w:rFonts w:hint="eastAsia"/>
          <w:color w:val="auto"/>
          <w:highlight w:val="none"/>
          <w:lang w:eastAsia="zh-CN"/>
        </w:rPr>
        <w:t>，属于部门履职所需；</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项目</w:t>
      </w:r>
      <w:r>
        <w:rPr>
          <w:rFonts w:hint="eastAsia"/>
          <w:color w:val="auto"/>
          <w:highlight w:val="none"/>
          <w:lang w:eastAsia="zh-CN"/>
        </w:rPr>
        <w:t>属于公共财政支持范围，符合中央、地方事权支出责任划分原则；</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⑤</w:t>
      </w:r>
      <w:r>
        <w:rPr>
          <w:rFonts w:hint="eastAsia"/>
          <w:color w:val="auto"/>
          <w:highlight w:val="none"/>
          <w:lang w:val="en-US" w:eastAsia="zh-CN"/>
        </w:rPr>
        <w:t>项目不与</w:t>
      </w:r>
      <w:r>
        <w:rPr>
          <w:rFonts w:hint="eastAsia"/>
          <w:color w:val="auto"/>
          <w:highlight w:val="none"/>
          <w:lang w:eastAsia="zh-CN"/>
        </w:rPr>
        <w:t>部门内部相关项目重复。</w:t>
      </w:r>
    </w:p>
    <w:p>
      <w:pPr>
        <w:pageBreakBefore w:val="0"/>
        <w:widowControl w:val="0"/>
        <w:kinsoku/>
        <w:wordWrap/>
        <w:overflowPunct/>
        <w:topLinePunct w:val="0"/>
        <w:autoSpaceDE/>
        <w:autoSpaceDN/>
        <w:bidi w:val="0"/>
        <w:textAlignment w:val="auto"/>
        <w:rPr>
          <w:rFonts w:hint="default"/>
          <w:color w:val="auto"/>
          <w:highlight w:val="none"/>
          <w:lang w:val="en-US" w:eastAsia="zh-CN"/>
        </w:rPr>
      </w:pPr>
      <w:r>
        <w:rPr>
          <w:rFonts w:hint="eastAsia"/>
          <w:b/>
          <w:bCs/>
          <w:color w:val="auto"/>
          <w:highlight w:val="none"/>
          <w:lang w:val="en-US" w:eastAsia="zh-CN"/>
        </w:rPr>
        <w:t>综上，该项指标满分2分，得分2分。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项目</w:t>
      </w:r>
      <w:r>
        <w:rPr>
          <w:rFonts w:hint="eastAsia"/>
          <w:color w:val="auto"/>
          <w:highlight w:val="none"/>
          <w:lang w:eastAsia="zh-CN"/>
        </w:rPr>
        <w:t>按照规定的程序申请设立；</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②审批文件、材料符合相关要求；</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③本项目事前</w:t>
      </w:r>
      <w:r>
        <w:rPr>
          <w:rFonts w:hint="eastAsia"/>
          <w:color w:val="auto"/>
          <w:highlight w:val="none"/>
          <w:lang w:val="en-US" w:eastAsia="zh-CN"/>
        </w:rPr>
        <w:t>没有</w:t>
      </w:r>
      <w:r>
        <w:rPr>
          <w:rFonts w:hint="eastAsia"/>
          <w:color w:val="auto"/>
          <w:highlight w:val="none"/>
          <w:lang w:eastAsia="zh-CN"/>
        </w:rPr>
        <w:t>经过必要的可行性研究、专家论证、风险评估、绩效评估、</w:t>
      </w:r>
      <w:r>
        <w:rPr>
          <w:rFonts w:hint="eastAsia"/>
          <w:color w:val="auto"/>
          <w:highlight w:val="none"/>
          <w:lang w:val="en-US" w:eastAsia="zh-CN"/>
        </w:rPr>
        <w:t>经过了</w:t>
      </w:r>
      <w:r>
        <w:rPr>
          <w:rFonts w:hint="eastAsia"/>
          <w:color w:val="auto"/>
          <w:highlight w:val="none"/>
          <w:lang w:eastAsia="zh-CN"/>
        </w:rPr>
        <w:t>集体决策。</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综上，该项指标满分3分，得分2.2分。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①项目有绩效目标</w:t>
      </w:r>
      <w:r>
        <w:rPr>
          <w:rFonts w:hint="eastAsia"/>
          <w:b w:val="0"/>
          <w:bCs w:val="0"/>
          <w:color w:val="auto"/>
          <w:highlight w:val="none"/>
          <w:lang w:val="en-US" w:eastAsia="zh-CN"/>
        </w:rPr>
        <w:t>并上报阜康市财政局</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②项目绩效目标与</w:t>
      </w:r>
      <w:r>
        <w:rPr>
          <w:rFonts w:hint="eastAsia"/>
          <w:color w:val="auto"/>
          <w:highlight w:val="none"/>
          <w:lang w:val="en-US" w:eastAsia="zh-CN"/>
        </w:rPr>
        <w:t>人大代表在闭会期间履行代表职责</w:t>
      </w:r>
      <w:r>
        <w:rPr>
          <w:rFonts w:hint="eastAsia"/>
          <w:color w:val="auto"/>
          <w:highlight w:val="none"/>
          <w:lang w:eastAsia="zh-CN"/>
        </w:rPr>
        <w:t>工作内容具有相关性；</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主要围绕州人大代表在履职过程中解决民生问题、难点问题、赌点问题</w:t>
      </w:r>
      <w:r>
        <w:rPr>
          <w:rFonts w:hint="eastAsia"/>
          <w:color w:val="auto"/>
          <w:highlight w:val="none"/>
          <w:lang w:eastAsia="zh-CN"/>
        </w:rPr>
        <w:t>效果符合正常的业绩水平；</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④与预算确定的项目投资额或资金量相匹配。</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综上，该项指标满分5分，得分5分。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该</w:t>
      </w:r>
      <w:r>
        <w:rPr>
          <w:rFonts w:hint="eastAsia"/>
          <w:color w:val="auto"/>
          <w:highlight w:val="none"/>
          <w:lang w:eastAsia="zh-CN"/>
        </w:rPr>
        <w:t>项目</w:t>
      </w:r>
      <w:r>
        <w:rPr>
          <w:rFonts w:hint="eastAsia"/>
          <w:color w:val="auto"/>
          <w:highlight w:val="none"/>
          <w:lang w:val="en-US" w:eastAsia="zh-CN"/>
        </w:rPr>
        <w:t>将</w:t>
      </w:r>
      <w:r>
        <w:rPr>
          <w:rFonts w:hint="eastAsia"/>
          <w:color w:val="auto"/>
          <w:highlight w:val="none"/>
          <w:lang w:eastAsia="zh-CN"/>
        </w:rPr>
        <w:t>绩效目标细化分解为</w:t>
      </w:r>
      <w:r>
        <w:rPr>
          <w:rFonts w:hint="eastAsia"/>
          <w:color w:val="auto"/>
          <w:highlight w:val="none"/>
          <w:lang w:val="en-US" w:eastAsia="zh-CN"/>
        </w:rPr>
        <w:t>一级</w:t>
      </w:r>
      <w:r>
        <w:rPr>
          <w:rFonts w:hint="eastAsia"/>
          <w:b w:val="0"/>
          <w:bCs w:val="0"/>
          <w:color w:val="auto"/>
          <w:highlight w:val="none"/>
          <w:lang w:val="en-US" w:eastAsia="zh-CN"/>
        </w:rPr>
        <w:t>指标3个，二级指标5个，三级指标7个，该项得分5分</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项目共设置了7个三级指标，其中量化指标6个，定性指标1个，量化率达到85.7%</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③与项目目标任务数或计划数相对应。</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综上，该项指标满分5分，得分5分。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①预算编制经过科学论证；</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②预算内容与项目内容</w:t>
      </w:r>
      <w:r>
        <w:rPr>
          <w:rFonts w:hint="eastAsia"/>
          <w:color w:val="auto"/>
          <w:highlight w:val="none"/>
          <w:lang w:val="en-US" w:eastAsia="zh-CN"/>
        </w:rPr>
        <w:t>人大代表在闭会期间履行代表职责相</w:t>
      </w:r>
      <w:r>
        <w:rPr>
          <w:rFonts w:hint="eastAsia"/>
          <w:color w:val="auto"/>
          <w:highlight w:val="none"/>
          <w:lang w:eastAsia="zh-CN"/>
        </w:rPr>
        <w:t>匹配；</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③预算额度测算依据充分，按照标准编制，</w:t>
      </w:r>
      <w:r>
        <w:rPr>
          <w:rFonts w:hint="eastAsia"/>
          <w:color w:val="auto"/>
          <w:highlight w:val="none"/>
          <w:lang w:val="en-US" w:eastAsia="zh-CN"/>
        </w:rPr>
        <w:t>根据昌州财行(2022)20号文件下达资金5.03万元</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④预算确定的项目资金量与工作任务相匹配。</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综上，该项指标满分2分，得分2分。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①预算资金分配依据</w:t>
      </w:r>
      <w:r>
        <w:rPr>
          <w:rFonts w:hint="eastAsia"/>
          <w:color w:val="auto"/>
          <w:highlight w:val="none"/>
          <w:lang w:val="en-US" w:eastAsia="zh-CN"/>
        </w:rPr>
        <w:t>昌州财行(2022)20号文件要求执行</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②资金分配额度合理，与项目单位或地方实际相适应。</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tblPrEx>
          <w:shd w:val="clear" w:color="auto" w:fill="auto"/>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76"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pageBreakBefore w:val="0"/>
        <w:widowControl w:val="0"/>
        <w:kinsoku/>
        <w:wordWrap/>
        <w:overflowPunct/>
        <w:topLinePunct w:val="0"/>
        <w:autoSpaceDE/>
        <w:autoSpaceDN/>
        <w:bidi w:val="0"/>
        <w:textAlignment w:val="auto"/>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5.03万元</w:t>
      </w:r>
      <w:r>
        <w:rPr>
          <w:rFonts w:hint="eastAsia"/>
          <w:color w:val="auto"/>
          <w:highlight w:val="none"/>
          <w:lang w:eastAsia="zh-CN"/>
        </w:rPr>
        <w:t>/</w:t>
      </w:r>
      <w:r>
        <w:rPr>
          <w:rFonts w:hint="eastAsia"/>
          <w:color w:val="auto"/>
          <w:highlight w:val="none"/>
          <w:lang w:val="en-US" w:eastAsia="zh-CN"/>
        </w:rPr>
        <w:t>5.03万元</w:t>
      </w:r>
      <w:r>
        <w:rPr>
          <w:rFonts w:hint="eastAsia"/>
          <w:color w:val="auto"/>
          <w:highlight w:val="none"/>
          <w:lang w:eastAsia="zh-CN"/>
        </w:rPr>
        <w:t>）×100%</w:t>
      </w:r>
      <w:r>
        <w:rPr>
          <w:rFonts w:hint="eastAsia"/>
          <w:color w:val="auto"/>
          <w:highlight w:val="none"/>
          <w:lang w:val="en-US" w:eastAsia="zh-CN"/>
        </w:rPr>
        <w:t>=100%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综上，该项指标满分4分，得分4分。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pageBreakBefore w:val="0"/>
        <w:widowControl w:val="0"/>
        <w:kinsoku/>
        <w:wordWrap/>
        <w:overflowPunct/>
        <w:topLinePunct w:val="0"/>
        <w:autoSpaceDE/>
        <w:autoSpaceDN/>
        <w:bidi w:val="0"/>
        <w:textAlignment w:val="auto"/>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5.03万元</w:t>
      </w:r>
      <w:r>
        <w:rPr>
          <w:rFonts w:hint="eastAsia"/>
          <w:color w:val="auto"/>
          <w:highlight w:val="none"/>
          <w:lang w:eastAsia="zh-CN"/>
        </w:rPr>
        <w:t>/</w:t>
      </w:r>
      <w:r>
        <w:rPr>
          <w:rFonts w:hint="eastAsia"/>
          <w:color w:val="auto"/>
          <w:highlight w:val="none"/>
          <w:lang w:val="en-US" w:eastAsia="zh-CN"/>
        </w:rPr>
        <w:t>5.03万元</w:t>
      </w:r>
      <w:r>
        <w:rPr>
          <w:rFonts w:hint="eastAsia"/>
          <w:color w:val="auto"/>
          <w:highlight w:val="none"/>
          <w:lang w:eastAsia="zh-CN"/>
        </w:rPr>
        <w:t>）×100</w:t>
      </w:r>
      <w:r>
        <w:rPr>
          <w:rFonts w:hint="eastAsia"/>
          <w:color w:val="auto"/>
          <w:highlight w:val="none"/>
          <w:lang w:val="en-US" w:eastAsia="zh-CN"/>
        </w:rPr>
        <w:t>%=100%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综上，该项指标满分4分，得分4分。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①符合国家《阜康市</w:t>
      </w:r>
      <w:r>
        <w:rPr>
          <w:rFonts w:hint="eastAsia"/>
          <w:color w:val="auto"/>
          <w:highlight w:val="none"/>
          <w:lang w:val="en-US" w:eastAsia="zh-CN"/>
        </w:rPr>
        <w:t>人大机关</w:t>
      </w:r>
      <w:r>
        <w:rPr>
          <w:rFonts w:hint="eastAsia"/>
          <w:color w:val="auto"/>
          <w:highlight w:val="none"/>
          <w:lang w:eastAsia="zh-CN"/>
        </w:rPr>
        <w:t>财务管理制度》《</w:t>
      </w:r>
      <w:r>
        <w:rPr>
          <w:rFonts w:hint="eastAsia"/>
          <w:color w:val="auto"/>
          <w:highlight w:val="none"/>
          <w:lang w:val="en-US" w:eastAsia="zh-CN"/>
        </w:rPr>
        <w:t>阜康市人大机关项目管理制度》《阜康市人大内部控制管理制度》</w:t>
      </w:r>
      <w:r>
        <w:rPr>
          <w:rFonts w:hint="eastAsia"/>
          <w:color w:val="auto"/>
          <w:highlight w:val="none"/>
          <w:lang w:eastAsia="zh-CN"/>
        </w:rPr>
        <w:t>及有关专项资金管理办法的规定；</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②资金的拨付有完整的审批程序和手续；</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③符合</w:t>
      </w:r>
      <w:r>
        <w:rPr>
          <w:rFonts w:hint="eastAsia"/>
          <w:color w:val="auto"/>
          <w:highlight w:val="none"/>
          <w:lang w:val="en-US" w:eastAsia="zh-CN"/>
        </w:rPr>
        <w:t>昌州财行(2022)20号文件</w:t>
      </w:r>
      <w:r>
        <w:rPr>
          <w:rFonts w:hint="eastAsia"/>
          <w:color w:val="auto"/>
          <w:highlight w:val="none"/>
          <w:lang w:eastAsia="zh-CN"/>
        </w:rPr>
        <w:t>规定的用途；</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综上，该项指标满分4分，得分4分。</w:t>
      </w:r>
    </w:p>
    <w:p>
      <w:pPr>
        <w:pageBreakBefore w:val="0"/>
        <w:widowControl w:val="0"/>
        <w:kinsoku/>
        <w:wordWrap/>
        <w:overflowPunct/>
        <w:topLinePunct w:val="0"/>
        <w:autoSpaceDE/>
        <w:autoSpaceDN/>
        <w:bidi w:val="0"/>
        <w:textAlignment w:val="auto"/>
        <w:rPr>
          <w:rFonts w:hint="default"/>
          <w:b/>
          <w:bCs/>
          <w:color w:val="auto"/>
          <w:highlight w:val="none"/>
          <w:lang w:val="en-US" w:eastAsia="zh-CN"/>
        </w:rPr>
      </w:pPr>
      <w:r>
        <w:rPr>
          <w:rFonts w:hint="eastAsia"/>
          <w:b/>
          <w:bCs/>
          <w:color w:val="auto"/>
          <w:highlight w:val="none"/>
          <w:lang w:val="en-US" w:eastAsia="zh-CN"/>
        </w:rPr>
        <w:t>4.管理制度健全性</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①已制定《阜康市</w:t>
      </w:r>
      <w:r>
        <w:rPr>
          <w:rFonts w:hint="eastAsia"/>
          <w:color w:val="auto"/>
          <w:highlight w:val="none"/>
          <w:lang w:val="en-US" w:eastAsia="zh-CN"/>
        </w:rPr>
        <w:t>人大机关</w:t>
      </w:r>
      <w:r>
        <w:rPr>
          <w:rFonts w:hint="eastAsia"/>
          <w:color w:val="auto"/>
          <w:highlight w:val="none"/>
          <w:lang w:eastAsia="zh-CN"/>
        </w:rPr>
        <w:t>财务管理制度》《</w:t>
      </w:r>
      <w:r>
        <w:rPr>
          <w:rFonts w:hint="eastAsia"/>
          <w:color w:val="auto"/>
          <w:highlight w:val="none"/>
          <w:lang w:val="en-US" w:eastAsia="zh-CN"/>
        </w:rPr>
        <w:t>阜康市人大机关项目管理制度》《阜康市人大内部控制管理制度》《阜康市人民代表大会常务委员会议事规则》</w:t>
      </w:r>
      <w:r>
        <w:rPr>
          <w:rFonts w:hint="eastAsia"/>
          <w:b w:val="0"/>
          <w:bCs w:val="0"/>
          <w:color w:val="auto"/>
          <w:highlight w:val="none"/>
          <w:lang w:val="en-US" w:eastAsia="zh-CN"/>
        </w:rPr>
        <w:t>等各项规章制度和工作程序，从制度和程序上严把资金使用、管理、绩效等各环节关口，堵塞漏洞、消除隐患，切实加强资金监管</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②财务和业务管理制度合法、合规、完整。</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综上，该项指标满分4分，得分4分。</w:t>
      </w:r>
    </w:p>
    <w:p>
      <w:pPr>
        <w:pageBreakBefore w:val="0"/>
        <w:widowControl w:val="0"/>
        <w:kinsoku/>
        <w:wordWrap/>
        <w:overflowPunct/>
        <w:topLinePunct w:val="0"/>
        <w:autoSpaceDE/>
        <w:autoSpaceDN/>
        <w:bidi w:val="0"/>
        <w:ind w:left="1403" w:leftChars="200" w:hanging="843" w:hangingChars="300"/>
        <w:textAlignment w:val="auto"/>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①遵守相关法律法规和相关管理规定；</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②项目未调整，支出手续完全按照</w:t>
      </w:r>
      <w:r>
        <w:rPr>
          <w:rFonts w:hint="eastAsia"/>
          <w:color w:val="auto"/>
          <w:highlight w:val="none"/>
          <w:lang w:val="en-US" w:eastAsia="zh-CN"/>
        </w:rPr>
        <w:t>昌州财行(2022)20号州人大代表活动经费文件要求</w:t>
      </w:r>
      <w:r>
        <w:rPr>
          <w:rFonts w:hint="eastAsia"/>
          <w:color w:val="auto"/>
          <w:highlight w:val="none"/>
          <w:lang w:eastAsia="zh-CN"/>
        </w:rPr>
        <w:t>和阜康市</w:t>
      </w:r>
      <w:r>
        <w:rPr>
          <w:rFonts w:hint="eastAsia"/>
          <w:color w:val="auto"/>
          <w:highlight w:val="none"/>
          <w:lang w:val="en-US" w:eastAsia="zh-CN"/>
        </w:rPr>
        <w:t>人大机关</w:t>
      </w:r>
      <w:r>
        <w:rPr>
          <w:rFonts w:hint="eastAsia"/>
          <w:color w:val="auto"/>
          <w:highlight w:val="none"/>
          <w:lang w:eastAsia="zh-CN"/>
        </w:rPr>
        <w:t>财务管理制度执行；</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开展过程中需要的政府采购合同、验收报告与会计凭证等</w:t>
      </w:r>
      <w:r>
        <w:rPr>
          <w:rFonts w:hint="eastAsia"/>
          <w:color w:val="auto"/>
          <w:highlight w:val="none"/>
          <w:lang w:eastAsia="zh-CN"/>
        </w:rPr>
        <w:t>资料齐全并及时归档；</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color w:val="auto"/>
          <w:highlight w:val="none"/>
          <w:lang w:eastAsia="zh-CN"/>
        </w:rPr>
        <w:t>④项目实施主要</w:t>
      </w:r>
      <w:r>
        <w:rPr>
          <w:rFonts w:hint="eastAsia"/>
          <w:color w:val="auto"/>
          <w:highlight w:val="none"/>
          <w:lang w:val="en-US" w:eastAsia="zh-CN"/>
        </w:rPr>
        <w:t>阜康市人大常委会办公室</w:t>
      </w:r>
      <w:r>
        <w:rPr>
          <w:rFonts w:hint="eastAsia"/>
          <w:color w:val="auto"/>
          <w:highlight w:val="none"/>
          <w:lang w:eastAsia="zh-CN"/>
        </w:rPr>
        <w:t>实施，具体执行科室为</w:t>
      </w:r>
      <w:r>
        <w:rPr>
          <w:rFonts w:hint="eastAsia"/>
          <w:color w:val="auto"/>
          <w:highlight w:val="none"/>
          <w:lang w:val="en-US" w:eastAsia="zh-CN"/>
        </w:rPr>
        <w:t>代表人事工作委员会</w:t>
      </w:r>
      <w:r>
        <w:rPr>
          <w:rFonts w:hint="eastAsia"/>
          <w:color w:val="auto"/>
          <w:highlight w:val="none"/>
          <w:lang w:eastAsia="zh-CN"/>
        </w:rPr>
        <w:t>完成。项目实施前</w:t>
      </w:r>
      <w:r>
        <w:rPr>
          <w:rFonts w:hint="eastAsia"/>
          <w:color w:val="auto"/>
          <w:highlight w:val="none"/>
          <w:lang w:val="en-US" w:eastAsia="zh-CN"/>
        </w:rPr>
        <w:t>经人大常委会主任会议、人大党组会议研究通过，代表人事工作委员会</w:t>
      </w:r>
      <w:r>
        <w:rPr>
          <w:rFonts w:hint="eastAsia"/>
          <w:color w:val="auto"/>
          <w:highlight w:val="none"/>
          <w:lang w:eastAsia="zh-CN"/>
        </w:rPr>
        <w:t>对</w:t>
      </w:r>
      <w:r>
        <w:rPr>
          <w:rFonts w:hint="eastAsia"/>
          <w:color w:val="auto"/>
          <w:highlight w:val="none"/>
          <w:lang w:val="en-US" w:eastAsia="zh-CN"/>
        </w:rPr>
        <w:t>2023年州级代表活动</w:t>
      </w:r>
      <w:r>
        <w:rPr>
          <w:rFonts w:hint="eastAsia"/>
          <w:color w:val="auto"/>
          <w:highlight w:val="none"/>
          <w:lang w:eastAsia="zh-CN"/>
        </w:rPr>
        <w:t>所需资金进行测算、</w:t>
      </w:r>
      <w:r>
        <w:rPr>
          <w:rFonts w:hint="eastAsia"/>
          <w:color w:val="auto"/>
          <w:highlight w:val="none"/>
          <w:lang w:val="en-US" w:eastAsia="zh-CN"/>
        </w:rPr>
        <w:t>对代表履职补助经费进行核对后进行实施</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widowControl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开展各类视察调研的次数</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≥4次</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4次</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召开常委会的次数</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≥2次</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71人</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视察调研工作完成率</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各项工作完成及时率</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开展调研视察</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≤3.5万元</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3.47万元</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召开常委会及代表活动</w:t>
            </w:r>
          </w:p>
        </w:tc>
        <w:tc>
          <w:tcPr>
            <w:tcW w:w="1437"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≤1.53万元</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1.56万元</w:t>
            </w: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29.97</w:t>
            </w:r>
          </w:p>
        </w:tc>
      </w:tr>
    </w:tbl>
    <w:p>
      <w:pPr>
        <w:pageBreakBefore w:val="0"/>
        <w:widowControl w:val="0"/>
        <w:kinsoku/>
        <w:wordWrap/>
        <w:overflowPunct/>
        <w:topLinePunct w:val="0"/>
        <w:autoSpaceDE/>
        <w:autoSpaceDN/>
        <w:bidi w:val="0"/>
        <w:textAlignment w:val="auto"/>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开展各类视察调研的次数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4次，</w:t>
      </w:r>
      <w:r>
        <w:rPr>
          <w:rFonts w:hint="eastAsia"/>
          <w:color w:val="auto"/>
          <w:highlight w:val="none"/>
          <w:lang w:val="en-US" w:eastAsia="zh-CN"/>
        </w:rPr>
        <w:t>实际完成为4次。实际完成率100%；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综上，该项指标满分8分，得分8分。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召开常委会的次数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2次，</w:t>
      </w:r>
      <w:r>
        <w:rPr>
          <w:rFonts w:hint="eastAsia"/>
          <w:color w:val="auto"/>
          <w:highlight w:val="none"/>
          <w:lang w:val="en-US" w:eastAsia="zh-CN"/>
        </w:rPr>
        <w:t>实际完成为2次，实际完成率100%；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综上，该项指标满分6分，得分6分。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视察调研工作完成率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color w:val="auto"/>
          <w:highlight w:val="none"/>
          <w:lang w:val="en-US" w:eastAsia="zh-CN"/>
        </w:rPr>
        <w:t>实际完成为100%，实际完成率100%；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综上，该项指标满分5分，得分5分。</w:t>
      </w:r>
    </w:p>
    <w:p>
      <w:pPr>
        <w:pageBreakBefore w:val="0"/>
        <w:widowControl w:val="0"/>
        <w:kinsoku/>
        <w:wordWrap/>
        <w:overflowPunct/>
        <w:topLinePunct w:val="0"/>
        <w:autoSpaceDE/>
        <w:autoSpaceDN/>
        <w:bidi w:val="0"/>
        <w:textAlignment w:val="auto"/>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各项工作完成及时率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100%</w:t>
      </w:r>
      <w:r>
        <w:rPr>
          <w:rFonts w:hint="eastAsia" w:cs="宋体"/>
          <w:color w:val="auto"/>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highlight w:val="none"/>
          <w:shd w:val="clear" w:color="auto" w:fill="auto"/>
          <w:lang w:val="en-US" w:eastAsia="zh-CN"/>
        </w:rPr>
        <w:t>100%</w:t>
      </w:r>
      <w:r>
        <w:rPr>
          <w:rFonts w:hint="eastAsia"/>
          <w:color w:val="auto"/>
          <w:highlight w:val="none"/>
          <w:lang w:val="en-US" w:eastAsia="zh-CN"/>
        </w:rPr>
        <w:t>，实际完成率100%。</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b/>
          <w:bCs/>
          <w:color w:val="auto"/>
          <w:highlight w:val="none"/>
          <w:lang w:val="en-US" w:eastAsia="zh-CN"/>
        </w:rPr>
        <w:t>综上，该项指标满分5分，得分5分。</w:t>
      </w:r>
    </w:p>
    <w:p>
      <w:pPr>
        <w:pageBreakBefore w:val="0"/>
        <w:widowControl w:val="0"/>
        <w:numPr>
          <w:ilvl w:val="0"/>
          <w:numId w:val="5"/>
        </w:numPr>
        <w:kinsoku/>
        <w:wordWrap/>
        <w:overflowPunct/>
        <w:topLinePunct w:val="0"/>
        <w:autoSpaceDE/>
        <w:autoSpaceDN/>
        <w:bidi w:val="0"/>
        <w:textAlignment w:val="auto"/>
        <w:outlineLvl w:val="2"/>
        <w:rPr>
          <w:rFonts w:hint="eastAsia"/>
          <w:b/>
          <w:bCs/>
          <w:color w:val="auto"/>
          <w:highlight w:val="none"/>
          <w:lang w:val="en-US" w:eastAsia="zh-CN"/>
        </w:rPr>
      </w:pPr>
      <w:r>
        <w:rPr>
          <w:rFonts w:hint="eastAsia"/>
          <w:b/>
          <w:bCs/>
          <w:color w:val="auto"/>
          <w:highlight w:val="none"/>
          <w:lang w:val="en-US" w:eastAsia="zh-CN"/>
        </w:rPr>
        <w:t>项目完成成本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开展调研视察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3.5万元，</w:t>
      </w:r>
      <w:r>
        <w:rPr>
          <w:rFonts w:hint="eastAsia"/>
          <w:color w:val="auto"/>
          <w:highlight w:val="none"/>
          <w:lang w:val="en-US" w:eastAsia="zh-CN"/>
        </w:rPr>
        <w:t>实际完成为</w:t>
      </w:r>
      <w:r>
        <w:rPr>
          <w:rFonts w:hint="eastAsia" w:cs="宋体"/>
          <w:color w:val="auto"/>
          <w:highlight w:val="none"/>
          <w:shd w:val="clear" w:color="auto" w:fill="auto"/>
          <w:lang w:val="en-US" w:eastAsia="zh-CN"/>
        </w:rPr>
        <w:t>3.47万元</w:t>
      </w:r>
      <w:r>
        <w:rPr>
          <w:rFonts w:hint="eastAsia"/>
          <w:color w:val="auto"/>
          <w:highlight w:val="none"/>
          <w:lang w:val="en-US" w:eastAsia="zh-CN"/>
        </w:rPr>
        <w:t>，实际完成率=（</w:t>
      </w:r>
      <w:r>
        <w:rPr>
          <w:rFonts w:hint="eastAsia" w:cs="宋体"/>
          <w:color w:val="auto"/>
          <w:highlight w:val="none"/>
          <w:shd w:val="clear" w:color="auto" w:fill="auto"/>
          <w:lang w:val="en-US" w:eastAsia="zh-CN"/>
        </w:rPr>
        <w:t>3.47万元/3.5万元</w:t>
      </w:r>
      <w:r>
        <w:rPr>
          <w:rFonts w:hint="eastAsia"/>
          <w:color w:val="auto"/>
          <w:highlight w:val="none"/>
          <w:lang w:val="en-US" w:eastAsia="zh-CN"/>
        </w:rPr>
        <w:t>）=99.14%，按照全年工作安排进行支付，其他部分补充常委会费用支出。</w:t>
      </w:r>
    </w:p>
    <w:p>
      <w:pPr>
        <w:pageBreakBefore w:val="0"/>
        <w:widowControl w:val="0"/>
        <w:kinsoku/>
        <w:wordWrap/>
        <w:overflowPunct/>
        <w:topLinePunct w:val="0"/>
        <w:autoSpaceDE/>
        <w:autoSpaceDN/>
        <w:bidi w:val="0"/>
        <w:textAlignment w:val="auto"/>
        <w:rPr>
          <w:rFonts w:hint="default"/>
          <w:b/>
          <w:bCs/>
          <w:color w:val="auto"/>
          <w:highlight w:val="none"/>
          <w:lang w:val="en-US" w:eastAsia="zh-CN"/>
        </w:rPr>
      </w:pPr>
      <w:r>
        <w:rPr>
          <w:rFonts w:hint="eastAsia"/>
          <w:b/>
          <w:bCs/>
          <w:color w:val="auto"/>
          <w:highlight w:val="none"/>
          <w:lang w:val="en-US" w:eastAsia="zh-CN"/>
        </w:rPr>
        <w:t>综上，该项指标满分3分，得分2.97分。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召开常委会及代表活动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1.53万元，</w:t>
      </w:r>
      <w:r>
        <w:rPr>
          <w:rFonts w:hint="eastAsia"/>
          <w:color w:val="auto"/>
          <w:highlight w:val="none"/>
          <w:lang w:val="en-US" w:eastAsia="zh-CN"/>
        </w:rPr>
        <w:t>实际完成为</w:t>
      </w:r>
      <w:r>
        <w:rPr>
          <w:rFonts w:hint="eastAsia" w:cs="宋体"/>
          <w:color w:val="auto"/>
          <w:highlight w:val="none"/>
          <w:shd w:val="clear" w:color="auto" w:fill="auto"/>
          <w:lang w:val="en-US" w:eastAsia="zh-CN"/>
        </w:rPr>
        <w:t>1.56万元</w:t>
      </w:r>
      <w:r>
        <w:rPr>
          <w:rFonts w:hint="eastAsia"/>
          <w:color w:val="auto"/>
          <w:highlight w:val="none"/>
          <w:lang w:val="en-US" w:eastAsia="zh-CN"/>
        </w:rPr>
        <w:t>，实际完成率100%。</w:t>
      </w:r>
    </w:p>
    <w:p>
      <w:pPr>
        <w:pageBreakBefore w:val="0"/>
        <w:widowControl w:val="0"/>
        <w:kinsoku/>
        <w:wordWrap/>
        <w:overflowPunct/>
        <w:topLinePunct w:val="0"/>
        <w:autoSpaceDE/>
        <w:autoSpaceDN/>
        <w:bidi w:val="0"/>
        <w:textAlignment w:val="auto"/>
        <w:rPr>
          <w:rFonts w:hint="default"/>
          <w:b/>
          <w:bCs/>
          <w:color w:val="auto"/>
          <w:highlight w:val="none"/>
          <w:lang w:val="en-US" w:eastAsia="zh-CN"/>
        </w:rPr>
      </w:pPr>
      <w:r>
        <w:rPr>
          <w:rFonts w:hint="eastAsia"/>
          <w:b/>
          <w:bCs/>
          <w:color w:val="auto"/>
          <w:highlight w:val="none"/>
          <w:lang w:val="en-US" w:eastAsia="zh-CN"/>
        </w:rPr>
        <w:t>综上，该项指标满分3分，得分3分。</w:t>
      </w:r>
    </w:p>
    <w:p>
      <w:pPr>
        <w:pStyle w:val="4"/>
        <w:pageBreakBefore w:val="0"/>
        <w:widowControl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为我市的乡村振兴、产业发展、文化建设等方面提供有价值的参考信息</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州级人大代表对项目实施满意度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p>
    <w:p>
      <w:pPr>
        <w:bidi w:val="0"/>
        <w:rPr>
          <w:rFonts w:hint="eastAsia"/>
          <w:color w:val="auto"/>
          <w:highlight w:val="none"/>
          <w:lang w:val="en-US" w:eastAsia="zh-CN"/>
        </w:rPr>
      </w:pPr>
      <w:r>
        <w:rPr>
          <w:rFonts w:hint="eastAsia"/>
          <w:color w:val="auto"/>
          <w:highlight w:val="none"/>
          <w:lang w:val="en-US" w:eastAsia="zh-CN"/>
        </w:rPr>
        <w:t>本项目不涉及经济效益指标</w:t>
      </w:r>
    </w:p>
    <w:p>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p>
    <w:p>
      <w:pPr>
        <w:pageBreakBefore w:val="0"/>
        <w:widowControl w:val="0"/>
        <w:kinsoku/>
        <w:wordWrap/>
        <w:overflowPunct/>
        <w:topLinePunct w:val="0"/>
        <w:autoSpaceDE/>
        <w:autoSpaceDN/>
        <w:bidi w:val="0"/>
        <w:textAlignment w:val="auto"/>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为我市的乡村振兴、产业发展、文化建设等方面提供有价值的参考信息</w:t>
      </w:r>
      <w:r>
        <w:rPr>
          <w:rFonts w:hint="eastAsia"/>
          <w:color w:val="auto"/>
          <w:highlight w:val="none"/>
          <w:lang w:eastAsia="zh-CN"/>
        </w:rPr>
        <w:t>”</w:t>
      </w:r>
      <w:r>
        <w:rPr>
          <w:rFonts w:hint="eastAsia"/>
          <w:color w:val="auto"/>
          <w:highlight w:val="none"/>
          <w:lang w:val="en-US" w:eastAsia="zh-CN"/>
        </w:rPr>
        <w:t>指标，预期目标值为提高，实际完成为100%，实际完成率100%。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通过项目的实施，达到在政府实施乡村振兴、产业发展、文化建设方面督查检查，形成监督合力效益。</w:t>
      </w:r>
    </w:p>
    <w:p>
      <w:pPr>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5" w:name="_Toc23106"/>
      <w:r>
        <w:rPr>
          <w:rFonts w:hint="eastAsia"/>
          <w:b/>
          <w:bCs/>
          <w:color w:val="auto"/>
          <w:highlight w:val="none"/>
          <w:lang w:val="en-US" w:eastAsia="zh-CN"/>
        </w:rPr>
        <w:t>3.生态效益指标</w:t>
      </w:r>
      <w:bookmarkEnd w:id="75"/>
    </w:p>
    <w:p>
      <w:pPr>
        <w:bidi w:val="0"/>
        <w:rPr>
          <w:rFonts w:hint="eastAsia"/>
          <w:color w:val="auto"/>
          <w:highlight w:val="none"/>
          <w:lang w:val="en-US" w:eastAsia="zh-CN"/>
        </w:rPr>
      </w:pPr>
      <w:r>
        <w:rPr>
          <w:rFonts w:hint="eastAsia"/>
          <w:color w:val="auto"/>
          <w:highlight w:val="none"/>
          <w:lang w:val="en-US"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p>
    <w:bookmarkEnd w:id="74"/>
    <w:p>
      <w:pPr>
        <w:pageBreakBefore w:val="0"/>
        <w:widowControl w:val="0"/>
        <w:kinsoku/>
        <w:wordWrap/>
        <w:overflowPunct/>
        <w:topLinePunct w:val="0"/>
        <w:autoSpaceDE/>
        <w:autoSpaceDN/>
        <w:bidi w:val="0"/>
        <w:textAlignment w:val="auto"/>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州级人大代表对项目实施满意度</w:t>
      </w:r>
      <w:r>
        <w:rPr>
          <w:rFonts w:hint="eastAsia"/>
          <w:color w:val="auto"/>
          <w:highlight w:val="none"/>
          <w:lang w:eastAsia="zh-CN"/>
        </w:rPr>
        <w:t>”</w:t>
      </w:r>
      <w:r>
        <w:rPr>
          <w:rFonts w:hint="eastAsia"/>
          <w:color w:val="auto"/>
          <w:highlight w:val="none"/>
          <w:lang w:val="en-US" w:eastAsia="zh-CN"/>
        </w:rPr>
        <w:t>指标，预期目标值为90%，实际完成为100%。</w:t>
      </w:r>
    </w:p>
    <w:p>
      <w:pPr>
        <w:pageBreakBefore w:val="0"/>
        <w:widowControl w:val="0"/>
        <w:kinsoku/>
        <w:wordWrap/>
        <w:overflowPunct/>
        <w:topLinePunct w:val="0"/>
        <w:autoSpaceDE/>
        <w:autoSpaceDN/>
        <w:bidi w:val="0"/>
        <w:textAlignment w:val="auto"/>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bCs/>
          <w:color w:val="auto"/>
          <w:highlight w:val="none"/>
          <w:shd w:val="clear" w:color="auto" w:fill="auto"/>
          <w:lang w:val="en-US" w:eastAsia="zh-CN"/>
        </w:rPr>
        <w:t>五、预算执行进度与指标偏差</w:t>
      </w:r>
      <w:bookmarkEnd w:id="76"/>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5.03</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5.03</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99.17</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0.83</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7"/>
    </w:p>
    <w:p>
      <w:pPr>
        <w:pageBreakBefore w:val="0"/>
        <w:widowControl w:val="0"/>
        <w:numPr>
          <w:ilvl w:val="0"/>
          <w:numId w:val="0"/>
        </w:numPr>
        <w:kinsoku/>
        <w:wordWrap/>
        <w:overflowPunct/>
        <w:topLinePunct w:val="0"/>
        <w:autoSpaceDE/>
        <w:autoSpaceDN/>
        <w:bidi w:val="0"/>
        <w:ind w:left="560" w:leftChars="0"/>
        <w:textAlignment w:val="auto"/>
        <w:outlineLvl w:val="1"/>
        <w:rPr>
          <w:rFonts w:hint="eastAsia"/>
          <w:b/>
          <w:bCs/>
          <w:color w:val="auto"/>
          <w:highlight w:val="none"/>
          <w:lang w:eastAsia="zh-CN"/>
        </w:rPr>
      </w:pPr>
      <w:bookmarkStart w:id="78" w:name="_Toc13160"/>
      <w:bookmarkStart w:id="79" w:name="_Toc1921"/>
      <w:bookmarkStart w:id="80"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8"/>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2022年州人大代表活动经费</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5.03</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5.03</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pageBreakBefore w:val="0"/>
        <w:widowControl w:val="0"/>
        <w:kinsoku/>
        <w:wordWrap/>
        <w:overflowPunct/>
        <w:topLinePunct w:val="0"/>
        <w:autoSpaceDE/>
        <w:autoSpaceDN/>
        <w:bidi w:val="0"/>
        <w:textAlignment w:val="auto"/>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阜康市人大常委会办公室</w:t>
      </w:r>
      <w:r>
        <w:rPr>
          <w:rFonts w:hint="eastAsia"/>
          <w:color w:val="auto"/>
          <w:highlight w:val="none"/>
          <w:lang w:eastAsia="zh-CN"/>
        </w:rPr>
        <w:t>建立健全了预算管理规章制度，</w:t>
      </w:r>
      <w:r>
        <w:rPr>
          <w:rFonts w:hint="eastAsia"/>
          <w:color w:val="auto"/>
          <w:highlight w:val="none"/>
          <w:lang w:val="en-US" w:eastAsia="zh-CN"/>
        </w:rPr>
        <w:t>严格按照</w:t>
      </w:r>
      <w:r>
        <w:rPr>
          <w:rFonts w:hint="eastAsia"/>
          <w:color w:val="auto"/>
          <w:highlight w:val="none"/>
          <w:lang w:eastAsia="zh-CN"/>
        </w:rPr>
        <w:t>预算编制的原则和要求做好</w:t>
      </w:r>
      <w:r>
        <w:rPr>
          <w:rFonts w:hint="eastAsia"/>
          <w:color w:val="auto"/>
          <w:highlight w:val="none"/>
          <w:lang w:val="en-US" w:eastAsia="zh-CN"/>
        </w:rPr>
        <w:t>当年预算</w:t>
      </w:r>
      <w:r>
        <w:rPr>
          <w:rFonts w:hint="eastAsia"/>
          <w:color w:val="auto"/>
          <w:highlight w:val="none"/>
          <w:lang w:eastAsia="zh-CN"/>
        </w:rPr>
        <w:t>编制工作，在预算绩效管理工作中，做到合理安排各项资金，重点保障基本支出，按轻重缓急顺序原则，优先安排了</w:t>
      </w:r>
      <w:r>
        <w:rPr>
          <w:rFonts w:hint="eastAsia" w:ascii="宋体" w:hAnsi="宋体" w:eastAsia="宋体" w:cs="宋体"/>
          <w:color w:val="auto"/>
          <w:highlight w:val="none"/>
          <w:shd w:val="clear" w:color="auto" w:fill="auto"/>
          <w:lang w:val="en-US" w:eastAsia="zh-CN"/>
        </w:rPr>
        <w:t>阜康市人大常委会办公室</w:t>
      </w:r>
      <w:r>
        <w:rPr>
          <w:rFonts w:hint="eastAsia"/>
          <w:color w:val="auto"/>
          <w:highlight w:val="none"/>
          <w:lang w:eastAsia="zh-CN"/>
        </w:rPr>
        <w:t>事业发展中关系民生与稳定的项目，切实优化资源配置，提高了资金使用的效率和效果。</w:t>
      </w:r>
    </w:p>
    <w:bookmarkEnd w:id="79"/>
    <w:bookmarkEnd w:id="80"/>
    <w:p>
      <w:pPr>
        <w:pageBreakBefore w:val="0"/>
        <w:widowControl w:val="0"/>
        <w:kinsoku/>
        <w:wordWrap/>
        <w:overflowPunct/>
        <w:topLinePunct w:val="0"/>
        <w:autoSpaceDE/>
        <w:autoSpaceDN/>
        <w:bidi w:val="0"/>
        <w:textAlignment w:val="auto"/>
        <w:outlineLvl w:val="1"/>
        <w:rPr>
          <w:rFonts w:hint="eastAsia"/>
          <w:b/>
          <w:bCs/>
          <w:color w:val="auto"/>
          <w:highlight w:val="none"/>
          <w:lang w:eastAsia="zh-CN"/>
        </w:rPr>
      </w:pPr>
      <w:bookmarkStart w:id="81"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1"/>
    </w:p>
    <w:p>
      <w:pPr>
        <w:pageBreakBefore w:val="0"/>
        <w:widowControl w:val="0"/>
        <w:kinsoku/>
        <w:wordWrap/>
        <w:overflowPunct/>
        <w:topLinePunct w:val="0"/>
        <w:autoSpaceDE/>
        <w:autoSpaceDN/>
        <w:bidi w:val="0"/>
        <w:spacing w:line="600" w:lineRule="exact"/>
        <w:ind w:firstLine="615" w:firstLineChars="196"/>
        <w:jc w:val="left"/>
        <w:textAlignment w:val="auto"/>
        <w:rPr>
          <w:color w:val="auto"/>
          <w:sz w:val="28"/>
          <w:szCs w:val="28"/>
          <w:highlight w:val="none"/>
        </w:rPr>
      </w:pPr>
      <w:bookmarkStart w:id="82" w:name="_Toc5230"/>
      <w:r>
        <w:rPr>
          <w:rFonts w:hint="eastAsia"/>
          <w:color w:val="auto"/>
          <w:spacing w:val="17"/>
          <w:sz w:val="28"/>
          <w:szCs w:val="28"/>
          <w:highlight w:val="none"/>
        </w:rPr>
        <w:t>1.</w:t>
      </w:r>
      <w:r>
        <w:rPr>
          <w:rFonts w:hint="eastAsia"/>
          <w:bCs/>
          <w:color w:val="auto"/>
          <w:sz w:val="28"/>
          <w:szCs w:val="28"/>
          <w:highlight w:val="none"/>
          <w:lang w:val="en-US" w:eastAsia="zh-CN"/>
        </w:rPr>
        <w:t>预算执行进度和效率还有待加强</w:t>
      </w:r>
      <w:r>
        <w:rPr>
          <w:rFonts w:hint="eastAsia"/>
          <w:color w:val="auto"/>
          <w:sz w:val="28"/>
          <w:szCs w:val="28"/>
          <w:highlight w:val="none"/>
          <w:lang w:eastAsia="zh-CN"/>
        </w:rPr>
        <w:t>。</w:t>
      </w:r>
      <w:r>
        <w:rPr>
          <w:rFonts w:hint="eastAsia"/>
          <w:color w:val="auto"/>
          <w:sz w:val="28"/>
          <w:szCs w:val="28"/>
          <w:highlight w:val="none"/>
          <w:lang w:val="en-US" w:eastAsia="zh-CN"/>
        </w:rPr>
        <w:t>项目开始后，相关部门和人员只注重项目执行过程，对于预算执行不关注，不能有效的跟进预算支出事宜，导致经费支出滞后，延缓了预算执行的进度</w:t>
      </w:r>
      <w:r>
        <w:rPr>
          <w:color w:val="auto"/>
          <w:sz w:val="28"/>
          <w:szCs w:val="28"/>
          <w:highlight w:val="none"/>
        </w:rPr>
        <w:t>。</w:t>
      </w:r>
    </w:p>
    <w:p>
      <w:pPr>
        <w:pageBreakBefore w:val="0"/>
        <w:widowControl w:val="0"/>
        <w:kinsoku/>
        <w:wordWrap/>
        <w:overflowPunct/>
        <w:topLinePunct w:val="0"/>
        <w:autoSpaceDE/>
        <w:autoSpaceDN/>
        <w:bidi w:val="0"/>
        <w:spacing w:line="600" w:lineRule="exact"/>
        <w:ind w:firstLine="560" w:firstLineChars="200"/>
        <w:textAlignment w:val="auto"/>
        <w:rPr>
          <w:rFonts w:hint="default" w:ascii="仿宋_GB2312" w:eastAsia="宋体"/>
          <w:color w:val="auto"/>
          <w:sz w:val="28"/>
          <w:szCs w:val="28"/>
          <w:highlight w:val="none"/>
          <w:lang w:val="en-US" w:eastAsia="zh-CN"/>
        </w:rPr>
      </w:pPr>
      <w:r>
        <w:rPr>
          <w:rFonts w:hint="eastAsia"/>
          <w:color w:val="auto"/>
          <w:sz w:val="28"/>
          <w:szCs w:val="28"/>
          <w:highlight w:val="none"/>
        </w:rPr>
        <w:t>2</w:t>
      </w:r>
      <w:r>
        <w:rPr>
          <w:rFonts w:hint="eastAsia"/>
          <w:color w:val="auto"/>
          <w:sz w:val="28"/>
          <w:szCs w:val="28"/>
          <w:highlight w:val="none"/>
          <w:lang w:val="en-US" w:eastAsia="zh-CN"/>
        </w:rPr>
        <w:t>.单位主要负责人在思想上对资金绩效管理和评价工作还存在误区，“重分配轻管理，重使用轻效益”现象任然存在，平时只注重业务工作的开展不注重财务管理工作，对资金绩效的管理不规范。</w:t>
      </w:r>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2"/>
    </w:p>
    <w:p>
      <w:pPr>
        <w:pageBreakBefore w:val="0"/>
        <w:widowControl w:val="0"/>
        <w:kinsoku/>
        <w:wordWrap/>
        <w:overflowPunct/>
        <w:topLinePunct w:val="0"/>
        <w:autoSpaceDE/>
        <w:autoSpaceDN/>
        <w:bidi w:val="0"/>
        <w:textAlignment w:val="auto"/>
        <w:rPr>
          <w:rFonts w:hint="eastAsia"/>
          <w:color w:val="auto"/>
          <w:sz w:val="28"/>
          <w:szCs w:val="28"/>
          <w:highlight w:val="none"/>
          <w:lang w:val="en-US" w:eastAsia="zh-CN"/>
        </w:rPr>
      </w:pPr>
      <w:bookmarkStart w:id="83" w:name="_Toc15618"/>
      <w:r>
        <w:rPr>
          <w:rFonts w:hint="eastAsia" w:cs="宋体"/>
          <w:color w:val="auto"/>
          <w:highlight w:val="none"/>
          <w:lang w:eastAsia="zh-CN"/>
        </w:rPr>
        <w:t>（</w:t>
      </w:r>
      <w:r>
        <w:rPr>
          <w:rFonts w:hint="eastAsia" w:cs="宋体"/>
          <w:color w:val="auto"/>
          <w:highlight w:val="none"/>
          <w:lang w:val="en-US" w:eastAsia="zh-CN"/>
        </w:rPr>
        <w:t>一）</w:t>
      </w:r>
      <w:r>
        <w:rPr>
          <w:rFonts w:hint="eastAsia"/>
          <w:color w:val="auto"/>
          <w:sz w:val="28"/>
          <w:szCs w:val="28"/>
          <w:highlight w:val="none"/>
          <w:lang w:val="en-US" w:eastAsia="zh-CN"/>
        </w:rPr>
        <w:t>切实加强预算执行进度，提升资金使用效率。严格按照财主预算执行进度相关要求，督促业务部门在加快项目实施的同时，切实加大预算执行力度，提高预算资金使用效率，全面完成人大代表的各项履职任务。</w:t>
      </w:r>
    </w:p>
    <w:p>
      <w:pPr>
        <w:pageBreakBefore w:val="0"/>
        <w:widowControl w:val="0"/>
        <w:kinsoku/>
        <w:wordWrap/>
        <w:overflowPunct/>
        <w:topLinePunct w:val="0"/>
        <w:autoSpaceDE/>
        <w:autoSpaceDN/>
        <w:bidi w:val="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（二）强化绩效意识，进一步提高预算绩效管理和评价工作认识</w:t>
      </w:r>
      <w:r>
        <w:rPr>
          <w:rFonts w:hint="eastAsia" w:ascii="宋体" w:hAnsi="宋体" w:eastAsia="宋体" w:cs="宋体"/>
          <w:color w:val="auto"/>
          <w:sz w:val="28"/>
          <w:szCs w:val="28"/>
          <w:highlight w:val="none"/>
          <w:lang w:val="zh-CN" w:eastAsia="zh-CN"/>
        </w:rPr>
        <w:t>和重视程度</w:t>
      </w:r>
      <w:r>
        <w:rPr>
          <w:rFonts w:hint="eastAsia" w:ascii="宋体" w:hAnsi="宋体" w:eastAsia="宋体" w:cs="宋体"/>
          <w:color w:val="auto"/>
          <w:sz w:val="28"/>
          <w:szCs w:val="28"/>
          <w:highlight w:val="none"/>
          <w:lang w:val="en-US" w:eastAsia="zh-CN"/>
        </w:rPr>
        <w:t>，树立“绩效为中心，对支出结果负责，对社会公众负责”的绩效意识，优化预算绩效管理方式，强化资金绩效结果运用。</w:t>
      </w:r>
    </w:p>
    <w:p>
      <w:pPr>
        <w:pStyle w:val="3"/>
        <w:pageBreakBefore w:val="0"/>
        <w:widowControl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3"/>
    </w:p>
    <w:p>
      <w:pPr>
        <w:pageBreakBefore w:val="0"/>
        <w:widowControl w:val="0"/>
        <w:kinsoku/>
        <w:wordWrap/>
        <w:overflowPunct/>
        <w:topLinePunct w:val="0"/>
        <w:autoSpaceDE/>
        <w:autoSpaceDN/>
        <w:bidi w:val="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b/>
          <w:bCs/>
          <w:color w:val="auto"/>
          <w:highlight w:val="none"/>
          <w:shd w:val="clear" w:color="auto" w:fill="auto"/>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bookmarkStart w:id="84" w:name="_Toc11349"/>
    </w:p>
    <w:tbl>
      <w:tblPr>
        <w:tblStyle w:val="11"/>
        <w:tblpPr w:leftFromText="180" w:rightFromText="180" w:vertAnchor="text" w:horzAnchor="page" w:tblpX="1457" w:tblpY="585"/>
        <w:tblOverlap w:val="never"/>
        <w:tblW w:w="139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7"/>
        <w:gridCol w:w="648"/>
        <w:gridCol w:w="840"/>
        <w:gridCol w:w="1204"/>
        <w:gridCol w:w="1084"/>
        <w:gridCol w:w="850"/>
        <w:gridCol w:w="850"/>
        <w:gridCol w:w="921"/>
        <w:gridCol w:w="1212"/>
        <w:gridCol w:w="1029"/>
        <w:gridCol w:w="984"/>
        <w:gridCol w:w="1091"/>
        <w:gridCol w:w="1057"/>
        <w:gridCol w:w="15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3982"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13982" w:type="dxa"/>
            <w:gridSpan w:val="14"/>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2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7"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2022年州人大代表活动经费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2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828"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阜康市人民代表大会常务委员会</w:t>
            </w:r>
          </w:p>
        </w:tc>
        <w:tc>
          <w:tcPr>
            <w:tcW w:w="21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72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阜康市人民代表大会常务委员会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29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4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1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1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2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4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17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21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201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1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2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4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17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21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5.03 </w:t>
            </w:r>
          </w:p>
        </w:tc>
        <w:tc>
          <w:tcPr>
            <w:tcW w:w="201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20" w:hRule="atLeast"/>
        </w:trPr>
        <w:tc>
          <w:tcPr>
            <w:tcW w:w="1295"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4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20" w:hRule="atLeast"/>
        </w:trPr>
        <w:tc>
          <w:tcPr>
            <w:tcW w:w="64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09"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72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7609"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认真贯彻党的方针、政策、法规的实施；积极参加闭会期间人大组织的学习培训、视察、 专题调研、执法检查、评议 “ 一府两院 ” 工作、代表向选民述职等各项活动 ; 积极参加代表小组的各项活动，负责人大机关后勤保障工作。2023年预计按照《2023年阜康市人大常委会工作要点》组织人大代表开展视察、调研、执法检查和工作评议等活动不少于4次，费用不少于3.5万元，召开常委会不少于2次，费用不少于1.53万元，提高基层人大履职能力，保障人大代表活动的正常开展。</w:t>
            </w:r>
          </w:p>
        </w:tc>
        <w:tc>
          <w:tcPr>
            <w:tcW w:w="572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组织人大代表开展视察、调研、执法检查和工作评议等活动4次，费用3.5万元，召开常委会2次，视察调研工作全面完成，各项工作按时完成，费用1.53万元。为我市的乡村振兴、产业发展、文化建设等方面提供有价值的参考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6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4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开展各类视察调研的次数</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≥4次</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4次</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召开常委会的次数</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≥2次</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2次</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视察调研工作完成率</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各项工作完成及时率</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0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4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开展调研视察</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≤3.5万元</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3.47万元</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99%</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9.73</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按照全年工作安排进行支付，少支付部分补充常委会费用支出。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召开常委会及代表活动</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≤1.53万元</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1.56万元</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社会成本指标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生态环境成本指标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6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为我市的乡村振兴、产业发展、文化建设等方面提供有价值的参考信息</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评判等级赋分</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工作资料、说明材料</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64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12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3339"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0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9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12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02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98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0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05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99.73</w:t>
            </w:r>
          </w:p>
        </w:tc>
        <w:tc>
          <w:tcPr>
            <w:tcW w:w="156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bl>
    <w:p>
      <w:pPr>
        <w:pageBreakBefore w:val="0"/>
        <w:widowControl w:val="0"/>
        <w:kinsoku/>
        <w:wordWrap/>
        <w:overflowPunct/>
        <w:topLinePunct w:val="0"/>
        <w:autoSpaceDE/>
        <w:autoSpaceDN/>
        <w:bidi w:val="0"/>
        <w:ind w:left="0" w:leftChars="0" w:firstLine="0" w:firstLineChars="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b/>
          <w:bCs/>
          <w:color w:val="auto"/>
          <w:highlight w:val="none"/>
          <w:shd w:val="clear" w:color="auto" w:fill="auto"/>
          <w:lang w:val="en-US" w:eastAsia="zh-CN"/>
        </w:rPr>
        <w:t>附件一、项目支出绩效</w:t>
      </w:r>
      <w:bookmarkEnd w:id="84"/>
      <w:r>
        <w:rPr>
          <w:rFonts w:hint="eastAsia" w:ascii="宋体" w:hAnsi="宋体" w:eastAsia="宋体" w:cs="宋体"/>
          <w:b/>
          <w:bCs/>
          <w:color w:val="auto"/>
          <w:highlight w:val="none"/>
          <w:shd w:val="clear" w:color="auto" w:fill="auto"/>
          <w:lang w:val="en-US" w:eastAsia="zh-CN"/>
        </w:rPr>
        <w:t>自评表</w:t>
      </w:r>
    </w:p>
    <w:p>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color w:val="auto"/>
          <w:kern w:val="0"/>
          <w:sz w:val="20"/>
          <w:szCs w:val="20"/>
          <w:highlight w:val="none"/>
          <w:u w:val="none"/>
          <w:lang w:val="en-US" w:eastAsia="zh-CN" w:bidi="ar"/>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widowControl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pageBreakBefore w:val="0"/>
              <w:widowControl w:val="0"/>
              <w:kinsoku/>
              <w:wordWrap/>
              <w:overflowPunct/>
              <w:topLinePunct w:val="0"/>
              <w:autoSpaceDE/>
              <w:autoSpaceDN/>
              <w:bidi w:val="0"/>
              <w:spacing w:line="0" w:lineRule="atLeast"/>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pageBreakBefore w:val="0"/>
              <w:widowControl w:val="0"/>
              <w:kinsoku/>
              <w:wordWrap/>
              <w:overflowPunct/>
              <w:topLinePunct w:val="0"/>
              <w:autoSpaceDE/>
              <w:autoSpaceDN/>
              <w:bidi w:val="0"/>
              <w:spacing w:line="0" w:lineRule="atLeast"/>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pageBreakBefore w:val="0"/>
              <w:widowControl w:val="0"/>
              <w:kinsoku/>
              <w:wordWrap/>
              <w:overflowPunct/>
              <w:topLinePunct w:val="0"/>
              <w:autoSpaceDE/>
              <w:autoSpaceDN/>
              <w:bidi w:val="0"/>
              <w:spacing w:line="0" w:lineRule="atLeast"/>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开展各类视察调研的次数</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召开常委会的次数</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视察调研工作完成率</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各项工作完成及时率</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开展调研视察</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召开常委会及代表活动</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为我市的乡村振兴、产业发展、文化建设等方面提供有价值的参考信息</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州级人大代表对项目实施满意度</w:t>
            </w:r>
          </w:p>
        </w:tc>
        <w:tc>
          <w:tcPr>
            <w:tcW w:w="214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pageBreakBefore w:val="0"/>
              <w:widowControl w:val="0"/>
              <w:kinsoku/>
              <w:wordWrap/>
              <w:overflowPunct/>
              <w:topLinePunct w:val="0"/>
              <w:autoSpaceDE/>
              <w:autoSpaceDN/>
              <w:bidi w:val="0"/>
              <w:spacing w:line="0" w:lineRule="atLeast"/>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99.17</w:t>
            </w:r>
          </w:p>
        </w:tc>
      </w:tr>
    </w:tbl>
    <w:p>
      <w:pPr>
        <w:pageBreakBefore w:val="0"/>
        <w:widowControl w:val="0"/>
        <w:kinsoku/>
        <w:wordWrap/>
        <w:overflowPunct/>
        <w:topLinePunct w:val="0"/>
        <w:autoSpaceDE/>
        <w:autoSpaceDN/>
        <w:bidi w:val="0"/>
        <w:spacing w:line="240" w:lineRule="auto"/>
        <w:ind w:firstLine="0" w:firstLineChars="0"/>
        <w:textAlignment w:val="auto"/>
        <w:rPr>
          <w:rFonts w:ascii="Times New Roman" w:hAnsi="Times New Roman" w:eastAsia="仿宋_GB2312" w:cs="Times New Roman"/>
          <w:color w:val="auto"/>
          <w:sz w:val="30"/>
          <w:szCs w:val="24"/>
          <w:highlight w:val="none"/>
        </w:rPr>
      </w:pPr>
    </w:p>
    <w:p>
      <w:pPr>
        <w:pageBreakBefore w:val="0"/>
        <w:widowControl w:val="0"/>
        <w:kinsoku/>
        <w:wordWrap/>
        <w:overflowPunct/>
        <w:topLinePunct w:val="0"/>
        <w:autoSpaceDE/>
        <w:autoSpaceDN/>
        <w:bidi w:val="0"/>
        <w:textAlignment w:val="auto"/>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07426E82"/>
    <w:multiLevelType w:val="singleLevel"/>
    <w:tmpl w:val="07426E82"/>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61C6FCB5"/>
    <w:multiLevelType w:val="singleLevel"/>
    <w:tmpl w:val="61C6FCB5"/>
    <w:lvl w:ilvl="0" w:tentative="0">
      <w:start w:val="4"/>
      <w:numFmt w:val="decimal"/>
      <w:suff w:val="nothing"/>
      <w:lvlText w:val="%1、"/>
      <w:lvlJc w:val="left"/>
    </w:lvl>
  </w:abstractNum>
  <w:abstractNum w:abstractNumId="4">
    <w:nsid w:val="696FC1A8"/>
    <w:multiLevelType w:val="singleLevel"/>
    <w:tmpl w:val="696FC1A8"/>
    <w:lvl w:ilvl="0" w:tentative="0">
      <w:start w:val="3"/>
      <w:numFmt w:val="decimal"/>
      <w:suff w:val="nothing"/>
      <w:lvlText w:val="（%1）"/>
      <w:lvlJc w:val="left"/>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172A27"/>
    <w:rsid w:val="007D6A04"/>
    <w:rsid w:val="00E23C81"/>
    <w:rsid w:val="01253350"/>
    <w:rsid w:val="01282E62"/>
    <w:rsid w:val="014029CF"/>
    <w:rsid w:val="01470C4C"/>
    <w:rsid w:val="02200440"/>
    <w:rsid w:val="02284B43"/>
    <w:rsid w:val="02B015E2"/>
    <w:rsid w:val="02DC08FA"/>
    <w:rsid w:val="033836D9"/>
    <w:rsid w:val="033B569D"/>
    <w:rsid w:val="039C3BA0"/>
    <w:rsid w:val="03A845BB"/>
    <w:rsid w:val="03B45AD1"/>
    <w:rsid w:val="04D12EE4"/>
    <w:rsid w:val="04D63993"/>
    <w:rsid w:val="07854BFB"/>
    <w:rsid w:val="07890F4F"/>
    <w:rsid w:val="08892439"/>
    <w:rsid w:val="08EB30F3"/>
    <w:rsid w:val="09237408"/>
    <w:rsid w:val="09781BD6"/>
    <w:rsid w:val="09F359DF"/>
    <w:rsid w:val="0A575E65"/>
    <w:rsid w:val="0ACA0AB6"/>
    <w:rsid w:val="0C032502"/>
    <w:rsid w:val="0C27698C"/>
    <w:rsid w:val="0D4452F3"/>
    <w:rsid w:val="0D8F618C"/>
    <w:rsid w:val="0D8F72D0"/>
    <w:rsid w:val="0F5E5042"/>
    <w:rsid w:val="0FE95707"/>
    <w:rsid w:val="10510571"/>
    <w:rsid w:val="10787A20"/>
    <w:rsid w:val="108672DE"/>
    <w:rsid w:val="10EC685A"/>
    <w:rsid w:val="10FC6A17"/>
    <w:rsid w:val="11FA6155"/>
    <w:rsid w:val="12CF0947"/>
    <w:rsid w:val="12F1313F"/>
    <w:rsid w:val="135A3B91"/>
    <w:rsid w:val="136C678E"/>
    <w:rsid w:val="13EB2FF5"/>
    <w:rsid w:val="15A46B04"/>
    <w:rsid w:val="15B76D7A"/>
    <w:rsid w:val="165825BC"/>
    <w:rsid w:val="16BC5D73"/>
    <w:rsid w:val="16D86959"/>
    <w:rsid w:val="17490557"/>
    <w:rsid w:val="176F36D7"/>
    <w:rsid w:val="1795226D"/>
    <w:rsid w:val="18456B1E"/>
    <w:rsid w:val="1876702D"/>
    <w:rsid w:val="19762678"/>
    <w:rsid w:val="1BC45E3B"/>
    <w:rsid w:val="1C1171C5"/>
    <w:rsid w:val="1C5B1BCF"/>
    <w:rsid w:val="1D1133A4"/>
    <w:rsid w:val="1D265138"/>
    <w:rsid w:val="1D7B6BCA"/>
    <w:rsid w:val="1DA41A79"/>
    <w:rsid w:val="1DF53469"/>
    <w:rsid w:val="1E2F24F2"/>
    <w:rsid w:val="1E4903F6"/>
    <w:rsid w:val="1E58492F"/>
    <w:rsid w:val="1E5B6757"/>
    <w:rsid w:val="1ED10AC6"/>
    <w:rsid w:val="1F89225F"/>
    <w:rsid w:val="1F900A1F"/>
    <w:rsid w:val="1FC0575D"/>
    <w:rsid w:val="206132C7"/>
    <w:rsid w:val="211D7C0A"/>
    <w:rsid w:val="212A0F3A"/>
    <w:rsid w:val="21B00C1D"/>
    <w:rsid w:val="23031BEB"/>
    <w:rsid w:val="23917691"/>
    <w:rsid w:val="23D86DC3"/>
    <w:rsid w:val="23F7206E"/>
    <w:rsid w:val="244D65B8"/>
    <w:rsid w:val="245E1E24"/>
    <w:rsid w:val="25701867"/>
    <w:rsid w:val="25AD5E5D"/>
    <w:rsid w:val="2732478D"/>
    <w:rsid w:val="27661469"/>
    <w:rsid w:val="27900EAD"/>
    <w:rsid w:val="279B538A"/>
    <w:rsid w:val="286F545C"/>
    <w:rsid w:val="29314FBC"/>
    <w:rsid w:val="2C024B86"/>
    <w:rsid w:val="2C82063F"/>
    <w:rsid w:val="2C927671"/>
    <w:rsid w:val="2D751EE8"/>
    <w:rsid w:val="2D7C5CD6"/>
    <w:rsid w:val="2DC3423F"/>
    <w:rsid w:val="2E483E7E"/>
    <w:rsid w:val="2E690493"/>
    <w:rsid w:val="2E9854BD"/>
    <w:rsid w:val="2F0D407F"/>
    <w:rsid w:val="2F454B19"/>
    <w:rsid w:val="2FA64CBD"/>
    <w:rsid w:val="310224D9"/>
    <w:rsid w:val="31B4621C"/>
    <w:rsid w:val="31E3230A"/>
    <w:rsid w:val="31FA1430"/>
    <w:rsid w:val="32562CF4"/>
    <w:rsid w:val="330957E0"/>
    <w:rsid w:val="33356F64"/>
    <w:rsid w:val="33944516"/>
    <w:rsid w:val="34176713"/>
    <w:rsid w:val="34414B27"/>
    <w:rsid w:val="34B62907"/>
    <w:rsid w:val="36BD137C"/>
    <w:rsid w:val="37623ADD"/>
    <w:rsid w:val="385D37E7"/>
    <w:rsid w:val="38782EDD"/>
    <w:rsid w:val="38FC212F"/>
    <w:rsid w:val="39004B0B"/>
    <w:rsid w:val="3B42664A"/>
    <w:rsid w:val="3C1E73CC"/>
    <w:rsid w:val="3D836A4E"/>
    <w:rsid w:val="3DBA4280"/>
    <w:rsid w:val="3DED31D8"/>
    <w:rsid w:val="3EA37E97"/>
    <w:rsid w:val="3FBE0BC5"/>
    <w:rsid w:val="4048103A"/>
    <w:rsid w:val="40736643"/>
    <w:rsid w:val="40D24A7A"/>
    <w:rsid w:val="42621029"/>
    <w:rsid w:val="435241E2"/>
    <w:rsid w:val="43975C51"/>
    <w:rsid w:val="439E3FA7"/>
    <w:rsid w:val="44281228"/>
    <w:rsid w:val="445E41A5"/>
    <w:rsid w:val="44B32266"/>
    <w:rsid w:val="44FC64F4"/>
    <w:rsid w:val="467F4585"/>
    <w:rsid w:val="470628CB"/>
    <w:rsid w:val="47555BD4"/>
    <w:rsid w:val="47E96399"/>
    <w:rsid w:val="48E12B50"/>
    <w:rsid w:val="492915B8"/>
    <w:rsid w:val="499441BE"/>
    <w:rsid w:val="499A6C1C"/>
    <w:rsid w:val="4A2138F0"/>
    <w:rsid w:val="4A583887"/>
    <w:rsid w:val="4B9F6E02"/>
    <w:rsid w:val="4C89637B"/>
    <w:rsid w:val="4E6E48A8"/>
    <w:rsid w:val="4EEC036B"/>
    <w:rsid w:val="4FD3547C"/>
    <w:rsid w:val="501D2673"/>
    <w:rsid w:val="50813297"/>
    <w:rsid w:val="50C80BF1"/>
    <w:rsid w:val="51852833"/>
    <w:rsid w:val="523301B0"/>
    <w:rsid w:val="52F11AC8"/>
    <w:rsid w:val="534F49D9"/>
    <w:rsid w:val="53555F0F"/>
    <w:rsid w:val="535D23D5"/>
    <w:rsid w:val="56F4341A"/>
    <w:rsid w:val="57413865"/>
    <w:rsid w:val="575A7321"/>
    <w:rsid w:val="580C3AB9"/>
    <w:rsid w:val="583C7AE0"/>
    <w:rsid w:val="586C1E9A"/>
    <w:rsid w:val="586E0800"/>
    <w:rsid w:val="59216F96"/>
    <w:rsid w:val="598C4145"/>
    <w:rsid w:val="59957D1B"/>
    <w:rsid w:val="59D4294E"/>
    <w:rsid w:val="5B634312"/>
    <w:rsid w:val="5B9D2CCD"/>
    <w:rsid w:val="5B9E71EA"/>
    <w:rsid w:val="5C7370C0"/>
    <w:rsid w:val="5E226FBC"/>
    <w:rsid w:val="5EF2395C"/>
    <w:rsid w:val="5FE72BD2"/>
    <w:rsid w:val="60120613"/>
    <w:rsid w:val="60773920"/>
    <w:rsid w:val="618D5292"/>
    <w:rsid w:val="622E78FA"/>
    <w:rsid w:val="626A419B"/>
    <w:rsid w:val="630D47B8"/>
    <w:rsid w:val="63343F70"/>
    <w:rsid w:val="63CE0A84"/>
    <w:rsid w:val="64296E1C"/>
    <w:rsid w:val="649E64A2"/>
    <w:rsid w:val="6557362A"/>
    <w:rsid w:val="65E5270A"/>
    <w:rsid w:val="663D3C54"/>
    <w:rsid w:val="66862C89"/>
    <w:rsid w:val="66B04F91"/>
    <w:rsid w:val="66BB486D"/>
    <w:rsid w:val="670B7A39"/>
    <w:rsid w:val="67394C7D"/>
    <w:rsid w:val="68126B38"/>
    <w:rsid w:val="68291A1A"/>
    <w:rsid w:val="68352BB8"/>
    <w:rsid w:val="691B1594"/>
    <w:rsid w:val="693A016B"/>
    <w:rsid w:val="6A17429C"/>
    <w:rsid w:val="6A567EA3"/>
    <w:rsid w:val="6A7E58A1"/>
    <w:rsid w:val="6B4B4368"/>
    <w:rsid w:val="6B776B5F"/>
    <w:rsid w:val="6B79100E"/>
    <w:rsid w:val="6BF250F1"/>
    <w:rsid w:val="6C844C00"/>
    <w:rsid w:val="6D921455"/>
    <w:rsid w:val="6E10212C"/>
    <w:rsid w:val="6E43561A"/>
    <w:rsid w:val="6E557973"/>
    <w:rsid w:val="6E9568DB"/>
    <w:rsid w:val="6F0D6C22"/>
    <w:rsid w:val="6F47657F"/>
    <w:rsid w:val="6FAF23D9"/>
    <w:rsid w:val="70635CF6"/>
    <w:rsid w:val="70670707"/>
    <w:rsid w:val="708D602A"/>
    <w:rsid w:val="720E3691"/>
    <w:rsid w:val="724E244C"/>
    <w:rsid w:val="72DA6946"/>
    <w:rsid w:val="732764B3"/>
    <w:rsid w:val="735D7E5C"/>
    <w:rsid w:val="73A17F3B"/>
    <w:rsid w:val="74026044"/>
    <w:rsid w:val="74746410"/>
    <w:rsid w:val="75E5007C"/>
    <w:rsid w:val="76077730"/>
    <w:rsid w:val="77813724"/>
    <w:rsid w:val="77861774"/>
    <w:rsid w:val="78D0534F"/>
    <w:rsid w:val="78F31435"/>
    <w:rsid w:val="79300B45"/>
    <w:rsid w:val="794D3E18"/>
    <w:rsid w:val="79F3729A"/>
    <w:rsid w:val="7A880722"/>
    <w:rsid w:val="7ACB0498"/>
    <w:rsid w:val="7AED0B4D"/>
    <w:rsid w:val="7AF278E5"/>
    <w:rsid w:val="7C1E4487"/>
    <w:rsid w:val="7C215E02"/>
    <w:rsid w:val="7CF23764"/>
    <w:rsid w:val="7D0116DD"/>
    <w:rsid w:val="7D7A244B"/>
    <w:rsid w:val="7E256046"/>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8677</Words>
  <Characters>9111</Characters>
  <Lines>0</Lines>
  <Paragraphs>0</Paragraphs>
  <TotalTime>2</TotalTime>
  <ScaleCrop>false</ScaleCrop>
  <LinksUpToDate>false</LinksUpToDate>
  <CharactersWithSpaces>9145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2024-10-16T04:03:44Z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