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67849">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2711BD14">
      <w:pPr>
        <w:pageBreakBefore w:val="0"/>
        <w:kinsoku/>
        <w:wordWrap/>
        <w:overflowPunct/>
        <w:topLinePunct w:val="0"/>
        <w:autoSpaceDE/>
        <w:autoSpaceDN/>
        <w:bidi w:val="0"/>
        <w:adjustRightInd/>
        <w:spacing w:line="360" w:lineRule="auto"/>
        <w:jc w:val="center"/>
        <w:textAlignment w:val="auto"/>
        <w:rPr>
          <w:rFonts w:hint="eastAsia" w:asciiTheme="majorEastAsia" w:hAnsiTheme="majorEastAsia" w:eastAsiaTheme="majorEastAsia" w:cstheme="majorEastAsia"/>
          <w:b w:val="0"/>
          <w:bCs w:val="0"/>
          <w:color w:val="auto"/>
          <w:sz w:val="36"/>
          <w:szCs w:val="36"/>
          <w:highlight w:val="none"/>
          <w:shd w:val="clear" w:color="auto" w:fill="auto"/>
        </w:rPr>
      </w:pPr>
    </w:p>
    <w:p w14:paraId="6DCE429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Theme="majorEastAsia" w:hAnsiTheme="majorEastAsia" w:eastAsiaTheme="majorEastAsia" w:cstheme="majorEastAsia"/>
          <w:b/>
          <w:bCs/>
          <w:color w:val="auto"/>
          <w:sz w:val="40"/>
          <w:szCs w:val="40"/>
          <w:highlight w:val="none"/>
          <w:shd w:val="clear" w:color="auto" w:fill="auto"/>
        </w:rPr>
      </w:pPr>
      <w:bookmarkStart w:id="0" w:name="_Toc15679"/>
      <w:r>
        <w:rPr>
          <w:rFonts w:hint="eastAsia" w:asciiTheme="majorEastAsia" w:hAnsiTheme="majorEastAsia" w:eastAsiaTheme="majorEastAsia" w:cstheme="majorEastAsia"/>
          <w:b/>
          <w:bCs/>
          <w:color w:val="auto"/>
          <w:kern w:val="0"/>
          <w:sz w:val="40"/>
          <w:szCs w:val="40"/>
          <w:highlight w:val="none"/>
        </w:rPr>
        <w:t>农产品质量安全网格化监管</w:t>
      </w:r>
      <w:r>
        <w:rPr>
          <w:rFonts w:hint="eastAsia" w:asciiTheme="majorEastAsia" w:hAnsiTheme="majorEastAsia" w:eastAsiaTheme="majorEastAsia" w:cstheme="majorEastAsia"/>
          <w:b/>
          <w:bCs/>
          <w:color w:val="auto"/>
          <w:sz w:val="40"/>
          <w:szCs w:val="40"/>
          <w:highlight w:val="none"/>
          <w:shd w:val="clear" w:color="auto" w:fill="auto"/>
          <w:lang w:val="en-US" w:eastAsia="zh-CN"/>
        </w:rPr>
        <w:t>项目</w:t>
      </w:r>
      <w:r>
        <w:rPr>
          <w:rFonts w:hint="eastAsia" w:asciiTheme="majorEastAsia" w:hAnsiTheme="majorEastAsia" w:eastAsiaTheme="majorEastAsia" w:cstheme="majorEastAsia"/>
          <w:b/>
          <w:bCs/>
          <w:color w:val="auto"/>
          <w:sz w:val="40"/>
          <w:szCs w:val="40"/>
          <w:highlight w:val="none"/>
          <w:shd w:val="clear" w:color="auto" w:fill="auto"/>
        </w:rPr>
        <w:t>支出</w:t>
      </w:r>
    </w:p>
    <w:p w14:paraId="1FDDF74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Theme="majorEastAsia" w:hAnsiTheme="majorEastAsia" w:eastAsiaTheme="majorEastAsia" w:cstheme="majorEastAsia"/>
          <w:b/>
          <w:bCs/>
          <w:color w:val="auto"/>
          <w:sz w:val="40"/>
          <w:szCs w:val="40"/>
          <w:highlight w:val="none"/>
          <w:shd w:val="clear" w:color="auto" w:fill="auto"/>
        </w:rPr>
      </w:pPr>
      <w:r>
        <w:rPr>
          <w:rFonts w:hint="eastAsia" w:asciiTheme="majorEastAsia" w:hAnsiTheme="majorEastAsia" w:eastAsiaTheme="majorEastAsia" w:cstheme="majorEastAsia"/>
          <w:b/>
          <w:bCs/>
          <w:color w:val="auto"/>
          <w:sz w:val="40"/>
          <w:szCs w:val="40"/>
          <w:highlight w:val="none"/>
          <w:shd w:val="clear" w:color="auto" w:fill="auto"/>
        </w:rPr>
        <w:t>绩效评价报告</w:t>
      </w:r>
      <w:bookmarkEnd w:id="0"/>
    </w:p>
    <w:p w14:paraId="522E80F4">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4E24FD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_GBK" w:hAnsi="方正小标宋_GBK" w:eastAsia="方正小标宋_GBK" w:cs="方正小标宋_GBK"/>
          <w:b/>
          <w:bCs/>
          <w:color w:val="auto"/>
          <w:sz w:val="36"/>
          <w:szCs w:val="36"/>
          <w:highlight w:val="none"/>
          <w:shd w:val="clear" w:color="auto" w:fill="auto"/>
        </w:rPr>
      </w:pPr>
    </w:p>
    <w:p w14:paraId="4D34F0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CC2CF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F002F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D3CBC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344F60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995F89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项目名称：农产品质量安全网格化监管</w:t>
      </w:r>
    </w:p>
    <w:p w14:paraId="181500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实施单位：阜康市农业技术推广中心</w:t>
      </w:r>
    </w:p>
    <w:p w14:paraId="725193B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主管部门：昌吉州农业农村局</w:t>
      </w:r>
    </w:p>
    <w:p w14:paraId="729B3832">
      <w:pPr>
        <w:pStyle w:val="7"/>
        <w:outlineLvl w:val="9"/>
        <w:rPr>
          <w:rFonts w:hint="eastAsia" w:ascii="宋体" w:hAnsi="宋体" w:eastAsia="宋体" w:cs="宋体"/>
          <w:b/>
          <w:color w:val="auto"/>
          <w:kern w:val="2"/>
          <w:sz w:val="28"/>
          <w:szCs w:val="28"/>
          <w:highlight w:val="none"/>
          <w:shd w:val="clear" w:color="auto" w:fill="auto"/>
          <w:lang w:val="en-US" w:eastAsia="zh-CN"/>
        </w:rPr>
      </w:pPr>
    </w:p>
    <w:p w14:paraId="2CB3D542">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5AB5721">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4BBA98A">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2E14933C">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50292A3">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D2A2232">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4CB1D5A2">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AACC6B2">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928EFBA">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F8268A3">
          <w:pPr>
            <w:pStyle w:val="12"/>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76A88754">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05900A8">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D6D896A">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5C5C486">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747FBCF4">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247C5AF8">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7016BDB">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516DA66">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E34220B">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5E6A99FF">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60B1B991">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27FAD11">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77A9298">
          <w:pPr>
            <w:pStyle w:val="10"/>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440CCB4D">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D90237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Theme="majorEastAsia" w:hAnsiTheme="majorEastAsia" w:eastAsiaTheme="majorEastAsia" w:cstheme="majorEastAsia"/>
          <w:b w:val="0"/>
          <w:bCs w:val="0"/>
          <w:color w:val="auto"/>
          <w:sz w:val="36"/>
          <w:szCs w:val="36"/>
          <w:highlight w:val="none"/>
          <w:shd w:val="clear" w:color="auto" w:fill="auto"/>
        </w:rPr>
      </w:pPr>
      <w:bookmarkStart w:id="1" w:name="_Toc1194"/>
      <w:r>
        <w:rPr>
          <w:rFonts w:hint="eastAsia" w:asciiTheme="majorEastAsia" w:hAnsiTheme="majorEastAsia" w:eastAsiaTheme="majorEastAsia" w:cstheme="majorEastAsia"/>
          <w:b w:val="0"/>
          <w:bCs w:val="0"/>
          <w:color w:val="auto"/>
          <w:sz w:val="36"/>
          <w:szCs w:val="36"/>
          <w:highlight w:val="none"/>
          <w:shd w:val="clear" w:color="auto" w:fill="auto"/>
          <w:lang w:val="en-US" w:eastAsia="zh-CN"/>
        </w:rPr>
        <w:t>自治州</w:t>
      </w:r>
      <w:r>
        <w:rPr>
          <w:rFonts w:hint="eastAsia" w:asciiTheme="majorEastAsia" w:hAnsiTheme="majorEastAsia" w:eastAsiaTheme="majorEastAsia" w:cstheme="majorEastAsia"/>
          <w:b w:val="0"/>
          <w:bCs w:val="0"/>
          <w:color w:val="auto"/>
          <w:kern w:val="0"/>
          <w:sz w:val="36"/>
          <w:szCs w:val="36"/>
          <w:highlight w:val="none"/>
        </w:rPr>
        <w:t>农产品质量安全网格化监管</w:t>
      </w:r>
      <w:r>
        <w:rPr>
          <w:rFonts w:hint="eastAsia" w:asciiTheme="majorEastAsia" w:hAnsiTheme="majorEastAsia" w:eastAsiaTheme="majorEastAsia" w:cstheme="majorEastAsia"/>
          <w:b w:val="0"/>
          <w:bCs w:val="0"/>
          <w:color w:val="auto"/>
          <w:sz w:val="36"/>
          <w:szCs w:val="36"/>
          <w:highlight w:val="none"/>
          <w:shd w:val="clear" w:color="auto" w:fill="auto"/>
          <w:lang w:val="en-US" w:eastAsia="zh-CN"/>
        </w:rPr>
        <w:t>项目</w:t>
      </w:r>
      <w:r>
        <w:rPr>
          <w:rFonts w:hint="eastAsia" w:asciiTheme="majorEastAsia" w:hAnsiTheme="majorEastAsia" w:eastAsiaTheme="majorEastAsia" w:cstheme="majorEastAsia"/>
          <w:b w:val="0"/>
          <w:bCs w:val="0"/>
          <w:color w:val="auto"/>
          <w:sz w:val="36"/>
          <w:szCs w:val="36"/>
          <w:highlight w:val="none"/>
          <w:shd w:val="clear" w:color="auto" w:fill="auto"/>
        </w:rPr>
        <w:t>支出绩效</w:t>
      </w:r>
    </w:p>
    <w:p w14:paraId="2CCB9F6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Theme="majorEastAsia" w:hAnsiTheme="majorEastAsia" w:eastAsiaTheme="majorEastAsia" w:cstheme="majorEastAsia"/>
          <w:b w:val="0"/>
          <w:bCs w:val="0"/>
          <w:color w:val="auto"/>
          <w:sz w:val="36"/>
          <w:szCs w:val="36"/>
          <w:highlight w:val="none"/>
          <w:shd w:val="clear" w:color="auto" w:fill="auto"/>
        </w:rPr>
      </w:pPr>
      <w:r>
        <w:rPr>
          <w:rFonts w:hint="eastAsia" w:asciiTheme="majorEastAsia" w:hAnsiTheme="majorEastAsia" w:eastAsiaTheme="majorEastAsia" w:cstheme="majorEastAsia"/>
          <w:b w:val="0"/>
          <w:bCs w:val="0"/>
          <w:color w:val="auto"/>
          <w:sz w:val="36"/>
          <w:szCs w:val="36"/>
          <w:highlight w:val="none"/>
          <w:shd w:val="clear" w:color="auto" w:fill="auto"/>
        </w:rPr>
        <w:t>评价报告</w:t>
      </w:r>
      <w:bookmarkEnd w:id="1"/>
    </w:p>
    <w:p w14:paraId="1D33E257">
      <w:pPr>
        <w:pStyle w:val="2"/>
        <w:pageBreakBefore w:val="0"/>
        <w:widowControl w:val="0"/>
        <w:numPr>
          <w:ilvl w:val="0"/>
          <w:numId w:val="0"/>
        </w:numPr>
        <w:kinsoku/>
        <w:wordWrap/>
        <w:overflowPunct/>
        <w:topLinePunct w:val="0"/>
        <w:autoSpaceDE/>
        <w:autoSpaceDN/>
        <w:bidi w:val="0"/>
        <w:adjustRightInd/>
        <w:snapToGrid/>
        <w:spacing w:beforeLines="0" w:afterLines="0" w:line="560" w:lineRule="exact"/>
        <w:ind w:left="0" w:firstLine="643" w:firstLineChars="200"/>
        <w:textAlignment w:val="auto"/>
        <w:rPr>
          <w:rFonts w:hint="eastAsia" w:asciiTheme="majorEastAsia" w:hAnsiTheme="majorEastAsia" w:eastAsiaTheme="majorEastAsia" w:cstheme="majorEastAsia"/>
          <w:b/>
          <w:bCs/>
          <w:color w:val="auto"/>
          <w:sz w:val="32"/>
          <w:szCs w:val="32"/>
          <w:highlight w:val="none"/>
          <w:shd w:val="clear" w:color="auto" w:fill="auto"/>
        </w:rPr>
      </w:pPr>
      <w:bookmarkStart w:id="2" w:name="_Toc17540"/>
      <w:r>
        <w:rPr>
          <w:rFonts w:hint="eastAsia" w:asciiTheme="majorEastAsia" w:hAnsiTheme="majorEastAsia" w:eastAsiaTheme="majorEastAsia" w:cstheme="majorEastAsia"/>
          <w:b/>
          <w:bCs/>
          <w:color w:val="auto"/>
          <w:sz w:val="32"/>
          <w:szCs w:val="32"/>
          <w:highlight w:val="none"/>
          <w:shd w:val="clear" w:color="auto" w:fill="auto"/>
          <w:lang w:val="en-US" w:eastAsia="zh-CN"/>
        </w:rPr>
        <w:t>一、</w:t>
      </w:r>
      <w:r>
        <w:rPr>
          <w:rFonts w:hint="eastAsia" w:asciiTheme="majorEastAsia" w:hAnsiTheme="majorEastAsia" w:eastAsiaTheme="majorEastAsia" w:cstheme="majorEastAsia"/>
          <w:b/>
          <w:bCs/>
          <w:color w:val="auto"/>
          <w:sz w:val="32"/>
          <w:szCs w:val="32"/>
          <w:highlight w:val="none"/>
          <w:shd w:val="clear" w:color="auto" w:fill="auto"/>
        </w:rPr>
        <w:t>基本情况</w:t>
      </w:r>
      <w:bookmarkEnd w:id="2"/>
    </w:p>
    <w:p w14:paraId="3782FF82">
      <w:pPr>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rPr>
        <w:t>根据《关于下达2022年昌吉州农业发展专项资金预算的通知》（昌州财农〔202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阜康市积极申报了2022年</w:t>
      </w:r>
      <w:r>
        <w:rPr>
          <w:rFonts w:hint="eastAsia" w:asciiTheme="minorEastAsia" w:hAnsiTheme="minorEastAsia" w:eastAsiaTheme="minorEastAsia" w:cstheme="minorEastAsia"/>
          <w:b w:val="0"/>
          <w:bCs w:val="0"/>
          <w:color w:val="auto"/>
          <w:kern w:val="0"/>
          <w:sz w:val="28"/>
          <w:szCs w:val="28"/>
          <w:highlight w:val="none"/>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从检测体系完善（县级检测能力扩项认证、必备仪器设备及耗材购置、技术能力提升培训等）、乡镇监管站建设（制度及公示上墙、速测仪器更新、耗材购置、相关制度手册、标识、防护服配置等）、承诺达标合格证指导服务完善等方面进一步规范提升。</w:t>
      </w:r>
    </w:p>
    <w:p w14:paraId="2796E3DA">
      <w:pPr>
        <w:pStyle w:val="3"/>
        <w:keepNext/>
        <w:keepLines/>
        <w:pageBreakBefore w:val="0"/>
        <w:widowControl w:val="0"/>
        <w:kinsoku/>
        <w:wordWrap/>
        <w:overflowPunct/>
        <w:topLinePunct w:val="0"/>
        <w:autoSpaceDE/>
        <w:autoSpaceDN/>
        <w:bidi w:val="0"/>
        <w:adjustRightInd/>
        <w:snapToGrid/>
        <w:spacing w:beforeLines="0" w:afterLines="0" w:line="560" w:lineRule="exact"/>
        <w:ind w:left="0" w:firstLine="643" w:firstLineChars="200"/>
        <w:textAlignment w:val="auto"/>
        <w:rPr>
          <w:rFonts w:hint="eastAsia" w:asciiTheme="majorEastAsia" w:hAnsiTheme="majorEastAsia" w:eastAsiaTheme="majorEastAsia" w:cstheme="majorEastAsia"/>
          <w:b/>
          <w:bCs w:val="0"/>
          <w:color w:val="auto"/>
          <w:sz w:val="32"/>
          <w:szCs w:val="32"/>
          <w:highlight w:val="none"/>
          <w:shd w:val="clear" w:color="auto" w:fill="auto"/>
        </w:rPr>
      </w:pPr>
      <w:bookmarkStart w:id="3" w:name="_Toc18966"/>
      <w:r>
        <w:rPr>
          <w:rFonts w:hint="eastAsia" w:asciiTheme="majorEastAsia" w:hAnsiTheme="majorEastAsia" w:eastAsiaTheme="majorEastAsia" w:cstheme="majorEastAsia"/>
          <w:b/>
          <w:bCs w:val="0"/>
          <w:color w:val="auto"/>
          <w:sz w:val="32"/>
          <w:szCs w:val="32"/>
          <w:highlight w:val="none"/>
          <w:shd w:val="clear" w:color="auto" w:fill="auto"/>
        </w:rPr>
        <w:t>（一）项目概况</w:t>
      </w:r>
      <w:bookmarkEnd w:id="3"/>
    </w:p>
    <w:p w14:paraId="5A06FAD6">
      <w:pPr>
        <w:pStyle w:val="4"/>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default" w:ascii="Times New Roman" w:hAnsi="Times New Roman" w:eastAsia="方正仿宋_GBK" w:cs="Times New Roman"/>
          <w:b/>
          <w:bCs/>
          <w:color w:val="auto"/>
          <w:sz w:val="28"/>
          <w:szCs w:val="28"/>
          <w:highlight w:val="none"/>
          <w:shd w:val="clear" w:color="auto" w:fill="auto"/>
          <w:lang w:eastAsia="zh-CN"/>
        </w:rPr>
      </w:pPr>
      <w:bookmarkStart w:id="4" w:name="_Toc5043"/>
      <w:r>
        <w:rPr>
          <w:rFonts w:hint="default" w:ascii="Times New Roman" w:hAnsi="Times New Roman" w:eastAsia="方正仿宋_GBK" w:cs="Times New Roman"/>
          <w:b/>
          <w:bCs/>
          <w:color w:val="auto"/>
          <w:sz w:val="28"/>
          <w:szCs w:val="28"/>
          <w:highlight w:val="none"/>
          <w:shd w:val="clear" w:color="auto" w:fill="auto"/>
          <w:lang w:val="en-US" w:eastAsia="zh-CN"/>
        </w:rPr>
        <w:t>1.</w:t>
      </w:r>
      <w:r>
        <w:rPr>
          <w:rFonts w:hint="default" w:ascii="Times New Roman" w:hAnsi="Times New Roman" w:eastAsia="方正仿宋_GBK" w:cs="Times New Roman"/>
          <w:b/>
          <w:bCs/>
          <w:color w:val="auto"/>
          <w:sz w:val="28"/>
          <w:szCs w:val="28"/>
          <w:highlight w:val="none"/>
          <w:shd w:val="clear" w:color="auto" w:fill="auto"/>
        </w:rPr>
        <w:t>项目背景</w:t>
      </w:r>
      <w:bookmarkEnd w:id="4"/>
    </w:p>
    <w:p w14:paraId="28BAFA36">
      <w:pPr>
        <w:bidi w:val="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为响应</w:t>
      </w:r>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文件精神</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为完善检测市级农产品质量安全检测体系、乡镇监管站建设，承诺达标合格证指导服务完善等方面进一步规范提升。阜康市申报了2022年</w:t>
      </w:r>
      <w:r>
        <w:rPr>
          <w:rFonts w:hint="eastAsia" w:asciiTheme="minorEastAsia" w:hAnsiTheme="minorEastAsia" w:eastAsiaTheme="minorEastAsia" w:cstheme="minorEastAsia"/>
          <w:b w:val="0"/>
          <w:bCs w:val="0"/>
          <w:color w:val="auto"/>
          <w:kern w:val="0"/>
          <w:sz w:val="28"/>
          <w:szCs w:val="28"/>
          <w:highlight w:val="none"/>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w:t>
      </w:r>
      <w:bookmarkStart w:id="5" w:name="_Toc27343"/>
    </w:p>
    <w:p w14:paraId="7173004B">
      <w:pPr>
        <w:numPr>
          <w:ilvl w:val="0"/>
          <w:numId w:val="0"/>
        </w:numPr>
        <w:bidi w:val="0"/>
        <w:ind w:firstLine="562" w:firstLineChars="200"/>
        <w:rPr>
          <w:rFonts w:hint="eastAsia" w:asciiTheme="minorEastAsia" w:hAnsiTheme="minorEastAsia" w:eastAsiaTheme="minorEastAsia" w:cstheme="minorEastAsia"/>
          <w:b/>
          <w:bCs/>
          <w:color w:val="auto"/>
          <w:sz w:val="28"/>
          <w:szCs w:val="28"/>
          <w:highlight w:val="none"/>
          <w:shd w:val="clear" w:color="auto" w:fill="auto"/>
        </w:rPr>
      </w:pPr>
      <w:r>
        <w:rPr>
          <w:rFonts w:hint="eastAsia" w:asciiTheme="minorEastAsia" w:hAnsiTheme="minorEastAsia" w:eastAsiaTheme="minorEastAsia" w:cstheme="minorEastAsia"/>
          <w:b/>
          <w:bCs/>
          <w:color w:val="auto"/>
          <w:sz w:val="28"/>
          <w:szCs w:val="28"/>
          <w:highlight w:val="none"/>
          <w:shd w:val="clear" w:color="auto" w:fill="auto"/>
          <w:lang w:val="en-US" w:eastAsia="zh-CN"/>
        </w:rPr>
        <w:t>2.</w:t>
      </w:r>
      <w:r>
        <w:rPr>
          <w:rFonts w:hint="eastAsia" w:asciiTheme="minorEastAsia" w:hAnsiTheme="minorEastAsia" w:eastAsiaTheme="minorEastAsia" w:cstheme="minorEastAsia"/>
          <w:b/>
          <w:bCs/>
          <w:color w:val="auto"/>
          <w:sz w:val="28"/>
          <w:szCs w:val="28"/>
          <w:highlight w:val="none"/>
          <w:shd w:val="clear" w:color="auto" w:fill="auto"/>
        </w:rPr>
        <w:t>主要内容及实施情况</w:t>
      </w:r>
      <w:bookmarkEnd w:id="5"/>
      <w:bookmarkStart w:id="6" w:name="_Toc16592"/>
    </w:p>
    <w:p w14:paraId="1C1FDDB6">
      <w:pPr>
        <w:numPr>
          <w:ilvl w:val="0"/>
          <w:numId w:val="0"/>
        </w:numPr>
        <w:bidi w:val="0"/>
        <w:ind w:firstLine="562" w:firstLineChars="200"/>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b/>
          <w:bCs/>
          <w:color w:val="auto"/>
          <w:sz w:val="28"/>
          <w:szCs w:val="28"/>
          <w:highlight w:val="none"/>
          <w:shd w:val="clear" w:color="auto" w:fill="auto"/>
          <w:lang w:val="en-US" w:eastAsia="zh-CN"/>
        </w:rPr>
        <w:t>主要内容：</w:t>
      </w:r>
      <w:bookmarkEnd w:id="6"/>
      <w:r>
        <w:rPr>
          <w:rFonts w:hint="eastAsia" w:asciiTheme="minorEastAsia" w:hAnsiTheme="minorEastAsia" w:eastAsiaTheme="minorEastAsia" w:cstheme="minorEastAsia"/>
          <w:color w:val="auto"/>
          <w:sz w:val="28"/>
          <w:szCs w:val="28"/>
          <w:highlight w:val="none"/>
          <w:shd w:val="clear" w:color="auto" w:fill="auto"/>
          <w:lang w:val="en-US" w:eastAsia="zh-CN"/>
        </w:rPr>
        <w:t>购买所需耗材、气体的购买；检测仪器检定；检测样品的购买，提升生产主体农产品质量安全意识，完成农产品质量安全检验检测任务数量不少于9484个，设备验收合格率100%，设备采购按时完成率100%，生产主体农产品质量安全意识有所增强。</w:t>
      </w:r>
    </w:p>
    <w:p w14:paraId="39CF2F19">
      <w:pPr>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b/>
          <w:bCs/>
          <w:color w:val="auto"/>
          <w:sz w:val="28"/>
          <w:szCs w:val="28"/>
          <w:highlight w:val="none"/>
          <w:shd w:val="clear" w:color="auto" w:fill="auto"/>
          <w:lang w:val="en-US" w:eastAsia="zh-CN"/>
        </w:rPr>
        <w:t>组织实施</w:t>
      </w:r>
      <w:r>
        <w:rPr>
          <w:rFonts w:hint="eastAsia" w:asciiTheme="minorEastAsia" w:hAnsiTheme="minorEastAsia" w:eastAsiaTheme="minorEastAsia" w:cstheme="minorEastAsia"/>
          <w:color w:val="auto"/>
          <w:sz w:val="28"/>
          <w:szCs w:val="28"/>
          <w:highlight w:val="none"/>
          <w:shd w:val="clear" w:color="auto" w:fill="auto"/>
          <w:lang w:val="en-US" w:eastAsia="zh-CN"/>
        </w:rPr>
        <w:t>：自</w:t>
      </w:r>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资金下达</w:t>
      </w:r>
      <w:r>
        <w:rPr>
          <w:rFonts w:hint="eastAsia" w:asciiTheme="minorEastAsia" w:hAnsiTheme="minorEastAsia" w:eastAsiaTheme="minorEastAsia" w:cstheme="minorEastAsia"/>
          <w:color w:val="auto"/>
          <w:sz w:val="28"/>
          <w:szCs w:val="28"/>
          <w:highlight w:val="none"/>
          <w:shd w:val="clear" w:color="auto" w:fill="auto"/>
          <w:lang w:val="en-US" w:eastAsia="zh-CN"/>
        </w:rPr>
        <w:t>，经阜康市农业农村党组会议，确定了项目领导小组，明确了责任分工：组长为谭新华，副组长为方勇，项目负责人为杨永玲，组员为刘桂伶、杨阳、赵宇，其中：杨永玲负责监管工作，刘桂伶负责项目档案资料，杨阳负责资金拨付工作。</w:t>
      </w:r>
    </w:p>
    <w:p w14:paraId="526A2F3B">
      <w:pPr>
        <w:pStyle w:val="5"/>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kern w:val="2"/>
          <w:sz w:val="28"/>
          <w:szCs w:val="28"/>
          <w:highlight w:val="none"/>
          <w:shd w:val="clear" w:color="auto" w:fill="auto"/>
          <w:lang w:val="en-US" w:eastAsia="zh-CN" w:bidi="ar-SA"/>
        </w:rPr>
      </w:pPr>
      <w:r>
        <w:rPr>
          <w:rFonts w:hint="eastAsia" w:asciiTheme="minorEastAsia" w:hAnsiTheme="minorEastAsia" w:eastAsiaTheme="minorEastAsia" w:cstheme="minorEastAsia"/>
          <w:color w:val="auto"/>
          <w:sz w:val="28"/>
          <w:szCs w:val="28"/>
          <w:highlight w:val="none"/>
          <w:lang w:eastAsia="zh-CN"/>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w:t>
      </w:r>
      <w:r>
        <w:rPr>
          <w:rFonts w:hint="eastAsia" w:asciiTheme="minorEastAsia" w:hAnsiTheme="minorEastAsia" w:eastAsiaTheme="minorEastAsia" w:cstheme="minorEastAsia"/>
          <w:color w:val="auto"/>
          <w:sz w:val="28"/>
          <w:szCs w:val="28"/>
          <w:highlight w:val="none"/>
        </w:rPr>
        <w:t>实施</w:t>
      </w:r>
      <w:r>
        <w:rPr>
          <w:rFonts w:hint="eastAsia" w:asciiTheme="minorEastAsia" w:hAnsiTheme="minorEastAsia" w:eastAsiaTheme="minorEastAsia" w:cstheme="minorEastAsia"/>
          <w:color w:val="auto"/>
          <w:sz w:val="28"/>
          <w:szCs w:val="28"/>
          <w:highlight w:val="none"/>
          <w:lang w:eastAsia="zh-CN"/>
        </w:rPr>
        <w:t>后</w:t>
      </w:r>
      <w:r>
        <w:rPr>
          <w:rFonts w:hint="eastAsia" w:asciiTheme="minorEastAsia" w:hAnsiTheme="minorEastAsia" w:eastAsiaTheme="minorEastAsia" w:cstheme="minorEastAsia"/>
          <w:color w:val="auto"/>
          <w:sz w:val="28"/>
          <w:szCs w:val="28"/>
          <w:highlight w:val="none"/>
          <w:lang w:val="en-US" w:eastAsia="zh-CN"/>
        </w:rPr>
        <w:t>，市级</w:t>
      </w:r>
      <w:r>
        <w:rPr>
          <w:rFonts w:hint="eastAsia" w:asciiTheme="minorEastAsia" w:hAnsiTheme="minorEastAsia" w:eastAsiaTheme="minorEastAsia" w:cstheme="minorEastAsia"/>
          <w:i w:val="0"/>
          <w:iCs w:val="0"/>
          <w:caps w:val="0"/>
          <w:color w:val="auto"/>
          <w:spacing w:val="0"/>
          <w:sz w:val="28"/>
          <w:szCs w:val="28"/>
          <w:highlight w:val="none"/>
          <w:shd w:val="clear" w:fill="FFFFFF"/>
        </w:rPr>
        <w:t>检测</w:t>
      </w:r>
      <w:r>
        <w:rPr>
          <w:rFonts w:hint="eastAsia" w:asciiTheme="minorEastAsia" w:hAnsiTheme="minorEastAsia" w:eastAsiaTheme="minorEastAsia" w:cstheme="minorEastAsia"/>
          <w:i w:val="0"/>
          <w:iCs w:val="0"/>
          <w:caps w:val="0"/>
          <w:color w:val="auto"/>
          <w:spacing w:val="0"/>
          <w:sz w:val="28"/>
          <w:szCs w:val="28"/>
          <w:highlight w:val="none"/>
          <w:shd w:val="clear" w:fill="FFFFFF"/>
          <w:lang w:val="en-US" w:eastAsia="zh-CN"/>
        </w:rPr>
        <w:t>中心购买了</w:t>
      </w:r>
      <w:r>
        <w:rPr>
          <w:rFonts w:hint="eastAsia" w:asciiTheme="minorEastAsia" w:hAnsiTheme="minorEastAsia" w:eastAsiaTheme="minorEastAsia" w:cstheme="minorEastAsia"/>
          <w:i w:val="0"/>
          <w:iCs w:val="0"/>
          <w:caps w:val="0"/>
          <w:color w:val="auto"/>
          <w:spacing w:val="0"/>
          <w:sz w:val="28"/>
          <w:szCs w:val="28"/>
          <w:highlight w:val="none"/>
          <w:shd w:val="clear" w:fill="FFFFFF"/>
        </w:rPr>
        <w:t>必要的</w:t>
      </w:r>
      <w:r>
        <w:rPr>
          <w:rFonts w:hint="eastAsia" w:asciiTheme="minorEastAsia" w:hAnsiTheme="minorEastAsia" w:eastAsiaTheme="minorEastAsia" w:cstheme="minorEastAsia"/>
          <w:i w:val="0"/>
          <w:iCs w:val="0"/>
          <w:caps w:val="0"/>
          <w:color w:val="auto"/>
          <w:spacing w:val="0"/>
          <w:sz w:val="28"/>
          <w:szCs w:val="28"/>
          <w:highlight w:val="none"/>
          <w:shd w:val="clear" w:fill="FFFFFF"/>
          <w:lang w:val="en-US" w:eastAsia="zh-CN"/>
        </w:rPr>
        <w:t>检测药品、试剂耗材</w:t>
      </w:r>
      <w:r>
        <w:rPr>
          <w:rFonts w:hint="eastAsia" w:asciiTheme="minorEastAsia" w:hAnsiTheme="minorEastAsia" w:eastAsiaTheme="minorEastAsia" w:cstheme="minorEastAsia"/>
          <w:i w:val="0"/>
          <w:iCs w:val="0"/>
          <w:caps w:val="0"/>
          <w:color w:val="auto"/>
          <w:spacing w:val="0"/>
          <w:sz w:val="28"/>
          <w:szCs w:val="28"/>
          <w:highlight w:val="none"/>
          <w:shd w:val="clear" w:fill="FFFFFF"/>
        </w:rPr>
        <w:t>，</w:t>
      </w:r>
      <w:r>
        <w:rPr>
          <w:rFonts w:hint="eastAsia" w:asciiTheme="minorEastAsia" w:hAnsiTheme="minorEastAsia" w:eastAsiaTheme="minorEastAsia" w:cstheme="minorEastAsia"/>
          <w:i w:val="0"/>
          <w:iCs w:val="0"/>
          <w:caps w:val="0"/>
          <w:color w:val="auto"/>
          <w:spacing w:val="0"/>
          <w:sz w:val="28"/>
          <w:szCs w:val="28"/>
          <w:highlight w:val="none"/>
          <w:shd w:val="clear" w:fill="FFFFFF"/>
          <w:lang w:val="en-US" w:eastAsia="zh-CN"/>
        </w:rPr>
        <w:t>乡镇监管站</w:t>
      </w:r>
      <w:r>
        <w:rPr>
          <w:rFonts w:hint="eastAsia" w:asciiTheme="minorEastAsia" w:hAnsiTheme="minorEastAsia" w:eastAsiaTheme="minorEastAsia" w:cstheme="minorEastAsia"/>
          <w:i w:val="0"/>
          <w:iCs w:val="0"/>
          <w:caps w:val="0"/>
          <w:color w:val="auto"/>
          <w:spacing w:val="0"/>
          <w:sz w:val="28"/>
          <w:szCs w:val="28"/>
          <w:highlight w:val="none"/>
          <w:shd w:val="clear" w:fill="FFFFFF"/>
        </w:rPr>
        <w:t>门牌使用统一</w:t>
      </w:r>
      <w:r>
        <w:rPr>
          <w:rFonts w:hint="eastAsia" w:asciiTheme="minorEastAsia" w:hAnsiTheme="minorEastAsia" w:eastAsiaTheme="minorEastAsia" w:cstheme="minorEastAsia"/>
          <w:i w:val="0"/>
          <w:iCs w:val="0"/>
          <w:caps w:val="0"/>
          <w:color w:val="auto"/>
          <w:spacing w:val="0"/>
          <w:sz w:val="28"/>
          <w:szCs w:val="28"/>
          <w:highlight w:val="none"/>
          <w:shd w:val="clear" w:fill="FFFFFF"/>
          <w:lang w:eastAsia="zh-CN"/>
        </w:rPr>
        <w:t>，</w:t>
      </w:r>
      <w:r>
        <w:rPr>
          <w:rFonts w:hint="eastAsia" w:asciiTheme="minorEastAsia" w:hAnsiTheme="minorEastAsia" w:eastAsiaTheme="minorEastAsia" w:cstheme="minorEastAsia"/>
          <w:i w:val="0"/>
          <w:iCs w:val="0"/>
          <w:caps w:val="0"/>
          <w:color w:val="auto"/>
          <w:spacing w:val="0"/>
          <w:sz w:val="28"/>
          <w:szCs w:val="28"/>
          <w:highlight w:val="none"/>
          <w:shd w:val="clear" w:fill="FFFFFF"/>
          <w:lang w:val="en-US" w:eastAsia="zh-CN"/>
        </w:rPr>
        <w:t>购买了速测试剂，工作</w:t>
      </w:r>
      <w:r>
        <w:rPr>
          <w:rFonts w:hint="eastAsia" w:asciiTheme="minorEastAsia" w:hAnsiTheme="minorEastAsia" w:eastAsiaTheme="minorEastAsia" w:cstheme="minorEastAsia"/>
          <w:i w:val="0"/>
          <w:iCs w:val="0"/>
          <w:caps w:val="0"/>
          <w:color w:val="auto"/>
          <w:spacing w:val="0"/>
          <w:sz w:val="28"/>
          <w:szCs w:val="28"/>
          <w:highlight w:val="none"/>
          <w:shd w:val="clear" w:fill="FFFFFF"/>
        </w:rPr>
        <w:t>条件得到了明显改善，</w:t>
      </w:r>
      <w:r>
        <w:rPr>
          <w:rFonts w:hint="eastAsia" w:asciiTheme="minorEastAsia" w:hAnsiTheme="minorEastAsia" w:eastAsiaTheme="minorEastAsia" w:cstheme="minorEastAsia"/>
          <w:color w:val="auto"/>
          <w:sz w:val="28"/>
          <w:szCs w:val="28"/>
          <w:highlight w:val="none"/>
          <w:lang w:val="en-US" w:eastAsia="zh-CN"/>
        </w:rPr>
        <w:t>提升了辖区农产品质量安全监管水平和农产品质量安全信用水平，有力推动了农产品质量安全工作全面进步，</w:t>
      </w:r>
      <w:r>
        <w:rPr>
          <w:rFonts w:hint="eastAsia" w:asciiTheme="minorEastAsia" w:hAnsiTheme="minorEastAsia" w:eastAsiaTheme="minorEastAsia" w:cstheme="minorEastAsia"/>
          <w:color w:val="auto"/>
          <w:sz w:val="28"/>
          <w:szCs w:val="28"/>
          <w:highlight w:val="none"/>
        </w:rPr>
        <w:t>达到了预期目标。</w:t>
      </w:r>
      <w:r>
        <w:rPr>
          <w:rFonts w:hint="eastAsia" w:asciiTheme="minorEastAsia" w:hAnsiTheme="minorEastAsia" w:eastAsiaTheme="minorEastAsia" w:cstheme="minorEastAsia"/>
          <w:color w:val="auto"/>
          <w:kern w:val="2"/>
          <w:sz w:val="28"/>
          <w:szCs w:val="28"/>
          <w:highlight w:val="none"/>
          <w:shd w:val="clear" w:color="auto" w:fill="auto"/>
          <w:lang w:val="en-US" w:eastAsia="zh-CN" w:bidi="ar-SA"/>
        </w:rPr>
        <w:t>。</w:t>
      </w:r>
    </w:p>
    <w:p w14:paraId="4AA1BBA7">
      <w:pPr>
        <w:pStyle w:val="4"/>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b w:val="0"/>
          <w:bCs w:val="0"/>
          <w:color w:val="auto"/>
          <w:sz w:val="28"/>
          <w:szCs w:val="28"/>
          <w:highlight w:val="none"/>
          <w:shd w:val="clear" w:color="auto" w:fill="auto"/>
          <w:lang w:val="en-US" w:eastAsia="zh-CN"/>
        </w:rPr>
      </w:pPr>
      <w:bookmarkStart w:id="7" w:name="_Toc1858"/>
      <w:r>
        <w:rPr>
          <w:rFonts w:hint="eastAsia" w:asciiTheme="minorEastAsia" w:hAnsiTheme="minorEastAsia" w:eastAsiaTheme="minorEastAsia" w:cstheme="minorEastAsia"/>
          <w:b w:val="0"/>
          <w:bCs w:val="0"/>
          <w:color w:val="auto"/>
          <w:sz w:val="28"/>
          <w:szCs w:val="28"/>
          <w:highlight w:val="none"/>
          <w:shd w:val="clear" w:color="auto" w:fill="auto"/>
          <w:lang w:val="en-US" w:eastAsia="zh-CN"/>
        </w:rPr>
        <w:t>3.资金投入和使用情况</w:t>
      </w:r>
      <w:bookmarkEnd w:id="7"/>
    </w:p>
    <w:p w14:paraId="32F0045F">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rPr>
      </w:pP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rPr>
        <w:t>项目资金安排落实、总投入等情况分析</w:t>
      </w:r>
    </w:p>
    <w:p w14:paraId="3A049330">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kern w:val="2"/>
          <w:sz w:val="28"/>
          <w:szCs w:val="28"/>
          <w:highlight w:val="none"/>
          <w:shd w:val="clear" w:color="auto" w:fill="auto"/>
          <w:lang w:val="en-US" w:eastAsia="zh-CN" w:bidi="ar-SA"/>
        </w:rPr>
      </w:pPr>
      <w:r>
        <w:rPr>
          <w:rFonts w:hint="eastAsia" w:asciiTheme="minorEastAsia" w:hAnsiTheme="minorEastAsia" w:eastAsiaTheme="minorEastAsia" w:cstheme="minorEastAsia"/>
          <w:color w:val="auto"/>
          <w:kern w:val="2"/>
          <w:sz w:val="28"/>
          <w:szCs w:val="28"/>
          <w:highlight w:val="none"/>
          <w:shd w:val="clear" w:color="auto" w:fill="auto"/>
          <w:lang w:val="en-US" w:eastAsia="zh-CN" w:bidi="ar-SA"/>
        </w:rPr>
        <w:t>2022年</w:t>
      </w:r>
      <w:r>
        <w:rPr>
          <w:rFonts w:hint="eastAsia" w:asciiTheme="minorEastAsia" w:hAnsiTheme="minorEastAsia" w:eastAsiaTheme="minorEastAsia" w:cstheme="minorEastAsia"/>
          <w:color w:val="auto"/>
          <w:sz w:val="28"/>
          <w:szCs w:val="28"/>
          <w:highlight w:val="none"/>
          <w:lang w:eastAsia="zh-CN"/>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w:t>
      </w:r>
      <w:r>
        <w:rPr>
          <w:rFonts w:hint="eastAsia" w:asciiTheme="minorEastAsia" w:hAnsiTheme="minorEastAsia" w:eastAsiaTheme="minorEastAsia" w:cstheme="minorEastAsia"/>
          <w:color w:val="auto"/>
          <w:kern w:val="2"/>
          <w:sz w:val="28"/>
          <w:szCs w:val="28"/>
          <w:highlight w:val="none"/>
          <w:shd w:val="clear" w:color="auto" w:fill="auto"/>
          <w:lang w:val="en-US" w:eastAsia="zh-CN" w:bidi="ar-SA"/>
        </w:rPr>
        <w:t>预算安排总额为8万元，其中财政资金8万元，其他资金0万元，2023年实际收到预算资金8万元，预算资金到位率为100%。</w:t>
      </w:r>
    </w:p>
    <w:p w14:paraId="074072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44" w:firstLineChars="200"/>
        <w:textAlignment w:val="auto"/>
        <w:rPr>
          <w:rFonts w:hint="eastAsia" w:asciiTheme="minorEastAsia" w:hAnsiTheme="minorEastAsia" w:eastAsiaTheme="minorEastAsia" w:cstheme="minorEastAsia"/>
          <w:bCs/>
          <w:color w:val="auto"/>
          <w:spacing w:val="-4"/>
          <w:sz w:val="28"/>
          <w:szCs w:val="28"/>
          <w:highlight w:val="none"/>
          <w:shd w:val="clear" w:color="auto" w:fill="auto"/>
        </w:rPr>
      </w:pPr>
      <w:r>
        <w:rPr>
          <w:rFonts w:hint="eastAsia" w:asciiTheme="minorEastAsia" w:hAnsiTheme="minorEastAsia" w:eastAsiaTheme="minorEastAsia" w:cstheme="minorEastAsia"/>
          <w:bCs/>
          <w:color w:val="auto"/>
          <w:spacing w:val="-4"/>
          <w:sz w:val="28"/>
          <w:szCs w:val="28"/>
          <w:highlight w:val="none"/>
          <w:shd w:val="clear" w:color="auto" w:fill="auto"/>
          <w:lang w:eastAsia="zh-CN"/>
        </w:rPr>
        <w:t>（</w:t>
      </w:r>
      <w:r>
        <w:rPr>
          <w:rFonts w:hint="eastAsia" w:asciiTheme="minorEastAsia" w:hAnsiTheme="minorEastAsia" w:eastAsiaTheme="minorEastAsia" w:cstheme="minorEastAsia"/>
          <w:bCs/>
          <w:color w:val="auto"/>
          <w:spacing w:val="-4"/>
          <w:sz w:val="28"/>
          <w:szCs w:val="28"/>
          <w:highlight w:val="none"/>
          <w:shd w:val="clear" w:color="auto" w:fill="auto"/>
          <w:lang w:val="en-US" w:eastAsia="zh-CN"/>
        </w:rPr>
        <w:t>2</w:t>
      </w:r>
      <w:r>
        <w:rPr>
          <w:rFonts w:hint="eastAsia" w:asciiTheme="minorEastAsia" w:hAnsiTheme="minorEastAsia" w:eastAsiaTheme="minorEastAsia" w:cstheme="minorEastAsia"/>
          <w:bCs/>
          <w:color w:val="auto"/>
          <w:spacing w:val="-4"/>
          <w:sz w:val="28"/>
          <w:szCs w:val="28"/>
          <w:highlight w:val="none"/>
          <w:shd w:val="clear" w:color="auto" w:fill="auto"/>
          <w:lang w:eastAsia="zh-CN"/>
        </w:rPr>
        <w:t>）</w:t>
      </w:r>
      <w:r>
        <w:rPr>
          <w:rFonts w:hint="eastAsia" w:asciiTheme="minorEastAsia" w:hAnsiTheme="minorEastAsia" w:eastAsiaTheme="minorEastAsia" w:cstheme="minorEastAsia"/>
          <w:bCs/>
          <w:color w:val="auto"/>
          <w:spacing w:val="-4"/>
          <w:sz w:val="28"/>
          <w:szCs w:val="28"/>
          <w:highlight w:val="none"/>
          <w:shd w:val="clear" w:color="auto" w:fill="auto"/>
        </w:rPr>
        <w:t>项目资金实际使用情况分析</w:t>
      </w:r>
    </w:p>
    <w:p w14:paraId="65D839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截至2023年12月31日，</w:t>
      </w:r>
      <w:r>
        <w:rPr>
          <w:rFonts w:hint="eastAsia" w:asciiTheme="minorEastAsia" w:hAnsiTheme="minorEastAsia" w:eastAsiaTheme="minorEastAsia" w:cstheme="minorEastAsia"/>
          <w:color w:val="auto"/>
          <w:sz w:val="28"/>
          <w:szCs w:val="28"/>
          <w:highlight w:val="none"/>
          <w:lang w:eastAsia="zh-CN"/>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w:t>
      </w:r>
      <w:r>
        <w:rPr>
          <w:rFonts w:hint="eastAsia" w:asciiTheme="minorEastAsia" w:hAnsiTheme="minorEastAsia" w:eastAsiaTheme="minorEastAsia" w:cstheme="minorEastAsia"/>
          <w:color w:val="auto"/>
          <w:sz w:val="28"/>
          <w:szCs w:val="28"/>
          <w:highlight w:val="none"/>
          <w:shd w:val="clear" w:color="auto" w:fill="auto"/>
          <w:lang w:val="en-US" w:eastAsia="zh-CN"/>
        </w:rPr>
        <w:t>实际支付资金7.86万元，预算执行率98.25%。</w:t>
      </w:r>
      <w:bookmarkStart w:id="8" w:name="_Toc2879"/>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0.14</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所需耗材、气体的购买；检测仪器检定；检测样品的购买等方面。</w:t>
      </w:r>
    </w:p>
    <w:p w14:paraId="3438DB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b/>
          <w:bCs/>
          <w:color w:val="auto"/>
          <w:sz w:val="32"/>
          <w:szCs w:val="32"/>
          <w:highlight w:val="none"/>
          <w:shd w:val="clear" w:color="auto" w:fill="auto"/>
        </w:rPr>
      </w:pPr>
      <w:r>
        <w:rPr>
          <w:rFonts w:hint="eastAsia" w:asciiTheme="majorEastAsia" w:hAnsiTheme="majorEastAsia" w:eastAsiaTheme="majorEastAsia" w:cstheme="majorEastAsia"/>
          <w:b/>
          <w:bCs/>
          <w:color w:val="auto"/>
          <w:sz w:val="32"/>
          <w:szCs w:val="32"/>
          <w:highlight w:val="none"/>
          <w:shd w:val="clear" w:color="auto" w:fill="auto"/>
          <w:lang w:eastAsia="zh-CN"/>
        </w:rPr>
        <w:t>（</w:t>
      </w:r>
      <w:r>
        <w:rPr>
          <w:rFonts w:hint="eastAsia" w:asciiTheme="majorEastAsia" w:hAnsiTheme="majorEastAsia" w:eastAsiaTheme="majorEastAsia" w:cstheme="majorEastAsia"/>
          <w:b/>
          <w:bCs/>
          <w:color w:val="auto"/>
          <w:sz w:val="32"/>
          <w:szCs w:val="32"/>
          <w:highlight w:val="none"/>
          <w:shd w:val="clear" w:color="auto" w:fill="auto"/>
          <w:lang w:val="en-US" w:eastAsia="zh-CN"/>
        </w:rPr>
        <w:t>二</w:t>
      </w:r>
      <w:r>
        <w:rPr>
          <w:rFonts w:hint="eastAsia" w:asciiTheme="majorEastAsia" w:hAnsiTheme="majorEastAsia" w:eastAsiaTheme="majorEastAsia" w:cstheme="majorEastAsia"/>
          <w:b/>
          <w:bCs/>
          <w:color w:val="auto"/>
          <w:sz w:val="32"/>
          <w:szCs w:val="32"/>
          <w:highlight w:val="none"/>
          <w:shd w:val="clear" w:color="auto" w:fill="auto"/>
          <w:lang w:eastAsia="zh-CN"/>
        </w:rPr>
        <w:t>）</w:t>
      </w:r>
      <w:r>
        <w:rPr>
          <w:rFonts w:hint="eastAsia" w:asciiTheme="majorEastAsia" w:hAnsiTheme="majorEastAsia" w:eastAsiaTheme="majorEastAsia" w:cstheme="majorEastAsia"/>
          <w:b/>
          <w:bCs/>
          <w:color w:val="auto"/>
          <w:sz w:val="32"/>
          <w:szCs w:val="32"/>
          <w:highlight w:val="none"/>
          <w:shd w:val="clear" w:color="auto" w:fill="auto"/>
        </w:rPr>
        <w:t>项目绩效目标</w:t>
      </w:r>
      <w:bookmarkEnd w:id="8"/>
      <w:bookmarkStart w:id="9" w:name="_Toc10047"/>
    </w:p>
    <w:p w14:paraId="7B5BB1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b/>
          <w:bCs/>
          <w:color w:val="auto"/>
          <w:sz w:val="28"/>
          <w:szCs w:val="28"/>
          <w:highlight w:val="none"/>
          <w:shd w:val="clear" w:color="auto" w:fill="auto"/>
          <w:lang w:val="en-US" w:eastAsia="zh-CN"/>
        </w:rPr>
      </w:pPr>
      <w:r>
        <w:rPr>
          <w:rFonts w:hint="eastAsia" w:asciiTheme="minorEastAsia" w:hAnsiTheme="minorEastAsia" w:eastAsiaTheme="minorEastAsia" w:cstheme="minorEastAsia"/>
          <w:b/>
          <w:bCs/>
          <w:color w:val="auto"/>
          <w:sz w:val="28"/>
          <w:szCs w:val="28"/>
          <w:highlight w:val="none"/>
          <w:shd w:val="clear" w:color="auto" w:fill="auto"/>
          <w:lang w:val="en-US" w:eastAsia="zh-CN"/>
        </w:rPr>
        <w:t>1.总体目标</w:t>
      </w:r>
      <w:bookmarkEnd w:id="9"/>
      <w:bookmarkStart w:id="10" w:name="_Toc4487"/>
    </w:p>
    <w:p w14:paraId="3EC236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阜康市农业技术推广中心负责农产品农产品质量安全检验检测职能，购买所需耗材、气体的购买；检测仪器检定；检测样品的购买，提升生产主体农产品质量安全意识，完成农产品质量安全检验检测任务数量不少于9484个，设备验收合格率100%，设备采购按时完成率100%，生产主体农产品质量安全意识有所增强。</w:t>
      </w:r>
    </w:p>
    <w:p w14:paraId="36078B17">
      <w:pPr>
        <w:pStyle w:val="4"/>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2.阶段性目标</w:t>
      </w:r>
      <w:bookmarkEnd w:id="10"/>
    </w:p>
    <w:p w14:paraId="6C3B0CA2">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bCs/>
          <w:color w:val="auto"/>
          <w:sz w:val="28"/>
          <w:szCs w:val="28"/>
          <w:highlight w:val="none"/>
          <w:shd w:val="clear" w:color="auto" w:fill="auto"/>
          <w:lang w:eastAsia="zh-CN"/>
        </w:rPr>
      </w:pPr>
      <w:r>
        <w:rPr>
          <w:rFonts w:hint="eastAsia" w:asciiTheme="minorEastAsia" w:hAnsiTheme="minorEastAsia" w:eastAsiaTheme="minorEastAsia" w:cstheme="minorEastAsia"/>
          <w:bCs/>
          <w:color w:val="auto"/>
          <w:sz w:val="28"/>
          <w:szCs w:val="28"/>
          <w:highlight w:val="none"/>
          <w:shd w:val="clear" w:color="auto" w:fill="auto"/>
          <w:lang w:eastAsia="zh-CN"/>
        </w:rPr>
        <w:t>根据《预算法》《财政支出绩效评价管理暂行办法》（财预〔20</w:t>
      </w:r>
      <w:r>
        <w:rPr>
          <w:rFonts w:hint="eastAsia" w:asciiTheme="minorEastAsia" w:hAnsiTheme="minorEastAsia" w:eastAsiaTheme="minorEastAsia" w:cstheme="minorEastAsia"/>
          <w:bCs/>
          <w:color w:val="auto"/>
          <w:sz w:val="28"/>
          <w:szCs w:val="28"/>
          <w:highlight w:val="none"/>
          <w:shd w:val="clear" w:color="auto" w:fill="auto"/>
          <w:lang w:val="en-US" w:eastAsia="zh-CN"/>
        </w:rPr>
        <w:t>20</w:t>
      </w:r>
      <w:r>
        <w:rPr>
          <w:rFonts w:hint="eastAsia" w:asciiTheme="minorEastAsia" w:hAnsiTheme="minorEastAsia" w:eastAsiaTheme="minorEastAsia" w:cstheme="minorEastAsia"/>
          <w:bCs/>
          <w:color w:val="auto"/>
          <w:sz w:val="28"/>
          <w:szCs w:val="28"/>
          <w:highlight w:val="none"/>
          <w:shd w:val="clear" w:color="auto" w:fill="auto"/>
          <w:lang w:eastAsia="zh-CN"/>
        </w:rPr>
        <w:t>〕</w:t>
      </w:r>
      <w:r>
        <w:rPr>
          <w:rFonts w:hint="eastAsia" w:asciiTheme="minorEastAsia" w:hAnsiTheme="minorEastAsia" w:eastAsiaTheme="minorEastAsia" w:cstheme="minorEastAsia"/>
          <w:bCs/>
          <w:color w:val="auto"/>
          <w:sz w:val="28"/>
          <w:szCs w:val="28"/>
          <w:highlight w:val="none"/>
          <w:shd w:val="clear" w:color="auto" w:fill="auto"/>
          <w:lang w:val="en-US" w:eastAsia="zh-CN"/>
        </w:rPr>
        <w:t>10</w:t>
      </w:r>
      <w:r>
        <w:rPr>
          <w:rFonts w:hint="eastAsia" w:asciiTheme="minorEastAsia" w:hAnsiTheme="minorEastAsia" w:eastAsiaTheme="minorEastAsia" w:cstheme="minorEastAsia"/>
          <w:bCs/>
          <w:color w:val="auto"/>
          <w:sz w:val="28"/>
          <w:szCs w:val="28"/>
          <w:highlight w:val="none"/>
          <w:shd w:val="clear" w:color="auto" w:fill="auto"/>
          <w:lang w:eastAsia="zh-CN"/>
        </w:rPr>
        <w:t>号）、《自治区党委自治区人民政府关于全面实施预算绩效管理的实施意见》（新党发〔2018〕30号）、</w:t>
      </w:r>
      <w:r>
        <w:rPr>
          <w:rFonts w:hint="eastAsia" w:asciiTheme="minorEastAsia" w:hAnsiTheme="minorEastAsia" w:eastAsiaTheme="minorEastAsia" w:cstheme="minorEastAsia"/>
          <w:color w:val="auto"/>
          <w:sz w:val="28"/>
          <w:szCs w:val="28"/>
          <w:highlight w:val="none"/>
          <w:shd w:val="clear" w:color="auto" w:fill="auto"/>
        </w:rPr>
        <w:t>《自治区财政支出绩效评价管理暂行办法》</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rPr>
        <w:t>新财预〔2018〕189号</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等文件</w:t>
      </w:r>
      <w:r>
        <w:rPr>
          <w:rFonts w:hint="eastAsia" w:asciiTheme="minorEastAsia" w:hAnsiTheme="minorEastAsia" w:eastAsiaTheme="minorEastAsia" w:cstheme="minorEastAsia"/>
          <w:bCs/>
          <w:color w:val="auto"/>
          <w:sz w:val="28"/>
          <w:szCs w:val="28"/>
          <w:highlight w:val="none"/>
          <w:shd w:val="clear" w:color="auto" w:fill="auto"/>
          <w:lang w:eastAsia="zh-CN"/>
        </w:rPr>
        <w:t>的规定，结合项目实施单位的规章制度以及财务相关资料，评价小组对项目绩效目标进行了进一步的完善，完善</w:t>
      </w:r>
      <w:r>
        <w:rPr>
          <w:rFonts w:hint="eastAsia" w:asciiTheme="minorEastAsia" w:hAnsiTheme="minorEastAsia" w:eastAsiaTheme="minorEastAsia" w:cstheme="minorEastAsia"/>
          <w:bCs/>
          <w:color w:val="auto"/>
          <w:sz w:val="28"/>
          <w:szCs w:val="28"/>
          <w:highlight w:val="none"/>
          <w:shd w:val="clear" w:color="auto" w:fill="auto"/>
          <w:lang w:val="en-US" w:eastAsia="zh-CN"/>
        </w:rPr>
        <w:t>后</w:t>
      </w:r>
      <w:r>
        <w:rPr>
          <w:rFonts w:hint="eastAsia" w:asciiTheme="minorEastAsia" w:hAnsiTheme="minorEastAsia" w:eastAsiaTheme="minorEastAsia" w:cstheme="minorEastAsia"/>
          <w:bCs/>
          <w:color w:val="auto"/>
          <w:sz w:val="28"/>
          <w:szCs w:val="28"/>
          <w:highlight w:val="none"/>
          <w:shd w:val="clear" w:color="auto" w:fill="auto"/>
          <w:lang w:eastAsia="zh-CN"/>
        </w:rPr>
        <w:t>绩效目标如下：</w:t>
      </w:r>
    </w:p>
    <w:p w14:paraId="27842F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rPr>
        <w:t>项目产出</w:t>
      </w:r>
      <w:r>
        <w:rPr>
          <w:rFonts w:hint="eastAsia" w:asciiTheme="minorEastAsia" w:hAnsiTheme="minorEastAsia" w:eastAsiaTheme="minorEastAsia" w:cstheme="minorEastAsia"/>
          <w:color w:val="auto"/>
          <w:sz w:val="28"/>
          <w:szCs w:val="28"/>
          <w:highlight w:val="none"/>
          <w:shd w:val="clear" w:color="auto" w:fill="auto"/>
          <w:lang w:val="en-US" w:eastAsia="zh-CN"/>
        </w:rPr>
        <w:t>目标</w:t>
      </w:r>
    </w:p>
    <w:p w14:paraId="1C4F0DCC">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①数量指标</w:t>
      </w:r>
    </w:p>
    <w:p w14:paraId="1A2AE9F6">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“完成农产品质量安全检验检测任务数量”指标，预期目标值为≥9484个；</w:t>
      </w:r>
    </w:p>
    <w:p w14:paraId="6B422FDA">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②质量指标</w:t>
      </w:r>
    </w:p>
    <w:p w14:paraId="4E426264">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“耗材、气体质量合格率”指标，预期目标值为=100%；</w:t>
      </w:r>
    </w:p>
    <w:p w14:paraId="7A5347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（2）成本指标</w:t>
      </w:r>
    </w:p>
    <w:p w14:paraId="682F1583">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①时效指标</w:t>
      </w:r>
    </w:p>
    <w:p w14:paraId="6C544D8F">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“耗材、气体采购按时完成率”指标，预期目标值为=100%；</w:t>
      </w:r>
    </w:p>
    <w:p w14:paraId="7FBEE0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②经济成本</w:t>
      </w:r>
    </w:p>
    <w:p w14:paraId="20D1AF1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“购买检测耗材费”指标，预期目标值为≤7.21万元；</w:t>
      </w:r>
    </w:p>
    <w:p w14:paraId="69D06F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“检测样品抽样费”指标，预期目标值为≤0.14万元；</w:t>
      </w:r>
    </w:p>
    <w:p w14:paraId="3DE4EE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“仪器检定费”指标，预期目标值为≤0.13万元；</w:t>
      </w:r>
    </w:p>
    <w:p w14:paraId="266E68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“购买检测用气体费”指标，预期目标值为≤0.52万元；</w:t>
      </w:r>
    </w:p>
    <w:p w14:paraId="2DE6009A">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③社会成本</w:t>
      </w:r>
    </w:p>
    <w:p w14:paraId="0D8B22F6">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“本项目不涉及社会成本指标”；</w:t>
      </w:r>
    </w:p>
    <w:p w14:paraId="19D33EAA">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④生态环境成本</w:t>
      </w:r>
    </w:p>
    <w:p w14:paraId="47E41000">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“本项目不涉及生态环境成本指标”。</w:t>
      </w:r>
    </w:p>
    <w:p w14:paraId="78F06BCC">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rPr>
        <w:t>（</w:t>
      </w:r>
      <w:r>
        <w:rPr>
          <w:rFonts w:hint="eastAsia" w:asciiTheme="minorEastAsia" w:hAnsiTheme="minorEastAsia" w:eastAsiaTheme="minorEastAsia" w:cstheme="minorEastAsia"/>
          <w:color w:val="auto"/>
          <w:sz w:val="28"/>
          <w:szCs w:val="28"/>
          <w:highlight w:val="none"/>
          <w:shd w:val="clear" w:color="auto" w:fill="auto"/>
          <w:lang w:val="en-US" w:eastAsia="zh-CN"/>
        </w:rPr>
        <w:t>3</w:t>
      </w:r>
      <w:r>
        <w:rPr>
          <w:rFonts w:hint="eastAsia" w:asciiTheme="minorEastAsia" w:hAnsiTheme="minorEastAsia" w:eastAsiaTheme="minorEastAsia" w:cstheme="minorEastAsia"/>
          <w:color w:val="auto"/>
          <w:sz w:val="28"/>
          <w:szCs w:val="28"/>
          <w:highlight w:val="none"/>
          <w:shd w:val="clear" w:color="auto" w:fill="auto"/>
        </w:rPr>
        <w:t>）项目效益</w:t>
      </w:r>
      <w:r>
        <w:rPr>
          <w:rFonts w:hint="eastAsia" w:asciiTheme="minorEastAsia" w:hAnsiTheme="minorEastAsia" w:eastAsiaTheme="minorEastAsia" w:cstheme="minorEastAsia"/>
          <w:color w:val="auto"/>
          <w:sz w:val="28"/>
          <w:szCs w:val="28"/>
          <w:highlight w:val="none"/>
          <w:shd w:val="clear" w:color="auto" w:fill="auto"/>
          <w:lang w:val="en-US" w:eastAsia="zh-CN"/>
        </w:rPr>
        <w:t>目标</w:t>
      </w:r>
    </w:p>
    <w:p w14:paraId="06F614F8">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①经济效益指标</w:t>
      </w:r>
    </w:p>
    <w:p w14:paraId="255E8D1F">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“生产主体农产品质量安全意识有所增强”。</w:t>
      </w:r>
    </w:p>
    <w:p w14:paraId="2229477A">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②社会效益指标</w:t>
      </w:r>
    </w:p>
    <w:p w14:paraId="4BCBC85D">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本项目不涉及经济效益指标；</w:t>
      </w:r>
    </w:p>
    <w:p w14:paraId="4AF2541F">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③生态效益指标</w:t>
      </w:r>
    </w:p>
    <w:p w14:paraId="4DB4B81A">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本项目不涉及经济效益指标；</w:t>
      </w:r>
    </w:p>
    <w:p w14:paraId="60505700">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④可持续影响</w:t>
      </w:r>
    </w:p>
    <w:p w14:paraId="764B303C">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本项目不涉及可持续影响指标；</w:t>
      </w:r>
    </w:p>
    <w:p w14:paraId="66955CE0">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⑤满意度指标</w:t>
      </w:r>
    </w:p>
    <w:p w14:paraId="17B7FDFF">
      <w:pPr>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11" w:name="_Toc2549"/>
      <w:r>
        <w:rPr>
          <w:rFonts w:hint="eastAsia" w:asciiTheme="minorEastAsia" w:hAnsiTheme="minorEastAsia" w:eastAsiaTheme="minorEastAsia" w:cstheme="minorEastAsia"/>
          <w:color w:val="auto"/>
          <w:sz w:val="28"/>
          <w:szCs w:val="28"/>
          <w:highlight w:val="none"/>
          <w:shd w:val="clear" w:color="auto" w:fill="auto"/>
          <w:lang w:val="en-US" w:eastAsia="zh-CN"/>
        </w:rPr>
        <w:t>本项目不涉及满意度指标；</w:t>
      </w:r>
    </w:p>
    <w:p w14:paraId="260F918E">
      <w:pPr>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heme="majorEastAsia" w:hAnsiTheme="majorEastAsia" w:eastAsiaTheme="majorEastAsia" w:cstheme="majorEastAsia"/>
          <w:b/>
          <w:bCs/>
          <w:color w:val="auto"/>
          <w:sz w:val="32"/>
          <w:szCs w:val="32"/>
          <w:highlight w:val="none"/>
          <w:shd w:val="clear" w:color="auto" w:fill="auto"/>
        </w:rPr>
      </w:pPr>
      <w:r>
        <w:rPr>
          <w:rFonts w:hint="eastAsia" w:asciiTheme="majorEastAsia" w:hAnsiTheme="majorEastAsia" w:eastAsiaTheme="majorEastAsia" w:cstheme="majorEastAsia"/>
          <w:b/>
          <w:bCs/>
          <w:color w:val="auto"/>
          <w:sz w:val="32"/>
          <w:szCs w:val="32"/>
          <w:highlight w:val="none"/>
          <w:shd w:val="clear" w:color="auto" w:fill="auto"/>
          <w:lang w:val="en-US" w:eastAsia="zh-CN"/>
        </w:rPr>
        <w:t>二、</w:t>
      </w:r>
      <w:r>
        <w:rPr>
          <w:rFonts w:hint="eastAsia" w:asciiTheme="majorEastAsia" w:hAnsiTheme="majorEastAsia" w:eastAsiaTheme="majorEastAsia" w:cstheme="majorEastAsia"/>
          <w:b/>
          <w:bCs/>
          <w:color w:val="auto"/>
          <w:sz w:val="32"/>
          <w:szCs w:val="32"/>
          <w:highlight w:val="none"/>
          <w:shd w:val="clear" w:color="auto" w:fill="auto"/>
        </w:rPr>
        <w:t>绩效评价工作开展情况</w:t>
      </w:r>
      <w:bookmarkEnd w:id="11"/>
      <w:bookmarkStart w:id="12" w:name="_Toc22922"/>
      <w:bookmarkStart w:id="13" w:name="_Toc5462343"/>
      <w:bookmarkStart w:id="14" w:name="_Toc21664"/>
      <w:bookmarkStart w:id="15" w:name="_Toc22169_WPSOffice_Level2"/>
      <w:bookmarkStart w:id="16" w:name="_Toc26632"/>
      <w:bookmarkStart w:id="17" w:name="_Toc480473081"/>
      <w:bookmarkStart w:id="18" w:name="_Toc12868"/>
      <w:bookmarkStart w:id="19" w:name="_Toc5258"/>
      <w:bookmarkStart w:id="20" w:name="_Toc21778"/>
    </w:p>
    <w:p w14:paraId="0E2F74A3">
      <w:pPr>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heme="majorEastAsia" w:hAnsiTheme="majorEastAsia" w:eastAsiaTheme="majorEastAsia" w:cstheme="majorEastAsia"/>
          <w:b/>
          <w:bCs w:val="0"/>
          <w:color w:val="auto"/>
          <w:sz w:val="32"/>
          <w:szCs w:val="32"/>
          <w:highlight w:val="none"/>
          <w:shd w:val="clear" w:color="auto" w:fill="auto"/>
          <w:lang w:eastAsia="zh-CN"/>
        </w:rPr>
      </w:pPr>
      <w:r>
        <w:rPr>
          <w:rFonts w:hint="eastAsia" w:asciiTheme="majorEastAsia" w:hAnsiTheme="majorEastAsia" w:eastAsiaTheme="majorEastAsia" w:cstheme="majorEastAsia"/>
          <w:b/>
          <w:bCs w:val="0"/>
          <w:color w:val="auto"/>
          <w:sz w:val="32"/>
          <w:szCs w:val="32"/>
          <w:highlight w:val="none"/>
          <w:shd w:val="clear" w:color="auto" w:fill="auto"/>
          <w:lang w:eastAsia="zh-CN"/>
        </w:rPr>
        <w:t>（</w:t>
      </w:r>
      <w:r>
        <w:rPr>
          <w:rFonts w:hint="eastAsia" w:asciiTheme="majorEastAsia" w:hAnsiTheme="majorEastAsia" w:eastAsiaTheme="majorEastAsia" w:cstheme="majorEastAsia"/>
          <w:b/>
          <w:bCs w:val="0"/>
          <w:color w:val="auto"/>
          <w:sz w:val="32"/>
          <w:szCs w:val="32"/>
          <w:highlight w:val="none"/>
          <w:shd w:val="clear" w:color="auto" w:fill="auto"/>
          <w:lang w:val="en-US" w:eastAsia="zh-CN"/>
        </w:rPr>
        <w:t>一</w:t>
      </w:r>
      <w:r>
        <w:rPr>
          <w:rFonts w:hint="eastAsia" w:asciiTheme="majorEastAsia" w:hAnsiTheme="majorEastAsia" w:eastAsiaTheme="majorEastAsia" w:cstheme="majorEastAsia"/>
          <w:b/>
          <w:bCs w:val="0"/>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Theme="majorEastAsia" w:hAnsiTheme="majorEastAsia" w:eastAsiaTheme="majorEastAsia" w:cstheme="majorEastAsia"/>
          <w:b/>
          <w:bCs w:val="0"/>
          <w:color w:val="auto"/>
          <w:sz w:val="32"/>
          <w:szCs w:val="32"/>
          <w:highlight w:val="none"/>
          <w:shd w:val="clear" w:color="auto" w:fill="auto"/>
          <w:lang w:eastAsia="zh-CN"/>
        </w:rPr>
        <w:t>、对象和范围</w:t>
      </w:r>
      <w:bookmarkEnd w:id="20"/>
      <w:bookmarkStart w:id="21" w:name="_Toc15732"/>
    </w:p>
    <w:p w14:paraId="3D23B7E4">
      <w:pPr>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Theme="majorEastAsia" w:hAnsiTheme="majorEastAsia" w:eastAsiaTheme="majorEastAsia" w:cstheme="majorEastAsia"/>
          <w:b/>
          <w:bCs/>
          <w:color w:val="auto"/>
          <w:sz w:val="28"/>
          <w:szCs w:val="28"/>
          <w:highlight w:val="none"/>
          <w:shd w:val="clear" w:color="auto" w:fill="auto"/>
          <w:lang w:eastAsia="zh-CN"/>
        </w:rPr>
      </w:pPr>
      <w:r>
        <w:rPr>
          <w:rFonts w:hint="eastAsia" w:asciiTheme="majorEastAsia" w:hAnsiTheme="majorEastAsia" w:eastAsiaTheme="majorEastAsia" w:cstheme="majorEastAsia"/>
          <w:b/>
          <w:bCs/>
          <w:color w:val="auto"/>
          <w:sz w:val="28"/>
          <w:szCs w:val="28"/>
          <w:highlight w:val="none"/>
          <w:shd w:val="clear" w:color="auto" w:fill="auto"/>
          <w:lang w:val="en-US" w:eastAsia="zh-CN"/>
        </w:rPr>
        <w:t>1.</w:t>
      </w:r>
      <w:r>
        <w:rPr>
          <w:rFonts w:hint="eastAsia" w:asciiTheme="majorEastAsia" w:hAnsiTheme="majorEastAsia" w:eastAsiaTheme="majorEastAsia" w:cstheme="majorEastAsia"/>
          <w:b/>
          <w:bCs/>
          <w:color w:val="auto"/>
          <w:sz w:val="28"/>
          <w:szCs w:val="28"/>
          <w:highlight w:val="none"/>
          <w:shd w:val="clear" w:color="auto" w:fill="auto"/>
          <w:lang w:eastAsia="zh-CN"/>
        </w:rPr>
        <w:t>绩效评价的目的</w:t>
      </w:r>
      <w:bookmarkEnd w:id="21"/>
    </w:p>
    <w:p w14:paraId="634CFE9C">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为全面了解</w:t>
      </w:r>
      <w:r>
        <w:rPr>
          <w:rFonts w:hint="eastAsia" w:asciiTheme="minorEastAsia" w:hAnsiTheme="minorEastAsia" w:eastAsiaTheme="minorEastAsia" w:cstheme="minorEastAsia"/>
          <w:color w:val="auto"/>
          <w:sz w:val="28"/>
          <w:szCs w:val="28"/>
          <w:highlight w:val="none"/>
          <w:shd w:val="clear" w:color="auto" w:fill="auto"/>
          <w:lang w:val="en-US" w:eastAsia="zh-CN"/>
        </w:rPr>
        <w:t>该</w:t>
      </w:r>
      <w:r>
        <w:rPr>
          <w:rFonts w:hint="eastAsia" w:asciiTheme="minorEastAsia" w:hAnsiTheme="minorEastAsia" w:eastAsiaTheme="minorEastAsia" w:cstheme="minorEastAsia"/>
          <w:color w:val="auto"/>
          <w:sz w:val="28"/>
          <w:szCs w:val="28"/>
          <w:highlight w:val="none"/>
          <w:shd w:val="clear" w:color="auto" w:fill="auto"/>
          <w:lang w:eastAsia="zh-CN"/>
        </w:rPr>
        <w:t>项目预算编制合理性、资金使用合规性、项目管理的规范性、</w:t>
      </w:r>
      <w:r>
        <w:rPr>
          <w:rFonts w:hint="eastAsia" w:asciiTheme="minorEastAsia" w:hAnsiTheme="minorEastAsia" w:eastAsiaTheme="minorEastAsia" w:cstheme="minorEastAsia"/>
          <w:color w:val="auto"/>
          <w:sz w:val="28"/>
          <w:szCs w:val="28"/>
          <w:highlight w:val="none"/>
          <w:shd w:val="clear" w:color="auto" w:fill="auto"/>
          <w:lang w:val="en-US" w:eastAsia="zh-CN"/>
        </w:rPr>
        <w:t>绩效</w:t>
      </w:r>
      <w:r>
        <w:rPr>
          <w:rFonts w:hint="eastAsia" w:asciiTheme="minorEastAsia" w:hAnsiTheme="minorEastAsia" w:eastAsiaTheme="minorEastAsia" w:cstheme="minorEastAsia"/>
          <w:color w:val="auto"/>
          <w:sz w:val="28"/>
          <w:szCs w:val="28"/>
          <w:highlight w:val="none"/>
          <w:shd w:val="clear" w:color="auto" w:fill="auto"/>
          <w:lang w:eastAsia="zh-CN"/>
        </w:rPr>
        <w:t>目标的实现情况、服务对象的满意度等，通过本次</w:t>
      </w:r>
      <w:r>
        <w:rPr>
          <w:rFonts w:hint="eastAsia" w:asciiTheme="minorEastAsia" w:hAnsiTheme="minorEastAsia" w:eastAsiaTheme="minorEastAsia" w:cstheme="minorEastAsia"/>
          <w:color w:val="auto"/>
          <w:sz w:val="28"/>
          <w:szCs w:val="28"/>
          <w:highlight w:val="none"/>
          <w:shd w:val="clear" w:color="auto" w:fill="auto"/>
          <w:lang w:val="en-US" w:eastAsia="zh-CN"/>
        </w:rPr>
        <w:t>部门</w:t>
      </w:r>
      <w:r>
        <w:rPr>
          <w:rFonts w:hint="eastAsia" w:asciiTheme="minorEastAsia" w:hAnsiTheme="minorEastAsia" w:eastAsiaTheme="minorEastAsia" w:cstheme="minorEastAsia"/>
          <w:color w:val="auto"/>
          <w:sz w:val="28"/>
          <w:szCs w:val="28"/>
          <w:highlight w:val="none"/>
          <w:shd w:val="clear" w:color="auto" w:fill="auto"/>
          <w:lang w:eastAsia="zh-CN"/>
        </w:rPr>
        <w:t>绩效评价来总结经验和教训，促进项目成果转化和应用，为今后类似项目的长效管理，提供可行性参考建议。</w:t>
      </w:r>
    </w:p>
    <w:p w14:paraId="69DA39EE">
      <w:pPr>
        <w:pStyle w:val="4"/>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Theme="majorEastAsia" w:hAnsiTheme="majorEastAsia" w:eastAsiaTheme="majorEastAsia" w:cstheme="majorEastAsia"/>
          <w:color w:val="auto"/>
          <w:sz w:val="28"/>
          <w:szCs w:val="28"/>
          <w:highlight w:val="none"/>
          <w:shd w:val="clear" w:color="auto" w:fill="auto"/>
          <w:lang w:val="en-US" w:eastAsia="zh-CN"/>
        </w:rPr>
      </w:pPr>
      <w:bookmarkStart w:id="22" w:name="_Toc30609"/>
      <w:r>
        <w:rPr>
          <w:rFonts w:hint="eastAsia" w:asciiTheme="majorEastAsia" w:hAnsiTheme="majorEastAsia" w:eastAsiaTheme="majorEastAsia" w:cstheme="majorEastAsia"/>
          <w:color w:val="auto"/>
          <w:sz w:val="28"/>
          <w:szCs w:val="28"/>
          <w:highlight w:val="none"/>
          <w:shd w:val="clear" w:color="auto" w:fill="auto"/>
          <w:lang w:val="en-US" w:eastAsia="zh-CN"/>
        </w:rPr>
        <w:t>2.绩效评价的对象和范围</w:t>
      </w:r>
      <w:bookmarkEnd w:id="22"/>
    </w:p>
    <w:p w14:paraId="27120598">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此次我单位根据</w:t>
      </w:r>
      <w:r>
        <w:rPr>
          <w:rFonts w:hint="eastAsia" w:asciiTheme="minorEastAsia" w:hAnsiTheme="minorEastAsia" w:eastAsiaTheme="minorEastAsia" w:cstheme="minorEastAsia"/>
          <w:color w:val="auto"/>
          <w:sz w:val="28"/>
          <w:szCs w:val="28"/>
          <w:highlight w:val="none"/>
          <w:shd w:val="clear" w:color="auto" w:fill="auto"/>
        </w:rPr>
        <w:t>《财政支出绩效评价管理暂行办法》（</w:t>
      </w:r>
      <w:r>
        <w:rPr>
          <w:rFonts w:hint="eastAsia" w:asciiTheme="minorEastAsia" w:hAnsiTheme="minorEastAsia" w:eastAsiaTheme="minorEastAsia" w:cstheme="minorEastAsia"/>
          <w:color w:val="auto"/>
          <w:sz w:val="28"/>
          <w:szCs w:val="28"/>
          <w:highlight w:val="none"/>
          <w:shd w:val="clear" w:color="auto" w:fill="auto"/>
          <w:lang w:eastAsia="zh-CN"/>
        </w:rPr>
        <w:t>财预〔2020〕10号</w:t>
      </w:r>
      <w:r>
        <w:rPr>
          <w:rFonts w:hint="eastAsia" w:asciiTheme="minorEastAsia" w:hAnsiTheme="minorEastAsia" w:eastAsiaTheme="minorEastAsia" w:cstheme="minorEastAsia"/>
          <w:color w:val="auto"/>
          <w:sz w:val="28"/>
          <w:szCs w:val="28"/>
          <w:highlight w:val="none"/>
          <w:shd w:val="clear" w:color="auto" w:fill="auto"/>
        </w:rPr>
        <w:t>）</w:t>
      </w:r>
      <w:r>
        <w:rPr>
          <w:rFonts w:hint="eastAsia" w:asciiTheme="minorEastAsia" w:hAnsiTheme="minorEastAsia" w:eastAsiaTheme="minorEastAsia" w:cstheme="minorEastAsia"/>
          <w:color w:val="auto"/>
          <w:sz w:val="28"/>
          <w:szCs w:val="28"/>
          <w:highlight w:val="none"/>
          <w:shd w:val="clear" w:color="auto" w:fill="auto"/>
          <w:lang w:val="en-US" w:eastAsia="zh-CN"/>
        </w:rPr>
        <w:t>文件要求对2022年度我单位实施的自治州</w:t>
      </w: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shd w:val="clear" w:color="auto" w:fill="auto"/>
          <w:lang w:val="en-US" w:eastAsia="zh-CN"/>
        </w:rPr>
        <w:t>开展部门绩效评价。</w:t>
      </w:r>
    </w:p>
    <w:p w14:paraId="3DD301C0">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54E4B18">
      <w:pPr>
        <w:pStyle w:val="3"/>
        <w:pageBreakBefore w:val="0"/>
        <w:widowControl w:val="0"/>
        <w:numPr>
          <w:ilvl w:val="0"/>
          <w:numId w:val="0"/>
        </w:numPr>
        <w:kinsoku/>
        <w:wordWrap/>
        <w:overflowPunct/>
        <w:topLinePunct w:val="0"/>
        <w:autoSpaceDE/>
        <w:autoSpaceDN/>
        <w:bidi w:val="0"/>
        <w:adjustRightInd/>
        <w:snapToGrid/>
        <w:spacing w:beforeLines="0" w:beforeAutospacing="0" w:afterLines="0" w:afterAutospacing="0" w:line="560" w:lineRule="exact"/>
        <w:ind w:firstLine="643" w:firstLineChars="200"/>
        <w:jc w:val="both"/>
        <w:textAlignment w:val="auto"/>
        <w:rPr>
          <w:rFonts w:hint="eastAsia" w:ascii="方正楷体_GBK" w:hAnsi="方正楷体_GBK" w:eastAsia="方正楷体_GBK" w:cs="方正楷体_GBK"/>
          <w:b w:val="0"/>
          <w:bCs/>
          <w:color w:val="auto"/>
          <w:sz w:val="32"/>
          <w:szCs w:val="32"/>
          <w:highlight w:val="none"/>
          <w:shd w:val="clear" w:color="auto" w:fill="auto"/>
          <w:lang w:val="en-US" w:eastAsia="zh-CN"/>
        </w:rPr>
      </w:pPr>
      <w:bookmarkStart w:id="23" w:name="_Toc15902"/>
      <w:r>
        <w:rPr>
          <w:rFonts w:hint="eastAsia" w:asciiTheme="majorEastAsia" w:hAnsiTheme="majorEastAsia" w:eastAsiaTheme="majorEastAsia" w:cstheme="majorEastAsia"/>
          <w:b/>
          <w:bCs w:val="0"/>
          <w:color w:val="auto"/>
          <w:sz w:val="32"/>
          <w:szCs w:val="32"/>
          <w:highlight w:val="none"/>
          <w:shd w:val="clear" w:color="auto" w:fill="auto"/>
          <w:lang w:val="en-US" w:eastAsia="zh-CN"/>
        </w:rPr>
        <w:t>（二）绩效评价原则、评价指标体系（附表说明）、评价方法、评价标准</w:t>
      </w:r>
      <w:bookmarkEnd w:id="23"/>
    </w:p>
    <w:p w14:paraId="25534C8D">
      <w:pPr>
        <w:pStyle w:val="4"/>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Theme="minorEastAsia" w:hAnsiTheme="minorEastAsia" w:eastAsiaTheme="minorEastAsia" w:cstheme="minorEastAsia"/>
          <w:color w:val="auto"/>
          <w:sz w:val="28"/>
          <w:szCs w:val="28"/>
          <w:highlight w:val="none"/>
          <w:shd w:val="clear" w:color="auto" w:fill="auto"/>
        </w:rPr>
      </w:pPr>
      <w:bookmarkStart w:id="24" w:name="_Toc24506"/>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rPr>
        <w:t>绩效评价原则</w:t>
      </w:r>
      <w:bookmarkEnd w:id="24"/>
    </w:p>
    <w:p w14:paraId="32D5C3EB">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依据</w:t>
      </w:r>
      <w:r>
        <w:rPr>
          <w:rFonts w:hint="eastAsia" w:asciiTheme="minorEastAsia" w:hAnsiTheme="minorEastAsia" w:eastAsiaTheme="minorEastAsia" w:cstheme="minorEastAsia"/>
          <w:bCs/>
          <w:color w:val="auto"/>
          <w:sz w:val="28"/>
          <w:szCs w:val="28"/>
          <w:highlight w:val="none"/>
          <w:shd w:val="clear" w:color="auto" w:fill="auto"/>
          <w:lang w:eastAsia="zh-CN"/>
        </w:rPr>
        <w:t>《财政支出绩效评价管理暂行办法》（财预〔20</w:t>
      </w:r>
      <w:r>
        <w:rPr>
          <w:rFonts w:hint="eastAsia" w:asciiTheme="minorEastAsia" w:hAnsiTheme="minorEastAsia" w:eastAsiaTheme="minorEastAsia" w:cstheme="minorEastAsia"/>
          <w:bCs/>
          <w:color w:val="auto"/>
          <w:sz w:val="28"/>
          <w:szCs w:val="28"/>
          <w:highlight w:val="none"/>
          <w:shd w:val="clear" w:color="auto" w:fill="auto"/>
          <w:lang w:val="en-US" w:eastAsia="zh-CN"/>
        </w:rPr>
        <w:t>20</w:t>
      </w:r>
      <w:r>
        <w:rPr>
          <w:rFonts w:hint="eastAsia" w:asciiTheme="minorEastAsia" w:hAnsiTheme="minorEastAsia" w:eastAsiaTheme="minorEastAsia" w:cstheme="minorEastAsia"/>
          <w:bCs/>
          <w:color w:val="auto"/>
          <w:sz w:val="28"/>
          <w:szCs w:val="28"/>
          <w:highlight w:val="none"/>
          <w:shd w:val="clear" w:color="auto" w:fill="auto"/>
          <w:lang w:eastAsia="zh-CN"/>
        </w:rPr>
        <w:t>〕</w:t>
      </w:r>
      <w:r>
        <w:rPr>
          <w:rFonts w:hint="eastAsia" w:asciiTheme="minorEastAsia" w:hAnsiTheme="minorEastAsia" w:eastAsiaTheme="minorEastAsia" w:cstheme="minorEastAsia"/>
          <w:bCs/>
          <w:color w:val="auto"/>
          <w:sz w:val="28"/>
          <w:szCs w:val="28"/>
          <w:highlight w:val="none"/>
          <w:shd w:val="clear" w:color="auto" w:fill="auto"/>
          <w:lang w:val="en-US" w:eastAsia="zh-CN"/>
        </w:rPr>
        <w:t>10</w:t>
      </w:r>
      <w:r>
        <w:rPr>
          <w:rFonts w:hint="eastAsia" w:asciiTheme="minorEastAsia" w:hAnsiTheme="minorEastAsia" w:eastAsiaTheme="minorEastAsia" w:cstheme="minorEastAsia"/>
          <w:bCs/>
          <w:color w:val="auto"/>
          <w:sz w:val="28"/>
          <w:szCs w:val="28"/>
          <w:highlight w:val="none"/>
          <w:shd w:val="clear" w:color="auto" w:fill="auto"/>
          <w:lang w:eastAsia="zh-CN"/>
        </w:rPr>
        <w:t>号）</w:t>
      </w:r>
      <w:r>
        <w:rPr>
          <w:rFonts w:hint="eastAsia" w:asciiTheme="minorEastAsia" w:hAnsiTheme="minorEastAsia" w:eastAsiaTheme="minorEastAsia" w:cstheme="minorEastAsia"/>
          <w:color w:val="auto"/>
          <w:sz w:val="28"/>
          <w:szCs w:val="28"/>
          <w:highlight w:val="none"/>
          <w:shd w:val="clear" w:color="auto" w:fill="auto"/>
          <w:lang w:eastAsia="zh-CN"/>
        </w:rPr>
        <w:t>本次绩效评价秉承科学规范、公正公开、分级分类、绩效相关等原则，按照从投入、过程到产出效果和影响的绩效逻辑路径，结合</w:t>
      </w:r>
      <w:r>
        <w:rPr>
          <w:rFonts w:hint="eastAsia" w:asciiTheme="minorEastAsia" w:hAnsiTheme="minorEastAsia" w:eastAsiaTheme="minorEastAsia" w:cstheme="minorEastAsia"/>
          <w:color w:val="auto"/>
          <w:sz w:val="28"/>
          <w:szCs w:val="28"/>
          <w:highlight w:val="none"/>
          <w:shd w:val="clear" w:color="auto" w:fill="auto"/>
          <w:lang w:val="en-US" w:eastAsia="zh-CN"/>
        </w:rPr>
        <w:t>自治州</w:t>
      </w: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FF781A2">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根据以上原则，绩效评价应遵循如下要求：</w:t>
      </w:r>
    </w:p>
    <w:p w14:paraId="44A864E5">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1</w:t>
      </w:r>
      <w:r>
        <w:rPr>
          <w:rFonts w:hint="eastAsia" w:asciiTheme="minorEastAsia" w:hAnsiTheme="minorEastAsia" w:eastAsiaTheme="minorEastAsia" w:cstheme="minorEastAsia"/>
          <w:color w:val="auto"/>
          <w:sz w:val="28"/>
          <w:szCs w:val="28"/>
          <w:highlight w:val="none"/>
          <w:shd w:val="clear" w:color="auto" w:fill="auto"/>
          <w:lang w:eastAsia="zh-CN"/>
        </w:rPr>
        <w:t>）科学公正。绩效评价应当运用科学合理的方法，按照规范的程序，对项目绩效进行客观、公正的反映。</w:t>
      </w:r>
    </w:p>
    <w:p w14:paraId="349158D3">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2</w:t>
      </w:r>
      <w:r>
        <w:rPr>
          <w:rFonts w:hint="eastAsia" w:asciiTheme="minorEastAsia" w:hAnsiTheme="minorEastAsia" w:eastAsiaTheme="minorEastAsia" w:cstheme="minorEastAsia"/>
          <w:color w:val="auto"/>
          <w:sz w:val="28"/>
          <w:szCs w:val="28"/>
          <w:highlight w:val="none"/>
          <w:shd w:val="clear" w:color="auto" w:fill="auto"/>
          <w:lang w:eastAsia="zh-CN"/>
        </w:rPr>
        <w:t>）统筹兼顾。单位自评、部门评价和财政评价应职责明确，各有侧重，相互衔接。单位自评应由项目单位自主实施，即“谁支出、谁自评”。</w:t>
      </w:r>
    </w:p>
    <w:p w14:paraId="1B769E19">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3</w:t>
      </w:r>
      <w:r>
        <w:rPr>
          <w:rFonts w:hint="eastAsia" w:asciiTheme="minorEastAsia" w:hAnsiTheme="minorEastAsia" w:eastAsiaTheme="minorEastAsia" w:cstheme="minorEastAsia"/>
          <w:color w:val="auto"/>
          <w:sz w:val="28"/>
          <w:szCs w:val="28"/>
          <w:highlight w:val="none"/>
          <w:shd w:val="clear" w:color="auto" w:fill="auto"/>
          <w:lang w:eastAsia="zh-CN"/>
        </w:rPr>
        <w:t>）激励约束。绩效评价结果应与预算安排、政策调整、改进管理实质性挂钩，体现奖优罚劣和激励相容导向，有效要安排、低效要压减、无效要问责。</w:t>
      </w:r>
    </w:p>
    <w:p w14:paraId="6F0F7993">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r>
        <w:rPr>
          <w:rFonts w:hint="eastAsia" w:asciiTheme="minorEastAsia" w:hAnsiTheme="minorEastAsia" w:eastAsiaTheme="minorEastAsia" w:cstheme="minorEastAsia"/>
          <w:color w:val="auto"/>
          <w:sz w:val="28"/>
          <w:szCs w:val="28"/>
          <w:highlight w:val="none"/>
          <w:shd w:val="clear" w:color="auto" w:fill="auto"/>
          <w:lang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4</w:t>
      </w:r>
      <w:r>
        <w:rPr>
          <w:rFonts w:hint="eastAsia" w:asciiTheme="minorEastAsia" w:hAnsiTheme="minorEastAsia" w:eastAsiaTheme="minorEastAsia" w:cstheme="minorEastAsia"/>
          <w:color w:val="auto"/>
          <w:sz w:val="28"/>
          <w:szCs w:val="28"/>
          <w:highlight w:val="none"/>
          <w:shd w:val="clear" w:color="auto" w:fill="auto"/>
          <w:lang w:eastAsia="zh-CN"/>
        </w:rPr>
        <w:t>）公开透明。绩效评价结果应依法依规公开，并自觉接受社会监督。</w:t>
      </w:r>
    </w:p>
    <w:p w14:paraId="6277BA7C">
      <w:pPr>
        <w:pStyle w:val="4"/>
        <w:pageBreakBefore w:val="0"/>
        <w:widowControl w:val="0"/>
        <w:kinsoku/>
        <w:wordWrap/>
        <w:overflowPunct/>
        <w:topLinePunct w:val="0"/>
        <w:autoSpaceDE/>
        <w:autoSpaceDN/>
        <w:bidi w:val="0"/>
        <w:adjustRightInd/>
        <w:snapToGrid/>
        <w:spacing w:line="560" w:lineRule="exact"/>
        <w:ind w:left="0" w:firstLine="562" w:firstLineChars="200"/>
        <w:textAlignment w:val="auto"/>
        <w:rPr>
          <w:rFonts w:hint="eastAsia" w:asciiTheme="minorEastAsia" w:hAnsiTheme="minorEastAsia" w:eastAsiaTheme="minorEastAsia" w:cstheme="minorEastAsia"/>
          <w:color w:val="auto"/>
          <w:sz w:val="28"/>
          <w:szCs w:val="28"/>
          <w:highlight w:val="none"/>
          <w:shd w:val="clear" w:color="auto" w:fill="auto"/>
          <w:lang w:eastAsia="zh-CN"/>
        </w:rPr>
      </w:pPr>
      <w:bookmarkStart w:id="25" w:name="_Toc428278230"/>
      <w:bookmarkStart w:id="26" w:name="_Toc419984722"/>
      <w:bookmarkStart w:id="27" w:name="_Toc26131"/>
      <w:bookmarkStart w:id="28" w:name="_Toc1913"/>
      <w:bookmarkStart w:id="29" w:name="_Toc24396"/>
      <w:r>
        <w:rPr>
          <w:rFonts w:hint="eastAsia" w:asciiTheme="minorEastAsia" w:hAnsiTheme="minorEastAsia" w:eastAsiaTheme="minorEastAsia" w:cstheme="minorEastAsia"/>
          <w:color w:val="auto"/>
          <w:sz w:val="28"/>
          <w:szCs w:val="28"/>
          <w:highlight w:val="none"/>
          <w:shd w:val="clear" w:color="auto" w:fill="auto"/>
          <w:lang w:val="en-US" w:eastAsia="zh-CN"/>
        </w:rPr>
        <w:t>2.</w:t>
      </w:r>
      <w:r>
        <w:rPr>
          <w:rFonts w:hint="eastAsia" w:asciiTheme="minorEastAsia" w:hAnsiTheme="minorEastAsia" w:eastAsiaTheme="minorEastAsia" w:cstheme="minorEastAsia"/>
          <w:color w:val="auto"/>
          <w:sz w:val="28"/>
          <w:szCs w:val="28"/>
          <w:highlight w:val="none"/>
          <w:shd w:val="clear" w:color="auto" w:fill="auto"/>
          <w:lang w:eastAsia="zh-CN"/>
        </w:rPr>
        <w:t>绩效评价指标体系及绩效评价</w:t>
      </w:r>
      <w:bookmarkEnd w:id="25"/>
      <w:bookmarkEnd w:id="26"/>
      <w:bookmarkEnd w:id="27"/>
      <w:bookmarkEnd w:id="28"/>
      <w:r>
        <w:rPr>
          <w:rFonts w:hint="eastAsia" w:asciiTheme="minorEastAsia" w:hAnsiTheme="minorEastAsia" w:eastAsiaTheme="minorEastAsia" w:cstheme="minorEastAsia"/>
          <w:color w:val="auto"/>
          <w:sz w:val="28"/>
          <w:szCs w:val="28"/>
          <w:highlight w:val="none"/>
          <w:shd w:val="clear" w:color="auto" w:fill="auto"/>
          <w:lang w:val="en-US" w:eastAsia="zh-CN"/>
        </w:rPr>
        <w:t>标准</w:t>
      </w:r>
      <w:bookmarkEnd w:id="29"/>
    </w:p>
    <w:p w14:paraId="4EE8001A">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我单位</w:t>
      </w:r>
      <w:r>
        <w:rPr>
          <w:rFonts w:hint="eastAsia" w:asciiTheme="minorEastAsia" w:hAnsiTheme="minorEastAsia" w:eastAsiaTheme="minorEastAsia" w:cstheme="minorEastAsia"/>
          <w:color w:val="auto"/>
          <w:sz w:val="28"/>
          <w:szCs w:val="28"/>
          <w:highlight w:val="none"/>
          <w:shd w:val="clear" w:color="auto" w:fill="auto"/>
          <w:lang w:val="zh-TW" w:eastAsia="zh-TW"/>
        </w:rPr>
        <w:t>根据项目的</w:t>
      </w:r>
      <w:r>
        <w:rPr>
          <w:rFonts w:hint="eastAsia" w:asciiTheme="minorEastAsia" w:hAnsiTheme="minorEastAsia" w:eastAsiaTheme="minorEastAsia" w:cstheme="minorEastAsia"/>
          <w:color w:val="auto"/>
          <w:sz w:val="28"/>
          <w:szCs w:val="28"/>
          <w:highlight w:val="none"/>
          <w:shd w:val="clear" w:color="auto" w:fill="auto"/>
          <w:lang w:val="en-US" w:eastAsia="zh-CN"/>
        </w:rPr>
        <w:t>实施</w:t>
      </w:r>
      <w:r>
        <w:rPr>
          <w:rFonts w:hint="eastAsia" w:asciiTheme="minorEastAsia" w:hAnsiTheme="minorEastAsia" w:eastAsiaTheme="minorEastAsia" w:cstheme="minorEastAsia"/>
          <w:color w:val="auto"/>
          <w:sz w:val="28"/>
          <w:szCs w:val="28"/>
          <w:highlight w:val="none"/>
          <w:shd w:val="clear" w:color="auto" w:fill="auto"/>
          <w:lang w:val="zh-TW" w:eastAsia="zh-TW"/>
        </w:rPr>
        <w:t>资料研读及前期调研，结合项目的实际开展情况，最终形成了项目绩效评价指标体系</w:t>
      </w:r>
      <w:r>
        <w:rPr>
          <w:rFonts w:hint="eastAsia" w:asciiTheme="minorEastAsia" w:hAnsiTheme="minorEastAsia" w:eastAsiaTheme="minorEastAsia" w:cstheme="minorEastAsia"/>
          <w:color w:val="auto"/>
          <w:sz w:val="28"/>
          <w:szCs w:val="28"/>
          <w:highlight w:val="none"/>
          <w:shd w:val="clear" w:color="auto" w:fill="auto"/>
          <w:lang w:val="zh-TW"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指标体系结构如下</w:t>
      </w:r>
      <w:r>
        <w:rPr>
          <w:rFonts w:hint="eastAsia" w:asciiTheme="minorEastAsia" w:hAnsiTheme="minorEastAsia" w:eastAsiaTheme="minorEastAsia" w:cstheme="minorEastAsia"/>
          <w:b/>
          <w:bCs/>
          <w:color w:val="auto"/>
          <w:sz w:val="28"/>
          <w:szCs w:val="28"/>
          <w:highlight w:val="none"/>
          <w:shd w:val="clear" w:color="auto" w:fill="auto"/>
          <w:lang w:val="en-US" w:eastAsia="zh-CN"/>
        </w:rPr>
        <w:t>（详见上传的附件）</w:t>
      </w:r>
      <w:r>
        <w:rPr>
          <w:rFonts w:hint="eastAsia" w:asciiTheme="minorEastAsia" w:hAnsiTheme="minorEastAsia" w:eastAsiaTheme="minorEastAsia" w:cstheme="minorEastAsia"/>
          <w:color w:val="auto"/>
          <w:sz w:val="28"/>
          <w:szCs w:val="28"/>
          <w:highlight w:val="none"/>
          <w:shd w:val="clear" w:color="auto" w:fill="auto"/>
          <w:lang w:val="en-US" w:eastAsia="zh-CN"/>
        </w:rPr>
        <w:t>：</w:t>
      </w:r>
    </w:p>
    <w:p w14:paraId="40EC121B">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8"/>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534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F4ED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4E28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3669E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23E3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714B4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D51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01163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63CF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1C35B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52617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0470D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24ECD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CB8F3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593AD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D58C94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827EFB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FBE789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4E2E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CF64DB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D95B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D7E96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7632FA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10686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9517C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2457A1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6B6984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88402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C89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67767D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4A009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3213B8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F4CB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B4A5E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DBBE24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675E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756666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4CC1E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72E5D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03C2DE8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4D835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17A9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52A6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D5F6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F034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46EDF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8F4E4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AEE18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370C9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99102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1010B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DB737A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3DD0E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9572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2154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D4B79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C488C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ED53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6DB806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81863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D72B8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2B6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CF4F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25C7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73BA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5F4E1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56D70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532DD5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57F7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12090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16F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418824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E2A06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53575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590297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19BFD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0764D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9D097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AED9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2C9294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2A45A7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F8DE7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34D5B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5655C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4235F3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218DE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FDD84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7273A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CF4D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B4E8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07C26D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95D36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F6F0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E1BD1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E1919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A7967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02C3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445B0D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58F51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E445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67FCD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78B732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0D71A1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8620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5CC9F3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0CA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1396D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CB10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965D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FD0D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3CC1F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4A5DB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9911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78956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E6475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B35DD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D81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6C624E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3F50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3AA19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CCC5D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740E3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94638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5B912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E416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127F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CF024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F5B9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56704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82780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694E93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414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6838D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AC9C05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65CBF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FC745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402DB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D61A0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FE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8DE9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FC8F2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32259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AE6F8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37BCB9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8BBF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7C4F6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E5EE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F75FE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095842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35B38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34A90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5BD39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665A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71C4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A8B6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2A6A5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A7A9C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A4905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0F43C39">
      <w:pPr>
        <w:pStyle w:val="4"/>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30" w:name="_Toc9941"/>
      <w:r>
        <w:rPr>
          <w:rFonts w:hint="eastAsia" w:asciiTheme="minorEastAsia" w:hAnsiTheme="minorEastAsia" w:eastAsiaTheme="minorEastAsia" w:cstheme="minorEastAsia"/>
          <w:color w:val="auto"/>
          <w:sz w:val="28"/>
          <w:szCs w:val="28"/>
          <w:highlight w:val="none"/>
          <w:shd w:val="clear" w:color="auto" w:fill="auto"/>
          <w:lang w:val="en-US" w:eastAsia="zh-CN"/>
        </w:rPr>
        <w:t>3.</w:t>
      </w:r>
      <w:r>
        <w:rPr>
          <w:rFonts w:hint="eastAsia" w:asciiTheme="minorEastAsia" w:hAnsiTheme="minorEastAsia" w:eastAsiaTheme="minorEastAsia" w:cstheme="minorEastAsia"/>
          <w:color w:val="auto"/>
          <w:sz w:val="28"/>
          <w:szCs w:val="28"/>
          <w:highlight w:val="none"/>
          <w:shd w:val="clear" w:color="auto" w:fill="auto"/>
        </w:rPr>
        <w:t>评价</w:t>
      </w:r>
      <w:r>
        <w:rPr>
          <w:rFonts w:hint="eastAsia" w:asciiTheme="minorEastAsia" w:hAnsiTheme="minorEastAsia" w:eastAsiaTheme="minorEastAsia" w:cstheme="minorEastAsia"/>
          <w:color w:val="auto"/>
          <w:sz w:val="28"/>
          <w:szCs w:val="28"/>
          <w:highlight w:val="none"/>
          <w:shd w:val="clear" w:color="auto" w:fill="auto"/>
          <w:lang w:val="en-US" w:eastAsia="zh-CN"/>
        </w:rPr>
        <w:t>方法</w:t>
      </w:r>
      <w:bookmarkEnd w:id="30"/>
    </w:p>
    <w:p w14:paraId="31915EC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rPr>
        <w:t>本次绩效评价采用的方法</w:t>
      </w:r>
      <w:r>
        <w:rPr>
          <w:rFonts w:hint="eastAsia" w:asciiTheme="minorEastAsia" w:hAnsiTheme="minorEastAsia" w:eastAsiaTheme="minorEastAsia" w:cstheme="minorEastAsia"/>
          <w:color w:val="auto"/>
          <w:sz w:val="28"/>
          <w:szCs w:val="28"/>
          <w:highlight w:val="none"/>
          <w:shd w:val="clear" w:color="auto" w:fill="auto"/>
          <w:lang w:val="en-US" w:eastAsia="zh-CN"/>
        </w:rPr>
        <w:t>为</w:t>
      </w:r>
      <w:r>
        <w:rPr>
          <w:rFonts w:hint="eastAsia" w:asciiTheme="minorEastAsia" w:hAnsiTheme="minorEastAsia" w:eastAsiaTheme="minorEastAsia" w:cstheme="minorEastAsia"/>
          <w:color w:val="auto"/>
          <w:sz w:val="28"/>
          <w:szCs w:val="28"/>
          <w:highlight w:val="none"/>
          <w:shd w:val="clear" w:color="auto" w:fill="auto"/>
        </w:rPr>
        <w:t>比较法</w:t>
      </w:r>
      <w:r>
        <w:rPr>
          <w:rFonts w:hint="eastAsia" w:asciiTheme="minorEastAsia" w:hAnsiTheme="minorEastAsia" w:eastAsiaTheme="minorEastAsia" w:cstheme="minorEastAsia"/>
          <w:color w:val="auto"/>
          <w:sz w:val="28"/>
          <w:szCs w:val="28"/>
          <w:highlight w:val="none"/>
          <w:shd w:val="clear" w:color="auto" w:fill="auto"/>
          <w:lang w:eastAsia="zh-CN"/>
        </w:rPr>
        <w:t>、因素分析法、公众评判法</w:t>
      </w:r>
      <w:r>
        <w:rPr>
          <w:rFonts w:hint="eastAsia" w:asciiTheme="minorEastAsia" w:hAnsiTheme="minorEastAsia" w:eastAsiaTheme="minorEastAsia" w:cstheme="minorEastAsia"/>
          <w:color w:val="auto"/>
          <w:sz w:val="28"/>
          <w:szCs w:val="28"/>
          <w:highlight w:val="none"/>
          <w:shd w:val="clear" w:color="auto" w:fill="auto"/>
          <w:lang w:val="en-US" w:eastAsia="zh-CN"/>
        </w:rPr>
        <w:t>对项目绩效目标预期目标值与实施情况进行比较，以及采取公众问卷及抽样调查等方式进行评判的方法对自治州</w:t>
      </w: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shd w:val="clear" w:color="auto" w:fill="auto"/>
          <w:lang w:val="en-US" w:eastAsia="zh-CN"/>
        </w:rPr>
        <w:t>进行评价。</w:t>
      </w:r>
    </w:p>
    <w:p w14:paraId="621603A1">
      <w:pPr>
        <w:pStyle w:val="4"/>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bookmarkStart w:id="31" w:name="_Toc25391"/>
      <w:r>
        <w:rPr>
          <w:rFonts w:hint="eastAsia" w:asciiTheme="minorEastAsia" w:hAnsiTheme="minorEastAsia" w:eastAsiaTheme="minorEastAsia" w:cstheme="minorEastAsia"/>
          <w:color w:val="auto"/>
          <w:sz w:val="28"/>
          <w:szCs w:val="28"/>
          <w:highlight w:val="none"/>
          <w:shd w:val="clear" w:color="auto" w:fill="auto"/>
          <w:lang w:val="en-US" w:eastAsia="zh-CN"/>
        </w:rPr>
        <w:t>4.评价标准</w:t>
      </w:r>
      <w:bookmarkEnd w:id="31"/>
    </w:p>
    <w:p w14:paraId="0B51CFA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（1）计划标准。指以预先制定的目标、计划、预算、定额等作为评价标准。</w:t>
      </w:r>
    </w:p>
    <w:p w14:paraId="61B1E3D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（2）行业标准。指参照国家公布的行业指标数据制定的评价标准。</w:t>
      </w:r>
    </w:p>
    <w:p w14:paraId="211E85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（3）历史标准。指参照历史数据制定的评价标准，为体现绩效改进的原则，在可实现的条件下应当确定相对较高的评价标准。</w:t>
      </w:r>
    </w:p>
    <w:p w14:paraId="34D2E9F7">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（4）财政部门和预算部门确认或认可的其他标准。</w:t>
      </w:r>
    </w:p>
    <w:p w14:paraId="22B3766E">
      <w:pPr>
        <w:pStyle w:val="4"/>
        <w:pageBreakBefore w:val="0"/>
        <w:widowControl w:val="0"/>
        <w:kinsoku/>
        <w:wordWrap/>
        <w:overflowPunct/>
        <w:topLinePunct w:val="0"/>
        <w:autoSpaceDE/>
        <w:autoSpaceDN/>
        <w:bidi w:val="0"/>
        <w:adjustRightInd/>
        <w:snapToGrid/>
        <w:spacing w:line="560" w:lineRule="exact"/>
        <w:textAlignment w:val="auto"/>
        <w:outlineLvl w:val="1"/>
        <w:rPr>
          <w:rFonts w:hint="eastAsia" w:asciiTheme="minorEastAsia" w:hAnsiTheme="minorEastAsia" w:eastAsiaTheme="minorEastAsia" w:cstheme="minorEastAsia"/>
          <w:b/>
          <w:bCs/>
          <w:color w:val="auto"/>
          <w:sz w:val="32"/>
          <w:szCs w:val="32"/>
          <w:highlight w:val="none"/>
          <w:shd w:val="clear" w:color="auto" w:fill="auto"/>
          <w:lang w:val="en-US" w:eastAsia="zh-CN"/>
        </w:rPr>
      </w:pPr>
      <w:bookmarkStart w:id="32" w:name="_Toc1070"/>
      <w:r>
        <w:rPr>
          <w:rFonts w:hint="eastAsia" w:asciiTheme="minorEastAsia" w:hAnsiTheme="minorEastAsia" w:eastAsiaTheme="minorEastAsia" w:cstheme="minorEastAsia"/>
          <w:b/>
          <w:bCs/>
          <w:color w:val="auto"/>
          <w:sz w:val="32"/>
          <w:szCs w:val="32"/>
          <w:highlight w:val="none"/>
          <w:shd w:val="clear" w:color="auto" w:fill="auto"/>
          <w:lang w:val="en-US" w:eastAsia="zh-CN"/>
        </w:rPr>
        <w:t>（三）绩效评价工作过程</w:t>
      </w:r>
      <w:bookmarkEnd w:id="32"/>
    </w:p>
    <w:p w14:paraId="39E93926">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2"/>
        <w:rPr>
          <w:rFonts w:hint="eastAsia" w:asciiTheme="minorEastAsia" w:hAnsiTheme="minorEastAsia" w:eastAsiaTheme="minorEastAsia" w:cstheme="minorEastAsia"/>
          <w:b/>
          <w:bCs/>
          <w:color w:val="auto"/>
          <w:sz w:val="28"/>
          <w:szCs w:val="28"/>
          <w:highlight w:val="none"/>
          <w:shd w:val="clear" w:color="auto" w:fill="auto"/>
          <w:lang w:val="en-US" w:eastAsia="zh-CN"/>
        </w:rPr>
      </w:pPr>
      <w:bookmarkStart w:id="33" w:name="_Toc12862"/>
      <w:r>
        <w:rPr>
          <w:rFonts w:hint="eastAsia" w:asciiTheme="minorEastAsia" w:hAnsiTheme="minorEastAsia" w:eastAsiaTheme="minorEastAsia" w:cstheme="minorEastAsia"/>
          <w:b/>
          <w:bCs/>
          <w:color w:val="auto"/>
          <w:sz w:val="28"/>
          <w:szCs w:val="28"/>
          <w:highlight w:val="none"/>
          <w:shd w:val="clear" w:color="auto" w:fill="auto"/>
          <w:lang w:val="en-US" w:eastAsia="zh-CN"/>
        </w:rPr>
        <w:t>1.前期准备</w:t>
      </w:r>
      <w:bookmarkEnd w:id="33"/>
    </w:p>
    <w:p w14:paraId="737EA7A8">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（1）成立绩效评价项目小组</w:t>
      </w:r>
    </w:p>
    <w:p w14:paraId="64C2342B">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17B526A">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4" w:name="_Toc3157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（2）开展前期调研</w:t>
      </w:r>
      <w:bookmarkEnd w:id="34"/>
    </w:p>
    <w:p w14:paraId="2C729BEC">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5" w:name="_Toc21240"/>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绩效评价项目小组依据此次绩效评价受委托内容，对拟评价的项目实施前期调研。通过调研对自治州</w:t>
      </w:r>
      <w:r>
        <w:rPr>
          <w:rFonts w:hint="eastAsia" w:asciiTheme="minorEastAsia" w:hAnsiTheme="minorEastAsia" w:eastAsiaTheme="minorEastAsia" w:cstheme="minorEastAsia"/>
          <w:b w:val="0"/>
          <w:bCs w:val="0"/>
          <w:color w:val="auto"/>
          <w:sz w:val="28"/>
          <w:szCs w:val="28"/>
          <w:highlight w:val="none"/>
          <w:lang w:eastAsia="zh-CN"/>
        </w:rPr>
        <w:t>农产品质量安全网格化监管项</w:t>
      </w:r>
      <w:r>
        <w:rPr>
          <w:rFonts w:hint="eastAsia" w:asciiTheme="minorEastAsia" w:hAnsiTheme="minorEastAsia" w:eastAsiaTheme="minorEastAsia" w:cstheme="minorEastAsia"/>
          <w:b w:val="0"/>
          <w:bCs w:val="0"/>
          <w:color w:val="auto"/>
          <w:sz w:val="28"/>
          <w:szCs w:val="28"/>
          <w:highlight w:val="none"/>
        </w:rPr>
        <w:t>目</w:t>
      </w: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2774F48F">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6" w:name="_Toc27977"/>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（3）制订绩效评价工作方案</w:t>
      </w:r>
      <w:bookmarkEnd w:id="36"/>
    </w:p>
    <w:p w14:paraId="553B10AA">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7" w:name="_Toc196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绩效评价项目小组根据有关规定和评价对象的特点以及前期调研收集的一些信息，拟定详细的绩效评价工作方案。</w:t>
      </w:r>
      <w:bookmarkEnd w:id="37"/>
    </w:p>
    <w:p w14:paraId="5DE2CEC8">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pPr>
      <w:bookmarkStart w:id="38" w:name="_Toc11353"/>
      <w:r>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t>2.具体实施</w:t>
      </w:r>
      <w:bookmarkEnd w:id="38"/>
    </w:p>
    <w:p w14:paraId="5934B86D">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39" w:name="_Toc1411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（1）收集基础资料</w:t>
      </w:r>
      <w:bookmarkEnd w:id="39"/>
    </w:p>
    <w:p w14:paraId="083864F2">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0" w:name="_Toc28524"/>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根据评价工作的需要和要求，在前期调研的基础上，通过多种渠道全面收集项目基础信息资料，主要包括：</w:t>
      </w:r>
      <w:bookmarkEnd w:id="40"/>
    </w:p>
    <w:p w14:paraId="47857672">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1" w:name="_Toc32216"/>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①被评价单位基本概况，如单位职能、事业发展规划、预决算情况、项目立项依据等；</w:t>
      </w:r>
      <w:bookmarkEnd w:id="41"/>
    </w:p>
    <w:p w14:paraId="7096612C">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2" w:name="_Toc10505"/>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②绩效目标及其设立依据和调整情况；</w:t>
      </w:r>
      <w:bookmarkEnd w:id="42"/>
    </w:p>
    <w:p w14:paraId="76FE918E">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3" w:name="_Toc28365"/>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③管理措施及组织实施情况；</w:t>
      </w:r>
      <w:bookmarkEnd w:id="43"/>
    </w:p>
    <w:p w14:paraId="05239CA1">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4" w:name="_Toc1009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④被评价单位总结分析的绩效目标完成情况及绩效报告；</w:t>
      </w:r>
      <w:bookmarkEnd w:id="44"/>
    </w:p>
    <w:p w14:paraId="1F871DCC">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5" w:name="_Toc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⑤与绩效评价相关的计划标准、行业标准、历史标准等；</w:t>
      </w:r>
      <w:bookmarkEnd w:id="45"/>
    </w:p>
    <w:p w14:paraId="0AFFFD1B">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6" w:name="_Toc200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⑥其他必要的相关资料等。</w:t>
      </w:r>
      <w:bookmarkEnd w:id="46"/>
    </w:p>
    <w:p w14:paraId="5142E59C">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7" w:name="_Toc3191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（2）整理、研读基础资料</w:t>
      </w:r>
      <w:bookmarkEnd w:id="47"/>
    </w:p>
    <w:p w14:paraId="2B4CE4F1">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48" w:name="_Toc167"/>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32AAEDD">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2"/>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pPr>
      <w:bookmarkStart w:id="49" w:name="_Toc30513"/>
      <w:r>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t>3.分析评价和撰写报告</w:t>
      </w:r>
      <w:bookmarkEnd w:id="49"/>
    </w:p>
    <w:p w14:paraId="7C712D46">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0" w:name="_Toc15974"/>
      <w:r>
        <w:rPr>
          <w:rFonts w:hint="eastAsia" w:asciiTheme="minorEastAsia" w:hAnsiTheme="minorEastAsia" w:eastAsiaTheme="minorEastAsia" w:cstheme="minorEastAsia"/>
          <w:b w:val="0"/>
          <w:bCs w:val="0"/>
          <w:color w:val="auto"/>
          <w:sz w:val="28"/>
          <w:szCs w:val="28"/>
          <w:highlight w:val="none"/>
        </w:rPr>
        <w:t>（</w:t>
      </w: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1）综合分析评价</w:t>
      </w:r>
      <w:bookmarkEnd w:id="50"/>
    </w:p>
    <w:p w14:paraId="284E8816">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1" w:name="_Toc4352"/>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7F735C0">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bCs/>
          <w:color w:val="auto"/>
          <w:kern w:val="2"/>
          <w:sz w:val="28"/>
          <w:szCs w:val="28"/>
          <w:highlight w:val="none"/>
          <w:shd w:val="clear" w:color="auto" w:fill="auto"/>
          <w:lang w:val="en-US" w:eastAsia="zh-CN" w:bidi="ar-SA"/>
        </w:rPr>
      </w:pPr>
      <w:bookmarkStart w:id="52" w:name="_Toc26231"/>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②将初步评价结论、调整事项、专家咨询意见和有关说明等提交单位内部讨论并征求意见。之后，对所征求的意见及时地进行收集和整理。</w:t>
      </w:r>
      <w:bookmarkEnd w:id="52"/>
    </w:p>
    <w:p w14:paraId="02F4EA0F">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3" w:name="_Toc2775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（2）撰写报告</w:t>
      </w:r>
      <w:bookmarkEnd w:id="53"/>
    </w:p>
    <w:p w14:paraId="229688F5">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jc w:val="both"/>
        <w:textAlignment w:val="auto"/>
        <w:outlineLvl w:val="9"/>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54" w:name="_Toc15579"/>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绩效评价项目小组依照整理、分析后的项目材料、数据资料，依据评价形成的初步结论，按照既定的格式和内容要求撰写绩效评价初步报告，最终形成评价结果。</w:t>
      </w:r>
      <w:bookmarkEnd w:id="54"/>
    </w:p>
    <w:p w14:paraId="10175B4B">
      <w:pPr>
        <w:pStyle w:val="2"/>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Theme="majorEastAsia" w:hAnsiTheme="majorEastAsia" w:eastAsiaTheme="majorEastAsia" w:cstheme="majorEastAsia"/>
          <w:b/>
          <w:bCs/>
          <w:color w:val="auto"/>
          <w:sz w:val="32"/>
          <w:szCs w:val="32"/>
          <w:highlight w:val="none"/>
          <w:shd w:val="clear" w:color="auto" w:fill="auto"/>
        </w:rPr>
      </w:pPr>
      <w:bookmarkStart w:id="55" w:name="_Toc1100"/>
      <w:r>
        <w:rPr>
          <w:rFonts w:hint="eastAsia" w:asciiTheme="majorEastAsia" w:hAnsiTheme="majorEastAsia" w:eastAsiaTheme="majorEastAsia" w:cstheme="majorEastAsia"/>
          <w:b/>
          <w:bCs/>
          <w:color w:val="auto"/>
          <w:sz w:val="32"/>
          <w:szCs w:val="32"/>
          <w:highlight w:val="none"/>
          <w:shd w:val="clear" w:color="auto" w:fill="auto"/>
          <w:lang w:val="en-US" w:eastAsia="zh-CN"/>
        </w:rPr>
        <w:t>三、</w:t>
      </w:r>
      <w:r>
        <w:rPr>
          <w:rFonts w:hint="eastAsia" w:asciiTheme="majorEastAsia" w:hAnsiTheme="majorEastAsia" w:eastAsiaTheme="majorEastAsia" w:cstheme="majorEastAsia"/>
          <w:b/>
          <w:bCs/>
          <w:color w:val="auto"/>
          <w:sz w:val="32"/>
          <w:szCs w:val="32"/>
          <w:highlight w:val="none"/>
          <w:shd w:val="clear" w:color="auto" w:fill="auto"/>
        </w:rPr>
        <w:t>综合评价情况及评价结论</w:t>
      </w:r>
      <w:bookmarkEnd w:id="55"/>
    </w:p>
    <w:p w14:paraId="6AE2DA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shd w:val="clear" w:color="auto" w:fill="auto"/>
          <w:lang w:val="zh-TW" w:eastAsia="zh-TW"/>
        </w:rPr>
      </w:pPr>
      <w:r>
        <w:rPr>
          <w:rFonts w:hint="eastAsia" w:asciiTheme="minorEastAsia" w:hAnsiTheme="minorEastAsia" w:eastAsiaTheme="minorEastAsia" w:cstheme="minorEastAsia"/>
          <w:color w:val="auto"/>
          <w:sz w:val="28"/>
          <w:szCs w:val="28"/>
          <w:highlight w:val="none"/>
          <w:shd w:val="clear" w:color="auto" w:fill="auto"/>
          <w:lang w:val="en-US" w:eastAsia="zh-CN"/>
        </w:rPr>
        <w:t>此次绩效评价</w:t>
      </w:r>
      <w:r>
        <w:rPr>
          <w:rFonts w:hint="eastAsia" w:asciiTheme="minorEastAsia" w:hAnsiTheme="minorEastAsia" w:eastAsiaTheme="minorEastAsia" w:cstheme="minorEastAsia"/>
          <w:color w:val="auto"/>
          <w:sz w:val="28"/>
          <w:szCs w:val="28"/>
          <w:highlight w:val="none"/>
          <w:shd w:val="clear" w:color="auto" w:fill="auto"/>
          <w:lang w:val="zh-TW" w:eastAsia="zh-TW"/>
        </w:rPr>
        <w:t>通过组论证的评价指标体系及评分标准，</w:t>
      </w:r>
      <w:r>
        <w:rPr>
          <w:rFonts w:hint="eastAsia" w:asciiTheme="minorEastAsia" w:hAnsiTheme="minorEastAsia" w:eastAsiaTheme="minorEastAsia" w:cstheme="minorEastAsia"/>
          <w:color w:val="auto"/>
          <w:sz w:val="28"/>
          <w:szCs w:val="28"/>
          <w:highlight w:val="none"/>
          <w:shd w:val="clear" w:color="auto" w:fill="auto"/>
        </w:rPr>
        <w:t>采用的方法比较法</w:t>
      </w:r>
      <w:r>
        <w:rPr>
          <w:rFonts w:hint="eastAsia" w:asciiTheme="minorEastAsia" w:hAnsiTheme="minorEastAsia" w:eastAsiaTheme="minorEastAsia" w:cstheme="minorEastAsia"/>
          <w:color w:val="auto"/>
          <w:sz w:val="28"/>
          <w:szCs w:val="28"/>
          <w:highlight w:val="none"/>
          <w:shd w:val="clear" w:color="auto" w:fill="auto"/>
          <w:lang w:eastAsia="zh-CN"/>
        </w:rPr>
        <w:t>、因素分析法、公众评判法，</w:t>
      </w:r>
      <w:r>
        <w:rPr>
          <w:rFonts w:hint="eastAsia" w:asciiTheme="minorEastAsia" w:hAnsiTheme="minorEastAsia" w:eastAsiaTheme="minorEastAsia" w:cstheme="minorEastAsia"/>
          <w:color w:val="auto"/>
          <w:sz w:val="28"/>
          <w:szCs w:val="28"/>
          <w:highlight w:val="none"/>
          <w:shd w:val="clear" w:color="auto" w:fill="auto"/>
          <w:lang w:val="zh-TW" w:eastAsia="zh-TW"/>
        </w:rPr>
        <w:t>对</w:t>
      </w:r>
      <w:r>
        <w:rPr>
          <w:rFonts w:hint="eastAsia" w:asciiTheme="minorEastAsia" w:hAnsiTheme="minorEastAsia" w:eastAsiaTheme="minorEastAsia" w:cstheme="minorEastAsia"/>
          <w:color w:val="auto"/>
          <w:sz w:val="28"/>
          <w:szCs w:val="28"/>
          <w:highlight w:val="none"/>
          <w:shd w:val="clear" w:color="auto" w:fill="auto"/>
          <w:lang w:val="en-US" w:eastAsia="zh-CN"/>
        </w:rPr>
        <w:t>自治州</w:t>
      </w:r>
      <w:r>
        <w:rPr>
          <w:rFonts w:hint="eastAsia" w:asciiTheme="minorEastAsia" w:hAnsiTheme="minorEastAsia" w:eastAsiaTheme="minorEastAsia" w:cstheme="minorEastAsia"/>
          <w:b w:val="0"/>
          <w:bCs w:val="0"/>
          <w:color w:val="auto"/>
          <w:kern w:val="0"/>
          <w:sz w:val="28"/>
          <w:szCs w:val="28"/>
          <w:highlight w:val="none"/>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w:t>
      </w:r>
      <w:r>
        <w:rPr>
          <w:rFonts w:hint="eastAsia" w:asciiTheme="minorEastAsia" w:hAnsiTheme="minorEastAsia" w:eastAsiaTheme="minorEastAsia" w:cstheme="minorEastAsia"/>
          <w:color w:val="auto"/>
          <w:sz w:val="28"/>
          <w:szCs w:val="28"/>
          <w:highlight w:val="none"/>
          <w:shd w:val="clear" w:color="auto" w:fill="auto"/>
          <w:lang w:val="zh-TW" w:eastAsia="zh-TW"/>
        </w:rPr>
        <w:t>绩效进行客观评价，最终评分结果：总分为</w:t>
      </w:r>
      <w:r>
        <w:rPr>
          <w:rFonts w:hint="eastAsia" w:asciiTheme="minorEastAsia" w:hAnsiTheme="minorEastAsia" w:eastAsiaTheme="minorEastAsia" w:cstheme="minorEastAsia"/>
          <w:color w:val="auto"/>
          <w:sz w:val="28"/>
          <w:szCs w:val="28"/>
          <w:highlight w:val="none"/>
          <w:shd w:val="clear" w:color="auto" w:fill="auto"/>
          <w:lang w:val="en-US" w:eastAsia="zh-CN"/>
        </w:rPr>
        <w:t>94.53</w:t>
      </w:r>
      <w:r>
        <w:rPr>
          <w:rFonts w:hint="eastAsia" w:asciiTheme="minorEastAsia" w:hAnsiTheme="minorEastAsia" w:eastAsiaTheme="minorEastAsia" w:cstheme="minorEastAsia"/>
          <w:color w:val="auto"/>
          <w:sz w:val="28"/>
          <w:szCs w:val="28"/>
          <w:highlight w:val="none"/>
          <w:shd w:val="clear" w:color="auto" w:fill="auto"/>
          <w:lang w:val="zh-TW" w:eastAsia="zh-TW"/>
        </w:rPr>
        <w:t>分，绩效评级为“</w:t>
      </w:r>
      <w:r>
        <w:rPr>
          <w:rFonts w:hint="eastAsia" w:asciiTheme="minorEastAsia" w:hAnsiTheme="minorEastAsia" w:eastAsiaTheme="minorEastAsia" w:cstheme="minorEastAsia"/>
          <w:color w:val="auto"/>
          <w:sz w:val="28"/>
          <w:szCs w:val="28"/>
          <w:highlight w:val="none"/>
          <w:shd w:val="clear" w:color="auto" w:fill="auto"/>
          <w:lang w:val="en-US" w:eastAsia="zh-CN"/>
        </w:rPr>
        <w:t>优”</w:t>
      </w:r>
      <w:r>
        <w:rPr>
          <w:rFonts w:hint="eastAsia" w:asciiTheme="minorEastAsia" w:hAnsiTheme="minorEastAsia" w:eastAsiaTheme="minorEastAsia" w:cstheme="minorEastAsia"/>
          <w:color w:val="auto"/>
          <w:sz w:val="28"/>
          <w:szCs w:val="28"/>
          <w:highlight w:val="none"/>
          <w:shd w:val="clear" w:color="auto" w:fill="auto"/>
          <w:lang w:val="zh-TW" w:eastAsia="zh-TW"/>
        </w:rPr>
        <w:t>：</w:t>
      </w:r>
    </w:p>
    <w:tbl>
      <w:tblPr>
        <w:tblStyle w:val="8"/>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B4220BA">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3596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表3-1：自治州</w:t>
            </w:r>
            <w:r>
              <w:rPr>
                <w:rFonts w:hint="default" w:ascii="宋体" w:hAnsi="宋体" w:eastAsia="宋体" w:cs="宋体"/>
                <w:b/>
                <w:bCs/>
                <w:color w:val="auto"/>
                <w:kern w:val="0"/>
                <w:sz w:val="28"/>
                <w:szCs w:val="28"/>
                <w:highlight w:val="none"/>
                <w:shd w:val="clear" w:color="auto" w:fill="auto"/>
                <w:lang w:val="en-US" w:eastAsia="zh-CN"/>
              </w:rPr>
              <w:t>农产品质量安全网格化监管项目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1CFD9FA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BBE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EBB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A4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8BB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C4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E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181DD4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814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018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5414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B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9580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CA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3C0A37C">
        <w:tblPrEx>
          <w:shd w:val="clear" w:color="auto" w:fill="auto"/>
          <w:tblCellMar>
            <w:top w:w="0" w:type="dxa"/>
            <w:left w:w="0" w:type="dxa"/>
            <w:bottom w:w="0" w:type="dxa"/>
            <w:right w:w="0" w:type="dxa"/>
          </w:tblCellMar>
        </w:tblPrEx>
        <w:trPr>
          <w:trHeight w:val="437"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96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270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19.6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57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19.93</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FD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25</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0D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5F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94.53</w:t>
            </w:r>
          </w:p>
        </w:tc>
      </w:tr>
      <w:tr w14:paraId="63C8489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76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24E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98</w:t>
            </w:r>
            <w:r>
              <w:rPr>
                <w:rFonts w:hint="eastAsia" w:ascii="宋体" w:hAnsi="宋体" w:eastAsia="宋体" w:cs="宋体"/>
                <w:b w:val="0"/>
                <w:bCs w:val="0"/>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9B6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99.7</w:t>
            </w:r>
            <w:r>
              <w:rPr>
                <w:rFonts w:hint="eastAsia" w:ascii="宋体" w:hAnsi="宋体" w:eastAsia="宋体" w:cs="宋体"/>
                <w:b w:val="0"/>
                <w:bCs w:val="0"/>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030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83.3</w:t>
            </w:r>
            <w:r>
              <w:rPr>
                <w:rFonts w:hint="eastAsia" w:ascii="宋体" w:hAnsi="宋体" w:eastAsia="宋体" w:cs="宋体"/>
                <w:b w:val="0"/>
                <w:bCs w:val="0"/>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0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99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cs="宋体"/>
                <w:b w:val="0"/>
                <w:bCs w:val="0"/>
                <w:color w:val="auto"/>
                <w:kern w:val="0"/>
                <w:sz w:val="21"/>
                <w:szCs w:val="21"/>
                <w:highlight w:val="none"/>
                <w:shd w:val="clear" w:color="auto" w:fill="auto"/>
                <w:lang w:val="en-US" w:eastAsia="zh-CN"/>
              </w:rPr>
              <w:t>94.53</w:t>
            </w:r>
            <w:r>
              <w:rPr>
                <w:rFonts w:hint="eastAsia" w:ascii="宋体" w:hAnsi="宋体" w:eastAsia="宋体" w:cs="宋体"/>
                <w:b w:val="0"/>
                <w:bCs w:val="0"/>
                <w:color w:val="auto"/>
                <w:kern w:val="0"/>
                <w:sz w:val="21"/>
                <w:szCs w:val="21"/>
                <w:highlight w:val="none"/>
                <w:shd w:val="clear" w:color="auto" w:fill="auto"/>
                <w:lang w:val="en-US" w:eastAsia="zh-CN"/>
              </w:rPr>
              <w:t>%</w:t>
            </w:r>
          </w:p>
        </w:tc>
      </w:tr>
    </w:tbl>
    <w:p w14:paraId="6CCB4538">
      <w:pPr>
        <w:pStyle w:val="2"/>
        <w:pageBreakBefore w:val="0"/>
        <w:kinsoku/>
        <w:wordWrap/>
        <w:overflowPunct/>
        <w:topLinePunct w:val="0"/>
        <w:autoSpaceDE/>
        <w:autoSpaceDN/>
        <w:bidi w:val="0"/>
        <w:adjustRightInd/>
        <w:spacing w:beforeLines="0" w:afterLines="0" w:line="560" w:lineRule="exact"/>
        <w:ind w:firstLine="643" w:firstLineChars="200"/>
        <w:textAlignment w:val="auto"/>
        <w:rPr>
          <w:rFonts w:hint="eastAsia" w:asciiTheme="minorEastAsia" w:hAnsiTheme="minorEastAsia" w:eastAsiaTheme="minorEastAsia" w:cstheme="minorEastAsia"/>
          <w:b/>
          <w:bCs/>
          <w:color w:val="auto"/>
          <w:sz w:val="32"/>
          <w:szCs w:val="32"/>
          <w:highlight w:val="none"/>
          <w:shd w:val="clear" w:color="auto" w:fill="auto"/>
          <w:lang w:val="en-US" w:eastAsia="zh-CN"/>
        </w:rPr>
      </w:pPr>
      <w:bookmarkStart w:id="56" w:name="_Toc9421"/>
      <w:r>
        <w:rPr>
          <w:rFonts w:hint="eastAsia" w:asciiTheme="minorEastAsia" w:hAnsiTheme="minorEastAsia" w:eastAsiaTheme="minorEastAsia" w:cstheme="minorEastAsia"/>
          <w:b/>
          <w:bCs/>
          <w:color w:val="auto"/>
          <w:sz w:val="32"/>
          <w:szCs w:val="32"/>
          <w:highlight w:val="none"/>
          <w:shd w:val="clear" w:color="auto" w:fill="auto"/>
          <w:lang w:val="en-US" w:eastAsia="zh-CN"/>
        </w:rPr>
        <w:t>四、绩效评价指标分析</w:t>
      </w:r>
      <w:bookmarkEnd w:id="56"/>
    </w:p>
    <w:p w14:paraId="1C29B1FE">
      <w:pPr>
        <w:pStyle w:val="3"/>
        <w:keepNext/>
        <w:keepLines/>
        <w:pageBreakBefore w:val="0"/>
        <w:widowControl w:val="0"/>
        <w:kinsoku/>
        <w:wordWrap/>
        <w:overflowPunct/>
        <w:topLinePunct w:val="0"/>
        <w:autoSpaceDE/>
        <w:autoSpaceDN/>
        <w:bidi w:val="0"/>
        <w:adjustRightInd/>
        <w:snapToGrid/>
        <w:spacing w:beforeLines="0" w:afterLines="0" w:line="560" w:lineRule="exact"/>
        <w:ind w:firstLine="643" w:firstLineChars="200"/>
        <w:textAlignment w:val="auto"/>
        <w:rPr>
          <w:rFonts w:hint="eastAsia" w:ascii="方正楷体_GBK" w:hAnsi="方正楷体_GBK" w:eastAsia="方正楷体_GBK" w:cs="方正楷体_GBK"/>
          <w:b/>
          <w:bCs w:val="0"/>
          <w:color w:val="auto"/>
          <w:sz w:val="32"/>
          <w:szCs w:val="32"/>
          <w:highlight w:val="none"/>
          <w:shd w:val="clear" w:color="auto" w:fill="auto"/>
        </w:rPr>
      </w:pPr>
      <w:bookmarkStart w:id="57" w:name="_Toc15355"/>
      <w:r>
        <w:rPr>
          <w:rFonts w:hint="eastAsia" w:asciiTheme="minorEastAsia" w:hAnsiTheme="minorEastAsia" w:eastAsiaTheme="minorEastAsia" w:cstheme="minorEastAsia"/>
          <w:b/>
          <w:bCs w:val="0"/>
          <w:color w:val="auto"/>
          <w:sz w:val="32"/>
          <w:szCs w:val="32"/>
          <w:highlight w:val="none"/>
          <w:shd w:val="clear" w:color="auto" w:fill="auto"/>
        </w:rPr>
        <w:t>（一）项目决策情况</w:t>
      </w:r>
      <w:bookmarkEnd w:id="57"/>
    </w:p>
    <w:p w14:paraId="19D18E0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shd w:val="clear" w:color="auto" w:fill="auto"/>
          <w:lang w:val="en-US" w:eastAsia="zh-CN"/>
        </w:rPr>
        <w:t>项目决策由3个二级指标和6个三级指标构成，权重分20分，实际得分19.6分，</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各指标业绩值和绩效分值如表</w:t>
      </w:r>
      <w:r>
        <w:rPr>
          <w:rFonts w:hint="eastAsia" w:asciiTheme="minorEastAsia" w:hAnsiTheme="minorEastAsia" w:eastAsiaTheme="minorEastAsia" w:cstheme="minorEastAsia"/>
          <w:b/>
          <w:bCs/>
          <w:color w:val="auto"/>
          <w:kern w:val="2"/>
          <w:sz w:val="28"/>
          <w:szCs w:val="28"/>
          <w:highlight w:val="none"/>
          <w:u w:color="000000"/>
          <w:shd w:val="clear" w:color="auto" w:fill="auto"/>
          <w:lang w:val="en-US" w:eastAsia="zh-CN"/>
        </w:rPr>
        <w:t>4</w:t>
      </w:r>
      <w:r>
        <w:rPr>
          <w:rFonts w:hint="eastAsia" w:asciiTheme="minorEastAsia" w:hAnsiTheme="minorEastAsia" w:eastAsiaTheme="minorEastAsia" w:cstheme="minorEastAsia"/>
          <w:b/>
          <w:bCs/>
          <w:color w:val="auto"/>
          <w:kern w:val="2"/>
          <w:sz w:val="28"/>
          <w:szCs w:val="28"/>
          <w:highlight w:val="none"/>
          <w:u w:color="000000"/>
          <w:shd w:val="clear" w:color="auto" w:fill="auto"/>
          <w:lang w:eastAsia="zh-CN"/>
        </w:rPr>
        <w:t>-1</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所示</w:t>
      </w:r>
      <w:r>
        <w:rPr>
          <w:rFonts w:hint="eastAsia" w:asciiTheme="minorEastAsia" w:hAnsiTheme="minorEastAsia" w:eastAsiaTheme="minorEastAsia" w:cstheme="minorEastAsia"/>
          <w:b/>
          <w:bCs/>
          <w:color w:val="auto"/>
          <w:sz w:val="28"/>
          <w:szCs w:val="28"/>
          <w:highlight w:val="none"/>
          <w:shd w:val="clear" w:color="auto" w:fill="auto"/>
          <w:lang w:val="zh-TW" w:eastAsia="zh-CN"/>
        </w:rPr>
        <w:t>（</w:t>
      </w:r>
      <w:r>
        <w:rPr>
          <w:rFonts w:hint="eastAsia" w:asciiTheme="minorEastAsia" w:hAnsiTheme="minorEastAsia" w:eastAsiaTheme="minorEastAsia" w:cstheme="minorEastAsia"/>
          <w:b/>
          <w:bCs/>
          <w:color w:val="auto"/>
          <w:sz w:val="28"/>
          <w:szCs w:val="28"/>
          <w:highlight w:val="none"/>
          <w:shd w:val="clear" w:color="auto" w:fill="auto"/>
          <w:lang w:val="en-US" w:eastAsia="zh-CN"/>
        </w:rPr>
        <w:t>详见上传的附件</w:t>
      </w:r>
      <w:r>
        <w:rPr>
          <w:rFonts w:hint="eastAsia" w:asciiTheme="minorEastAsia" w:hAnsiTheme="minorEastAsia" w:eastAsiaTheme="minorEastAsia" w:cstheme="minorEastAsia"/>
          <w:b/>
          <w:bCs/>
          <w:color w:val="auto"/>
          <w:sz w:val="28"/>
          <w:szCs w:val="28"/>
          <w:highlight w:val="none"/>
          <w:shd w:val="clear" w:color="auto" w:fill="auto"/>
          <w:lang w:val="zh-TW" w:eastAsia="zh-CN"/>
        </w:rPr>
        <w:t>）</w:t>
      </w:r>
      <w:r>
        <w:rPr>
          <w:rFonts w:hint="eastAsia" w:asciiTheme="minorEastAsia" w:hAnsiTheme="minorEastAsia" w:eastAsiaTheme="minorEastAsia" w:cstheme="minorEastAsia"/>
          <w:color w:val="auto"/>
          <w:sz w:val="28"/>
          <w:szCs w:val="28"/>
          <w:highlight w:val="none"/>
          <w:shd w:val="clear" w:color="auto" w:fill="auto"/>
          <w:lang w:val="en-US" w:eastAsia="zh-CN"/>
        </w:rPr>
        <w:t>：</w:t>
      </w:r>
    </w:p>
    <w:p w14:paraId="663EFC9C">
      <w:pPr>
        <w:keepNext w:val="0"/>
        <w:keepLines w:val="0"/>
        <w:pageBreakBefore w:val="0"/>
        <w:widowControl/>
        <w:kinsoku/>
        <w:wordWrap/>
        <w:overflowPunct/>
        <w:topLinePunct w:val="0"/>
        <w:autoSpaceDE/>
        <w:autoSpaceDN/>
        <w:bidi w:val="0"/>
        <w:adjustRightInd/>
        <w:snapToGrid w:val="0"/>
        <w:spacing w:line="560" w:lineRule="exact"/>
        <w:ind w:firstLine="643" w:firstLineChars="200"/>
        <w:jc w:val="center"/>
        <w:textAlignment w:val="auto"/>
        <w:rPr>
          <w:rFonts w:hint="default" w:ascii="Times New Roman" w:hAnsi="Times New Roman" w:eastAsia="方正仿宋_GBK" w:cs="Times New Roman"/>
          <w:b/>
          <w:bCs/>
          <w:color w:val="auto"/>
          <w:kern w:val="0"/>
          <w:sz w:val="32"/>
          <w:szCs w:val="32"/>
          <w:highlight w:val="none"/>
          <w:shd w:val="clear" w:color="auto" w:fill="auto"/>
          <w:lang w:val="en-US" w:eastAsia="zh-CN"/>
        </w:rPr>
      </w:pPr>
      <w:r>
        <w:rPr>
          <w:rFonts w:hint="default" w:ascii="Times New Roman" w:hAnsi="Times New Roman" w:eastAsia="方正仿宋_GBK" w:cs="Times New Roman"/>
          <w:b/>
          <w:bCs/>
          <w:color w:val="auto"/>
          <w:kern w:val="0"/>
          <w:sz w:val="32"/>
          <w:szCs w:val="32"/>
          <w:highlight w:val="none"/>
          <w:shd w:val="clear" w:color="auto" w:fill="auto"/>
          <w:lang w:val="zh-TW" w:eastAsia="zh-TW"/>
        </w:rPr>
        <w:t>表</w:t>
      </w:r>
      <w:r>
        <w:rPr>
          <w:rFonts w:hint="default" w:ascii="Times New Roman" w:hAnsi="Times New Roman" w:eastAsia="方正仿宋_GBK" w:cs="Times New Roman"/>
          <w:b/>
          <w:bCs/>
          <w:color w:val="auto"/>
          <w:kern w:val="0"/>
          <w:sz w:val="32"/>
          <w:szCs w:val="32"/>
          <w:highlight w:val="none"/>
          <w:shd w:val="clear" w:color="auto" w:fill="auto"/>
          <w:lang w:val="en-US" w:eastAsia="zh-CN"/>
        </w:rPr>
        <w:t>4-1</w:t>
      </w:r>
      <w:r>
        <w:rPr>
          <w:rFonts w:hint="default" w:ascii="Times New Roman" w:hAnsi="Times New Roman" w:eastAsia="方正仿宋_GBK" w:cs="Times New Roman"/>
          <w:b/>
          <w:bCs/>
          <w:color w:val="auto"/>
          <w:kern w:val="0"/>
          <w:sz w:val="32"/>
          <w:szCs w:val="32"/>
          <w:highlight w:val="none"/>
          <w:shd w:val="clear" w:color="auto" w:fill="auto"/>
          <w:lang w:val="zh-TW" w:eastAsia="zh-TW"/>
        </w:rPr>
        <w:t>项目决策指标及分值</w:t>
      </w:r>
    </w:p>
    <w:tbl>
      <w:tblPr>
        <w:tblStyle w:val="8"/>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1FC66EE">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6AA23">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C6D5F6">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2FECD1">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AEC05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61AADA">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C4B4E1">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DC9D46">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b/>
                <w:bCs/>
                <w:color w:val="auto"/>
                <w:kern w:val="0"/>
                <w:sz w:val="24"/>
                <w:szCs w:val="24"/>
                <w:highlight w:val="none"/>
                <w:shd w:val="clear" w:color="auto" w:fill="auto"/>
                <w:lang w:val="en-US" w:eastAsia="zh-CN"/>
              </w:rPr>
            </w:pPr>
            <w:r>
              <w:rPr>
                <w:rFonts w:hint="default" w:ascii="Times New Roman" w:hAnsi="Times New Roman" w:eastAsia="方正仿宋_GBK" w:cs="Times New Roman"/>
                <w:b/>
                <w:bCs/>
                <w:color w:val="auto"/>
                <w:kern w:val="0"/>
                <w:sz w:val="24"/>
                <w:szCs w:val="24"/>
                <w:highlight w:val="none"/>
                <w:shd w:val="clear" w:color="auto" w:fill="auto"/>
                <w:lang w:val="en-US" w:eastAsia="zh-CN"/>
              </w:rPr>
              <w:t>得分</w:t>
            </w:r>
          </w:p>
        </w:tc>
      </w:tr>
      <w:tr w14:paraId="1BC8A920">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85B6F4C">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E212526">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37A1BBA">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E061D53">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B5F8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4CEBA">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B23DFA">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w:t>
            </w:r>
          </w:p>
        </w:tc>
      </w:tr>
      <w:tr w14:paraId="467A5E6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02E1F7">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DB752A0">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0F8932">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D71678">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A06FD5">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F3C78">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F4B0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2.6</w:t>
            </w:r>
          </w:p>
        </w:tc>
      </w:tr>
      <w:tr w14:paraId="496DE46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32C60E5">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8F8206">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1CEAF">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DCC9B1">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C5122">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E2DB0A">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2DD65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r>
      <w:tr w14:paraId="294311C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2BFF68">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A48085C">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E378F">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81A024">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72F889">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4CD214">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119D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r>
      <w:tr w14:paraId="4A668EE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CF3D8F0">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FA8493">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BB317D6">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1CE5C75">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F09B27">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FD674">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0F8F5">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w:t>
            </w:r>
          </w:p>
        </w:tc>
      </w:tr>
      <w:tr w14:paraId="027139E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9D6450">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80A383">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2E0CDD">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284C5">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7266B">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B834EB">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8E59B8">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3</w:t>
            </w:r>
          </w:p>
        </w:tc>
      </w:tr>
      <w:tr w14:paraId="00845DE5">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F16C12">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default" w:ascii="Times New Roman" w:hAnsi="Times New Roman" w:eastAsia="方正仿宋_GBK" w:cs="Times New Roman"/>
                <w:color w:val="auto"/>
                <w:kern w:val="0"/>
                <w:sz w:val="24"/>
                <w:szCs w:val="24"/>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5D7F71">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2E9A2C">
            <w:pPr>
              <w:keepNext w:val="0"/>
              <w:keepLines w:val="0"/>
              <w:pageBreakBefore w:val="0"/>
              <w:widowControl/>
              <w:kinsoku/>
              <w:wordWrap/>
              <w:overflowPunct/>
              <w:topLinePunct w:val="0"/>
              <w:autoSpaceDE/>
              <w:autoSpaceDN/>
              <w:bidi w:val="0"/>
              <w:adjustRightInd/>
              <w:snapToGrid w:val="0"/>
              <w:spacing w:line="240" w:lineRule="exact"/>
              <w:ind w:firstLine="480" w:firstLineChars="20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EB6DF">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6E751D">
            <w:pPr>
              <w:keepNext w:val="0"/>
              <w:keepLines w:val="0"/>
              <w:pageBreakBefore w:val="0"/>
              <w:widowControl/>
              <w:kinsoku/>
              <w:wordWrap/>
              <w:overflowPunct/>
              <w:topLinePunct w:val="0"/>
              <w:autoSpaceDE/>
              <w:autoSpaceDN/>
              <w:bidi w:val="0"/>
              <w:adjustRightInd/>
              <w:snapToGrid w:val="0"/>
              <w:spacing w:line="240" w:lineRule="exact"/>
              <w:ind w:left="0" w:leftChars="0" w:firstLine="0" w:firstLineChars="0"/>
              <w:jc w:val="center"/>
              <w:textAlignment w:val="auto"/>
              <w:rPr>
                <w:rFonts w:hint="default" w:ascii="Times New Roman" w:hAnsi="Times New Roman" w:eastAsia="方正仿宋_GBK" w:cs="Times New Roman"/>
                <w:color w:val="auto"/>
                <w:kern w:val="0"/>
                <w:sz w:val="24"/>
                <w:szCs w:val="24"/>
                <w:highlight w:val="none"/>
                <w:shd w:val="clear" w:color="auto" w:fill="auto"/>
                <w:lang w:val="en-US" w:eastAsia="zh-CN"/>
              </w:rPr>
            </w:pPr>
            <w:r>
              <w:rPr>
                <w:rFonts w:hint="eastAsia" w:ascii="Times New Roman" w:hAnsi="Times New Roman" w:eastAsia="方正仿宋_GBK" w:cs="Times New Roman"/>
                <w:color w:val="auto"/>
                <w:kern w:val="0"/>
                <w:sz w:val="24"/>
                <w:szCs w:val="24"/>
                <w:highlight w:val="none"/>
                <w:shd w:val="clear" w:color="auto" w:fill="auto"/>
                <w:lang w:val="en-US" w:eastAsia="zh-CN"/>
              </w:rPr>
              <w:t>19.6</w:t>
            </w:r>
          </w:p>
        </w:tc>
      </w:tr>
    </w:tbl>
    <w:p w14:paraId="363E5186">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根据《</w:t>
      </w:r>
      <w:bookmarkStart w:id="87" w:name="_GoBack"/>
      <w:bookmarkEnd w:id="87"/>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文件精神，阜康市实施了2022年</w:t>
      </w: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lang w:val="en-US" w:eastAsia="zh-CN"/>
        </w:rPr>
        <w:t>。</w:t>
      </w:r>
    </w:p>
    <w:p w14:paraId="55E2E645">
      <w:pPr>
        <w:pageBreakBefore w:val="0"/>
        <w:kinsoku/>
        <w:wordWrap/>
        <w:overflowPunct/>
        <w:topLinePunct w:val="0"/>
        <w:autoSpaceDE/>
        <w:autoSpaceDN/>
        <w:bidi w:val="0"/>
        <w:adjustRightIn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58" w:name="_Toc13522"/>
      <w:r>
        <w:rPr>
          <w:rFonts w:hint="eastAsia" w:asciiTheme="minorEastAsia" w:hAnsiTheme="minorEastAsia" w:eastAsiaTheme="minorEastAsia" w:cstheme="minorEastAsia"/>
          <w:b/>
          <w:bCs/>
          <w:color w:val="auto"/>
          <w:sz w:val="28"/>
          <w:szCs w:val="28"/>
          <w:highlight w:val="none"/>
          <w:lang w:val="en-US" w:eastAsia="zh-CN"/>
        </w:rPr>
        <w:t>1.立项依据充分性</w:t>
      </w:r>
      <w:bookmarkEnd w:id="58"/>
    </w:p>
    <w:p w14:paraId="4802F7FC">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①项目立项符合国家法律法规、国民经济发展规划和相关政策</w:t>
      </w:r>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文件精神</w:t>
      </w:r>
      <w:r>
        <w:rPr>
          <w:rFonts w:hint="eastAsia" w:asciiTheme="minorEastAsia" w:hAnsiTheme="minorEastAsia" w:eastAsiaTheme="minorEastAsia" w:cstheme="minorEastAsia"/>
          <w:color w:val="auto"/>
          <w:sz w:val="28"/>
          <w:szCs w:val="28"/>
          <w:highlight w:val="none"/>
          <w:lang w:eastAsia="zh-CN"/>
        </w:rPr>
        <w:t>。</w:t>
      </w:r>
    </w:p>
    <w:p w14:paraId="7DC5EFB0">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项目立项与研究拟订全市农业各产业及农村经济发展中长期规划、农业产业政策、年度工作计划，并组织实施；组织指导市种植业、畜牧业等农业产业基地及示范园建设工作：指导监督农业综合执法；参与涉农的财税、价格、收储、金融保险等政策研究；负责种植业、畜牧业、渔业、农业机械化等农业各产业的监督管理：统筹实施乡村振兴战略，深化农业供给侧结构性改革，提升农业发展质量，扎实推进美丽乡村建设，推动农业全面升级、农村全面进步、农民全面发展，加快实现农业农村现代化相符，属于部门履职所需；</w:t>
      </w:r>
    </w:p>
    <w:p w14:paraId="408BC7DB">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③项目属于公共财政支持范围，符合中央、地方事权支出责任划分原则；</w:t>
      </w:r>
    </w:p>
    <w:p w14:paraId="2637B64E">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④项目与相关部门同类项目或部门内部相关项目</w:t>
      </w:r>
      <w:r>
        <w:rPr>
          <w:rFonts w:hint="eastAsia" w:asciiTheme="minorEastAsia" w:hAnsiTheme="minorEastAsia" w:eastAsiaTheme="minorEastAsia" w:cstheme="minorEastAsia"/>
          <w:color w:val="auto"/>
          <w:sz w:val="28"/>
          <w:szCs w:val="28"/>
          <w:highlight w:val="none"/>
          <w:lang w:val="en-US" w:eastAsia="zh-CN"/>
        </w:rPr>
        <w:t>不</w:t>
      </w:r>
      <w:r>
        <w:rPr>
          <w:rFonts w:hint="eastAsia" w:asciiTheme="minorEastAsia" w:hAnsiTheme="minorEastAsia" w:eastAsiaTheme="minorEastAsia" w:cstheme="minorEastAsia"/>
          <w:color w:val="auto"/>
          <w:sz w:val="28"/>
          <w:szCs w:val="28"/>
          <w:highlight w:val="none"/>
          <w:lang w:eastAsia="zh-CN"/>
        </w:rPr>
        <w:t>重复。</w:t>
      </w:r>
    </w:p>
    <w:p w14:paraId="570FBABC">
      <w:pPr>
        <w:pageBreakBefore w:val="0"/>
        <w:kinsoku/>
        <w:wordWrap/>
        <w:overflowPunct/>
        <w:topLinePunct w:val="0"/>
        <w:autoSpaceDE/>
        <w:autoSpaceDN/>
        <w:bidi w:val="0"/>
        <w:adjustRightInd/>
        <w:spacing w:line="560" w:lineRule="exact"/>
        <w:ind w:firstLine="562"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综上，该项指标满分2分，得分2分。</w:t>
      </w:r>
    </w:p>
    <w:p w14:paraId="66D8FA54">
      <w:pPr>
        <w:pageBreakBefore w:val="0"/>
        <w:kinsoku/>
        <w:wordWrap/>
        <w:overflowPunct/>
        <w:topLinePunct w:val="0"/>
        <w:autoSpaceDE/>
        <w:autoSpaceDN/>
        <w:bidi w:val="0"/>
        <w:adjustRightIn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59" w:name="_Toc21976"/>
      <w:r>
        <w:rPr>
          <w:rFonts w:hint="eastAsia" w:asciiTheme="minorEastAsia" w:hAnsiTheme="minorEastAsia" w:eastAsiaTheme="minorEastAsia" w:cstheme="minorEastAsia"/>
          <w:b/>
          <w:bCs/>
          <w:color w:val="auto"/>
          <w:sz w:val="28"/>
          <w:szCs w:val="28"/>
          <w:highlight w:val="none"/>
          <w:lang w:val="en-US" w:eastAsia="zh-CN"/>
        </w:rPr>
        <w:t>2.立项程序规范性</w:t>
      </w:r>
      <w:bookmarkEnd w:id="59"/>
    </w:p>
    <w:p w14:paraId="6951A8E9">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①项目按照规定的程序申请设立；</w:t>
      </w:r>
    </w:p>
    <w:p w14:paraId="0C9B146B">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②审批文件、材料符合相关要求；</w:t>
      </w:r>
    </w:p>
    <w:p w14:paraId="75DBE07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③事前经过必要的风险评估、绩效评估、集体决策。</w:t>
      </w:r>
      <w:r>
        <w:rPr>
          <w:rFonts w:hint="eastAsia" w:asciiTheme="minorEastAsia" w:hAnsiTheme="minorEastAsia" w:eastAsiaTheme="minorEastAsia" w:cstheme="minorEastAsia"/>
          <w:color w:val="auto"/>
          <w:sz w:val="28"/>
          <w:szCs w:val="28"/>
          <w:highlight w:val="none"/>
          <w:lang w:val="en-US" w:eastAsia="zh-CN"/>
        </w:rPr>
        <w:t>自治州</w:t>
      </w:r>
      <w:r>
        <w:rPr>
          <w:rFonts w:hint="eastAsia" w:asciiTheme="minorEastAsia" w:hAnsiTheme="minorEastAsia" w:eastAsiaTheme="minorEastAsia" w:cstheme="minorEastAsia"/>
          <w:b w:val="0"/>
          <w:bCs w:val="0"/>
          <w:color w:val="auto"/>
          <w:kern w:val="0"/>
          <w:sz w:val="28"/>
          <w:szCs w:val="28"/>
          <w:highlight w:val="none"/>
        </w:rPr>
        <w:t>农产品质量安全网格化监管</w:t>
      </w:r>
      <w:r>
        <w:rPr>
          <w:rFonts w:hint="eastAsia" w:asciiTheme="minorEastAsia" w:hAnsiTheme="minorEastAsia" w:eastAsiaTheme="minorEastAsia" w:cstheme="minorEastAsia"/>
          <w:color w:val="auto"/>
          <w:sz w:val="28"/>
          <w:szCs w:val="28"/>
          <w:highlight w:val="none"/>
          <w:lang w:val="en-US" w:eastAsia="zh-CN"/>
        </w:rPr>
        <w:t>项目根据昌吉州</w:t>
      </w:r>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实施方案进行了申报，实施方案经过局党组会进行了审仪，进行了决策。但没有经过</w:t>
      </w:r>
      <w:r>
        <w:rPr>
          <w:rFonts w:hint="eastAsia" w:asciiTheme="minorEastAsia" w:hAnsiTheme="minorEastAsia" w:eastAsiaTheme="minorEastAsia" w:cstheme="minorEastAsia"/>
          <w:color w:val="auto"/>
          <w:sz w:val="28"/>
          <w:szCs w:val="28"/>
          <w:highlight w:val="none"/>
          <w:lang w:eastAsia="zh-CN"/>
        </w:rPr>
        <w:t>必要的风险评估、绩效评估，</w:t>
      </w:r>
      <w:r>
        <w:rPr>
          <w:rFonts w:hint="eastAsia" w:asciiTheme="minorEastAsia" w:hAnsiTheme="minorEastAsia" w:eastAsiaTheme="minorEastAsia" w:cstheme="minorEastAsia"/>
          <w:color w:val="auto"/>
          <w:sz w:val="28"/>
          <w:szCs w:val="28"/>
          <w:highlight w:val="none"/>
          <w:lang w:val="en-US" w:eastAsia="zh-CN"/>
        </w:rPr>
        <w:t>扣0.4分</w:t>
      </w:r>
      <w:r>
        <w:rPr>
          <w:rFonts w:hint="eastAsia" w:asciiTheme="minorEastAsia" w:hAnsiTheme="minorEastAsia" w:eastAsiaTheme="minorEastAsia" w:cstheme="minorEastAsia"/>
          <w:color w:val="auto"/>
          <w:sz w:val="28"/>
          <w:szCs w:val="28"/>
          <w:highlight w:val="none"/>
          <w:lang w:eastAsia="zh-CN"/>
        </w:rPr>
        <w:t>。</w:t>
      </w:r>
    </w:p>
    <w:p w14:paraId="4C0A13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综上，该项指标满分3分，得分2.6分。</w:t>
      </w:r>
    </w:p>
    <w:p w14:paraId="2460BBB6">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0" w:name="_Toc15382"/>
      <w:r>
        <w:rPr>
          <w:rFonts w:hint="eastAsia" w:asciiTheme="minorEastAsia" w:hAnsiTheme="minorEastAsia" w:eastAsiaTheme="minorEastAsia" w:cstheme="minorEastAsia"/>
          <w:b/>
          <w:bCs/>
          <w:color w:val="auto"/>
          <w:sz w:val="28"/>
          <w:szCs w:val="28"/>
          <w:highlight w:val="none"/>
          <w:lang w:val="en-US" w:eastAsia="zh-CN"/>
        </w:rPr>
        <w:t>3.绩效目标合理性</w:t>
      </w:r>
      <w:bookmarkEnd w:id="60"/>
    </w:p>
    <w:p w14:paraId="266C6E0A">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①项目有绩效目标；</w:t>
      </w:r>
    </w:p>
    <w:p w14:paraId="2A870FC4">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②项目绩效目标与实际工作内容具有相关性；</w:t>
      </w:r>
    </w:p>
    <w:p w14:paraId="18E5B827">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③项目预期产出效益和效果符合正常的业绩水平；</w:t>
      </w:r>
    </w:p>
    <w:p w14:paraId="4FF3EA0E">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④与预算确定的项目投资额或资金量相匹配。</w:t>
      </w:r>
    </w:p>
    <w:p w14:paraId="366E7A08">
      <w:pPr>
        <w:pageBreakBefore w:val="0"/>
        <w:kinsoku/>
        <w:wordWrap/>
        <w:overflowPunct/>
        <w:topLinePunct w:val="0"/>
        <w:autoSpaceDE/>
        <w:autoSpaceDN/>
        <w:bidi w:val="0"/>
        <w:adjustRightInd/>
        <w:spacing w:line="560" w:lineRule="exact"/>
        <w:ind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综上，该项指标满分5分，得分5分。</w:t>
      </w:r>
    </w:p>
    <w:p w14:paraId="57F5EF60">
      <w:pPr>
        <w:pageBreakBefore w:val="0"/>
        <w:kinsoku/>
        <w:wordWrap/>
        <w:overflowPunct/>
        <w:topLinePunct w:val="0"/>
        <w:autoSpaceDE/>
        <w:autoSpaceDN/>
        <w:bidi w:val="0"/>
        <w:adjustRightIn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1" w:name="_Toc10650"/>
      <w:r>
        <w:rPr>
          <w:rFonts w:hint="eastAsia" w:asciiTheme="minorEastAsia" w:hAnsiTheme="minorEastAsia" w:eastAsiaTheme="minorEastAsia" w:cstheme="minorEastAsia"/>
          <w:b/>
          <w:bCs/>
          <w:color w:val="auto"/>
          <w:sz w:val="28"/>
          <w:szCs w:val="28"/>
          <w:highlight w:val="none"/>
          <w:lang w:val="en-US" w:eastAsia="zh-CN"/>
        </w:rPr>
        <w:t>4.绩效指标明确性</w:t>
      </w:r>
      <w:bookmarkEnd w:id="61"/>
    </w:p>
    <w:p w14:paraId="7FE4BE58">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①将项目绩效目标细化分解为具体的绩效指标，</w:t>
      </w:r>
      <w:r>
        <w:rPr>
          <w:rFonts w:hint="eastAsia" w:asciiTheme="minorEastAsia" w:hAnsiTheme="minorEastAsia" w:eastAsiaTheme="minorEastAsia" w:cstheme="minorEastAsia"/>
          <w:color w:val="auto"/>
          <w:sz w:val="28"/>
          <w:szCs w:val="28"/>
          <w:highlight w:val="none"/>
          <w:lang w:val="en-US" w:eastAsia="zh-CN"/>
        </w:rPr>
        <w:t>5个二级指标和8个三级指标</w:t>
      </w:r>
      <w:r>
        <w:rPr>
          <w:rFonts w:hint="eastAsia" w:asciiTheme="minorEastAsia" w:hAnsiTheme="minorEastAsia" w:eastAsiaTheme="minorEastAsia" w:cstheme="minorEastAsia"/>
          <w:color w:val="auto"/>
          <w:sz w:val="28"/>
          <w:szCs w:val="28"/>
          <w:highlight w:val="none"/>
          <w:lang w:eastAsia="zh-CN"/>
        </w:rPr>
        <w:t>；</w:t>
      </w:r>
    </w:p>
    <w:p w14:paraId="2E0551E0">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②通过清晰、可衡量的指标值予以体现，</w:t>
      </w:r>
      <w:r>
        <w:rPr>
          <w:rFonts w:hint="eastAsia" w:asciiTheme="minorEastAsia" w:hAnsiTheme="minorEastAsia" w:eastAsiaTheme="minorEastAsia" w:cstheme="minorEastAsia"/>
          <w:color w:val="auto"/>
          <w:sz w:val="28"/>
          <w:szCs w:val="28"/>
          <w:highlight w:val="none"/>
          <w:lang w:val="en-US" w:eastAsia="zh-CN"/>
        </w:rPr>
        <w:t>指标量化率87.5%</w:t>
      </w:r>
      <w:r>
        <w:rPr>
          <w:rFonts w:hint="eastAsia" w:asciiTheme="minorEastAsia" w:hAnsiTheme="minorEastAsia" w:eastAsiaTheme="minorEastAsia" w:cstheme="minorEastAsia"/>
          <w:color w:val="auto"/>
          <w:sz w:val="28"/>
          <w:szCs w:val="28"/>
          <w:highlight w:val="none"/>
          <w:lang w:eastAsia="zh-CN"/>
        </w:rPr>
        <w:t>；</w:t>
      </w:r>
    </w:p>
    <w:p w14:paraId="2FDA96F0">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③与项目目标任务数或计划数相对应。</w:t>
      </w:r>
    </w:p>
    <w:p w14:paraId="1B7B4FD1">
      <w:pPr>
        <w:pageBreakBefore w:val="0"/>
        <w:kinsoku/>
        <w:wordWrap/>
        <w:overflowPunct/>
        <w:topLinePunct w:val="0"/>
        <w:autoSpaceDE/>
        <w:autoSpaceDN/>
        <w:bidi w:val="0"/>
        <w:adjustRightInd/>
        <w:spacing w:line="560" w:lineRule="exact"/>
        <w:ind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综上，该项指标满分5分，得分5分。</w:t>
      </w:r>
    </w:p>
    <w:p w14:paraId="2963CC9E">
      <w:pPr>
        <w:pageBreakBefore w:val="0"/>
        <w:kinsoku/>
        <w:wordWrap/>
        <w:overflowPunct/>
        <w:topLinePunct w:val="0"/>
        <w:autoSpaceDE/>
        <w:autoSpaceDN/>
        <w:bidi w:val="0"/>
        <w:adjustRightIn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2" w:name="_Toc19401"/>
      <w:r>
        <w:rPr>
          <w:rFonts w:hint="eastAsia" w:asciiTheme="minorEastAsia" w:hAnsiTheme="minorEastAsia" w:eastAsiaTheme="minorEastAsia" w:cstheme="minorEastAsia"/>
          <w:b/>
          <w:bCs/>
          <w:color w:val="auto"/>
          <w:sz w:val="28"/>
          <w:szCs w:val="28"/>
          <w:highlight w:val="none"/>
          <w:lang w:val="en-US" w:eastAsia="zh-CN"/>
        </w:rPr>
        <w:t>5.预算编制科学性</w:t>
      </w:r>
      <w:bookmarkEnd w:id="62"/>
    </w:p>
    <w:p w14:paraId="5B609FB6">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①预算编制经过科学论证；</w:t>
      </w:r>
    </w:p>
    <w:p w14:paraId="5E120A2E">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②预算内容与项目内容匹配；</w:t>
      </w:r>
    </w:p>
    <w:p w14:paraId="6AA2F27A">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③预算额度测算依据充分，按照标准编制；</w:t>
      </w:r>
    </w:p>
    <w:p w14:paraId="4487F58A">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④预算确定的项目投资额或资金量与工作任务相匹配。</w:t>
      </w:r>
    </w:p>
    <w:p w14:paraId="637EFAA5">
      <w:pPr>
        <w:pageBreakBefore w:val="0"/>
        <w:kinsoku/>
        <w:wordWrap/>
        <w:overflowPunct/>
        <w:topLinePunct w:val="0"/>
        <w:autoSpaceDE/>
        <w:autoSpaceDN/>
        <w:bidi w:val="0"/>
        <w:adjustRightInd/>
        <w:spacing w:line="560" w:lineRule="exact"/>
        <w:ind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综上，该项指标满分2分，得分2分。</w:t>
      </w:r>
    </w:p>
    <w:p w14:paraId="10689F73">
      <w:pPr>
        <w:pageBreakBefore w:val="0"/>
        <w:kinsoku/>
        <w:wordWrap/>
        <w:overflowPunct/>
        <w:topLinePunct w:val="0"/>
        <w:autoSpaceDE/>
        <w:autoSpaceDN/>
        <w:bidi w:val="0"/>
        <w:adjustRightInd/>
        <w:spacing w:line="560" w:lineRule="exact"/>
        <w:ind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3" w:name="_Toc697"/>
      <w:r>
        <w:rPr>
          <w:rFonts w:hint="eastAsia" w:asciiTheme="minorEastAsia" w:hAnsiTheme="minorEastAsia" w:eastAsiaTheme="minorEastAsia" w:cstheme="minorEastAsia"/>
          <w:b/>
          <w:bCs/>
          <w:color w:val="auto"/>
          <w:sz w:val="28"/>
          <w:szCs w:val="28"/>
          <w:highlight w:val="none"/>
          <w:lang w:val="en-US" w:eastAsia="zh-CN"/>
        </w:rPr>
        <w:t>6.资金分配合理性</w:t>
      </w:r>
      <w:bookmarkEnd w:id="63"/>
    </w:p>
    <w:p w14:paraId="0C140B3A">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①预算资金分配依据充分；</w:t>
      </w:r>
    </w:p>
    <w:p w14:paraId="223A0808">
      <w:pPr>
        <w:pageBreakBefore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②资金分配额度合理，与项目单位或地方实际相适应。</w:t>
      </w:r>
    </w:p>
    <w:p w14:paraId="311A1FE9">
      <w:pPr>
        <w:pageBreakBefore w:val="0"/>
        <w:kinsoku/>
        <w:wordWrap/>
        <w:overflowPunct/>
        <w:topLinePunct w:val="0"/>
        <w:autoSpaceDE/>
        <w:autoSpaceDN/>
        <w:bidi w:val="0"/>
        <w:adjustRightInd/>
        <w:spacing w:line="560" w:lineRule="exact"/>
        <w:ind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综上，该项指标满分3分，得分3分。</w:t>
      </w:r>
    </w:p>
    <w:p w14:paraId="3A901C4D">
      <w:pPr>
        <w:pStyle w:val="3"/>
        <w:keepNext/>
        <w:keepLines/>
        <w:pageBreakBefore w:val="0"/>
        <w:widowControl w:val="0"/>
        <w:kinsoku/>
        <w:wordWrap/>
        <w:overflowPunct/>
        <w:topLinePunct w:val="0"/>
        <w:autoSpaceDE/>
        <w:autoSpaceDN/>
        <w:bidi w:val="0"/>
        <w:adjustRightInd/>
        <w:snapToGrid/>
        <w:spacing w:beforeLines="0" w:afterLines="0" w:line="560" w:lineRule="exact"/>
        <w:ind w:firstLine="562" w:firstLineChars="200"/>
        <w:textAlignment w:val="auto"/>
        <w:rPr>
          <w:rFonts w:hint="eastAsia" w:asciiTheme="minorEastAsia" w:hAnsiTheme="minorEastAsia" w:eastAsiaTheme="minorEastAsia" w:cstheme="minorEastAsia"/>
          <w:b/>
          <w:bCs w:val="0"/>
          <w:color w:val="auto"/>
          <w:sz w:val="28"/>
          <w:szCs w:val="28"/>
          <w:highlight w:val="none"/>
          <w:shd w:val="clear" w:color="auto" w:fill="auto"/>
        </w:rPr>
      </w:pPr>
      <w:bookmarkStart w:id="64" w:name="_Toc11361"/>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lang w:val="en-US" w:eastAsia="zh-CN"/>
        </w:rPr>
        <w:t>二</w:t>
      </w:r>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rPr>
        <w:t>项目过程情况</w:t>
      </w:r>
      <w:bookmarkEnd w:id="64"/>
    </w:p>
    <w:p w14:paraId="3C6E031F">
      <w:pPr>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pP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项目</w:t>
      </w:r>
      <w:r>
        <w:rPr>
          <w:rFonts w:hint="eastAsia" w:asciiTheme="minorEastAsia" w:hAnsiTheme="minorEastAsia" w:eastAsiaTheme="minorEastAsia" w:cstheme="minorEastAsia"/>
          <w:color w:val="auto"/>
          <w:sz w:val="28"/>
          <w:szCs w:val="28"/>
          <w:highlight w:val="none"/>
          <w:shd w:val="clear" w:color="auto" w:fill="auto"/>
        </w:rPr>
        <w:t>过程</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管理</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类指标由</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2</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个</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CN"/>
        </w:rPr>
        <w:t>二</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级指标和</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5</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个</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三</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级指标构成，权重分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20</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分，实际得分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19.93</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各指标业绩值和绩效分值如表</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4</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-2</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所示</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b/>
          <w:bCs/>
          <w:color w:val="auto"/>
          <w:kern w:val="2"/>
          <w:sz w:val="28"/>
          <w:szCs w:val="28"/>
          <w:highlight w:val="none"/>
          <w:u w:color="000000"/>
          <w:shd w:val="clear" w:color="auto" w:fill="auto"/>
          <w:lang w:val="en-US" w:eastAsia="zh-CN"/>
        </w:rPr>
        <w:t>详见上传的附件</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w:t>
      </w:r>
    </w:p>
    <w:p w14:paraId="787591E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8"/>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3F0DFEB8">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AE0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2BC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0304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E1F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0632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3EE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1C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6108F44">
        <w:tblPrEx>
          <w:tblCellMar>
            <w:top w:w="0" w:type="dxa"/>
            <w:left w:w="0" w:type="dxa"/>
            <w:bottom w:w="0" w:type="dxa"/>
            <w:right w:w="0" w:type="dxa"/>
          </w:tblCellMar>
        </w:tblPrEx>
        <w:trPr>
          <w:trHeight w:val="27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08C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54FC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D99D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37B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8FA8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EF6C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688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FBE6973">
        <w:tblPrEx>
          <w:tblCellMar>
            <w:top w:w="0" w:type="dxa"/>
            <w:left w:w="0" w:type="dxa"/>
            <w:bottom w:w="0" w:type="dxa"/>
            <w:right w:w="0" w:type="dxa"/>
          </w:tblCellMar>
        </w:tblPrEx>
        <w:trPr>
          <w:trHeight w:val="297"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EEE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17C7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E85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2B5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9A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8D4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65E1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3.93</w:t>
            </w:r>
          </w:p>
        </w:tc>
      </w:tr>
      <w:tr w14:paraId="258FEAA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3CC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5BC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17E3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B36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C3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18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9C0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E1BAA4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28A1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A0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9956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3F7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A3CF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344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DCE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C9BF13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CC70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853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4A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9DF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21EE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56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FDD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B39BD85">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C3E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7F8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8C1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97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B88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19.93</w:t>
            </w:r>
          </w:p>
        </w:tc>
      </w:tr>
    </w:tbl>
    <w:p w14:paraId="60EE9A03">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5" w:name="_Toc3886"/>
      <w:r>
        <w:rPr>
          <w:rFonts w:hint="eastAsia" w:asciiTheme="minorEastAsia" w:hAnsiTheme="minorEastAsia" w:eastAsiaTheme="minorEastAsia" w:cstheme="minorEastAsia"/>
          <w:b/>
          <w:bCs/>
          <w:color w:val="auto"/>
          <w:sz w:val="28"/>
          <w:szCs w:val="28"/>
          <w:highlight w:val="none"/>
          <w:lang w:val="en-US" w:eastAsia="zh-CN"/>
        </w:rPr>
        <w:t>1.资金到位率</w:t>
      </w:r>
      <w:bookmarkEnd w:id="65"/>
    </w:p>
    <w:p w14:paraId="5052DDF0">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资金到位率=（</w:t>
      </w:r>
      <w:r>
        <w:rPr>
          <w:rFonts w:hint="eastAsia" w:asciiTheme="minorEastAsia" w:hAnsiTheme="minorEastAsia" w:eastAsiaTheme="minorEastAsia" w:cstheme="minorEastAsia"/>
          <w:color w:val="auto"/>
          <w:sz w:val="28"/>
          <w:szCs w:val="28"/>
          <w:highlight w:val="none"/>
          <w:lang w:val="en-US" w:eastAsia="zh-CN"/>
        </w:rPr>
        <w:t>8万元</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8万元</w:t>
      </w:r>
      <w:r>
        <w:rPr>
          <w:rFonts w:hint="eastAsia" w:asciiTheme="minorEastAsia" w:hAnsiTheme="minorEastAsia" w:eastAsiaTheme="minorEastAsia" w:cstheme="minorEastAsia"/>
          <w:color w:val="auto"/>
          <w:sz w:val="28"/>
          <w:szCs w:val="28"/>
          <w:highlight w:val="none"/>
          <w:lang w:eastAsia="zh-CN"/>
        </w:rPr>
        <w:t>）×100%。</w:t>
      </w:r>
      <w:r>
        <w:rPr>
          <w:rFonts w:hint="eastAsia" w:asciiTheme="minorEastAsia" w:hAnsiTheme="minorEastAsia" w:eastAsiaTheme="minorEastAsia" w:cstheme="minorEastAsia"/>
          <w:b/>
          <w:bCs/>
          <w:color w:val="auto"/>
          <w:sz w:val="28"/>
          <w:szCs w:val="28"/>
          <w:highlight w:val="none"/>
          <w:lang w:val="en-US" w:eastAsia="zh-CN"/>
        </w:rPr>
        <w:t>=100%</w:t>
      </w:r>
    </w:p>
    <w:p w14:paraId="49957B22">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 xml:space="preserve">综上，该项指标满分4分，得分4分。 </w:t>
      </w:r>
    </w:p>
    <w:p w14:paraId="0B3A305C">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6" w:name="_Toc9705"/>
      <w:r>
        <w:rPr>
          <w:rFonts w:hint="eastAsia" w:asciiTheme="minorEastAsia" w:hAnsiTheme="minorEastAsia" w:eastAsiaTheme="minorEastAsia" w:cstheme="minorEastAsia"/>
          <w:b/>
          <w:bCs/>
          <w:color w:val="auto"/>
          <w:sz w:val="28"/>
          <w:szCs w:val="28"/>
          <w:highlight w:val="none"/>
          <w:lang w:val="en-US" w:eastAsia="zh-CN"/>
        </w:rPr>
        <w:t>2.预算执行率</w:t>
      </w:r>
      <w:bookmarkEnd w:id="66"/>
    </w:p>
    <w:p w14:paraId="1B3C40A1">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预算执行率=（</w:t>
      </w:r>
      <w:r>
        <w:rPr>
          <w:rFonts w:hint="eastAsia" w:asciiTheme="minorEastAsia" w:hAnsiTheme="minorEastAsia" w:eastAsiaTheme="minorEastAsia" w:cstheme="minorEastAsia"/>
          <w:color w:val="auto"/>
          <w:sz w:val="28"/>
          <w:szCs w:val="28"/>
          <w:highlight w:val="none"/>
          <w:lang w:val="en-US" w:eastAsia="zh-CN"/>
        </w:rPr>
        <w:t>7.86万元</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8万元</w:t>
      </w:r>
      <w:r>
        <w:rPr>
          <w:rFonts w:hint="eastAsia" w:asciiTheme="minorEastAsia" w:hAnsiTheme="minorEastAsia" w:eastAsiaTheme="minorEastAsia" w:cstheme="minorEastAsia"/>
          <w:color w:val="auto"/>
          <w:sz w:val="28"/>
          <w:szCs w:val="28"/>
          <w:highlight w:val="none"/>
          <w:lang w:eastAsia="zh-CN"/>
        </w:rPr>
        <w:t>）×100%</w:t>
      </w:r>
      <w:r>
        <w:rPr>
          <w:rFonts w:hint="eastAsia" w:asciiTheme="minorEastAsia" w:hAnsiTheme="minorEastAsia" w:eastAsiaTheme="minorEastAsia" w:cstheme="minorEastAsia"/>
          <w:b/>
          <w:bCs/>
          <w:color w:val="auto"/>
          <w:sz w:val="28"/>
          <w:szCs w:val="28"/>
          <w:highlight w:val="none"/>
          <w:lang w:val="en-US" w:eastAsia="zh-CN"/>
        </w:rPr>
        <w:t>=98.25%</w:t>
      </w:r>
    </w:p>
    <w:p w14:paraId="23F1AEBE">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综上，该项指标满分4分，得分3.93分。</w:t>
      </w:r>
    </w:p>
    <w:p w14:paraId="66F87238">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7" w:name="_Toc18691"/>
      <w:r>
        <w:rPr>
          <w:rFonts w:hint="eastAsia" w:asciiTheme="minorEastAsia" w:hAnsiTheme="minorEastAsia" w:eastAsiaTheme="minorEastAsia" w:cstheme="minorEastAsia"/>
          <w:b/>
          <w:bCs/>
          <w:color w:val="auto"/>
          <w:sz w:val="28"/>
          <w:szCs w:val="28"/>
          <w:highlight w:val="none"/>
          <w:lang w:val="en-US" w:eastAsia="zh-CN"/>
        </w:rPr>
        <w:t>3.资金使用合规性</w:t>
      </w:r>
      <w:bookmarkEnd w:id="67"/>
    </w:p>
    <w:p w14:paraId="07A9B66A">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①符合国家财经法规和《</w:t>
      </w:r>
      <w:r>
        <w:rPr>
          <w:rFonts w:hint="eastAsia" w:asciiTheme="minorEastAsia" w:hAnsiTheme="minorEastAsia" w:eastAsiaTheme="minorEastAsia" w:cstheme="minorEastAsia"/>
          <w:color w:val="auto"/>
          <w:sz w:val="28"/>
          <w:szCs w:val="28"/>
          <w:highlight w:val="none"/>
          <w:lang w:val="en-US" w:eastAsia="zh-CN"/>
        </w:rPr>
        <w:t>阜康市农业农村局财务管理办法</w:t>
      </w:r>
      <w:r>
        <w:rPr>
          <w:rFonts w:hint="eastAsia" w:asciiTheme="minorEastAsia" w:hAnsiTheme="minorEastAsia" w:eastAsiaTheme="minorEastAsia" w:cstheme="minorEastAsia"/>
          <w:color w:val="auto"/>
          <w:sz w:val="28"/>
          <w:szCs w:val="28"/>
          <w:highlight w:val="none"/>
          <w:lang w:eastAsia="zh-CN"/>
        </w:rPr>
        <w:t>》以及有关专项资金管理办法的规定；</w:t>
      </w:r>
    </w:p>
    <w:p w14:paraId="02E8A1B0">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②资金的拨付有完整的审批程序和手续；</w:t>
      </w:r>
    </w:p>
    <w:p w14:paraId="07C949AB">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③符合项目预算批复或合同规定的用途；</w:t>
      </w:r>
    </w:p>
    <w:p w14:paraId="0FDF629C">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④</w:t>
      </w:r>
      <w:r>
        <w:rPr>
          <w:rFonts w:hint="eastAsia" w:asciiTheme="minorEastAsia" w:hAnsiTheme="minorEastAsia" w:eastAsiaTheme="minorEastAsia" w:cstheme="minorEastAsia"/>
          <w:color w:val="auto"/>
          <w:sz w:val="28"/>
          <w:szCs w:val="28"/>
          <w:highlight w:val="none"/>
          <w:lang w:val="en-US" w:eastAsia="zh-CN"/>
        </w:rPr>
        <w:t>不</w:t>
      </w:r>
      <w:r>
        <w:rPr>
          <w:rFonts w:hint="eastAsia" w:asciiTheme="minorEastAsia" w:hAnsiTheme="minorEastAsia" w:eastAsiaTheme="minorEastAsia" w:cstheme="minorEastAsia"/>
          <w:color w:val="auto"/>
          <w:sz w:val="28"/>
          <w:szCs w:val="28"/>
          <w:highlight w:val="none"/>
          <w:lang w:eastAsia="zh-CN"/>
        </w:rPr>
        <w:t>存在截留、挤占、挪用、虚列支出等情况。</w:t>
      </w:r>
    </w:p>
    <w:p w14:paraId="25B96EB8">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综上，该项指标满分4分，得分4分。</w:t>
      </w:r>
    </w:p>
    <w:p w14:paraId="7DEF72BC">
      <w:pPr>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4.管理制度健全性</w:t>
      </w:r>
    </w:p>
    <w:p w14:paraId="247FCCF7">
      <w:pPr>
        <w:pageBreakBefore w:val="0"/>
        <w:widowControl w:val="0"/>
        <w:numPr>
          <w:ilvl w:val="0"/>
          <w:numId w:val="0"/>
        </w:numPr>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lang w:val="en-US" w:eastAsia="zh-CN"/>
        </w:rPr>
        <w:t>有明确的政策文件和资金下达文件，</w:t>
      </w:r>
      <w:r>
        <w:rPr>
          <w:rFonts w:hint="eastAsia" w:asciiTheme="minorEastAsia" w:hAnsiTheme="minorEastAsia" w:eastAsiaTheme="minorEastAsia" w:cstheme="minorEastAsia"/>
          <w:color w:val="auto"/>
          <w:sz w:val="28"/>
          <w:szCs w:val="28"/>
          <w:highlight w:val="none"/>
        </w:rPr>
        <w:t>《关于下达2022年昌吉州农业发展专项资金预算的通知》（昌州财农〔202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41</w:t>
      </w:r>
      <w:r>
        <w:rPr>
          <w:rFonts w:hint="eastAsia" w:asciiTheme="minorEastAsia" w:hAnsiTheme="minorEastAsia" w:eastAsiaTheme="minorEastAsia" w:cstheme="minorEastAsia"/>
          <w:color w:val="auto"/>
          <w:sz w:val="28"/>
          <w:szCs w:val="28"/>
          <w:highlight w:val="none"/>
        </w:rPr>
        <w:t>号）</w:t>
      </w:r>
      <w:r>
        <w:rPr>
          <w:rFonts w:hint="eastAsia" w:asciiTheme="minorEastAsia" w:hAnsiTheme="minorEastAsia" w:eastAsiaTheme="minorEastAsia" w:cstheme="minorEastAsia"/>
          <w:color w:val="auto"/>
          <w:sz w:val="28"/>
          <w:szCs w:val="28"/>
          <w:highlight w:val="none"/>
          <w:lang w:val="en-US" w:eastAsia="zh-CN"/>
        </w:rPr>
        <w:t>文件</w:t>
      </w:r>
      <w:r>
        <w:rPr>
          <w:rFonts w:hint="eastAsia" w:asciiTheme="minorEastAsia" w:hAnsiTheme="minorEastAsia" w:eastAsiaTheme="minorEastAsia" w:cstheme="minorEastAsia"/>
          <w:color w:val="auto"/>
          <w:sz w:val="28"/>
          <w:szCs w:val="28"/>
          <w:highlight w:val="none"/>
          <w:lang w:eastAsia="zh-CN"/>
        </w:rPr>
        <w:t>。</w:t>
      </w:r>
    </w:p>
    <w:p w14:paraId="0EB1CABF">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①已制定或具有相应的《</w:t>
      </w:r>
      <w:r>
        <w:rPr>
          <w:rFonts w:hint="eastAsia" w:asciiTheme="minorEastAsia" w:hAnsiTheme="minorEastAsia" w:eastAsiaTheme="minorEastAsia" w:cstheme="minorEastAsia"/>
          <w:color w:val="auto"/>
          <w:sz w:val="28"/>
          <w:szCs w:val="28"/>
          <w:highlight w:val="none"/>
          <w:lang w:val="en-US" w:eastAsia="zh-CN"/>
        </w:rPr>
        <w:t>阜康市农业农村局财务管理办法</w:t>
      </w:r>
      <w:r>
        <w:rPr>
          <w:rFonts w:hint="eastAsia" w:asciiTheme="minorEastAsia" w:hAnsiTheme="minorEastAsia" w:eastAsiaTheme="minorEastAsia" w:cstheme="minorEastAsia"/>
          <w:color w:val="auto"/>
          <w:sz w:val="28"/>
          <w:szCs w:val="28"/>
          <w:highlight w:val="none"/>
          <w:lang w:eastAsia="zh-CN"/>
        </w:rPr>
        <w:t>》；</w:t>
      </w:r>
    </w:p>
    <w:p w14:paraId="14AA27B2">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②财务和业务管理制度合法、合规、完整。</w:t>
      </w:r>
    </w:p>
    <w:p w14:paraId="6C384337">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综上，该项指标满分4分，得分4分。</w:t>
      </w:r>
    </w:p>
    <w:p w14:paraId="5AC42970">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68" w:name="_Toc31684"/>
      <w:r>
        <w:rPr>
          <w:rFonts w:hint="eastAsia" w:asciiTheme="minorEastAsia" w:hAnsiTheme="minorEastAsia" w:eastAsiaTheme="minorEastAsia" w:cstheme="minorEastAsia"/>
          <w:b/>
          <w:bCs/>
          <w:color w:val="auto"/>
          <w:sz w:val="28"/>
          <w:szCs w:val="28"/>
          <w:highlight w:val="none"/>
          <w:lang w:val="en-US" w:eastAsia="zh-CN"/>
        </w:rPr>
        <w:t>5.制度执行有效性</w:t>
      </w:r>
      <w:bookmarkEnd w:id="68"/>
    </w:p>
    <w:p w14:paraId="4F32E347">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①遵守相关法律法规和相关管理规定；</w:t>
      </w:r>
    </w:p>
    <w:p w14:paraId="24E0A97C">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②项目</w:t>
      </w:r>
      <w:r>
        <w:rPr>
          <w:rFonts w:hint="eastAsia" w:asciiTheme="minorEastAsia" w:hAnsiTheme="minorEastAsia" w:eastAsiaTheme="minorEastAsia" w:cstheme="minorEastAsia"/>
          <w:color w:val="auto"/>
          <w:sz w:val="28"/>
          <w:szCs w:val="28"/>
          <w:highlight w:val="none"/>
          <w:lang w:val="en-US" w:eastAsia="zh-CN"/>
        </w:rPr>
        <w:t>未做调整</w:t>
      </w:r>
      <w:r>
        <w:rPr>
          <w:rFonts w:hint="eastAsia" w:asciiTheme="minorEastAsia" w:hAnsiTheme="minorEastAsia" w:eastAsiaTheme="minorEastAsia" w:cstheme="minorEastAsia"/>
          <w:color w:val="auto"/>
          <w:sz w:val="28"/>
          <w:szCs w:val="28"/>
          <w:highlight w:val="none"/>
          <w:lang w:eastAsia="zh-CN"/>
        </w:rPr>
        <w:t>；</w:t>
      </w:r>
    </w:p>
    <w:p w14:paraId="3367D94F">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③</w:t>
      </w:r>
      <w:r>
        <w:rPr>
          <w:rFonts w:hint="eastAsia" w:asciiTheme="minorEastAsia" w:hAnsiTheme="minorEastAsia" w:eastAsiaTheme="minorEastAsia" w:cstheme="minorEastAsia"/>
          <w:color w:val="auto"/>
          <w:sz w:val="28"/>
          <w:szCs w:val="28"/>
          <w:highlight w:val="none"/>
          <w:lang w:val="en-US" w:eastAsia="zh-CN"/>
        </w:rPr>
        <w:t>采购合同、发票、验收单</w:t>
      </w:r>
      <w:r>
        <w:rPr>
          <w:rFonts w:hint="eastAsia" w:asciiTheme="minorEastAsia" w:hAnsiTheme="minorEastAsia" w:eastAsiaTheme="minorEastAsia" w:cstheme="minorEastAsia"/>
          <w:color w:val="auto"/>
          <w:sz w:val="28"/>
          <w:szCs w:val="28"/>
          <w:highlight w:val="none"/>
          <w:lang w:eastAsia="zh-CN"/>
        </w:rPr>
        <w:t>等资料齐全并及时归档；</w:t>
      </w:r>
    </w:p>
    <w:p w14:paraId="48B08EB7">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④项目实施</w:t>
      </w:r>
      <w:r>
        <w:rPr>
          <w:rFonts w:hint="eastAsia" w:asciiTheme="minorEastAsia" w:hAnsiTheme="minorEastAsia" w:eastAsiaTheme="minorEastAsia" w:cstheme="minorEastAsia"/>
          <w:color w:val="auto"/>
          <w:sz w:val="28"/>
          <w:szCs w:val="28"/>
          <w:highlight w:val="none"/>
          <w:lang w:val="en-US" w:eastAsia="zh-CN"/>
        </w:rPr>
        <w:t>由阜康市农业农村局（乡村振兴局）实施，具体由农牧业技术推广中心具体负责，办公室主任由农产品质量安全检验检测中心王杨永玲任，成员有刘桂伶、赵宇、杨阳组成。主要负责检测任务的完成、试剂和耗材的采购验收拨付、档案整理、后期管理等。</w:t>
      </w:r>
    </w:p>
    <w:p w14:paraId="74240851">
      <w:pPr>
        <w:pageBreakBefore w:val="0"/>
        <w:widowControl w:val="0"/>
        <w:kinsoku/>
        <w:wordWrap/>
        <w:overflowPunct/>
        <w:topLinePunct w:val="0"/>
        <w:autoSpaceDE/>
        <w:autoSpaceDN/>
        <w:bidi w:val="0"/>
        <w:adjustRightInd/>
        <w:snapToGrid/>
        <w:spacing w:line="560" w:lineRule="exact"/>
        <w:ind w:left="0" w:leftChars="0" w:firstLine="562"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综上，该项指标满分4分，得分4分。</w:t>
      </w:r>
    </w:p>
    <w:p w14:paraId="1001A12D">
      <w:pPr>
        <w:pStyle w:val="3"/>
        <w:pageBreakBefore w:val="0"/>
        <w:widowControl w:val="0"/>
        <w:numPr>
          <w:ilvl w:val="0"/>
          <w:numId w:val="0"/>
        </w:numPr>
        <w:kinsoku/>
        <w:wordWrap/>
        <w:overflowPunct/>
        <w:topLinePunct w:val="0"/>
        <w:autoSpaceDE/>
        <w:autoSpaceDN/>
        <w:bidi w:val="0"/>
        <w:adjustRightInd/>
        <w:snapToGrid/>
        <w:spacing w:beforeLines="0" w:afterLines="0" w:line="560" w:lineRule="exact"/>
        <w:ind w:left="0" w:leftChars="0" w:firstLine="562" w:firstLineChars="200"/>
        <w:textAlignment w:val="auto"/>
        <w:rPr>
          <w:rFonts w:hint="eastAsia" w:asciiTheme="minorEastAsia" w:hAnsiTheme="minorEastAsia" w:eastAsiaTheme="minorEastAsia" w:cstheme="minorEastAsia"/>
          <w:b/>
          <w:bCs w:val="0"/>
          <w:color w:val="auto"/>
          <w:sz w:val="28"/>
          <w:szCs w:val="28"/>
          <w:highlight w:val="none"/>
          <w:shd w:val="clear" w:color="auto" w:fill="auto"/>
        </w:rPr>
      </w:pPr>
      <w:bookmarkStart w:id="69" w:name="_Toc16268"/>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lang w:val="en-US" w:eastAsia="zh-CN"/>
        </w:rPr>
        <w:t>三</w:t>
      </w:r>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rPr>
        <w:t>项目产出情况</w:t>
      </w:r>
      <w:bookmarkEnd w:id="69"/>
    </w:p>
    <w:p w14:paraId="4585AD59">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pP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项目</w:t>
      </w:r>
      <w:r>
        <w:rPr>
          <w:rFonts w:hint="eastAsia" w:asciiTheme="minorEastAsia" w:hAnsiTheme="minorEastAsia" w:eastAsiaTheme="minorEastAsia" w:cstheme="minorEastAsia"/>
          <w:color w:val="auto"/>
          <w:sz w:val="28"/>
          <w:szCs w:val="28"/>
          <w:highlight w:val="none"/>
          <w:shd w:val="clear" w:color="auto" w:fill="auto"/>
          <w:lang w:val="en-US" w:eastAsia="zh-CN"/>
        </w:rPr>
        <w:t>产出</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类指标由</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4个二</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级指标和</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7</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个</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三</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级指标构成，权重分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30</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分，实际得分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25</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各指标业绩值和绩效分值如表</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4</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3</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所示</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b/>
          <w:bCs/>
          <w:color w:val="auto"/>
          <w:kern w:val="2"/>
          <w:sz w:val="28"/>
          <w:szCs w:val="28"/>
          <w:highlight w:val="none"/>
          <w:u w:color="000000"/>
          <w:shd w:val="clear" w:color="auto" w:fill="auto"/>
          <w:lang w:val="en-US" w:eastAsia="zh-CN"/>
        </w:rPr>
        <w:t>详见上传的附件</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w:t>
      </w:r>
    </w:p>
    <w:p w14:paraId="1A6E742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8"/>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826"/>
        <w:gridCol w:w="2746"/>
        <w:gridCol w:w="1437"/>
        <w:gridCol w:w="558"/>
        <w:gridCol w:w="1365"/>
        <w:gridCol w:w="631"/>
      </w:tblGrid>
      <w:tr w14:paraId="66C83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14:paraId="3CAFF2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826" w:type="dxa"/>
            <w:shd w:val="clear" w:color="auto" w:fill="auto"/>
            <w:tcMar>
              <w:top w:w="15" w:type="dxa"/>
              <w:left w:w="15" w:type="dxa"/>
              <w:right w:w="15" w:type="dxa"/>
            </w:tcMar>
            <w:vAlign w:val="center"/>
          </w:tcPr>
          <w:p w14:paraId="1C8EF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6" w:type="dxa"/>
            <w:shd w:val="clear" w:color="auto" w:fill="auto"/>
            <w:tcMar>
              <w:top w:w="15" w:type="dxa"/>
              <w:left w:w="15" w:type="dxa"/>
              <w:right w:w="15" w:type="dxa"/>
            </w:tcMar>
            <w:vAlign w:val="center"/>
          </w:tcPr>
          <w:p w14:paraId="6ED000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14:paraId="2C4AD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4B7F2F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38B29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66ABB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DC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14:paraId="1EC480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826" w:type="dxa"/>
            <w:shd w:val="clear" w:color="auto" w:fill="auto"/>
            <w:tcMar>
              <w:top w:w="15" w:type="dxa"/>
              <w:left w:w="15" w:type="dxa"/>
              <w:right w:w="15" w:type="dxa"/>
            </w:tcMar>
            <w:vAlign w:val="center"/>
          </w:tcPr>
          <w:p w14:paraId="614D07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746" w:type="dxa"/>
            <w:shd w:val="clear" w:color="auto" w:fill="auto"/>
            <w:tcMar>
              <w:top w:w="15" w:type="dxa"/>
              <w:left w:w="15" w:type="dxa"/>
              <w:right w:w="15" w:type="dxa"/>
            </w:tcMar>
            <w:vAlign w:val="center"/>
          </w:tcPr>
          <w:p w14:paraId="118DD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完成农产品质量安全检验检测任务数量</w:t>
            </w:r>
          </w:p>
        </w:tc>
        <w:tc>
          <w:tcPr>
            <w:tcW w:w="1437" w:type="dxa"/>
            <w:shd w:val="clear" w:color="auto" w:fill="auto"/>
            <w:tcMar>
              <w:top w:w="15" w:type="dxa"/>
              <w:left w:w="15" w:type="dxa"/>
              <w:right w:w="15" w:type="dxa"/>
            </w:tcMar>
            <w:vAlign w:val="center"/>
          </w:tcPr>
          <w:p w14:paraId="3B9302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≥9484个</w:t>
            </w:r>
          </w:p>
        </w:tc>
        <w:tc>
          <w:tcPr>
            <w:tcW w:w="558" w:type="dxa"/>
            <w:shd w:val="clear" w:color="auto" w:fill="auto"/>
            <w:tcMar>
              <w:top w:w="15" w:type="dxa"/>
              <w:left w:w="15" w:type="dxa"/>
              <w:right w:w="15" w:type="dxa"/>
            </w:tcMar>
            <w:vAlign w:val="center"/>
          </w:tcPr>
          <w:p w14:paraId="3AF8E7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shd w:val="clear" w:color="auto" w:fill="auto"/>
            <w:tcMar>
              <w:top w:w="15" w:type="dxa"/>
              <w:left w:w="15" w:type="dxa"/>
              <w:right w:w="15" w:type="dxa"/>
            </w:tcMar>
            <w:vAlign w:val="center"/>
          </w:tcPr>
          <w:p w14:paraId="01E0E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9484个</w:t>
            </w:r>
          </w:p>
        </w:tc>
        <w:tc>
          <w:tcPr>
            <w:tcW w:w="631" w:type="dxa"/>
            <w:shd w:val="clear" w:color="auto" w:fill="auto"/>
            <w:tcMar>
              <w:top w:w="15" w:type="dxa"/>
              <w:left w:w="15" w:type="dxa"/>
              <w:right w:w="15" w:type="dxa"/>
            </w:tcMar>
            <w:vAlign w:val="center"/>
          </w:tcPr>
          <w:p w14:paraId="33712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470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23176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1BE864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746" w:type="dxa"/>
            <w:shd w:val="clear" w:color="auto" w:fill="auto"/>
            <w:tcMar>
              <w:top w:w="15" w:type="dxa"/>
              <w:left w:w="15" w:type="dxa"/>
              <w:right w:w="15" w:type="dxa"/>
            </w:tcMar>
            <w:vAlign w:val="center"/>
          </w:tcPr>
          <w:p w14:paraId="4F85E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耗材、气体质量合格率</w:t>
            </w:r>
            <w:r>
              <w:rPr>
                <w:rFonts w:hint="eastAsia" w:ascii="宋体" w:hAnsi="宋体" w:eastAsia="宋体" w:cs="宋体"/>
                <w:color w:val="auto"/>
                <w:kern w:val="0"/>
                <w:sz w:val="20"/>
                <w:szCs w:val="20"/>
                <w:highlight w:val="none"/>
                <w:shd w:val="clear" w:color="auto" w:fill="auto"/>
                <w:lang w:val="en-US" w:eastAsia="zh-CN"/>
              </w:rPr>
              <w:t>（%）</w:t>
            </w:r>
          </w:p>
        </w:tc>
        <w:tc>
          <w:tcPr>
            <w:tcW w:w="1437" w:type="dxa"/>
            <w:shd w:val="clear" w:color="auto" w:fill="auto"/>
            <w:tcMar>
              <w:top w:w="15" w:type="dxa"/>
              <w:left w:w="15" w:type="dxa"/>
              <w:right w:w="15" w:type="dxa"/>
            </w:tcMar>
            <w:vAlign w:val="center"/>
          </w:tcPr>
          <w:p w14:paraId="548328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2F0B1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13A06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267AE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7930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0BFC55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3C9266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746" w:type="dxa"/>
            <w:shd w:val="clear" w:color="auto" w:fill="auto"/>
            <w:tcMar>
              <w:top w:w="15" w:type="dxa"/>
              <w:left w:w="15" w:type="dxa"/>
              <w:right w:w="15" w:type="dxa"/>
            </w:tcMar>
            <w:vAlign w:val="center"/>
          </w:tcPr>
          <w:p w14:paraId="74B109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耗材、气体采购按时完成率（%）</w:t>
            </w:r>
          </w:p>
        </w:tc>
        <w:tc>
          <w:tcPr>
            <w:tcW w:w="1437" w:type="dxa"/>
            <w:shd w:val="clear" w:color="auto" w:fill="auto"/>
            <w:tcMar>
              <w:top w:w="15" w:type="dxa"/>
              <w:left w:w="15" w:type="dxa"/>
              <w:right w:w="15" w:type="dxa"/>
            </w:tcMar>
            <w:vAlign w:val="center"/>
          </w:tcPr>
          <w:p w14:paraId="7923C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464CA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29CAE2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63C86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465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trPr>
        <w:tc>
          <w:tcPr>
            <w:tcW w:w="634" w:type="dxa"/>
            <w:vMerge w:val="continue"/>
            <w:shd w:val="clear" w:color="auto" w:fill="auto"/>
            <w:tcMar>
              <w:top w:w="15" w:type="dxa"/>
              <w:left w:w="15" w:type="dxa"/>
              <w:right w:w="15" w:type="dxa"/>
            </w:tcMar>
            <w:vAlign w:val="center"/>
          </w:tcPr>
          <w:p w14:paraId="3F4E57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332AE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746" w:type="dxa"/>
            <w:shd w:val="clear" w:color="auto" w:fill="auto"/>
            <w:tcMar>
              <w:top w:w="15" w:type="dxa"/>
              <w:left w:w="15" w:type="dxa"/>
              <w:right w:w="15" w:type="dxa"/>
            </w:tcMar>
            <w:vAlign w:val="center"/>
          </w:tcPr>
          <w:p w14:paraId="4032B2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购买检测耗材费</w:t>
            </w:r>
          </w:p>
        </w:tc>
        <w:tc>
          <w:tcPr>
            <w:tcW w:w="1437" w:type="dxa"/>
            <w:shd w:val="clear" w:color="auto" w:fill="auto"/>
            <w:tcMar>
              <w:top w:w="15" w:type="dxa"/>
              <w:left w:w="15" w:type="dxa"/>
              <w:right w:w="15" w:type="dxa"/>
            </w:tcMar>
            <w:vAlign w:val="center"/>
          </w:tcPr>
          <w:p w14:paraId="722F9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≤7.21万元</w:t>
            </w:r>
          </w:p>
        </w:tc>
        <w:tc>
          <w:tcPr>
            <w:tcW w:w="558" w:type="dxa"/>
            <w:shd w:val="clear" w:color="auto" w:fill="auto"/>
            <w:tcMar>
              <w:top w:w="15" w:type="dxa"/>
              <w:left w:w="15" w:type="dxa"/>
              <w:right w:w="15" w:type="dxa"/>
            </w:tcMar>
            <w:vAlign w:val="center"/>
          </w:tcPr>
          <w:p w14:paraId="6A023C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13EFF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7.21万元</w:t>
            </w:r>
          </w:p>
        </w:tc>
        <w:tc>
          <w:tcPr>
            <w:tcW w:w="631" w:type="dxa"/>
            <w:shd w:val="clear" w:color="auto" w:fill="auto"/>
            <w:tcMar>
              <w:top w:w="15" w:type="dxa"/>
              <w:left w:w="15" w:type="dxa"/>
              <w:right w:w="15" w:type="dxa"/>
            </w:tcMar>
            <w:vAlign w:val="center"/>
          </w:tcPr>
          <w:p w14:paraId="77D3B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CBE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3E999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2B8C5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746" w:type="dxa"/>
            <w:shd w:val="clear" w:color="auto" w:fill="auto"/>
            <w:tcMar>
              <w:top w:w="15" w:type="dxa"/>
              <w:left w:w="15" w:type="dxa"/>
              <w:right w:w="15" w:type="dxa"/>
            </w:tcMar>
            <w:vAlign w:val="center"/>
          </w:tcPr>
          <w:p w14:paraId="4B426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检测样品抽样费</w:t>
            </w:r>
          </w:p>
        </w:tc>
        <w:tc>
          <w:tcPr>
            <w:tcW w:w="1437" w:type="dxa"/>
            <w:shd w:val="clear" w:color="auto" w:fill="auto"/>
            <w:tcMar>
              <w:top w:w="15" w:type="dxa"/>
              <w:left w:w="15" w:type="dxa"/>
              <w:right w:w="15" w:type="dxa"/>
            </w:tcMar>
            <w:vAlign w:val="center"/>
          </w:tcPr>
          <w:p w14:paraId="35C183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≤0.14万元</w:t>
            </w:r>
          </w:p>
        </w:tc>
        <w:tc>
          <w:tcPr>
            <w:tcW w:w="558" w:type="dxa"/>
            <w:shd w:val="clear" w:color="auto" w:fill="auto"/>
            <w:tcMar>
              <w:top w:w="15" w:type="dxa"/>
              <w:left w:w="15" w:type="dxa"/>
              <w:right w:w="15" w:type="dxa"/>
            </w:tcMar>
            <w:vAlign w:val="center"/>
          </w:tcPr>
          <w:p w14:paraId="454AA4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5AD0C2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0万元</w:t>
            </w:r>
          </w:p>
        </w:tc>
        <w:tc>
          <w:tcPr>
            <w:tcW w:w="631" w:type="dxa"/>
            <w:shd w:val="clear" w:color="auto" w:fill="auto"/>
            <w:tcMar>
              <w:top w:w="15" w:type="dxa"/>
              <w:left w:w="15" w:type="dxa"/>
              <w:right w:w="15" w:type="dxa"/>
            </w:tcMar>
            <w:vAlign w:val="center"/>
          </w:tcPr>
          <w:p w14:paraId="5C8E8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0</w:t>
            </w:r>
          </w:p>
        </w:tc>
      </w:tr>
      <w:tr w14:paraId="36F72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05BD19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39FDFE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746" w:type="dxa"/>
            <w:shd w:val="clear" w:color="auto" w:fill="auto"/>
            <w:tcMar>
              <w:top w:w="15" w:type="dxa"/>
              <w:left w:w="15" w:type="dxa"/>
              <w:right w:w="15" w:type="dxa"/>
            </w:tcMar>
            <w:vAlign w:val="center"/>
          </w:tcPr>
          <w:p w14:paraId="76CB3C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仪器检定费</w:t>
            </w:r>
          </w:p>
        </w:tc>
        <w:tc>
          <w:tcPr>
            <w:tcW w:w="1437" w:type="dxa"/>
            <w:shd w:val="clear" w:color="auto" w:fill="auto"/>
            <w:tcMar>
              <w:top w:w="15" w:type="dxa"/>
              <w:left w:w="15" w:type="dxa"/>
              <w:right w:w="15" w:type="dxa"/>
            </w:tcMar>
            <w:vAlign w:val="center"/>
          </w:tcPr>
          <w:p w14:paraId="6BE96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≤0.13万元</w:t>
            </w:r>
          </w:p>
        </w:tc>
        <w:tc>
          <w:tcPr>
            <w:tcW w:w="558" w:type="dxa"/>
            <w:shd w:val="clear" w:color="auto" w:fill="auto"/>
            <w:tcMar>
              <w:top w:w="15" w:type="dxa"/>
              <w:left w:w="15" w:type="dxa"/>
              <w:right w:w="15" w:type="dxa"/>
            </w:tcMar>
            <w:vAlign w:val="center"/>
          </w:tcPr>
          <w:p w14:paraId="70E14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212CC9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0.13万元</w:t>
            </w:r>
          </w:p>
        </w:tc>
        <w:tc>
          <w:tcPr>
            <w:tcW w:w="631" w:type="dxa"/>
            <w:shd w:val="clear" w:color="auto" w:fill="auto"/>
            <w:tcMar>
              <w:top w:w="15" w:type="dxa"/>
              <w:left w:w="15" w:type="dxa"/>
              <w:right w:w="15" w:type="dxa"/>
            </w:tcMar>
            <w:vAlign w:val="center"/>
          </w:tcPr>
          <w:p w14:paraId="5F67B0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BE77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14:paraId="733D21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26" w:type="dxa"/>
            <w:shd w:val="clear" w:color="auto" w:fill="auto"/>
            <w:tcMar>
              <w:top w:w="15" w:type="dxa"/>
              <w:left w:w="15" w:type="dxa"/>
              <w:right w:w="15" w:type="dxa"/>
            </w:tcMar>
            <w:vAlign w:val="center"/>
          </w:tcPr>
          <w:p w14:paraId="298E46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746" w:type="dxa"/>
            <w:shd w:val="clear" w:color="auto" w:fill="auto"/>
            <w:tcMar>
              <w:top w:w="15" w:type="dxa"/>
              <w:left w:w="15" w:type="dxa"/>
              <w:right w:w="15" w:type="dxa"/>
            </w:tcMar>
            <w:vAlign w:val="center"/>
          </w:tcPr>
          <w:p w14:paraId="4B8D7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购买检测用气体费</w:t>
            </w:r>
          </w:p>
        </w:tc>
        <w:tc>
          <w:tcPr>
            <w:tcW w:w="1437" w:type="dxa"/>
            <w:shd w:val="clear" w:color="auto" w:fill="auto"/>
            <w:tcMar>
              <w:top w:w="15" w:type="dxa"/>
              <w:left w:w="15" w:type="dxa"/>
              <w:right w:w="15" w:type="dxa"/>
            </w:tcMar>
            <w:vAlign w:val="center"/>
          </w:tcPr>
          <w:p w14:paraId="5E532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≤0.52万元</w:t>
            </w:r>
          </w:p>
        </w:tc>
        <w:tc>
          <w:tcPr>
            <w:tcW w:w="558" w:type="dxa"/>
            <w:shd w:val="clear" w:color="auto" w:fill="auto"/>
            <w:tcMar>
              <w:top w:w="15" w:type="dxa"/>
              <w:left w:w="15" w:type="dxa"/>
              <w:right w:w="15" w:type="dxa"/>
            </w:tcMar>
            <w:vAlign w:val="center"/>
          </w:tcPr>
          <w:p w14:paraId="4B938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14:paraId="67ECE2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0.52万元</w:t>
            </w:r>
          </w:p>
        </w:tc>
        <w:tc>
          <w:tcPr>
            <w:tcW w:w="631" w:type="dxa"/>
            <w:shd w:val="clear" w:color="auto" w:fill="auto"/>
            <w:tcMar>
              <w:top w:w="15" w:type="dxa"/>
              <w:left w:w="15" w:type="dxa"/>
              <w:right w:w="15" w:type="dxa"/>
            </w:tcMar>
            <w:vAlign w:val="center"/>
          </w:tcPr>
          <w:p w14:paraId="7274D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57B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51C53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4230B8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651A3B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4BBA2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bl>
    <w:p w14:paraId="1F4E75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bCs/>
          <w:color w:val="auto"/>
          <w:sz w:val="28"/>
          <w:szCs w:val="28"/>
          <w:highlight w:val="none"/>
          <w:lang w:val="en-US" w:eastAsia="zh-CN"/>
        </w:rPr>
      </w:pPr>
      <w:bookmarkStart w:id="70" w:name="_Toc11067"/>
      <w:r>
        <w:rPr>
          <w:rFonts w:hint="eastAsia" w:asciiTheme="minorEastAsia" w:hAnsiTheme="minorEastAsia" w:eastAsiaTheme="minorEastAsia" w:cstheme="minorEastAsia"/>
          <w:b/>
          <w:bCs/>
          <w:color w:val="auto"/>
          <w:sz w:val="28"/>
          <w:szCs w:val="28"/>
          <w:highlight w:val="none"/>
          <w:lang w:val="en-US" w:eastAsia="zh-CN"/>
        </w:rPr>
        <w:t>1.项目完成数量</w:t>
      </w:r>
      <w:bookmarkEnd w:id="70"/>
    </w:p>
    <w:p w14:paraId="2C3CF3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“完成农产品质量安全检验检测任务数量”指标，预期目标值为≥9484个，实际完成为9484个。实际完成率=（9484个/9484个）×100%=100%。</w:t>
      </w:r>
    </w:p>
    <w:p w14:paraId="6FE9E6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综上，该项指标满分4分，得分4分。</w:t>
      </w:r>
    </w:p>
    <w:p w14:paraId="1F366FEB">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71" w:name="_Toc31739"/>
      <w:r>
        <w:rPr>
          <w:rFonts w:hint="eastAsia" w:asciiTheme="minorEastAsia" w:hAnsiTheme="minorEastAsia" w:eastAsiaTheme="minorEastAsia" w:cstheme="minorEastAsia"/>
          <w:b/>
          <w:bCs/>
          <w:color w:val="auto"/>
          <w:sz w:val="28"/>
          <w:szCs w:val="28"/>
          <w:highlight w:val="none"/>
          <w:lang w:val="en-US" w:eastAsia="zh-CN"/>
        </w:rPr>
        <w:t>2.项目完成质量</w:t>
      </w:r>
      <w:bookmarkEnd w:id="71"/>
    </w:p>
    <w:p w14:paraId="7FDB66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“耗材、气体质量合格率（%）”指标，预期目标值为100%，实际完成为100%。</w:t>
      </w:r>
    </w:p>
    <w:p w14:paraId="2205F1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综上，该项指标满分3分，得分3分。</w:t>
      </w:r>
    </w:p>
    <w:p w14:paraId="3CCAEB73">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72" w:name="_Toc18307"/>
      <w:r>
        <w:rPr>
          <w:rFonts w:hint="eastAsia" w:asciiTheme="minorEastAsia" w:hAnsiTheme="minorEastAsia" w:eastAsiaTheme="minorEastAsia" w:cstheme="minorEastAsia"/>
          <w:b/>
          <w:bCs/>
          <w:color w:val="auto"/>
          <w:sz w:val="28"/>
          <w:szCs w:val="28"/>
          <w:highlight w:val="none"/>
          <w:lang w:val="en-US" w:eastAsia="zh-CN"/>
        </w:rPr>
        <w:t>3.项目完成时效</w:t>
      </w:r>
      <w:bookmarkEnd w:id="72"/>
    </w:p>
    <w:p w14:paraId="54ACA5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“耗材、气体采购按时完成率（%）”指标，预期目标值为=100%，实际完成为100%。</w:t>
      </w:r>
    </w:p>
    <w:p w14:paraId="4A29242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综上，该项指标满分3分，得分3分。</w:t>
      </w:r>
    </w:p>
    <w:p w14:paraId="6C1E972D">
      <w:pPr>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73" w:name="_Toc32765"/>
      <w:r>
        <w:rPr>
          <w:rFonts w:hint="eastAsia" w:asciiTheme="minorEastAsia" w:hAnsiTheme="minorEastAsia" w:eastAsiaTheme="minorEastAsia" w:cstheme="minorEastAsia"/>
          <w:b/>
          <w:bCs/>
          <w:color w:val="auto"/>
          <w:sz w:val="28"/>
          <w:szCs w:val="28"/>
          <w:highlight w:val="none"/>
          <w:lang w:val="en-US" w:eastAsia="zh-CN"/>
        </w:rPr>
        <w:t>4.项目完成成本</w:t>
      </w:r>
      <w:bookmarkEnd w:id="73"/>
    </w:p>
    <w:p w14:paraId="2DB94EE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“购买检测耗材费（万元）”指标，预期目标值为≤7.21万元，实际完成为7.21万元。实际完成率=（7.21万元/7.21万元）×100%=100%。</w:t>
      </w:r>
    </w:p>
    <w:p w14:paraId="1ED0EF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kern w:val="0"/>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lang w:val="en-US" w:eastAsia="zh-CN"/>
        </w:rPr>
        <w:t>“检测样品抽样费（万元）”指标，预期目标值为≤0.14万元，实际完成为0万元。实际完成率=（0万元/0.14万元）×100%=0%。</w:t>
      </w:r>
    </w:p>
    <w:p w14:paraId="61DFE1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kern w:val="0"/>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lang w:val="en-US" w:eastAsia="zh-CN"/>
        </w:rPr>
        <w:t>“仪器检定费（万元）”指标，预期目标值为≤0.13万元，实际完成0.13万元。实际完成率=（0.13万元/0.13万元）×100%=100%。</w:t>
      </w:r>
    </w:p>
    <w:p w14:paraId="3D2B76C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kern w:val="0"/>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lang w:val="en-US" w:eastAsia="zh-CN"/>
        </w:rPr>
        <w:t>“购买检测用气体费（万元）”指标，预期目标值为≤0.52万元，实际完成为≤0.52万元。实际完成率=（0.52万元/0.52万元）×100%=100%。</w:t>
      </w:r>
    </w:p>
    <w:p w14:paraId="46D9B5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综上，该项指标满分20分，得分15分。</w:t>
      </w:r>
    </w:p>
    <w:p w14:paraId="7AF86E5F">
      <w:pPr>
        <w:pStyle w:val="3"/>
        <w:pageBreakBefore w:val="0"/>
        <w:widowControl w:val="0"/>
        <w:numPr>
          <w:ilvl w:val="0"/>
          <w:numId w:val="0"/>
        </w:numPr>
        <w:kinsoku/>
        <w:wordWrap/>
        <w:overflowPunct/>
        <w:topLinePunct w:val="0"/>
        <w:autoSpaceDE/>
        <w:autoSpaceDN/>
        <w:bidi w:val="0"/>
        <w:adjustRightInd/>
        <w:snapToGrid/>
        <w:spacing w:beforeLines="0" w:afterLines="0" w:line="560" w:lineRule="exact"/>
        <w:ind w:leftChars="0" w:firstLine="562" w:firstLineChars="200"/>
        <w:textAlignment w:val="auto"/>
        <w:rPr>
          <w:rFonts w:hint="eastAsia" w:asciiTheme="minorEastAsia" w:hAnsiTheme="minorEastAsia" w:eastAsiaTheme="minorEastAsia" w:cstheme="minorEastAsia"/>
          <w:b/>
          <w:bCs w:val="0"/>
          <w:color w:val="auto"/>
          <w:sz w:val="28"/>
          <w:szCs w:val="28"/>
          <w:highlight w:val="none"/>
          <w:shd w:val="clear" w:color="auto" w:fill="auto"/>
        </w:rPr>
      </w:pPr>
      <w:bookmarkStart w:id="74" w:name="_Toc18446"/>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lang w:val="en-US" w:eastAsia="zh-CN"/>
        </w:rPr>
        <w:t>四</w:t>
      </w:r>
      <w:r>
        <w:rPr>
          <w:rFonts w:hint="eastAsia" w:asciiTheme="minorEastAsia" w:hAnsiTheme="minorEastAsia" w:eastAsiaTheme="minorEastAsia" w:cstheme="minorEastAsia"/>
          <w:b/>
          <w:bCs w:val="0"/>
          <w:color w:val="auto"/>
          <w:sz w:val="28"/>
          <w:szCs w:val="28"/>
          <w:highlight w:val="none"/>
          <w:shd w:val="clear" w:color="auto" w:fill="auto"/>
          <w:lang w:eastAsia="zh-CN"/>
        </w:rPr>
        <w:t>）</w:t>
      </w:r>
      <w:r>
        <w:rPr>
          <w:rFonts w:hint="eastAsia" w:asciiTheme="minorEastAsia" w:hAnsiTheme="minorEastAsia" w:eastAsiaTheme="minorEastAsia" w:cstheme="minorEastAsia"/>
          <w:b/>
          <w:bCs w:val="0"/>
          <w:color w:val="auto"/>
          <w:sz w:val="28"/>
          <w:szCs w:val="28"/>
          <w:highlight w:val="none"/>
          <w:shd w:val="clear" w:color="auto" w:fill="auto"/>
        </w:rPr>
        <w:t>项目效益情况</w:t>
      </w:r>
      <w:bookmarkEnd w:id="74"/>
    </w:p>
    <w:p w14:paraId="0B7942C9">
      <w:pPr>
        <w:pageBreakBefore w:val="0"/>
        <w:widowControl w:val="0"/>
        <w:kinsoku/>
        <w:wordWrap/>
        <w:overflowPunct/>
        <w:topLinePunct w:val="0"/>
        <w:autoSpaceDE/>
        <w:autoSpaceDN/>
        <w:bidi w:val="0"/>
        <w:adjustRightInd/>
        <w:snapToGrid/>
        <w:spacing w:line="560" w:lineRule="exact"/>
        <w:ind w:leftChars="0" w:firstLine="560" w:firstLineChars="200"/>
        <w:jc w:val="both"/>
        <w:textAlignment w:val="auto"/>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pP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项目</w:t>
      </w:r>
      <w:r>
        <w:rPr>
          <w:rFonts w:hint="eastAsia" w:asciiTheme="minorEastAsia" w:hAnsiTheme="minorEastAsia" w:eastAsiaTheme="minorEastAsia" w:cstheme="minorEastAsia"/>
          <w:color w:val="auto"/>
          <w:sz w:val="28"/>
          <w:szCs w:val="28"/>
          <w:highlight w:val="none"/>
          <w:shd w:val="clear" w:color="auto" w:fill="auto"/>
          <w:lang w:val="en-US" w:eastAsia="zh-CN"/>
        </w:rPr>
        <w:t>效益</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类指标由</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2</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个</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CN"/>
        </w:rPr>
        <w:t>二</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级指标和</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3</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个</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三</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级指标构成，权重分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30</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分，实际得分</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30</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分</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各指标业绩值和绩效分值如表</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4</w:t>
      </w:r>
      <w:r>
        <w:rPr>
          <w:rFonts w:hint="eastAsia" w:asciiTheme="minorEastAsia" w:hAnsiTheme="minorEastAsia" w:eastAsiaTheme="minorEastAsia" w:cstheme="minorEastAsia"/>
          <w:color w:val="auto"/>
          <w:kern w:val="2"/>
          <w:sz w:val="28"/>
          <w:szCs w:val="28"/>
          <w:highlight w:val="none"/>
          <w:u w:color="000000"/>
          <w:shd w:val="clear" w:color="auto" w:fill="auto"/>
          <w:lang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en-US" w:eastAsia="zh-CN"/>
        </w:rPr>
        <w:t>4</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所示</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b/>
          <w:bCs/>
          <w:color w:val="auto"/>
          <w:kern w:val="2"/>
          <w:sz w:val="28"/>
          <w:szCs w:val="28"/>
          <w:highlight w:val="none"/>
          <w:u w:color="000000"/>
          <w:shd w:val="clear" w:color="auto" w:fill="auto"/>
          <w:lang w:val="en-US" w:eastAsia="zh-CN"/>
        </w:rPr>
        <w:t>详见上传的附件</w:t>
      </w:r>
      <w:r>
        <w:rPr>
          <w:rFonts w:hint="eastAsia" w:asciiTheme="minorEastAsia" w:hAnsiTheme="minorEastAsia" w:eastAsiaTheme="minorEastAsia" w:cstheme="minorEastAsia"/>
          <w:b/>
          <w:bCs/>
          <w:color w:val="auto"/>
          <w:kern w:val="2"/>
          <w:sz w:val="28"/>
          <w:szCs w:val="28"/>
          <w:highlight w:val="none"/>
          <w:u w:color="000000"/>
          <w:shd w:val="clear" w:color="auto" w:fill="auto"/>
          <w:lang w:val="zh-TW" w:eastAsia="zh-CN"/>
        </w:rPr>
        <w:t>）</w:t>
      </w:r>
      <w:r>
        <w:rPr>
          <w:rFonts w:hint="eastAsia" w:asciiTheme="minorEastAsia" w:hAnsiTheme="minorEastAsia" w:eastAsiaTheme="minorEastAsia" w:cstheme="minorEastAsia"/>
          <w:color w:val="auto"/>
          <w:kern w:val="2"/>
          <w:sz w:val="28"/>
          <w:szCs w:val="28"/>
          <w:highlight w:val="none"/>
          <w:u w:color="000000"/>
          <w:shd w:val="clear" w:color="auto" w:fill="auto"/>
          <w:lang w:val="zh-TW" w:eastAsia="zh-TW"/>
        </w:rPr>
        <w:t>：</w:t>
      </w:r>
    </w:p>
    <w:p w14:paraId="412DEB14">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8"/>
        <w:tblW w:w="8564" w:type="dxa"/>
        <w:jc w:val="center"/>
        <w:shd w:val="clear" w:color="auto" w:fill="auto"/>
        <w:tblLayout w:type="fixed"/>
        <w:tblCellMar>
          <w:top w:w="0" w:type="dxa"/>
          <w:left w:w="0" w:type="dxa"/>
          <w:bottom w:w="0" w:type="dxa"/>
          <w:right w:w="0" w:type="dxa"/>
        </w:tblCellMar>
      </w:tblPr>
      <w:tblGrid>
        <w:gridCol w:w="685"/>
        <w:gridCol w:w="1725"/>
        <w:gridCol w:w="2242"/>
        <w:gridCol w:w="1020"/>
        <w:gridCol w:w="997"/>
        <w:gridCol w:w="41"/>
        <w:gridCol w:w="1009"/>
        <w:gridCol w:w="845"/>
      </w:tblGrid>
      <w:tr w14:paraId="740BFE0A">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4D8E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DCA5B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4D23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858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1B5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C622A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F20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82C57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FF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2F54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65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17EF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56515A7">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08502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A3ADB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24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E9B5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增强生产主体农产品质量安全意识</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27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有所增强</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F0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E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9B8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061820F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5D90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7FB57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24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ECF86A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89E2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96FCF">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B6AA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756F4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330349FD">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191A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C93FE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24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6FAC34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F2B2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A50F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E5FE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6B48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6C404D2F">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2CB50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DB9E9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242"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C69A03C">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64E7D">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88E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87DB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2658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2609FE0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392A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605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2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2D82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群众对农产品安全满意度提高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BE3EB">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有所提高</w:t>
            </w: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2F514">
            <w:pPr>
              <w:keepNext w:val="0"/>
              <w:keepLines w:val="0"/>
              <w:pageBreakBefore w:val="0"/>
              <w:widowControl/>
              <w:kinsoku/>
              <w:wordWrap/>
              <w:overflowPunct/>
              <w:topLinePunct w:val="0"/>
              <w:autoSpaceDE/>
              <w:autoSpaceDN/>
              <w:bidi w:val="0"/>
              <w:adjustRightInd/>
              <w:snapToGrid w:val="0"/>
              <w:spacing w:line="240" w:lineRule="auto"/>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5F8E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8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87CD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3855A9F">
        <w:tblPrEx>
          <w:shd w:val="clear" w:color="auto" w:fill="auto"/>
          <w:tblCellMar>
            <w:top w:w="0" w:type="dxa"/>
            <w:left w:w="0" w:type="dxa"/>
            <w:bottom w:w="0" w:type="dxa"/>
            <w:right w:w="0" w:type="dxa"/>
          </w:tblCellMar>
        </w:tblPrEx>
        <w:trPr>
          <w:trHeight w:val="469" w:hRule="atLeast"/>
          <w:jc w:val="center"/>
        </w:trPr>
        <w:tc>
          <w:tcPr>
            <w:tcW w:w="567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DB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038" w:type="dxa"/>
            <w:gridSpan w:val="2"/>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FB03B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09"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14:paraId="11CD0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84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20A2B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999557C">
      <w:pPr>
        <w:pageBreakBefore w:val="0"/>
        <w:widowControl w:val="0"/>
        <w:kinsoku/>
        <w:wordWrap/>
        <w:overflowPunct/>
        <w:topLinePunct w:val="0"/>
        <w:autoSpaceDE/>
        <w:autoSpaceDN/>
        <w:bidi w:val="0"/>
        <w:spacing w:line="560" w:lineRule="exact"/>
        <w:ind w:left="0" w:firstLine="562" w:firstLineChars="200"/>
        <w:textAlignment w:val="auto"/>
        <w:outlineLvl w:val="2"/>
        <w:rPr>
          <w:rFonts w:hint="eastAsia" w:asciiTheme="minorEastAsia" w:hAnsiTheme="minorEastAsia" w:eastAsiaTheme="minorEastAsia" w:cstheme="minorEastAsia"/>
          <w:b/>
          <w:bCs/>
          <w:color w:val="auto"/>
          <w:sz w:val="28"/>
          <w:szCs w:val="28"/>
          <w:highlight w:val="none"/>
          <w:lang w:val="en-US" w:eastAsia="zh-CN"/>
        </w:rPr>
      </w:pPr>
      <w:bookmarkStart w:id="75" w:name="_Toc27006"/>
      <w:r>
        <w:rPr>
          <w:rFonts w:hint="eastAsia" w:asciiTheme="minorEastAsia" w:hAnsiTheme="minorEastAsia" w:eastAsiaTheme="minorEastAsia" w:cstheme="minorEastAsia"/>
          <w:b/>
          <w:bCs/>
          <w:color w:val="auto"/>
          <w:sz w:val="28"/>
          <w:szCs w:val="28"/>
          <w:highlight w:val="none"/>
          <w:lang w:val="en-US" w:eastAsia="zh-CN"/>
        </w:rPr>
        <w:t>1.经济效益指标</w:t>
      </w:r>
      <w:bookmarkEnd w:id="75"/>
    </w:p>
    <w:p w14:paraId="5F38AA15">
      <w:pPr>
        <w:pageBreakBefore w:val="0"/>
        <w:widowControl w:val="0"/>
        <w:kinsoku/>
        <w:wordWrap/>
        <w:overflowPunct/>
        <w:topLinePunct w:val="0"/>
        <w:autoSpaceDE/>
        <w:autoSpaceDN/>
        <w:bidi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“增强生产主体农产品质量安全意识”指标，预期目标值为增强，实际完成为100%。</w:t>
      </w:r>
    </w:p>
    <w:p w14:paraId="66B8364D">
      <w:pPr>
        <w:pageBreakBefore w:val="0"/>
        <w:widowControl w:val="0"/>
        <w:kinsoku/>
        <w:wordWrap/>
        <w:overflowPunct/>
        <w:topLinePunct w:val="0"/>
        <w:autoSpaceDE/>
        <w:autoSpaceDN/>
        <w:bidi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val="0"/>
          <w:bCs w:val="0"/>
          <w:color w:val="auto"/>
          <w:sz w:val="28"/>
          <w:szCs w:val="28"/>
          <w:highlight w:val="none"/>
          <w:lang w:val="en-US" w:eastAsia="zh-CN"/>
        </w:rPr>
        <w:t>通过项目的实施，</w:t>
      </w:r>
      <w:r>
        <w:rPr>
          <w:rFonts w:hint="eastAsia" w:asciiTheme="minorEastAsia" w:hAnsiTheme="minorEastAsia" w:eastAsiaTheme="minorEastAsia" w:cstheme="minorEastAsia"/>
          <w:color w:val="auto"/>
          <w:sz w:val="28"/>
          <w:szCs w:val="28"/>
          <w:highlight w:val="none"/>
          <w:lang w:val="en-US" w:eastAsia="zh-CN"/>
        </w:rPr>
        <w:t>增强了生产主体农产品质量安全意识。</w:t>
      </w:r>
    </w:p>
    <w:p w14:paraId="5CA31FF6">
      <w:pPr>
        <w:pageBreakBefore w:val="0"/>
        <w:widowControl w:val="0"/>
        <w:kinsoku/>
        <w:wordWrap/>
        <w:overflowPunct/>
        <w:topLinePunct w:val="0"/>
        <w:autoSpaceDE/>
        <w:autoSpaceDN/>
        <w:bidi w:val="0"/>
        <w:spacing w:line="560" w:lineRule="exact"/>
        <w:ind w:left="0" w:firstLine="562" w:firstLineChars="200"/>
        <w:textAlignment w:val="auto"/>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综上，该项指标满分20分，得分20分。</w:t>
      </w:r>
    </w:p>
    <w:p w14:paraId="5C43AE40">
      <w:pPr>
        <w:bidi w:val="0"/>
        <w:outlineLvl w:val="2"/>
        <w:rPr>
          <w:rFonts w:hint="eastAsia" w:asciiTheme="minorEastAsia" w:hAnsiTheme="minorEastAsia" w:eastAsiaTheme="minorEastAsia" w:cstheme="minorEastAsia"/>
          <w:b/>
          <w:bCs/>
          <w:color w:val="auto"/>
          <w:sz w:val="28"/>
          <w:szCs w:val="28"/>
          <w:highlight w:val="none"/>
          <w:lang w:val="en-US" w:eastAsia="zh-CN"/>
        </w:rPr>
      </w:pPr>
      <w:bookmarkStart w:id="76" w:name="_Toc3271"/>
      <w:bookmarkStart w:id="77" w:name="_Toc19962"/>
      <w:r>
        <w:rPr>
          <w:rFonts w:hint="eastAsia" w:asciiTheme="minorEastAsia" w:hAnsiTheme="minorEastAsia" w:eastAsiaTheme="minorEastAsia" w:cstheme="minorEastAsia"/>
          <w:b/>
          <w:bCs/>
          <w:color w:val="auto"/>
          <w:sz w:val="28"/>
          <w:szCs w:val="28"/>
          <w:highlight w:val="none"/>
          <w:lang w:val="en-US" w:eastAsia="zh-CN"/>
        </w:rPr>
        <w:t>2.满意度指标</w:t>
      </w:r>
      <w:bookmarkEnd w:id="76"/>
    </w:p>
    <w:p w14:paraId="226608D9">
      <w:pPr>
        <w:bidi w:val="0"/>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kern w:val="0"/>
          <w:sz w:val="28"/>
          <w:szCs w:val="28"/>
          <w:highlight w:val="none"/>
          <w:shd w:val="clear" w:color="auto" w:fill="auto"/>
          <w:lang w:val="en-US" w:eastAsia="zh-CN"/>
        </w:rPr>
        <w:t>群众对农产品安全满意度提高</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指标，预期目标值为≥90%，实际完成为90%。</w:t>
      </w:r>
    </w:p>
    <w:p w14:paraId="43DCA170">
      <w:pPr>
        <w:bidi w:val="0"/>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综上，该项指标满分10分，得分10分。</w:t>
      </w:r>
    </w:p>
    <w:p w14:paraId="23AB0ACA">
      <w:pPr>
        <w:pStyle w:val="2"/>
        <w:pageBreakBefore w:val="0"/>
        <w:widowControl w:val="0"/>
        <w:kinsoku/>
        <w:wordWrap/>
        <w:overflowPunct/>
        <w:topLinePunct w:val="0"/>
        <w:autoSpaceDE/>
        <w:autoSpaceDN/>
        <w:bidi w:val="0"/>
        <w:adjustRightInd/>
        <w:spacing w:beforeLines="0" w:afterLines="0" w:line="560" w:lineRule="exact"/>
        <w:ind w:left="0" w:firstLine="643" w:firstLineChars="200"/>
        <w:textAlignment w:val="auto"/>
        <w:rPr>
          <w:rFonts w:hint="eastAsia" w:asciiTheme="majorEastAsia" w:hAnsiTheme="majorEastAsia" w:eastAsiaTheme="majorEastAsia" w:cstheme="majorEastAsia"/>
          <w:b/>
          <w:bCs/>
          <w:color w:val="auto"/>
          <w:sz w:val="32"/>
          <w:szCs w:val="32"/>
          <w:highlight w:val="none"/>
          <w:shd w:val="clear" w:color="auto" w:fill="auto"/>
          <w:lang w:val="en-US" w:eastAsia="zh-CN"/>
        </w:rPr>
      </w:pPr>
      <w:r>
        <w:rPr>
          <w:rFonts w:hint="eastAsia" w:asciiTheme="majorEastAsia" w:hAnsiTheme="majorEastAsia" w:eastAsiaTheme="majorEastAsia" w:cstheme="majorEastAsia"/>
          <w:b/>
          <w:bCs/>
          <w:color w:val="auto"/>
          <w:sz w:val="32"/>
          <w:szCs w:val="32"/>
          <w:highlight w:val="none"/>
          <w:shd w:val="clear" w:color="auto" w:fill="auto"/>
          <w:lang w:val="en-US" w:eastAsia="zh-CN"/>
        </w:rPr>
        <w:t>五、预算执行进度与指标偏差</w:t>
      </w:r>
      <w:bookmarkEnd w:id="77"/>
    </w:p>
    <w:p w14:paraId="5DB149E8">
      <w:pPr>
        <w:keepNext w:val="0"/>
        <w:keepLines w:val="0"/>
        <w:pageBreakBefore w:val="0"/>
        <w:widowControl w:val="0"/>
        <w:kinsoku/>
        <w:wordWrap/>
        <w:overflowPunct/>
        <w:topLinePunct w:val="0"/>
        <w:autoSpaceDE/>
        <w:autoSpaceDN/>
        <w:bidi w:val="0"/>
        <w:adjustRightInd w:val="0"/>
        <w:snapToGrid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该</w:t>
      </w:r>
      <w:r>
        <w:rPr>
          <w:rFonts w:hint="eastAsia" w:asciiTheme="minorEastAsia" w:hAnsiTheme="minorEastAsia" w:eastAsiaTheme="minorEastAsia" w:cstheme="minorEastAsia"/>
          <w:color w:val="auto"/>
          <w:sz w:val="28"/>
          <w:szCs w:val="28"/>
          <w:highlight w:val="none"/>
          <w:lang w:eastAsia="zh-CN"/>
        </w:rPr>
        <w:t>项目预算资金总额为</w:t>
      </w:r>
      <w:r>
        <w:rPr>
          <w:rFonts w:hint="eastAsia" w:asciiTheme="minorEastAsia" w:hAnsiTheme="minorEastAsia" w:eastAsiaTheme="minorEastAsia" w:cstheme="minorEastAsia"/>
          <w:color w:val="auto"/>
          <w:sz w:val="28"/>
          <w:szCs w:val="28"/>
          <w:highlight w:val="none"/>
          <w:lang w:val="en-US" w:eastAsia="zh-CN"/>
        </w:rPr>
        <w:t>8万元，全年执行数为</w:t>
      </w:r>
      <w:r>
        <w:rPr>
          <w:rFonts w:hint="eastAsia" w:asciiTheme="minorEastAsia" w:hAnsiTheme="minorEastAsia" w:eastAsiaTheme="minorEastAsia" w:cstheme="minorEastAsia"/>
          <w:color w:val="auto"/>
          <w:sz w:val="28"/>
          <w:szCs w:val="28"/>
          <w:highlight w:val="none"/>
          <w:shd w:val="clear" w:color="auto" w:fill="auto"/>
          <w:lang w:val="en-US" w:eastAsia="zh-CN"/>
        </w:rPr>
        <w:t>7.86</w:t>
      </w:r>
      <w:r>
        <w:rPr>
          <w:rFonts w:hint="eastAsia" w:asciiTheme="minorEastAsia" w:hAnsiTheme="minorEastAsia" w:eastAsiaTheme="minorEastAsia" w:cstheme="minorEastAsia"/>
          <w:color w:val="auto"/>
          <w:sz w:val="28"/>
          <w:szCs w:val="28"/>
          <w:highlight w:val="none"/>
          <w:lang w:val="en-US" w:eastAsia="zh-CN"/>
        </w:rPr>
        <w:t>万元，预算执行率为98.25%，</w:t>
      </w:r>
      <w:r>
        <w:rPr>
          <w:rFonts w:hint="eastAsia" w:asciiTheme="minorEastAsia" w:hAnsiTheme="minorEastAsia" w:eastAsiaTheme="minorEastAsia" w:cstheme="minorEastAsia"/>
          <w:color w:val="auto"/>
          <w:sz w:val="28"/>
          <w:szCs w:val="28"/>
          <w:highlight w:val="none"/>
          <w:lang w:eastAsia="zh-CN"/>
        </w:rPr>
        <w:t>总体完成率为</w:t>
      </w:r>
      <w:r>
        <w:rPr>
          <w:rFonts w:hint="eastAsia" w:asciiTheme="minorEastAsia" w:hAnsiTheme="minorEastAsia" w:eastAsiaTheme="minorEastAsia" w:cstheme="minorEastAsia"/>
          <w:color w:val="auto"/>
          <w:sz w:val="28"/>
          <w:szCs w:val="28"/>
          <w:highlight w:val="none"/>
          <w:lang w:val="en-US" w:eastAsia="zh-CN"/>
        </w:rPr>
        <w:t>87.5</w:t>
      </w:r>
      <w:r>
        <w:rPr>
          <w:rFonts w:hint="eastAsia" w:asciiTheme="minorEastAsia" w:hAnsiTheme="minorEastAsia" w:eastAsiaTheme="minorEastAsia" w:cstheme="minorEastAsia"/>
          <w:color w:val="auto"/>
          <w:sz w:val="28"/>
          <w:szCs w:val="28"/>
          <w:highlight w:val="none"/>
          <w:lang w:val="zh-TW" w:eastAsia="zh-TW"/>
        </w:rPr>
        <w:t>%。</w:t>
      </w:r>
      <w:r>
        <w:rPr>
          <w:rFonts w:hint="eastAsia" w:asciiTheme="minorEastAsia" w:hAnsiTheme="minorEastAsia" w:eastAsiaTheme="minorEastAsia" w:cstheme="minorEastAsia"/>
          <w:color w:val="auto"/>
          <w:sz w:val="28"/>
          <w:szCs w:val="28"/>
          <w:highlight w:val="none"/>
          <w:lang w:val="en-US" w:eastAsia="zh-CN"/>
        </w:rPr>
        <w:t>预算执行率与总体完成率之间的偏差为10.75%，存在</w:t>
      </w:r>
      <w:r>
        <w:rPr>
          <w:rFonts w:hint="eastAsia" w:asciiTheme="minorEastAsia" w:hAnsiTheme="minorEastAsia" w:eastAsiaTheme="minorEastAsia" w:cstheme="minorEastAsia"/>
          <w:color w:val="auto"/>
          <w:sz w:val="28"/>
          <w:szCs w:val="28"/>
          <w:highlight w:val="none"/>
          <w:lang w:eastAsia="zh-CN"/>
        </w:rPr>
        <w:t>偏差。</w:t>
      </w:r>
    </w:p>
    <w:p w14:paraId="7B996136">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Theme="minorEastAsia" w:hAnsiTheme="minorEastAsia" w:eastAsiaTheme="minorEastAsia" w:cstheme="minorEastAsia"/>
          <w:color w:val="auto"/>
          <w:sz w:val="28"/>
          <w:szCs w:val="28"/>
          <w:highlight w:val="none"/>
          <w:lang w:val="en-US"/>
        </w:rPr>
      </w:pPr>
      <w:bookmarkStart w:id="78" w:name="_Toc29934"/>
      <w:r>
        <w:rPr>
          <w:rFonts w:hint="eastAsia" w:asciiTheme="minorEastAsia" w:hAnsiTheme="minorEastAsia" w:eastAsiaTheme="minorEastAsia" w:cstheme="minorEastAsia"/>
          <w:color w:val="auto"/>
          <w:sz w:val="28"/>
          <w:szCs w:val="28"/>
          <w:highlight w:val="none"/>
          <w:lang w:val="en-US" w:eastAsia="zh-CN"/>
        </w:rPr>
        <w:t>存在偏差情况的原因是：样品抽样费还未支付.</w:t>
      </w:r>
    </w:p>
    <w:p w14:paraId="7E8E388E">
      <w:pPr>
        <w:pStyle w:val="2"/>
        <w:pageBreakBefore w:val="0"/>
        <w:widowControl w:val="0"/>
        <w:kinsoku/>
        <w:wordWrap/>
        <w:overflowPunct/>
        <w:topLinePunct w:val="0"/>
        <w:autoSpaceDE/>
        <w:autoSpaceDN/>
        <w:bidi w:val="0"/>
        <w:adjustRightInd/>
        <w:spacing w:beforeLines="0" w:afterLines="0" w:line="560" w:lineRule="exact"/>
        <w:ind w:left="0" w:firstLine="643" w:firstLineChars="200"/>
        <w:textAlignment w:val="auto"/>
        <w:rPr>
          <w:rFonts w:hint="eastAsia" w:asciiTheme="majorEastAsia" w:hAnsiTheme="majorEastAsia" w:eastAsiaTheme="majorEastAsia" w:cstheme="majorEastAsia"/>
          <w:b/>
          <w:bCs/>
          <w:color w:val="auto"/>
          <w:sz w:val="32"/>
          <w:szCs w:val="32"/>
          <w:highlight w:val="none"/>
          <w:shd w:val="clear" w:color="auto" w:fill="auto"/>
          <w:lang w:val="en-US" w:eastAsia="zh-CN"/>
        </w:rPr>
      </w:pPr>
      <w:r>
        <w:rPr>
          <w:rFonts w:hint="eastAsia" w:asciiTheme="majorEastAsia" w:hAnsiTheme="majorEastAsia" w:eastAsiaTheme="majorEastAsia" w:cstheme="majorEastAsia"/>
          <w:b/>
          <w:bCs/>
          <w:color w:val="auto"/>
          <w:sz w:val="32"/>
          <w:szCs w:val="32"/>
          <w:highlight w:val="none"/>
          <w:shd w:val="clear" w:color="auto" w:fill="auto"/>
          <w:lang w:val="en-US" w:eastAsia="zh-CN"/>
        </w:rPr>
        <w:t>六、主要经验及做法、存在的问题及原因分析</w:t>
      </w:r>
      <w:bookmarkEnd w:id="78"/>
    </w:p>
    <w:p w14:paraId="390CC429">
      <w:pPr>
        <w:pageBreakBefore w:val="0"/>
        <w:widowControl w:val="0"/>
        <w:numPr>
          <w:ilvl w:val="0"/>
          <w:numId w:val="0"/>
        </w:numPr>
        <w:kinsoku/>
        <w:wordWrap/>
        <w:overflowPunct/>
        <w:topLinePunct w:val="0"/>
        <w:autoSpaceDE/>
        <w:autoSpaceDN/>
        <w:bidi w:val="0"/>
        <w:spacing w:line="560" w:lineRule="exact"/>
        <w:ind w:left="0" w:leftChars="0" w:firstLine="643" w:firstLineChars="200"/>
        <w:textAlignment w:val="auto"/>
        <w:outlineLvl w:val="1"/>
        <w:rPr>
          <w:rFonts w:hint="eastAsia" w:asciiTheme="majorEastAsia" w:hAnsiTheme="majorEastAsia" w:eastAsiaTheme="majorEastAsia" w:cstheme="majorEastAsia"/>
          <w:b/>
          <w:bCs/>
          <w:color w:val="auto"/>
          <w:sz w:val="32"/>
          <w:szCs w:val="32"/>
          <w:highlight w:val="none"/>
          <w:lang w:eastAsia="zh-CN"/>
        </w:rPr>
      </w:pPr>
      <w:bookmarkStart w:id="79" w:name="_Toc13160"/>
      <w:bookmarkStart w:id="80" w:name="_Toc1921"/>
      <w:bookmarkStart w:id="81" w:name="_Toc28290"/>
      <w:r>
        <w:rPr>
          <w:rFonts w:hint="eastAsia" w:asciiTheme="majorEastAsia" w:hAnsiTheme="majorEastAsia" w:eastAsiaTheme="majorEastAsia" w:cstheme="majorEastAsia"/>
          <w:b/>
          <w:bCs/>
          <w:color w:val="auto"/>
          <w:sz w:val="32"/>
          <w:szCs w:val="32"/>
          <w:highlight w:val="none"/>
          <w:lang w:eastAsia="zh-CN"/>
        </w:rPr>
        <w:t>（</w:t>
      </w:r>
      <w:r>
        <w:rPr>
          <w:rFonts w:hint="eastAsia" w:asciiTheme="majorEastAsia" w:hAnsiTheme="majorEastAsia" w:eastAsiaTheme="majorEastAsia" w:cstheme="majorEastAsia"/>
          <w:b/>
          <w:bCs/>
          <w:color w:val="auto"/>
          <w:sz w:val="32"/>
          <w:szCs w:val="32"/>
          <w:highlight w:val="none"/>
          <w:lang w:val="en-US" w:eastAsia="zh-CN"/>
        </w:rPr>
        <w:t>一</w:t>
      </w:r>
      <w:r>
        <w:rPr>
          <w:rFonts w:hint="eastAsia" w:asciiTheme="majorEastAsia" w:hAnsiTheme="majorEastAsia" w:eastAsiaTheme="majorEastAsia" w:cstheme="majorEastAsia"/>
          <w:b/>
          <w:bCs/>
          <w:color w:val="auto"/>
          <w:sz w:val="32"/>
          <w:szCs w:val="32"/>
          <w:highlight w:val="none"/>
          <w:lang w:eastAsia="zh-CN"/>
        </w:rPr>
        <w:t>）</w:t>
      </w:r>
      <w:r>
        <w:rPr>
          <w:rFonts w:hint="eastAsia" w:asciiTheme="majorEastAsia" w:hAnsiTheme="majorEastAsia" w:eastAsiaTheme="majorEastAsia" w:cstheme="majorEastAsia"/>
          <w:b/>
          <w:bCs/>
          <w:color w:val="auto"/>
          <w:sz w:val="32"/>
          <w:szCs w:val="32"/>
          <w:highlight w:val="none"/>
        </w:rPr>
        <w:t>主要经验及做法</w:t>
      </w:r>
      <w:bookmarkEnd w:id="79"/>
    </w:p>
    <w:p w14:paraId="184A044C">
      <w:pPr>
        <w:pageBreakBefore w:val="0"/>
        <w:widowControl w:val="0"/>
        <w:kinsoku/>
        <w:wordWrap/>
        <w:overflowPunct/>
        <w:topLinePunct w:val="0"/>
        <w:autoSpaceDE/>
        <w:autoSpaceDN/>
        <w:bidi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自治州</w:t>
      </w:r>
      <w:r>
        <w:rPr>
          <w:rFonts w:hint="eastAsia" w:asciiTheme="minorEastAsia" w:hAnsiTheme="minorEastAsia" w:eastAsiaTheme="minorEastAsia" w:cstheme="minorEastAsia"/>
          <w:color w:val="auto"/>
          <w:sz w:val="28"/>
          <w:szCs w:val="28"/>
          <w:highlight w:val="none"/>
          <w:lang w:eastAsia="zh-CN"/>
        </w:rPr>
        <w:t>农产品质量安全网格化监管项</w:t>
      </w:r>
      <w:r>
        <w:rPr>
          <w:rFonts w:hint="eastAsia" w:asciiTheme="minorEastAsia" w:hAnsiTheme="minorEastAsia" w:eastAsiaTheme="minorEastAsia" w:cstheme="minorEastAsia"/>
          <w:color w:val="auto"/>
          <w:sz w:val="28"/>
          <w:szCs w:val="28"/>
          <w:highlight w:val="none"/>
        </w:rPr>
        <w:t>目</w:t>
      </w:r>
      <w:r>
        <w:rPr>
          <w:rFonts w:hint="eastAsia" w:asciiTheme="minorEastAsia" w:hAnsiTheme="minorEastAsia" w:eastAsiaTheme="minorEastAsia" w:cstheme="minorEastAsia"/>
          <w:color w:val="auto"/>
          <w:sz w:val="28"/>
          <w:szCs w:val="28"/>
          <w:highlight w:val="none"/>
          <w:lang w:val="en-US" w:eastAsia="zh-CN"/>
        </w:rPr>
        <w:t>2023年预算数为8万元，截至2023年12月31日共支出</w:t>
      </w:r>
      <w:r>
        <w:rPr>
          <w:rFonts w:hint="eastAsia" w:asciiTheme="minorEastAsia" w:hAnsiTheme="minorEastAsia" w:eastAsiaTheme="minorEastAsia" w:cstheme="minorEastAsia"/>
          <w:color w:val="auto"/>
          <w:sz w:val="28"/>
          <w:szCs w:val="28"/>
          <w:highlight w:val="none"/>
          <w:shd w:val="clear" w:color="auto" w:fill="auto"/>
          <w:lang w:val="en-US" w:eastAsia="zh-CN"/>
        </w:rPr>
        <w:t>7.86</w:t>
      </w:r>
      <w:r>
        <w:rPr>
          <w:rFonts w:hint="eastAsia" w:asciiTheme="minorEastAsia" w:hAnsiTheme="minorEastAsia" w:eastAsiaTheme="minorEastAsia" w:cstheme="minorEastAsia"/>
          <w:color w:val="auto"/>
          <w:sz w:val="28"/>
          <w:szCs w:val="28"/>
          <w:highlight w:val="none"/>
          <w:lang w:val="en-US" w:eastAsia="zh-CN"/>
        </w:rPr>
        <w:t>万元，预算执行率为98.25%。</w:t>
      </w:r>
    </w:p>
    <w:p w14:paraId="4E49FE66">
      <w:pPr>
        <w:pageBreakBefore w:val="0"/>
        <w:widowControl w:val="0"/>
        <w:kinsoku/>
        <w:wordWrap/>
        <w:overflowPunct/>
        <w:topLinePunct w:val="0"/>
        <w:autoSpaceDE/>
        <w:autoSpaceDN/>
        <w:bidi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阜康市农业农村局建立健全了预算管理规章制度，各部门严格按照预算编制的原则和要求做好当年预算编制工作，在预算绩效管理工作中，做到合理安排各项资金，重点保障基本支出，按轻重缓急顺序原则，优先安排了阜康市农业农村局事业发展中关系民生与稳定的项目，切实优化资源配置，提高了资金使用的效率和效果。</w:t>
      </w:r>
    </w:p>
    <w:bookmarkEnd w:id="80"/>
    <w:bookmarkEnd w:id="81"/>
    <w:p w14:paraId="3FA562E4">
      <w:pPr>
        <w:pageBreakBefore w:val="0"/>
        <w:widowControl w:val="0"/>
        <w:kinsoku/>
        <w:wordWrap/>
        <w:overflowPunct/>
        <w:topLinePunct w:val="0"/>
        <w:autoSpaceDE/>
        <w:autoSpaceDN/>
        <w:bidi w:val="0"/>
        <w:spacing w:line="560" w:lineRule="exact"/>
        <w:ind w:left="0" w:firstLine="643" w:firstLineChars="200"/>
        <w:textAlignment w:val="auto"/>
        <w:outlineLvl w:val="1"/>
        <w:rPr>
          <w:rFonts w:hint="eastAsia" w:asciiTheme="minorEastAsia" w:hAnsiTheme="minorEastAsia" w:eastAsiaTheme="minorEastAsia" w:cstheme="minorEastAsia"/>
          <w:b/>
          <w:bCs/>
          <w:color w:val="auto"/>
          <w:sz w:val="32"/>
          <w:szCs w:val="32"/>
          <w:highlight w:val="none"/>
          <w:lang w:eastAsia="zh-CN"/>
        </w:rPr>
      </w:pPr>
      <w:bookmarkStart w:id="82" w:name="_Toc9582"/>
      <w:r>
        <w:rPr>
          <w:rFonts w:hint="eastAsia" w:asciiTheme="minorEastAsia" w:hAnsiTheme="minorEastAsia" w:eastAsiaTheme="minorEastAsia" w:cstheme="minorEastAsia"/>
          <w:b/>
          <w:bCs/>
          <w:color w:val="auto"/>
          <w:sz w:val="32"/>
          <w:szCs w:val="32"/>
          <w:highlight w:val="none"/>
          <w:lang w:eastAsia="zh-CN"/>
        </w:rPr>
        <w:t>（</w:t>
      </w:r>
      <w:r>
        <w:rPr>
          <w:rFonts w:hint="eastAsia" w:asciiTheme="minorEastAsia" w:hAnsiTheme="minorEastAsia" w:eastAsiaTheme="minorEastAsia" w:cstheme="minorEastAsia"/>
          <w:b/>
          <w:bCs/>
          <w:color w:val="auto"/>
          <w:sz w:val="32"/>
          <w:szCs w:val="32"/>
          <w:highlight w:val="none"/>
          <w:lang w:val="en-US" w:eastAsia="zh-CN"/>
        </w:rPr>
        <w:t>二</w:t>
      </w:r>
      <w:r>
        <w:rPr>
          <w:rFonts w:hint="eastAsia" w:asciiTheme="minorEastAsia" w:hAnsiTheme="minorEastAsia" w:eastAsiaTheme="minorEastAsia" w:cstheme="minorEastAsia"/>
          <w:b/>
          <w:bCs/>
          <w:color w:val="auto"/>
          <w:sz w:val="32"/>
          <w:szCs w:val="32"/>
          <w:highlight w:val="none"/>
          <w:lang w:eastAsia="zh-CN"/>
        </w:rPr>
        <w:t>）</w:t>
      </w:r>
      <w:r>
        <w:rPr>
          <w:rFonts w:hint="eastAsia" w:asciiTheme="minorEastAsia" w:hAnsiTheme="minorEastAsia" w:eastAsiaTheme="minorEastAsia" w:cstheme="minorEastAsia"/>
          <w:b/>
          <w:bCs/>
          <w:color w:val="auto"/>
          <w:sz w:val="32"/>
          <w:szCs w:val="32"/>
          <w:highlight w:val="none"/>
        </w:rPr>
        <w:t>存在的问题及原因分析</w:t>
      </w:r>
      <w:bookmarkEnd w:id="82"/>
    </w:p>
    <w:p w14:paraId="532A79C8">
      <w:pPr>
        <w:keepNext w:val="0"/>
        <w:keepLines w:val="0"/>
        <w:pageBreakBefore w:val="0"/>
        <w:widowControl w:val="0"/>
        <w:kinsoku/>
        <w:wordWrap/>
        <w:overflowPunct/>
        <w:topLinePunct w:val="0"/>
        <w:autoSpaceDE/>
        <w:autoSpaceDN/>
        <w:bidi w:val="0"/>
        <w:adjustRightInd w:val="0"/>
        <w:snapToGrid w:val="0"/>
        <w:spacing w:after="0"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bookmarkStart w:id="83" w:name="_Toc5230"/>
      <w:r>
        <w:rPr>
          <w:rFonts w:hint="eastAsia" w:asciiTheme="minorEastAsia" w:hAnsiTheme="minorEastAsia" w:eastAsiaTheme="minorEastAsia" w:cstheme="minorEastAsia"/>
          <w:color w:val="auto"/>
          <w:sz w:val="28"/>
          <w:szCs w:val="28"/>
          <w:highlight w:val="none"/>
          <w:lang w:val="en-US" w:eastAsia="zh-CN"/>
        </w:rPr>
        <w:t>一是项目没有经过</w:t>
      </w:r>
      <w:r>
        <w:rPr>
          <w:rFonts w:hint="eastAsia" w:asciiTheme="minorEastAsia" w:hAnsiTheme="minorEastAsia" w:eastAsiaTheme="minorEastAsia" w:cstheme="minorEastAsia"/>
          <w:color w:val="auto"/>
          <w:sz w:val="28"/>
          <w:szCs w:val="28"/>
          <w:highlight w:val="none"/>
          <w:lang w:eastAsia="zh-CN"/>
        </w:rPr>
        <w:t>必要的风险评估、绩效评估，</w:t>
      </w:r>
      <w:r>
        <w:rPr>
          <w:rFonts w:hint="eastAsia" w:asciiTheme="minorEastAsia" w:hAnsiTheme="minorEastAsia" w:eastAsiaTheme="minorEastAsia" w:cstheme="minorEastAsia"/>
          <w:color w:val="auto"/>
          <w:sz w:val="28"/>
          <w:szCs w:val="28"/>
          <w:highlight w:val="none"/>
          <w:lang w:val="en-US" w:eastAsia="zh-CN"/>
        </w:rPr>
        <w:t>是因为项目前期组织不充分，没有提高认识</w:t>
      </w:r>
      <w:r>
        <w:rPr>
          <w:rFonts w:hint="eastAsia" w:asciiTheme="minorEastAsia" w:hAnsiTheme="minorEastAsia" w:eastAsiaTheme="minorEastAsia" w:cstheme="minorEastAsia"/>
          <w:color w:val="auto"/>
          <w:sz w:val="28"/>
          <w:szCs w:val="28"/>
          <w:highlight w:val="none"/>
          <w:lang w:eastAsia="zh-CN"/>
        </w:rPr>
        <w:t>。</w:t>
      </w:r>
    </w:p>
    <w:p w14:paraId="05E6B7B7">
      <w:pPr>
        <w:keepNext w:val="0"/>
        <w:keepLines w:val="0"/>
        <w:pageBreakBefore w:val="0"/>
        <w:widowControl w:val="0"/>
        <w:kinsoku/>
        <w:wordWrap/>
        <w:overflowPunct/>
        <w:topLinePunct w:val="0"/>
        <w:autoSpaceDE/>
        <w:autoSpaceDN/>
        <w:bidi w:val="0"/>
        <w:adjustRightInd w:val="0"/>
        <w:snapToGrid w:val="0"/>
        <w:spacing w:after="0" w:line="560" w:lineRule="exact"/>
        <w:ind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二是项目前期没有样品抽样费不好支付，都是在种植户和零售小商贩随机抽取样品，每家涉及钱数都是几十元左右，无法让其开具发票，只能抽样人员先行垫付</w:t>
      </w:r>
      <w:r>
        <w:rPr>
          <w:rFonts w:hint="eastAsia" w:asciiTheme="minorEastAsia" w:hAnsiTheme="minorEastAsia" w:eastAsiaTheme="minorEastAsia" w:cstheme="minorEastAsia"/>
          <w:color w:val="auto"/>
          <w:sz w:val="28"/>
          <w:szCs w:val="28"/>
          <w:highlight w:val="none"/>
          <w:lang w:eastAsia="zh-CN"/>
        </w:rPr>
        <w:t>。</w:t>
      </w:r>
    </w:p>
    <w:p w14:paraId="3EA7268D">
      <w:pPr>
        <w:pStyle w:val="2"/>
        <w:pageBreakBefore w:val="0"/>
        <w:widowControl w:val="0"/>
        <w:kinsoku/>
        <w:wordWrap/>
        <w:overflowPunct/>
        <w:topLinePunct w:val="0"/>
        <w:autoSpaceDE/>
        <w:autoSpaceDN/>
        <w:bidi w:val="0"/>
        <w:adjustRightInd/>
        <w:spacing w:beforeLines="0" w:afterLines="0" w:line="560" w:lineRule="exact"/>
        <w:ind w:left="0" w:firstLine="643" w:firstLineChars="200"/>
        <w:textAlignment w:val="auto"/>
        <w:rPr>
          <w:rFonts w:hint="eastAsia" w:asciiTheme="minorEastAsia" w:hAnsiTheme="minorEastAsia" w:eastAsiaTheme="minorEastAsia" w:cstheme="minorEastAsia"/>
          <w:b/>
          <w:bCs/>
          <w:color w:val="auto"/>
          <w:sz w:val="32"/>
          <w:szCs w:val="32"/>
          <w:highlight w:val="none"/>
          <w:shd w:val="clear" w:color="auto" w:fill="auto"/>
          <w:lang w:val="en-US" w:eastAsia="zh-CN"/>
        </w:rPr>
      </w:pPr>
      <w:r>
        <w:rPr>
          <w:rFonts w:hint="eastAsia" w:asciiTheme="minorEastAsia" w:hAnsiTheme="minorEastAsia" w:eastAsiaTheme="minorEastAsia" w:cstheme="minorEastAsia"/>
          <w:b/>
          <w:bCs/>
          <w:color w:val="auto"/>
          <w:sz w:val="32"/>
          <w:szCs w:val="32"/>
          <w:highlight w:val="none"/>
          <w:shd w:val="clear" w:color="auto" w:fill="auto"/>
          <w:lang w:val="en-US" w:eastAsia="zh-CN"/>
        </w:rPr>
        <w:t>七、有关建议</w:t>
      </w:r>
      <w:bookmarkEnd w:id="83"/>
    </w:p>
    <w:p w14:paraId="710CF370">
      <w:pPr>
        <w:pStyle w:val="2"/>
        <w:pageBreakBefore w:val="0"/>
        <w:widowControl w:val="0"/>
        <w:kinsoku/>
        <w:wordWrap/>
        <w:overflowPunct/>
        <w:topLinePunct w:val="0"/>
        <w:autoSpaceDE/>
        <w:autoSpaceDN/>
        <w:bidi w:val="0"/>
        <w:adjustRightInd/>
        <w:spacing w:beforeLines="0" w:afterLines="0"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val="en-US" w:eastAsia="zh-CN"/>
        </w:rPr>
      </w:pPr>
      <w:bookmarkStart w:id="84" w:name="_Toc15618"/>
      <w:r>
        <w:rPr>
          <w:rFonts w:hint="eastAsia" w:asciiTheme="minorEastAsia" w:hAnsiTheme="minorEastAsia" w:eastAsiaTheme="minorEastAsia" w:cstheme="minorEastAsia"/>
          <w:color w:val="auto"/>
          <w:sz w:val="28"/>
          <w:szCs w:val="28"/>
          <w:highlight w:val="none"/>
          <w:lang w:val="en-US" w:eastAsia="zh-CN"/>
        </w:rPr>
        <w:t>一是在项目实施前，做提高组织保障，对项目做好充分讨论和研究，下次做好实施项目的风险评估和绩效评估。</w:t>
      </w:r>
    </w:p>
    <w:p w14:paraId="05AAA528">
      <w:pPr>
        <w:pStyle w:val="2"/>
        <w:pageBreakBefore w:val="0"/>
        <w:widowControl w:val="0"/>
        <w:kinsoku/>
        <w:wordWrap/>
        <w:overflowPunct/>
        <w:topLinePunct w:val="0"/>
        <w:autoSpaceDE/>
        <w:autoSpaceDN/>
        <w:bidi w:val="0"/>
        <w:adjustRightInd/>
        <w:spacing w:beforeLines="0" w:afterLines="0"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val="en-US" w:eastAsia="zh-CN"/>
        </w:rPr>
        <w:t>二是建议样品抽取费用是否可以以收据形式为支付证据，同时提前预计每次抽取样品费用，提前领出样品费用，以收据为依据，实报实销，杜绝由抽样人员垫付，后期不好支付问题</w:t>
      </w:r>
      <w:r>
        <w:rPr>
          <w:rFonts w:hint="eastAsia" w:asciiTheme="minorEastAsia" w:hAnsiTheme="minorEastAsia" w:eastAsiaTheme="minorEastAsia" w:cstheme="minorEastAsia"/>
          <w:color w:val="auto"/>
          <w:sz w:val="28"/>
          <w:szCs w:val="28"/>
          <w:highlight w:val="none"/>
          <w:lang w:eastAsia="zh-CN"/>
        </w:rPr>
        <w:t>。</w:t>
      </w:r>
    </w:p>
    <w:p w14:paraId="166E86E5">
      <w:pPr>
        <w:pStyle w:val="2"/>
        <w:pageBreakBefore w:val="0"/>
        <w:widowControl w:val="0"/>
        <w:kinsoku/>
        <w:wordWrap/>
        <w:overflowPunct/>
        <w:topLinePunct w:val="0"/>
        <w:autoSpaceDE/>
        <w:autoSpaceDN/>
        <w:bidi w:val="0"/>
        <w:adjustRightInd/>
        <w:spacing w:beforeLines="0" w:afterLines="0" w:line="560" w:lineRule="exact"/>
        <w:ind w:left="0" w:firstLine="643" w:firstLineChars="200"/>
        <w:textAlignment w:val="auto"/>
        <w:rPr>
          <w:rFonts w:hint="eastAsia" w:asciiTheme="majorEastAsia" w:hAnsiTheme="majorEastAsia" w:eastAsiaTheme="majorEastAsia" w:cstheme="majorEastAsia"/>
          <w:b/>
          <w:bCs/>
          <w:color w:val="auto"/>
          <w:sz w:val="32"/>
          <w:szCs w:val="32"/>
          <w:highlight w:val="none"/>
          <w:shd w:val="clear" w:color="auto" w:fill="auto"/>
          <w:lang w:val="en-US" w:eastAsia="zh-CN"/>
        </w:rPr>
      </w:pPr>
      <w:r>
        <w:rPr>
          <w:rFonts w:hint="eastAsia" w:asciiTheme="majorEastAsia" w:hAnsiTheme="majorEastAsia" w:eastAsiaTheme="majorEastAsia" w:cstheme="majorEastAsia"/>
          <w:b/>
          <w:bCs/>
          <w:color w:val="auto"/>
          <w:sz w:val="32"/>
          <w:szCs w:val="32"/>
          <w:highlight w:val="none"/>
          <w:shd w:val="clear" w:color="auto" w:fill="auto"/>
          <w:lang w:val="en-US" w:eastAsia="zh-CN"/>
        </w:rPr>
        <w:t>八、其他需要说明的问题</w:t>
      </w:r>
      <w:bookmarkEnd w:id="84"/>
    </w:p>
    <w:p w14:paraId="5A341336">
      <w:pPr>
        <w:pageBreakBefore w:val="0"/>
        <w:widowControl w:val="0"/>
        <w:kinsoku/>
        <w:wordWrap/>
        <w:overflowPunct/>
        <w:topLinePunct w:val="0"/>
        <w:autoSpaceDE/>
        <w:autoSpaceDN/>
        <w:bidi w:val="0"/>
        <w:spacing w:line="560" w:lineRule="exact"/>
        <w:ind w:left="0" w:firstLine="560" w:firstLineChars="200"/>
        <w:textAlignment w:val="auto"/>
        <w:rPr>
          <w:rFonts w:hint="eastAsia" w:asciiTheme="minorEastAsia" w:hAnsiTheme="minorEastAsia" w:eastAsiaTheme="minorEastAsia" w:cstheme="minorEastAsia"/>
          <w:color w:val="auto"/>
          <w:sz w:val="28"/>
          <w:szCs w:val="28"/>
          <w:highlight w:val="none"/>
          <w:shd w:val="clear" w:color="auto" w:fill="auto"/>
          <w:lang w:val="en-US" w:eastAsia="zh-CN"/>
        </w:rPr>
      </w:pPr>
      <w:r>
        <w:rPr>
          <w:rFonts w:hint="eastAsia" w:asciiTheme="minorEastAsia" w:hAnsiTheme="minorEastAsia" w:eastAsiaTheme="minorEastAsia" w:cstheme="minorEastAsia"/>
          <w:color w:val="auto"/>
          <w:sz w:val="28"/>
          <w:szCs w:val="28"/>
          <w:highlight w:val="none"/>
          <w:lang w:val="en-US" w:eastAsia="zh-CN"/>
        </w:rPr>
        <w:t>无其他需要说明的问题。</w:t>
      </w:r>
    </w:p>
    <w:p w14:paraId="52D21BA3">
      <w:pPr>
        <w:pageBreakBefore w:val="0"/>
        <w:widowControl w:val="0"/>
        <w:kinsoku/>
        <w:wordWrap/>
        <w:overflowPunct/>
        <w:topLinePunct w:val="0"/>
        <w:autoSpaceDE/>
        <w:autoSpaceDN/>
        <w:bidi w:val="0"/>
        <w:spacing w:line="560" w:lineRule="exact"/>
        <w:ind w:left="0" w:firstLine="643" w:firstLineChars="200"/>
        <w:textAlignment w:val="auto"/>
        <w:rPr>
          <w:rFonts w:hint="default" w:ascii="Times New Roman" w:hAnsi="Times New Roman" w:eastAsia="方正仿宋_GBK" w:cs="Times New Roman"/>
          <w:b/>
          <w:bCs/>
          <w:color w:val="auto"/>
          <w:kern w:val="2"/>
          <w:sz w:val="32"/>
          <w:szCs w:val="32"/>
          <w:highlight w:val="none"/>
          <w:lang w:val="en-US" w:eastAsia="zh-CN" w:bidi="ar-SA"/>
        </w:rPr>
        <w:sectPr>
          <w:footerReference r:id="rId5" w:type="default"/>
          <w:pgSz w:w="11850" w:h="16783"/>
          <w:pgMar w:top="2098" w:right="1474" w:bottom="1984" w:left="1587" w:header="737" w:footer="851" w:gutter="0"/>
          <w:pgNumType w:fmt="decimal" w:start="1"/>
          <w:cols w:space="720" w:num="1"/>
          <w:docGrid w:type="lines" w:linePitch="408" w:charSpace="0"/>
        </w:sectPr>
      </w:pPr>
    </w:p>
    <w:p w14:paraId="416EFC03">
      <w:pPr>
        <w:ind w:left="0" w:leftChars="0" w:firstLine="0" w:firstLineChars="0"/>
        <w:rPr>
          <w:rFonts w:hint="eastAsia" w:ascii="宋体" w:hAnsi="宋体" w:eastAsia="宋体" w:cs="宋体"/>
          <w:b/>
          <w:bCs/>
          <w:color w:val="auto"/>
          <w:kern w:val="2"/>
          <w:sz w:val="36"/>
          <w:szCs w:val="28"/>
          <w:highlight w:val="none"/>
          <w:lang w:val="en-US" w:eastAsia="zh-CN" w:bidi="ar-SA"/>
        </w:rPr>
      </w:pPr>
    </w:p>
    <w:p w14:paraId="4B455463">
      <w:pPr>
        <w:pStyle w:val="2"/>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5" w:name="_Toc11349"/>
      <w:r>
        <w:rPr>
          <w:rFonts w:hint="eastAsia" w:ascii="宋体" w:hAnsi="宋体" w:eastAsia="宋体" w:cs="宋体"/>
          <w:b/>
          <w:bCs/>
          <w:color w:val="auto"/>
          <w:highlight w:val="none"/>
          <w:shd w:val="clear" w:color="auto" w:fill="auto"/>
          <w:lang w:val="en-US" w:eastAsia="zh-CN"/>
        </w:rPr>
        <w:t>附件一、项目支出绩效自评表</w:t>
      </w:r>
      <w:bookmarkEnd w:id="85"/>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61"/>
        <w:gridCol w:w="861"/>
        <w:gridCol w:w="861"/>
        <w:gridCol w:w="861"/>
        <w:gridCol w:w="1109"/>
        <w:gridCol w:w="990"/>
        <w:gridCol w:w="861"/>
        <w:gridCol w:w="958"/>
        <w:gridCol w:w="861"/>
        <w:gridCol w:w="861"/>
        <w:gridCol w:w="1054"/>
        <w:gridCol w:w="1054"/>
        <w:gridCol w:w="861"/>
        <w:gridCol w:w="862"/>
      </w:tblGrid>
      <w:tr w14:paraId="41E2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2" w:hRule="atLeast"/>
        </w:trPr>
        <w:tc>
          <w:tcPr>
            <w:tcW w:w="12915" w:type="dxa"/>
            <w:gridSpan w:val="14"/>
            <w:tcBorders>
              <w:top w:val="nil"/>
              <w:left w:val="nil"/>
              <w:bottom w:val="nil"/>
              <w:right w:val="nil"/>
            </w:tcBorders>
            <w:shd w:val="clear" w:color="auto" w:fill="auto"/>
            <w:vAlign w:val="center"/>
          </w:tcPr>
          <w:p w14:paraId="7B8B8153">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BDF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12915" w:type="dxa"/>
            <w:gridSpan w:val="14"/>
            <w:tcBorders>
              <w:top w:val="nil"/>
              <w:left w:val="nil"/>
              <w:bottom w:val="single" w:color="auto" w:sz="4" w:space="0"/>
              <w:right w:val="nil"/>
            </w:tcBorders>
            <w:shd w:val="clear" w:color="auto" w:fill="auto"/>
            <w:vAlign w:val="center"/>
          </w:tcPr>
          <w:p w14:paraId="7755F2F8">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FC68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861" w:type="dxa"/>
            <w:gridSpan w:val="2"/>
            <w:tcBorders>
              <w:top w:val="single" w:color="auto" w:sz="4" w:space="0"/>
            </w:tcBorders>
            <w:shd w:val="clear" w:color="auto" w:fill="auto"/>
            <w:vAlign w:val="center"/>
          </w:tcPr>
          <w:p w14:paraId="649A72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054" w:type="dxa"/>
            <w:gridSpan w:val="12"/>
            <w:tcBorders>
              <w:top w:val="single" w:color="auto" w:sz="4" w:space="0"/>
            </w:tcBorders>
            <w:shd w:val="clear" w:color="auto" w:fill="auto"/>
            <w:vAlign w:val="center"/>
          </w:tcPr>
          <w:p w14:paraId="5B842A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农产品质量安全网格化监管</w:t>
            </w:r>
          </w:p>
        </w:tc>
      </w:tr>
      <w:tr w14:paraId="651E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61" w:type="dxa"/>
            <w:gridSpan w:val="2"/>
            <w:shd w:val="clear" w:color="auto" w:fill="auto"/>
            <w:vAlign w:val="center"/>
          </w:tcPr>
          <w:p w14:paraId="0C248D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87" w:type="dxa"/>
            <w:gridSpan w:val="5"/>
            <w:shd w:val="clear" w:color="auto" w:fill="auto"/>
            <w:vAlign w:val="center"/>
          </w:tcPr>
          <w:p w14:paraId="02B078D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昌吉州农业农村局</w:t>
            </w:r>
          </w:p>
        </w:tc>
        <w:tc>
          <w:tcPr>
            <w:tcW w:w="1778" w:type="dxa"/>
            <w:gridSpan w:val="2"/>
            <w:shd w:val="clear" w:color="auto" w:fill="auto"/>
            <w:vAlign w:val="center"/>
          </w:tcPr>
          <w:p w14:paraId="0BBA46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89" w:type="dxa"/>
            <w:gridSpan w:val="5"/>
            <w:shd w:val="clear" w:color="auto" w:fill="auto"/>
            <w:vAlign w:val="center"/>
          </w:tcPr>
          <w:p w14:paraId="03DF28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阜康市农业技术推广中心</w:t>
            </w:r>
          </w:p>
        </w:tc>
      </w:tr>
      <w:tr w14:paraId="2529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861" w:type="dxa"/>
            <w:gridSpan w:val="2"/>
            <w:vMerge w:val="restart"/>
            <w:shd w:val="clear" w:color="auto" w:fill="auto"/>
            <w:vAlign w:val="center"/>
          </w:tcPr>
          <w:p w14:paraId="49E0A7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87" w:type="dxa"/>
            <w:gridSpan w:val="2"/>
            <w:shd w:val="clear" w:color="auto" w:fill="auto"/>
            <w:vAlign w:val="center"/>
          </w:tcPr>
          <w:p w14:paraId="3FF4A3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324" w:type="dxa"/>
            <w:shd w:val="clear" w:color="auto" w:fill="auto"/>
            <w:vAlign w:val="center"/>
          </w:tcPr>
          <w:p w14:paraId="3D1BD3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76" w:type="dxa"/>
            <w:gridSpan w:val="2"/>
            <w:shd w:val="clear" w:color="auto" w:fill="auto"/>
            <w:vAlign w:val="center"/>
          </w:tcPr>
          <w:p w14:paraId="6CE88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78" w:type="dxa"/>
            <w:gridSpan w:val="2"/>
            <w:shd w:val="clear" w:color="auto" w:fill="auto"/>
            <w:vAlign w:val="center"/>
          </w:tcPr>
          <w:p w14:paraId="2D71D9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88" w:type="dxa"/>
            <w:gridSpan w:val="2"/>
            <w:shd w:val="clear" w:color="auto" w:fill="auto"/>
            <w:vAlign w:val="center"/>
          </w:tcPr>
          <w:p w14:paraId="436CE2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78" w:type="dxa"/>
            <w:gridSpan w:val="2"/>
            <w:shd w:val="clear" w:color="auto" w:fill="auto"/>
            <w:vAlign w:val="center"/>
          </w:tcPr>
          <w:p w14:paraId="2E3066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23" w:type="dxa"/>
            <w:shd w:val="clear" w:color="auto" w:fill="auto"/>
            <w:vAlign w:val="center"/>
          </w:tcPr>
          <w:p w14:paraId="308DB1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0AE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861" w:type="dxa"/>
            <w:gridSpan w:val="2"/>
            <w:vMerge w:val="continue"/>
            <w:shd w:val="clear" w:color="auto" w:fill="auto"/>
            <w:vAlign w:val="center"/>
          </w:tcPr>
          <w:p w14:paraId="5BF09D5B">
            <w:pPr>
              <w:jc w:val="center"/>
              <w:rPr>
                <w:rFonts w:hint="eastAsia" w:ascii="宋体" w:hAnsi="宋体" w:eastAsia="宋体" w:cs="宋体"/>
                <w:i w:val="0"/>
                <w:iCs w:val="0"/>
                <w:color w:val="000000"/>
                <w:sz w:val="20"/>
                <w:szCs w:val="20"/>
                <w:u w:val="none"/>
              </w:rPr>
            </w:pPr>
          </w:p>
        </w:tc>
        <w:tc>
          <w:tcPr>
            <w:tcW w:w="2487" w:type="dxa"/>
            <w:gridSpan w:val="2"/>
            <w:shd w:val="clear" w:color="auto" w:fill="auto"/>
            <w:vAlign w:val="center"/>
          </w:tcPr>
          <w:p w14:paraId="0B03E1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24" w:type="dxa"/>
            <w:shd w:val="clear" w:color="auto" w:fill="auto"/>
            <w:vAlign w:val="center"/>
          </w:tcPr>
          <w:p w14:paraId="7A7BF0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76" w:type="dxa"/>
            <w:gridSpan w:val="2"/>
            <w:shd w:val="clear" w:color="auto" w:fill="auto"/>
            <w:vAlign w:val="center"/>
          </w:tcPr>
          <w:p w14:paraId="3CED9B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778" w:type="dxa"/>
            <w:gridSpan w:val="2"/>
            <w:shd w:val="clear" w:color="auto" w:fill="auto"/>
            <w:vAlign w:val="center"/>
          </w:tcPr>
          <w:p w14:paraId="559402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7.86 </w:t>
            </w:r>
          </w:p>
        </w:tc>
        <w:tc>
          <w:tcPr>
            <w:tcW w:w="2088" w:type="dxa"/>
            <w:gridSpan w:val="2"/>
            <w:shd w:val="clear" w:color="auto" w:fill="auto"/>
            <w:vAlign w:val="center"/>
          </w:tcPr>
          <w:p w14:paraId="455D1E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78" w:type="dxa"/>
            <w:gridSpan w:val="2"/>
            <w:shd w:val="clear" w:color="auto" w:fill="auto"/>
            <w:vAlign w:val="center"/>
          </w:tcPr>
          <w:p w14:paraId="337B18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98.25%</w:t>
            </w:r>
          </w:p>
        </w:tc>
        <w:tc>
          <w:tcPr>
            <w:tcW w:w="823" w:type="dxa"/>
            <w:shd w:val="clear" w:color="auto" w:fill="auto"/>
            <w:vAlign w:val="center"/>
          </w:tcPr>
          <w:p w14:paraId="71FF9D61">
            <w:pPr>
              <w:keepNext w:val="0"/>
              <w:keepLines w:val="0"/>
              <w:widowControl/>
              <w:suppressLineNumbers w:val="0"/>
              <w:ind w:firstLine="400" w:firstLineChars="200"/>
              <w:jc w:val="center"/>
              <w:textAlignment w:val="center"/>
              <w:rPr>
                <w:rFonts w:hint="default"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r>
      <w:tr w14:paraId="39F3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861" w:type="dxa"/>
            <w:gridSpan w:val="2"/>
            <w:vMerge w:val="continue"/>
            <w:shd w:val="clear" w:color="auto" w:fill="auto"/>
            <w:vAlign w:val="center"/>
          </w:tcPr>
          <w:p w14:paraId="0D7A87E3">
            <w:pPr>
              <w:jc w:val="center"/>
              <w:rPr>
                <w:rFonts w:hint="eastAsia" w:ascii="宋体" w:hAnsi="宋体" w:eastAsia="宋体" w:cs="宋体"/>
                <w:i w:val="0"/>
                <w:iCs w:val="0"/>
                <w:color w:val="000000"/>
                <w:sz w:val="20"/>
                <w:szCs w:val="20"/>
                <w:u w:val="none"/>
              </w:rPr>
            </w:pPr>
          </w:p>
        </w:tc>
        <w:tc>
          <w:tcPr>
            <w:tcW w:w="2487" w:type="dxa"/>
            <w:gridSpan w:val="2"/>
            <w:shd w:val="clear" w:color="auto" w:fill="auto"/>
            <w:vAlign w:val="center"/>
          </w:tcPr>
          <w:p w14:paraId="32B63E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24" w:type="dxa"/>
            <w:shd w:val="clear" w:color="auto" w:fill="auto"/>
            <w:vAlign w:val="center"/>
          </w:tcPr>
          <w:p w14:paraId="5776D7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76" w:type="dxa"/>
            <w:gridSpan w:val="2"/>
            <w:shd w:val="clear" w:color="auto" w:fill="auto"/>
            <w:vAlign w:val="center"/>
          </w:tcPr>
          <w:p w14:paraId="73AFFB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778" w:type="dxa"/>
            <w:gridSpan w:val="2"/>
            <w:shd w:val="clear" w:color="auto" w:fill="auto"/>
            <w:vAlign w:val="center"/>
          </w:tcPr>
          <w:p w14:paraId="1F1112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7.86 </w:t>
            </w:r>
          </w:p>
        </w:tc>
        <w:tc>
          <w:tcPr>
            <w:tcW w:w="2088" w:type="dxa"/>
            <w:gridSpan w:val="2"/>
            <w:shd w:val="clear" w:color="auto" w:fill="auto"/>
            <w:vAlign w:val="center"/>
          </w:tcPr>
          <w:p w14:paraId="7A545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8" w:type="dxa"/>
            <w:gridSpan w:val="2"/>
            <w:shd w:val="clear" w:color="auto" w:fill="auto"/>
            <w:vAlign w:val="center"/>
          </w:tcPr>
          <w:p w14:paraId="714F97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40189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F90A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gridSpan w:val="2"/>
            <w:vMerge w:val="continue"/>
            <w:shd w:val="clear" w:color="auto" w:fill="auto"/>
            <w:vAlign w:val="center"/>
          </w:tcPr>
          <w:p w14:paraId="26277F42">
            <w:pPr>
              <w:jc w:val="center"/>
              <w:rPr>
                <w:rFonts w:hint="eastAsia" w:ascii="宋体" w:hAnsi="宋体" w:eastAsia="宋体" w:cs="宋体"/>
                <w:i w:val="0"/>
                <w:iCs w:val="0"/>
                <w:color w:val="000000"/>
                <w:sz w:val="20"/>
                <w:szCs w:val="20"/>
                <w:u w:val="none"/>
              </w:rPr>
            </w:pPr>
          </w:p>
        </w:tc>
        <w:tc>
          <w:tcPr>
            <w:tcW w:w="2487" w:type="dxa"/>
            <w:gridSpan w:val="2"/>
            <w:shd w:val="clear" w:color="auto" w:fill="auto"/>
            <w:vAlign w:val="center"/>
          </w:tcPr>
          <w:p w14:paraId="783F6D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24" w:type="dxa"/>
            <w:shd w:val="clear" w:color="auto" w:fill="auto"/>
            <w:vAlign w:val="center"/>
          </w:tcPr>
          <w:p w14:paraId="514471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76" w:type="dxa"/>
            <w:gridSpan w:val="2"/>
            <w:shd w:val="clear" w:color="auto" w:fill="auto"/>
            <w:vAlign w:val="center"/>
          </w:tcPr>
          <w:p w14:paraId="07DC2B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8" w:type="dxa"/>
            <w:gridSpan w:val="2"/>
            <w:shd w:val="clear" w:color="auto" w:fill="auto"/>
            <w:vAlign w:val="center"/>
          </w:tcPr>
          <w:p w14:paraId="538444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8" w:type="dxa"/>
            <w:gridSpan w:val="2"/>
            <w:shd w:val="clear" w:color="auto" w:fill="auto"/>
            <w:vAlign w:val="center"/>
          </w:tcPr>
          <w:p w14:paraId="0878A4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8" w:type="dxa"/>
            <w:gridSpan w:val="2"/>
            <w:shd w:val="clear" w:color="auto" w:fill="auto"/>
            <w:vAlign w:val="center"/>
          </w:tcPr>
          <w:p w14:paraId="7B0F74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301D85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8B28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56" w:type="dxa"/>
            <w:vMerge w:val="restart"/>
            <w:shd w:val="clear" w:color="auto" w:fill="auto"/>
            <w:vAlign w:val="center"/>
          </w:tcPr>
          <w:p w14:paraId="15A0CD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70" w:type="dxa"/>
            <w:gridSpan w:val="8"/>
            <w:shd w:val="clear" w:color="auto" w:fill="auto"/>
            <w:vAlign w:val="center"/>
          </w:tcPr>
          <w:p w14:paraId="536121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4889" w:type="dxa"/>
            <w:gridSpan w:val="5"/>
            <w:shd w:val="clear" w:color="auto" w:fill="auto"/>
            <w:vAlign w:val="center"/>
          </w:tcPr>
          <w:p w14:paraId="6A3A15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5C26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53379E62">
            <w:pPr>
              <w:jc w:val="center"/>
              <w:rPr>
                <w:rFonts w:hint="eastAsia" w:ascii="宋体" w:hAnsi="宋体" w:eastAsia="宋体" w:cs="宋体"/>
                <w:i w:val="0"/>
                <w:iCs w:val="0"/>
                <w:color w:val="000000"/>
                <w:sz w:val="20"/>
                <w:szCs w:val="20"/>
                <w:u w:val="none"/>
              </w:rPr>
            </w:pPr>
          </w:p>
        </w:tc>
        <w:tc>
          <w:tcPr>
            <w:tcW w:w="7570" w:type="dxa"/>
            <w:gridSpan w:val="8"/>
            <w:shd w:val="clear" w:color="auto" w:fill="auto"/>
            <w:vAlign w:val="center"/>
          </w:tcPr>
          <w:p w14:paraId="6FD5BCF1">
            <w:pPr>
              <w:keepNext w:val="0"/>
              <w:keepLines w:val="0"/>
              <w:widowControl/>
              <w:suppressLineNumbers w:val="0"/>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康市农业技术推广中心负责农产品农产品质量安全检验检测职能，购买所需耗材、气体的购买；检测仪器检定；检测样品的购买，提升生产主体农产品质量安全意识，完成农产品质量安全检验检测任务数量不少于9484个，设备验收合格率100%，设备采购按时完成率100%，生产主体农产品质量安全意识有所增强。</w:t>
            </w:r>
          </w:p>
        </w:tc>
        <w:tc>
          <w:tcPr>
            <w:tcW w:w="4889" w:type="dxa"/>
            <w:gridSpan w:val="5"/>
            <w:shd w:val="clear" w:color="auto" w:fill="auto"/>
            <w:vAlign w:val="center"/>
          </w:tcPr>
          <w:p w14:paraId="1422ABDE">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截止2023年12月31日，项目完成9484个农产品质量安全检验检测任务，已完成检验检测所需耗材、气体采购，仪器设备也已完成检定，项目实施，生产主体农产品质量安全意识有所增强。</w:t>
            </w:r>
          </w:p>
        </w:tc>
      </w:tr>
      <w:tr w14:paraId="242A4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shd w:val="clear" w:color="auto" w:fill="auto"/>
            <w:vAlign w:val="center"/>
          </w:tcPr>
          <w:p w14:paraId="10F8670F">
            <w:pPr>
              <w:jc w:val="center"/>
              <w:rPr>
                <w:rFonts w:hint="eastAsia" w:ascii="宋体" w:hAnsi="宋体" w:eastAsia="宋体" w:cs="宋体"/>
                <w:i w:val="0"/>
                <w:iCs w:val="0"/>
                <w:color w:val="000000"/>
                <w:sz w:val="24"/>
                <w:szCs w:val="24"/>
                <w:u w:val="none"/>
              </w:rPr>
            </w:pPr>
          </w:p>
        </w:tc>
        <w:tc>
          <w:tcPr>
            <w:tcW w:w="405" w:type="dxa"/>
            <w:shd w:val="clear" w:color="auto" w:fill="auto"/>
            <w:vAlign w:val="center"/>
          </w:tcPr>
          <w:p w14:paraId="23020A94">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700" w:type="dxa"/>
            <w:shd w:val="clear" w:color="auto" w:fill="auto"/>
            <w:vAlign w:val="center"/>
          </w:tcPr>
          <w:p w14:paraId="43634F83">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二级指标</w:t>
            </w:r>
          </w:p>
        </w:tc>
        <w:tc>
          <w:tcPr>
            <w:tcW w:w="1787" w:type="dxa"/>
            <w:shd w:val="clear" w:color="auto" w:fill="auto"/>
            <w:vAlign w:val="center"/>
          </w:tcPr>
          <w:p w14:paraId="5A5A30F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324" w:type="dxa"/>
            <w:shd w:val="clear" w:color="auto" w:fill="auto"/>
            <w:vAlign w:val="center"/>
          </w:tcPr>
          <w:p w14:paraId="6E0AB7D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w:t>
            </w:r>
          </w:p>
        </w:tc>
        <w:tc>
          <w:tcPr>
            <w:tcW w:w="909" w:type="dxa"/>
            <w:shd w:val="clear" w:color="auto" w:fill="auto"/>
            <w:vAlign w:val="center"/>
          </w:tcPr>
          <w:p w14:paraId="659499B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指标值设置依据</w:t>
            </w:r>
          </w:p>
        </w:tc>
        <w:tc>
          <w:tcPr>
            <w:tcW w:w="667" w:type="dxa"/>
            <w:shd w:val="clear" w:color="auto" w:fill="auto"/>
            <w:vAlign w:val="center"/>
          </w:tcPr>
          <w:p w14:paraId="55B190E4">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上年完成值</w:t>
            </w:r>
          </w:p>
        </w:tc>
        <w:tc>
          <w:tcPr>
            <w:tcW w:w="666" w:type="dxa"/>
            <w:shd w:val="clear" w:color="auto" w:fill="auto"/>
            <w:vAlign w:val="center"/>
          </w:tcPr>
          <w:p w14:paraId="12073BC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指标分值权重</w:t>
            </w:r>
          </w:p>
        </w:tc>
        <w:tc>
          <w:tcPr>
            <w:tcW w:w="1112" w:type="dxa"/>
            <w:shd w:val="clear" w:color="auto" w:fill="auto"/>
            <w:vAlign w:val="center"/>
          </w:tcPr>
          <w:p w14:paraId="76B0891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指标赋分规则</w:t>
            </w:r>
          </w:p>
        </w:tc>
        <w:tc>
          <w:tcPr>
            <w:tcW w:w="967" w:type="dxa"/>
            <w:shd w:val="clear" w:color="auto" w:fill="auto"/>
            <w:vAlign w:val="center"/>
          </w:tcPr>
          <w:p w14:paraId="4552750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佐证资料</w:t>
            </w:r>
          </w:p>
        </w:tc>
        <w:tc>
          <w:tcPr>
            <w:tcW w:w="1121" w:type="dxa"/>
            <w:shd w:val="clear" w:color="auto" w:fill="auto"/>
            <w:vAlign w:val="center"/>
          </w:tcPr>
          <w:p w14:paraId="585704D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指标实际完成值</w:t>
            </w:r>
          </w:p>
        </w:tc>
        <w:tc>
          <w:tcPr>
            <w:tcW w:w="1005" w:type="dxa"/>
            <w:shd w:val="clear" w:color="auto" w:fill="auto"/>
            <w:vAlign w:val="center"/>
          </w:tcPr>
          <w:p w14:paraId="0C346175">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完成率</w:t>
            </w:r>
          </w:p>
        </w:tc>
        <w:tc>
          <w:tcPr>
            <w:tcW w:w="973" w:type="dxa"/>
            <w:shd w:val="clear" w:color="auto" w:fill="auto"/>
            <w:vAlign w:val="center"/>
          </w:tcPr>
          <w:p w14:paraId="6A6631BD">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指标得分</w:t>
            </w:r>
          </w:p>
        </w:tc>
        <w:tc>
          <w:tcPr>
            <w:tcW w:w="823" w:type="dxa"/>
            <w:shd w:val="clear" w:color="auto" w:fill="auto"/>
            <w:vAlign w:val="center"/>
          </w:tcPr>
          <w:p w14:paraId="7410B49A">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14:paraId="728A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restart"/>
            <w:shd w:val="clear" w:color="auto" w:fill="auto"/>
            <w:vAlign w:val="center"/>
          </w:tcPr>
          <w:p w14:paraId="2114770D">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405" w:type="dxa"/>
            <w:vMerge w:val="restart"/>
            <w:shd w:val="clear" w:color="auto" w:fill="auto"/>
            <w:vAlign w:val="center"/>
          </w:tcPr>
          <w:p w14:paraId="672F285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700" w:type="dxa"/>
            <w:shd w:val="clear" w:color="auto" w:fill="auto"/>
            <w:vAlign w:val="center"/>
          </w:tcPr>
          <w:p w14:paraId="703D2A0D">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数量指标</w:t>
            </w:r>
          </w:p>
        </w:tc>
        <w:tc>
          <w:tcPr>
            <w:tcW w:w="1787" w:type="dxa"/>
            <w:shd w:val="clear" w:color="auto" w:fill="auto"/>
            <w:vAlign w:val="center"/>
          </w:tcPr>
          <w:p w14:paraId="61CBF593">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完成农产品质量安全检验检测任务数量</w:t>
            </w:r>
          </w:p>
        </w:tc>
        <w:tc>
          <w:tcPr>
            <w:tcW w:w="1324" w:type="dxa"/>
            <w:shd w:val="clear" w:color="auto" w:fill="auto"/>
            <w:noWrap/>
            <w:vAlign w:val="center"/>
          </w:tcPr>
          <w:p w14:paraId="74ECD5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≥9484个</w:t>
            </w:r>
          </w:p>
        </w:tc>
        <w:tc>
          <w:tcPr>
            <w:tcW w:w="909" w:type="dxa"/>
            <w:shd w:val="clear" w:color="auto" w:fill="auto"/>
            <w:noWrap/>
            <w:vAlign w:val="center"/>
          </w:tcPr>
          <w:p w14:paraId="1F87D8D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计划标准</w:t>
            </w:r>
          </w:p>
        </w:tc>
        <w:tc>
          <w:tcPr>
            <w:tcW w:w="667" w:type="dxa"/>
            <w:shd w:val="clear" w:color="auto" w:fill="auto"/>
            <w:vAlign w:val="center"/>
          </w:tcPr>
          <w:p w14:paraId="17AE8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4580A5D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112" w:type="dxa"/>
            <w:shd w:val="clear" w:color="auto" w:fill="auto"/>
            <w:vAlign w:val="center"/>
          </w:tcPr>
          <w:p w14:paraId="1CB38FCE">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038AB90A">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正式材料</w:t>
            </w:r>
          </w:p>
        </w:tc>
        <w:tc>
          <w:tcPr>
            <w:tcW w:w="1121" w:type="dxa"/>
            <w:shd w:val="clear" w:color="auto" w:fill="auto"/>
            <w:vAlign w:val="center"/>
          </w:tcPr>
          <w:p w14:paraId="101F7BE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9484个</w:t>
            </w:r>
          </w:p>
        </w:tc>
        <w:tc>
          <w:tcPr>
            <w:tcW w:w="1005" w:type="dxa"/>
            <w:shd w:val="clear" w:color="auto" w:fill="auto"/>
            <w:vAlign w:val="center"/>
          </w:tcPr>
          <w:p w14:paraId="0BCF9E28">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54F2C5D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823" w:type="dxa"/>
            <w:shd w:val="clear" w:color="auto" w:fill="auto"/>
            <w:vAlign w:val="center"/>
          </w:tcPr>
          <w:p w14:paraId="7959F39A">
            <w:pPr>
              <w:jc w:val="center"/>
              <w:rPr>
                <w:rFonts w:hint="eastAsia" w:ascii="宋体" w:hAnsi="宋体" w:eastAsia="宋体" w:cs="宋体"/>
                <w:i w:val="0"/>
                <w:iCs w:val="0"/>
                <w:color w:val="000000"/>
                <w:sz w:val="24"/>
                <w:szCs w:val="24"/>
                <w:u w:val="none"/>
              </w:rPr>
            </w:pPr>
          </w:p>
        </w:tc>
      </w:tr>
      <w:tr w14:paraId="7848E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0D6DE1A3">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3744AF13">
            <w:pPr>
              <w:jc w:val="center"/>
              <w:rPr>
                <w:rFonts w:hint="eastAsia" w:ascii="宋体" w:hAnsi="宋体" w:eastAsia="宋体" w:cs="宋体"/>
                <w:i w:val="0"/>
                <w:iCs w:val="0"/>
                <w:color w:val="000000"/>
                <w:sz w:val="24"/>
                <w:szCs w:val="24"/>
                <w:u w:val="none"/>
              </w:rPr>
            </w:pPr>
          </w:p>
        </w:tc>
        <w:tc>
          <w:tcPr>
            <w:tcW w:w="700" w:type="dxa"/>
            <w:shd w:val="clear" w:color="auto" w:fill="auto"/>
            <w:vAlign w:val="center"/>
          </w:tcPr>
          <w:p w14:paraId="6CADFB50">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质量指标</w:t>
            </w:r>
          </w:p>
        </w:tc>
        <w:tc>
          <w:tcPr>
            <w:tcW w:w="1787" w:type="dxa"/>
            <w:shd w:val="clear" w:color="auto" w:fill="auto"/>
            <w:vAlign w:val="center"/>
          </w:tcPr>
          <w:p w14:paraId="6B06405E">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耗材、气体质量合格率</w:t>
            </w:r>
          </w:p>
        </w:tc>
        <w:tc>
          <w:tcPr>
            <w:tcW w:w="1324" w:type="dxa"/>
            <w:shd w:val="clear" w:color="auto" w:fill="auto"/>
            <w:noWrap/>
            <w:vAlign w:val="center"/>
          </w:tcPr>
          <w:p w14:paraId="725534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noWrap/>
            <w:vAlign w:val="center"/>
          </w:tcPr>
          <w:p w14:paraId="2773BDDF">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计划标准</w:t>
            </w:r>
          </w:p>
        </w:tc>
        <w:tc>
          <w:tcPr>
            <w:tcW w:w="667" w:type="dxa"/>
            <w:shd w:val="clear" w:color="auto" w:fill="auto"/>
            <w:vAlign w:val="center"/>
          </w:tcPr>
          <w:p w14:paraId="52CF7E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38927A0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2" w:type="dxa"/>
            <w:shd w:val="clear" w:color="auto" w:fill="auto"/>
            <w:vAlign w:val="center"/>
          </w:tcPr>
          <w:p w14:paraId="16F095D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75D74378">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工作资料</w:t>
            </w:r>
          </w:p>
        </w:tc>
        <w:tc>
          <w:tcPr>
            <w:tcW w:w="1121" w:type="dxa"/>
            <w:shd w:val="clear" w:color="auto" w:fill="auto"/>
            <w:vAlign w:val="center"/>
          </w:tcPr>
          <w:p w14:paraId="2F8B952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5" w:type="dxa"/>
            <w:shd w:val="clear" w:color="auto" w:fill="auto"/>
            <w:vAlign w:val="center"/>
          </w:tcPr>
          <w:p w14:paraId="375E7C1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3E2C6563">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23" w:type="dxa"/>
            <w:shd w:val="clear" w:color="auto" w:fill="auto"/>
            <w:vAlign w:val="center"/>
          </w:tcPr>
          <w:p w14:paraId="293D7730">
            <w:pPr>
              <w:jc w:val="center"/>
              <w:rPr>
                <w:rFonts w:hint="eastAsia" w:ascii="宋体" w:hAnsi="宋体" w:eastAsia="宋体" w:cs="宋体"/>
                <w:i w:val="0"/>
                <w:iCs w:val="0"/>
                <w:color w:val="000000"/>
                <w:sz w:val="24"/>
                <w:szCs w:val="24"/>
                <w:u w:val="none"/>
              </w:rPr>
            </w:pPr>
          </w:p>
        </w:tc>
      </w:tr>
      <w:tr w14:paraId="33D1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2EDE2E82">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62EF7B59">
            <w:pPr>
              <w:jc w:val="center"/>
              <w:rPr>
                <w:rFonts w:hint="eastAsia" w:ascii="宋体" w:hAnsi="宋体" w:eastAsia="宋体" w:cs="宋体"/>
                <w:i w:val="0"/>
                <w:iCs w:val="0"/>
                <w:color w:val="000000"/>
                <w:sz w:val="24"/>
                <w:szCs w:val="24"/>
                <w:u w:val="none"/>
              </w:rPr>
            </w:pPr>
          </w:p>
        </w:tc>
        <w:tc>
          <w:tcPr>
            <w:tcW w:w="700" w:type="dxa"/>
            <w:shd w:val="clear" w:color="auto" w:fill="auto"/>
            <w:vAlign w:val="center"/>
          </w:tcPr>
          <w:p w14:paraId="478A4E3D">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时效指标</w:t>
            </w:r>
          </w:p>
        </w:tc>
        <w:tc>
          <w:tcPr>
            <w:tcW w:w="1787" w:type="dxa"/>
            <w:shd w:val="clear" w:color="auto" w:fill="auto"/>
            <w:vAlign w:val="center"/>
          </w:tcPr>
          <w:p w14:paraId="5DDE997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耗材、气体采购按时完成率</w:t>
            </w:r>
          </w:p>
        </w:tc>
        <w:tc>
          <w:tcPr>
            <w:tcW w:w="1324" w:type="dxa"/>
            <w:shd w:val="clear" w:color="auto" w:fill="auto"/>
            <w:noWrap/>
            <w:vAlign w:val="center"/>
          </w:tcPr>
          <w:p w14:paraId="223B63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9" w:type="dxa"/>
            <w:shd w:val="clear" w:color="auto" w:fill="auto"/>
            <w:noWrap/>
            <w:vAlign w:val="center"/>
          </w:tcPr>
          <w:p w14:paraId="034D4D1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计划标准</w:t>
            </w:r>
          </w:p>
        </w:tc>
        <w:tc>
          <w:tcPr>
            <w:tcW w:w="667" w:type="dxa"/>
            <w:shd w:val="clear" w:color="auto" w:fill="auto"/>
            <w:vAlign w:val="center"/>
          </w:tcPr>
          <w:p w14:paraId="7C9D58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7171004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2" w:type="dxa"/>
            <w:shd w:val="clear" w:color="auto" w:fill="auto"/>
            <w:vAlign w:val="center"/>
          </w:tcPr>
          <w:p w14:paraId="27FBA26E">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33DAB13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0D83157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5" w:type="dxa"/>
            <w:shd w:val="clear" w:color="auto" w:fill="auto"/>
            <w:vAlign w:val="center"/>
          </w:tcPr>
          <w:p w14:paraId="38FD469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19651FD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23" w:type="dxa"/>
            <w:shd w:val="clear" w:color="auto" w:fill="auto"/>
            <w:vAlign w:val="center"/>
          </w:tcPr>
          <w:p w14:paraId="2A062664">
            <w:pPr>
              <w:jc w:val="center"/>
              <w:rPr>
                <w:rFonts w:hint="eastAsia" w:ascii="宋体" w:hAnsi="宋体" w:eastAsia="宋体" w:cs="宋体"/>
                <w:i w:val="0"/>
                <w:iCs w:val="0"/>
                <w:color w:val="000000"/>
                <w:sz w:val="24"/>
                <w:szCs w:val="24"/>
                <w:u w:val="none"/>
              </w:rPr>
            </w:pPr>
          </w:p>
        </w:tc>
      </w:tr>
      <w:tr w14:paraId="7C02C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575FDE40">
            <w:pPr>
              <w:jc w:val="center"/>
              <w:rPr>
                <w:rFonts w:hint="eastAsia" w:ascii="宋体" w:hAnsi="宋体" w:eastAsia="宋体" w:cs="宋体"/>
                <w:i w:val="0"/>
                <w:iCs w:val="0"/>
                <w:color w:val="000000"/>
                <w:sz w:val="24"/>
                <w:szCs w:val="24"/>
                <w:u w:val="none"/>
              </w:rPr>
            </w:pPr>
          </w:p>
        </w:tc>
        <w:tc>
          <w:tcPr>
            <w:tcW w:w="405" w:type="dxa"/>
            <w:vMerge w:val="restart"/>
            <w:shd w:val="clear" w:color="auto" w:fill="auto"/>
            <w:vAlign w:val="center"/>
          </w:tcPr>
          <w:p w14:paraId="3D6EA414">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700" w:type="dxa"/>
            <w:vMerge w:val="restart"/>
            <w:shd w:val="clear" w:color="auto" w:fill="auto"/>
            <w:vAlign w:val="center"/>
          </w:tcPr>
          <w:p w14:paraId="49289306">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经济成本指标</w:t>
            </w:r>
          </w:p>
        </w:tc>
        <w:tc>
          <w:tcPr>
            <w:tcW w:w="1787" w:type="dxa"/>
            <w:shd w:val="clear" w:color="auto" w:fill="auto"/>
            <w:vAlign w:val="center"/>
          </w:tcPr>
          <w:p w14:paraId="24BC6E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购买检测耗材费</w:t>
            </w:r>
          </w:p>
        </w:tc>
        <w:tc>
          <w:tcPr>
            <w:tcW w:w="1324" w:type="dxa"/>
            <w:shd w:val="clear" w:color="auto" w:fill="auto"/>
            <w:vAlign w:val="center"/>
          </w:tcPr>
          <w:p w14:paraId="1BB453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≤7.21万元</w:t>
            </w:r>
          </w:p>
        </w:tc>
        <w:tc>
          <w:tcPr>
            <w:tcW w:w="909" w:type="dxa"/>
            <w:shd w:val="clear" w:color="auto" w:fill="auto"/>
            <w:vAlign w:val="center"/>
          </w:tcPr>
          <w:p w14:paraId="0D047DE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预算支出标准</w:t>
            </w:r>
          </w:p>
        </w:tc>
        <w:tc>
          <w:tcPr>
            <w:tcW w:w="667" w:type="dxa"/>
            <w:shd w:val="clear" w:color="auto" w:fill="auto"/>
            <w:vAlign w:val="center"/>
          </w:tcPr>
          <w:p w14:paraId="74920F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vAlign w:val="center"/>
          </w:tcPr>
          <w:p w14:paraId="1C79E0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12" w:type="dxa"/>
            <w:shd w:val="clear" w:color="auto" w:fill="auto"/>
            <w:vAlign w:val="center"/>
          </w:tcPr>
          <w:p w14:paraId="64F4BC86">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0D653FD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170BA1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7.21万元</w:t>
            </w:r>
          </w:p>
        </w:tc>
        <w:tc>
          <w:tcPr>
            <w:tcW w:w="1005" w:type="dxa"/>
            <w:shd w:val="clear" w:color="auto" w:fill="auto"/>
            <w:vAlign w:val="center"/>
          </w:tcPr>
          <w:p w14:paraId="1626C07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31B26B76">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3" w:type="dxa"/>
            <w:shd w:val="clear" w:color="auto" w:fill="auto"/>
            <w:vAlign w:val="center"/>
          </w:tcPr>
          <w:p w14:paraId="22B1ACE6">
            <w:pPr>
              <w:jc w:val="center"/>
              <w:rPr>
                <w:rFonts w:hint="eastAsia" w:ascii="宋体" w:hAnsi="宋体" w:eastAsia="宋体" w:cs="宋体"/>
                <w:b/>
                <w:bCs/>
                <w:i w:val="0"/>
                <w:iCs w:val="0"/>
                <w:color w:val="000000"/>
                <w:sz w:val="24"/>
                <w:szCs w:val="24"/>
                <w:u w:val="none"/>
              </w:rPr>
            </w:pPr>
          </w:p>
        </w:tc>
      </w:tr>
      <w:tr w14:paraId="77919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13B8AA79">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3D2110D6">
            <w:pPr>
              <w:jc w:val="center"/>
              <w:rPr>
                <w:rFonts w:hint="eastAsia" w:ascii="宋体" w:hAnsi="宋体" w:eastAsia="宋体" w:cs="宋体"/>
                <w:i w:val="0"/>
                <w:iCs w:val="0"/>
                <w:color w:val="000000"/>
                <w:sz w:val="24"/>
                <w:szCs w:val="24"/>
                <w:u w:val="none"/>
              </w:rPr>
            </w:pPr>
          </w:p>
        </w:tc>
        <w:tc>
          <w:tcPr>
            <w:tcW w:w="700" w:type="dxa"/>
            <w:vMerge w:val="continue"/>
            <w:shd w:val="clear" w:color="auto" w:fill="auto"/>
            <w:vAlign w:val="center"/>
          </w:tcPr>
          <w:p w14:paraId="5E1649B1">
            <w:pPr>
              <w:jc w:val="center"/>
            </w:pPr>
          </w:p>
        </w:tc>
        <w:tc>
          <w:tcPr>
            <w:tcW w:w="1787" w:type="dxa"/>
            <w:shd w:val="clear" w:color="auto" w:fill="auto"/>
            <w:vAlign w:val="center"/>
          </w:tcPr>
          <w:p w14:paraId="4433B3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检测样品抽样费</w:t>
            </w:r>
          </w:p>
        </w:tc>
        <w:tc>
          <w:tcPr>
            <w:tcW w:w="1324" w:type="dxa"/>
            <w:shd w:val="clear" w:color="auto" w:fill="auto"/>
            <w:vAlign w:val="center"/>
          </w:tcPr>
          <w:p w14:paraId="134AFA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≤0.14万元</w:t>
            </w:r>
          </w:p>
        </w:tc>
        <w:tc>
          <w:tcPr>
            <w:tcW w:w="909" w:type="dxa"/>
            <w:shd w:val="clear" w:color="auto" w:fill="auto"/>
            <w:vAlign w:val="center"/>
          </w:tcPr>
          <w:p w14:paraId="100E5D3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预算支出标准</w:t>
            </w:r>
          </w:p>
        </w:tc>
        <w:tc>
          <w:tcPr>
            <w:tcW w:w="667" w:type="dxa"/>
            <w:shd w:val="clear" w:color="auto" w:fill="auto"/>
            <w:vAlign w:val="center"/>
          </w:tcPr>
          <w:p w14:paraId="4393C9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0E1F38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12" w:type="dxa"/>
            <w:shd w:val="clear" w:color="auto" w:fill="auto"/>
            <w:vAlign w:val="center"/>
          </w:tcPr>
          <w:p w14:paraId="7C32E50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0D06A53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1D3A51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05" w:type="dxa"/>
            <w:shd w:val="clear" w:color="auto" w:fill="auto"/>
            <w:vAlign w:val="center"/>
          </w:tcPr>
          <w:p w14:paraId="358A7D8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973" w:type="dxa"/>
            <w:shd w:val="clear" w:color="auto" w:fill="auto"/>
            <w:noWrap/>
            <w:vAlign w:val="center"/>
          </w:tcPr>
          <w:p w14:paraId="5E49F02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823" w:type="dxa"/>
            <w:shd w:val="clear" w:color="auto" w:fill="auto"/>
            <w:vAlign w:val="center"/>
          </w:tcPr>
          <w:p w14:paraId="527152F1">
            <w:pPr>
              <w:jc w:val="center"/>
              <w:rPr>
                <w:rFonts w:hint="eastAsia" w:ascii="宋体" w:hAnsi="宋体" w:eastAsia="宋体" w:cs="宋体"/>
                <w:b/>
                <w:bCs/>
                <w:i w:val="0"/>
                <w:iCs w:val="0"/>
                <w:color w:val="000000"/>
                <w:sz w:val="24"/>
                <w:szCs w:val="24"/>
                <w:u w:val="none"/>
              </w:rPr>
            </w:pPr>
          </w:p>
        </w:tc>
      </w:tr>
      <w:tr w14:paraId="325D9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64D4845E">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6278D450">
            <w:pPr>
              <w:jc w:val="center"/>
              <w:rPr>
                <w:rFonts w:hint="eastAsia" w:ascii="宋体" w:hAnsi="宋体" w:eastAsia="宋体" w:cs="宋体"/>
                <w:i w:val="0"/>
                <w:iCs w:val="0"/>
                <w:color w:val="000000"/>
                <w:sz w:val="24"/>
                <w:szCs w:val="24"/>
                <w:u w:val="none"/>
              </w:rPr>
            </w:pPr>
          </w:p>
        </w:tc>
        <w:tc>
          <w:tcPr>
            <w:tcW w:w="700" w:type="dxa"/>
            <w:vMerge w:val="continue"/>
            <w:shd w:val="clear" w:color="auto" w:fill="auto"/>
            <w:vAlign w:val="center"/>
          </w:tcPr>
          <w:p w14:paraId="257E316F">
            <w:pPr>
              <w:jc w:val="center"/>
            </w:pPr>
          </w:p>
        </w:tc>
        <w:tc>
          <w:tcPr>
            <w:tcW w:w="1787" w:type="dxa"/>
            <w:shd w:val="clear" w:color="auto" w:fill="auto"/>
            <w:vAlign w:val="center"/>
          </w:tcPr>
          <w:p w14:paraId="0DBAFB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仪器检定费</w:t>
            </w:r>
          </w:p>
        </w:tc>
        <w:tc>
          <w:tcPr>
            <w:tcW w:w="1324" w:type="dxa"/>
            <w:shd w:val="clear" w:color="auto" w:fill="auto"/>
            <w:vAlign w:val="center"/>
          </w:tcPr>
          <w:p w14:paraId="5B1600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≤0.13万元</w:t>
            </w:r>
          </w:p>
        </w:tc>
        <w:tc>
          <w:tcPr>
            <w:tcW w:w="909" w:type="dxa"/>
            <w:shd w:val="clear" w:color="auto" w:fill="auto"/>
            <w:vAlign w:val="center"/>
          </w:tcPr>
          <w:p w14:paraId="4FAE083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预算支出标准</w:t>
            </w:r>
          </w:p>
        </w:tc>
        <w:tc>
          <w:tcPr>
            <w:tcW w:w="667" w:type="dxa"/>
            <w:shd w:val="clear" w:color="auto" w:fill="auto"/>
            <w:vAlign w:val="center"/>
          </w:tcPr>
          <w:p w14:paraId="2C8C24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2C3B0C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12" w:type="dxa"/>
            <w:shd w:val="clear" w:color="auto" w:fill="auto"/>
            <w:vAlign w:val="center"/>
          </w:tcPr>
          <w:p w14:paraId="6566606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3DEF38B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48A5D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0.13万元</w:t>
            </w:r>
          </w:p>
        </w:tc>
        <w:tc>
          <w:tcPr>
            <w:tcW w:w="1005" w:type="dxa"/>
            <w:shd w:val="clear" w:color="auto" w:fill="auto"/>
            <w:vAlign w:val="center"/>
          </w:tcPr>
          <w:p w14:paraId="2B523F0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074ED44E">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3" w:type="dxa"/>
            <w:shd w:val="clear" w:color="auto" w:fill="auto"/>
            <w:vAlign w:val="center"/>
          </w:tcPr>
          <w:p w14:paraId="75568CEB">
            <w:pPr>
              <w:jc w:val="center"/>
              <w:rPr>
                <w:rFonts w:hint="eastAsia" w:ascii="宋体" w:hAnsi="宋体" w:eastAsia="宋体" w:cs="宋体"/>
                <w:b/>
                <w:bCs/>
                <w:i w:val="0"/>
                <w:iCs w:val="0"/>
                <w:color w:val="000000"/>
                <w:sz w:val="24"/>
                <w:szCs w:val="24"/>
                <w:u w:val="none"/>
              </w:rPr>
            </w:pPr>
          </w:p>
        </w:tc>
      </w:tr>
      <w:tr w14:paraId="46FD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72C9B683">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7EC50DFE">
            <w:pPr>
              <w:jc w:val="center"/>
              <w:rPr>
                <w:rFonts w:hint="eastAsia" w:ascii="宋体" w:hAnsi="宋体" w:eastAsia="宋体" w:cs="宋体"/>
                <w:i w:val="0"/>
                <w:iCs w:val="0"/>
                <w:color w:val="000000"/>
                <w:sz w:val="24"/>
                <w:szCs w:val="24"/>
                <w:u w:val="none"/>
              </w:rPr>
            </w:pPr>
          </w:p>
        </w:tc>
        <w:tc>
          <w:tcPr>
            <w:tcW w:w="700" w:type="dxa"/>
            <w:vMerge w:val="continue"/>
            <w:shd w:val="clear" w:color="auto" w:fill="auto"/>
            <w:vAlign w:val="center"/>
          </w:tcPr>
          <w:p w14:paraId="311AC35E">
            <w:pPr>
              <w:jc w:val="center"/>
            </w:pPr>
          </w:p>
        </w:tc>
        <w:tc>
          <w:tcPr>
            <w:tcW w:w="1787" w:type="dxa"/>
            <w:shd w:val="clear" w:color="auto" w:fill="auto"/>
            <w:vAlign w:val="center"/>
          </w:tcPr>
          <w:p w14:paraId="0D98B9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购买检测用气体费</w:t>
            </w:r>
          </w:p>
        </w:tc>
        <w:tc>
          <w:tcPr>
            <w:tcW w:w="1324" w:type="dxa"/>
            <w:shd w:val="clear" w:color="auto" w:fill="auto"/>
            <w:vAlign w:val="center"/>
          </w:tcPr>
          <w:p w14:paraId="6A4C46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≤0.52万元</w:t>
            </w:r>
          </w:p>
        </w:tc>
        <w:tc>
          <w:tcPr>
            <w:tcW w:w="909" w:type="dxa"/>
            <w:shd w:val="clear" w:color="auto" w:fill="auto"/>
            <w:vAlign w:val="center"/>
          </w:tcPr>
          <w:p w14:paraId="7E1C034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预算支出标准</w:t>
            </w:r>
          </w:p>
        </w:tc>
        <w:tc>
          <w:tcPr>
            <w:tcW w:w="667" w:type="dxa"/>
            <w:shd w:val="clear" w:color="auto" w:fill="auto"/>
            <w:vAlign w:val="center"/>
          </w:tcPr>
          <w:p w14:paraId="170737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noWrap/>
            <w:vAlign w:val="center"/>
          </w:tcPr>
          <w:p w14:paraId="276E9C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12" w:type="dxa"/>
            <w:shd w:val="clear" w:color="auto" w:fill="auto"/>
            <w:vAlign w:val="center"/>
          </w:tcPr>
          <w:p w14:paraId="4F95C94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56248DC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09B8EC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0.52万元</w:t>
            </w:r>
          </w:p>
        </w:tc>
        <w:tc>
          <w:tcPr>
            <w:tcW w:w="1005" w:type="dxa"/>
            <w:shd w:val="clear" w:color="auto" w:fill="auto"/>
            <w:vAlign w:val="center"/>
          </w:tcPr>
          <w:p w14:paraId="47415BD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18A48696">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3" w:type="dxa"/>
            <w:shd w:val="clear" w:color="auto" w:fill="auto"/>
            <w:vAlign w:val="center"/>
          </w:tcPr>
          <w:p w14:paraId="41090124">
            <w:pPr>
              <w:jc w:val="center"/>
              <w:rPr>
                <w:rFonts w:hint="eastAsia" w:ascii="宋体" w:hAnsi="宋体" w:eastAsia="宋体" w:cs="宋体"/>
                <w:b/>
                <w:bCs/>
                <w:i w:val="0"/>
                <w:iCs w:val="0"/>
                <w:color w:val="000000"/>
                <w:sz w:val="24"/>
                <w:szCs w:val="24"/>
                <w:u w:val="none"/>
              </w:rPr>
            </w:pPr>
          </w:p>
        </w:tc>
      </w:tr>
      <w:tr w14:paraId="4DF0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4448A473">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7E9E3450">
            <w:pPr>
              <w:jc w:val="center"/>
              <w:rPr>
                <w:rFonts w:hint="eastAsia" w:ascii="宋体" w:hAnsi="宋体" w:eastAsia="宋体" w:cs="宋体"/>
                <w:i w:val="0"/>
                <w:iCs w:val="0"/>
                <w:color w:val="000000"/>
                <w:sz w:val="24"/>
                <w:szCs w:val="24"/>
                <w:u w:val="none"/>
              </w:rPr>
            </w:pPr>
          </w:p>
        </w:tc>
        <w:tc>
          <w:tcPr>
            <w:tcW w:w="700" w:type="dxa"/>
            <w:shd w:val="clear" w:color="auto" w:fill="auto"/>
            <w:vAlign w:val="center"/>
          </w:tcPr>
          <w:p w14:paraId="5B2E5738">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社会成本指标</w:t>
            </w:r>
          </w:p>
        </w:tc>
        <w:tc>
          <w:tcPr>
            <w:tcW w:w="1787" w:type="dxa"/>
            <w:shd w:val="clear" w:color="auto" w:fill="auto"/>
            <w:vAlign w:val="center"/>
          </w:tcPr>
          <w:p w14:paraId="77D8AF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4" w:type="dxa"/>
            <w:shd w:val="clear" w:color="auto" w:fill="auto"/>
            <w:vAlign w:val="center"/>
          </w:tcPr>
          <w:p w14:paraId="58FCD3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2D07FC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7" w:type="dxa"/>
            <w:shd w:val="clear" w:color="auto" w:fill="auto"/>
            <w:vAlign w:val="center"/>
          </w:tcPr>
          <w:p w14:paraId="261AEC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vAlign w:val="center"/>
          </w:tcPr>
          <w:p w14:paraId="59DA41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shd w:val="clear" w:color="auto" w:fill="auto"/>
            <w:vAlign w:val="center"/>
          </w:tcPr>
          <w:p w14:paraId="5EA92D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shd w:val="clear" w:color="auto" w:fill="auto"/>
            <w:vAlign w:val="center"/>
          </w:tcPr>
          <w:p w14:paraId="2143E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shd w:val="clear" w:color="auto" w:fill="auto"/>
            <w:vAlign w:val="center"/>
          </w:tcPr>
          <w:p w14:paraId="5B5EBC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shd w:val="clear" w:color="auto" w:fill="auto"/>
            <w:vAlign w:val="center"/>
          </w:tcPr>
          <w:p w14:paraId="5B82F4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3" w:type="dxa"/>
            <w:shd w:val="clear" w:color="auto" w:fill="auto"/>
            <w:vAlign w:val="center"/>
          </w:tcPr>
          <w:p w14:paraId="0514F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5AE2D054">
            <w:pPr>
              <w:jc w:val="center"/>
              <w:rPr>
                <w:rFonts w:hint="eastAsia" w:ascii="宋体" w:hAnsi="宋体" w:eastAsia="宋体" w:cs="宋体"/>
                <w:i w:val="0"/>
                <w:iCs w:val="0"/>
                <w:color w:val="000000"/>
                <w:sz w:val="24"/>
                <w:szCs w:val="24"/>
                <w:u w:val="none"/>
              </w:rPr>
            </w:pPr>
          </w:p>
        </w:tc>
      </w:tr>
      <w:tr w14:paraId="3E4DC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4B965AAE">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67C1586A">
            <w:pPr>
              <w:jc w:val="center"/>
              <w:rPr>
                <w:rFonts w:hint="eastAsia" w:ascii="宋体" w:hAnsi="宋体" w:eastAsia="宋体" w:cs="宋体"/>
                <w:i w:val="0"/>
                <w:iCs w:val="0"/>
                <w:color w:val="000000"/>
                <w:sz w:val="24"/>
                <w:szCs w:val="24"/>
                <w:u w:val="none"/>
              </w:rPr>
            </w:pPr>
          </w:p>
        </w:tc>
        <w:tc>
          <w:tcPr>
            <w:tcW w:w="700" w:type="dxa"/>
            <w:shd w:val="clear" w:color="auto" w:fill="auto"/>
            <w:vAlign w:val="center"/>
          </w:tcPr>
          <w:p w14:paraId="069FC05C">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生态环境成本指标</w:t>
            </w:r>
          </w:p>
        </w:tc>
        <w:tc>
          <w:tcPr>
            <w:tcW w:w="1787" w:type="dxa"/>
            <w:shd w:val="clear" w:color="auto" w:fill="auto"/>
            <w:vAlign w:val="center"/>
          </w:tcPr>
          <w:p w14:paraId="2C421D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4" w:type="dxa"/>
            <w:shd w:val="clear" w:color="auto" w:fill="auto"/>
            <w:vAlign w:val="center"/>
          </w:tcPr>
          <w:p w14:paraId="5ECD69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01587C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7" w:type="dxa"/>
            <w:shd w:val="clear" w:color="auto" w:fill="auto"/>
            <w:vAlign w:val="center"/>
          </w:tcPr>
          <w:p w14:paraId="459D3A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vAlign w:val="center"/>
          </w:tcPr>
          <w:p w14:paraId="7FFF2D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shd w:val="clear" w:color="auto" w:fill="auto"/>
            <w:vAlign w:val="center"/>
          </w:tcPr>
          <w:p w14:paraId="1697A2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shd w:val="clear" w:color="auto" w:fill="auto"/>
            <w:vAlign w:val="center"/>
          </w:tcPr>
          <w:p w14:paraId="02BA8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shd w:val="clear" w:color="auto" w:fill="auto"/>
            <w:vAlign w:val="center"/>
          </w:tcPr>
          <w:p w14:paraId="275340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shd w:val="clear" w:color="auto" w:fill="auto"/>
            <w:vAlign w:val="center"/>
          </w:tcPr>
          <w:p w14:paraId="1B71DD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3" w:type="dxa"/>
            <w:shd w:val="clear" w:color="auto" w:fill="auto"/>
            <w:vAlign w:val="center"/>
          </w:tcPr>
          <w:p w14:paraId="59090A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752DA228">
            <w:pPr>
              <w:jc w:val="center"/>
              <w:rPr>
                <w:rFonts w:hint="eastAsia" w:ascii="宋体" w:hAnsi="宋体" w:eastAsia="宋体" w:cs="宋体"/>
                <w:i w:val="0"/>
                <w:iCs w:val="0"/>
                <w:color w:val="000000"/>
                <w:sz w:val="24"/>
                <w:szCs w:val="24"/>
                <w:u w:val="none"/>
              </w:rPr>
            </w:pPr>
          </w:p>
        </w:tc>
      </w:tr>
      <w:tr w14:paraId="052BD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542412CF">
            <w:pPr>
              <w:jc w:val="center"/>
              <w:rPr>
                <w:rFonts w:hint="eastAsia" w:ascii="宋体" w:hAnsi="宋体" w:eastAsia="宋体" w:cs="宋体"/>
                <w:i w:val="0"/>
                <w:iCs w:val="0"/>
                <w:color w:val="000000"/>
                <w:sz w:val="24"/>
                <w:szCs w:val="24"/>
                <w:u w:val="none"/>
              </w:rPr>
            </w:pPr>
          </w:p>
        </w:tc>
        <w:tc>
          <w:tcPr>
            <w:tcW w:w="405" w:type="dxa"/>
            <w:vMerge w:val="restart"/>
            <w:shd w:val="clear" w:color="auto" w:fill="auto"/>
            <w:vAlign w:val="center"/>
          </w:tcPr>
          <w:p w14:paraId="57423B07">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700" w:type="dxa"/>
            <w:shd w:val="clear" w:color="auto" w:fill="auto"/>
            <w:vAlign w:val="center"/>
          </w:tcPr>
          <w:p w14:paraId="024CEEFA">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经济效益指标</w:t>
            </w:r>
          </w:p>
        </w:tc>
        <w:tc>
          <w:tcPr>
            <w:tcW w:w="1787" w:type="dxa"/>
            <w:shd w:val="clear" w:color="auto" w:fill="auto"/>
            <w:vAlign w:val="center"/>
          </w:tcPr>
          <w:p w14:paraId="626355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增强生产主体农产品质量安全意识</w:t>
            </w:r>
          </w:p>
        </w:tc>
        <w:tc>
          <w:tcPr>
            <w:tcW w:w="1324" w:type="dxa"/>
            <w:shd w:val="clear" w:color="auto" w:fill="auto"/>
            <w:vAlign w:val="center"/>
          </w:tcPr>
          <w:p w14:paraId="5DFA6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有所增强</w:t>
            </w:r>
          </w:p>
        </w:tc>
        <w:tc>
          <w:tcPr>
            <w:tcW w:w="909" w:type="dxa"/>
            <w:shd w:val="clear" w:color="auto" w:fill="auto"/>
            <w:vAlign w:val="center"/>
          </w:tcPr>
          <w:p w14:paraId="6B9CEA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7" w:type="dxa"/>
            <w:shd w:val="clear" w:color="auto" w:fill="auto"/>
            <w:vAlign w:val="center"/>
          </w:tcPr>
          <w:p w14:paraId="5A113707">
            <w:pPr>
              <w:jc w:val="center"/>
              <w:rPr>
                <w:rFonts w:hint="eastAsia" w:ascii="宋体" w:hAnsi="宋体" w:eastAsia="宋体" w:cs="宋体"/>
                <w:i w:val="0"/>
                <w:iCs w:val="0"/>
                <w:color w:val="000000"/>
                <w:sz w:val="24"/>
                <w:szCs w:val="24"/>
                <w:u w:val="none"/>
              </w:rPr>
            </w:pPr>
          </w:p>
        </w:tc>
        <w:tc>
          <w:tcPr>
            <w:tcW w:w="666" w:type="dxa"/>
            <w:shd w:val="clear" w:color="auto" w:fill="auto"/>
            <w:noWrap/>
            <w:vAlign w:val="center"/>
          </w:tcPr>
          <w:p w14:paraId="2055504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12" w:type="dxa"/>
            <w:shd w:val="clear" w:color="auto" w:fill="auto"/>
            <w:vAlign w:val="center"/>
          </w:tcPr>
          <w:p w14:paraId="1D54190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按照正常比例赋分</w:t>
            </w:r>
          </w:p>
        </w:tc>
        <w:tc>
          <w:tcPr>
            <w:tcW w:w="967" w:type="dxa"/>
            <w:shd w:val="clear" w:color="auto" w:fill="auto"/>
            <w:vAlign w:val="center"/>
          </w:tcPr>
          <w:p w14:paraId="1FF667A2">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原始凭证</w:t>
            </w:r>
          </w:p>
        </w:tc>
        <w:tc>
          <w:tcPr>
            <w:tcW w:w="1121" w:type="dxa"/>
            <w:shd w:val="clear" w:color="auto" w:fill="auto"/>
            <w:vAlign w:val="center"/>
          </w:tcPr>
          <w:p w14:paraId="22680C09">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05" w:type="dxa"/>
            <w:shd w:val="clear" w:color="auto" w:fill="auto"/>
            <w:vAlign w:val="center"/>
          </w:tcPr>
          <w:p w14:paraId="54B18CF0">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73" w:type="dxa"/>
            <w:shd w:val="clear" w:color="auto" w:fill="auto"/>
            <w:noWrap/>
            <w:vAlign w:val="center"/>
          </w:tcPr>
          <w:p w14:paraId="0915874B">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823" w:type="dxa"/>
            <w:shd w:val="clear" w:color="auto" w:fill="auto"/>
            <w:vAlign w:val="center"/>
          </w:tcPr>
          <w:p w14:paraId="48772B46">
            <w:pPr>
              <w:jc w:val="center"/>
              <w:rPr>
                <w:rFonts w:hint="eastAsia" w:ascii="宋体" w:hAnsi="宋体" w:eastAsia="宋体" w:cs="宋体"/>
                <w:i w:val="0"/>
                <w:iCs w:val="0"/>
                <w:color w:val="000000"/>
                <w:sz w:val="24"/>
                <w:szCs w:val="24"/>
                <w:u w:val="none"/>
              </w:rPr>
            </w:pPr>
          </w:p>
        </w:tc>
      </w:tr>
      <w:tr w14:paraId="04192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4ACE226B">
            <w:pPr>
              <w:jc w:val="center"/>
              <w:rPr>
                <w:rFonts w:hint="eastAsia" w:ascii="宋体" w:hAnsi="宋体" w:eastAsia="宋体" w:cs="宋体"/>
                <w:i w:val="0"/>
                <w:iCs w:val="0"/>
                <w:color w:val="000000"/>
                <w:sz w:val="24"/>
                <w:szCs w:val="24"/>
                <w:u w:val="none"/>
              </w:rPr>
            </w:pPr>
          </w:p>
        </w:tc>
        <w:tc>
          <w:tcPr>
            <w:tcW w:w="405" w:type="dxa"/>
            <w:vMerge w:val="continue"/>
            <w:shd w:val="clear" w:color="auto" w:fill="auto"/>
            <w:vAlign w:val="center"/>
          </w:tcPr>
          <w:p w14:paraId="14AE6595">
            <w:pPr>
              <w:jc w:val="center"/>
              <w:rPr>
                <w:rFonts w:hint="eastAsia" w:ascii="宋体" w:hAnsi="宋体" w:eastAsia="宋体" w:cs="宋体"/>
                <w:i w:val="0"/>
                <w:iCs w:val="0"/>
                <w:color w:val="000000"/>
                <w:sz w:val="24"/>
                <w:szCs w:val="24"/>
                <w:u w:val="none"/>
              </w:rPr>
            </w:pPr>
          </w:p>
        </w:tc>
        <w:tc>
          <w:tcPr>
            <w:tcW w:w="700" w:type="dxa"/>
            <w:shd w:val="clear" w:color="auto" w:fill="auto"/>
            <w:vAlign w:val="center"/>
          </w:tcPr>
          <w:p w14:paraId="1BE54029">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生态效益指标</w:t>
            </w:r>
          </w:p>
        </w:tc>
        <w:tc>
          <w:tcPr>
            <w:tcW w:w="1787" w:type="dxa"/>
            <w:shd w:val="clear" w:color="auto" w:fill="auto"/>
            <w:vAlign w:val="center"/>
          </w:tcPr>
          <w:p w14:paraId="1D2542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4" w:type="dxa"/>
            <w:shd w:val="clear" w:color="auto" w:fill="auto"/>
            <w:vAlign w:val="center"/>
          </w:tcPr>
          <w:p w14:paraId="537BD0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2C64D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7" w:type="dxa"/>
            <w:shd w:val="clear" w:color="auto" w:fill="auto"/>
            <w:vAlign w:val="center"/>
          </w:tcPr>
          <w:p w14:paraId="647A50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vAlign w:val="center"/>
          </w:tcPr>
          <w:p w14:paraId="14CEEE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shd w:val="clear" w:color="auto" w:fill="auto"/>
            <w:vAlign w:val="center"/>
          </w:tcPr>
          <w:p w14:paraId="14CD37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shd w:val="clear" w:color="auto" w:fill="auto"/>
            <w:vAlign w:val="center"/>
          </w:tcPr>
          <w:p w14:paraId="1C5E8B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shd w:val="clear" w:color="auto" w:fill="auto"/>
            <w:vAlign w:val="center"/>
          </w:tcPr>
          <w:p w14:paraId="7AA739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shd w:val="clear" w:color="auto" w:fill="auto"/>
            <w:vAlign w:val="center"/>
          </w:tcPr>
          <w:p w14:paraId="606F69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3" w:type="dxa"/>
            <w:shd w:val="clear" w:color="auto" w:fill="auto"/>
            <w:vAlign w:val="center"/>
          </w:tcPr>
          <w:p w14:paraId="54B15C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4F13648B">
            <w:pPr>
              <w:jc w:val="center"/>
              <w:rPr>
                <w:rFonts w:hint="eastAsia" w:ascii="宋体" w:hAnsi="宋体" w:eastAsia="宋体" w:cs="宋体"/>
                <w:i w:val="0"/>
                <w:iCs w:val="0"/>
                <w:color w:val="000000"/>
                <w:sz w:val="24"/>
                <w:szCs w:val="24"/>
                <w:u w:val="none"/>
              </w:rPr>
            </w:pPr>
          </w:p>
        </w:tc>
      </w:tr>
      <w:tr w14:paraId="794C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456" w:type="dxa"/>
            <w:vMerge w:val="continue"/>
            <w:shd w:val="clear" w:color="auto" w:fill="auto"/>
            <w:vAlign w:val="center"/>
          </w:tcPr>
          <w:p w14:paraId="2FFC365E">
            <w:pPr>
              <w:jc w:val="center"/>
              <w:rPr>
                <w:rFonts w:hint="eastAsia" w:ascii="宋体" w:hAnsi="宋体" w:eastAsia="宋体" w:cs="宋体"/>
                <w:i w:val="0"/>
                <w:iCs w:val="0"/>
                <w:color w:val="000000"/>
                <w:sz w:val="24"/>
                <w:szCs w:val="24"/>
                <w:u w:val="none"/>
              </w:rPr>
            </w:pPr>
          </w:p>
        </w:tc>
        <w:tc>
          <w:tcPr>
            <w:tcW w:w="405" w:type="dxa"/>
            <w:shd w:val="clear" w:color="auto" w:fill="auto"/>
            <w:vAlign w:val="center"/>
          </w:tcPr>
          <w:p w14:paraId="495CBC36">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指标</w:t>
            </w:r>
          </w:p>
        </w:tc>
        <w:tc>
          <w:tcPr>
            <w:tcW w:w="700" w:type="dxa"/>
            <w:shd w:val="clear" w:color="auto" w:fill="auto"/>
            <w:vAlign w:val="center"/>
          </w:tcPr>
          <w:p w14:paraId="483C853C">
            <w:pPr>
              <w:keepNext w:val="0"/>
              <w:keepLines w:val="0"/>
              <w:widowControl/>
              <w:suppressLineNumbers w:val="0"/>
              <w:ind w:firstLine="480" w:firstLineChars="200"/>
              <w:jc w:val="center"/>
              <w:textAlignment w:val="center"/>
            </w:pPr>
            <w:r>
              <w:rPr>
                <w:rFonts w:hint="eastAsia" w:ascii="宋体" w:hAnsi="宋体" w:eastAsia="宋体" w:cs="宋体"/>
                <w:i w:val="0"/>
                <w:iCs w:val="0"/>
                <w:color w:val="000000"/>
                <w:kern w:val="0"/>
                <w:sz w:val="24"/>
                <w:szCs w:val="24"/>
                <w:u w:val="none"/>
                <w:lang w:val="en-US" w:eastAsia="zh-CN" w:bidi="ar"/>
              </w:rPr>
              <w:t>满意度指标</w:t>
            </w:r>
          </w:p>
        </w:tc>
        <w:tc>
          <w:tcPr>
            <w:tcW w:w="1787" w:type="dxa"/>
            <w:shd w:val="clear" w:color="auto" w:fill="auto"/>
            <w:vAlign w:val="center"/>
          </w:tcPr>
          <w:p w14:paraId="5CB24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4" w:type="dxa"/>
            <w:shd w:val="clear" w:color="auto" w:fill="auto"/>
            <w:vAlign w:val="center"/>
          </w:tcPr>
          <w:p w14:paraId="00CFEB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9" w:type="dxa"/>
            <w:shd w:val="clear" w:color="auto" w:fill="auto"/>
            <w:vAlign w:val="center"/>
          </w:tcPr>
          <w:p w14:paraId="60F26D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7" w:type="dxa"/>
            <w:shd w:val="clear" w:color="auto" w:fill="auto"/>
            <w:vAlign w:val="center"/>
          </w:tcPr>
          <w:p w14:paraId="7D111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6" w:type="dxa"/>
            <w:shd w:val="clear" w:color="auto" w:fill="auto"/>
            <w:vAlign w:val="center"/>
          </w:tcPr>
          <w:p w14:paraId="1E8CEB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2" w:type="dxa"/>
            <w:shd w:val="clear" w:color="auto" w:fill="auto"/>
            <w:vAlign w:val="center"/>
          </w:tcPr>
          <w:p w14:paraId="53889F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shd w:val="clear" w:color="auto" w:fill="auto"/>
            <w:vAlign w:val="center"/>
          </w:tcPr>
          <w:p w14:paraId="4CC121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1" w:type="dxa"/>
            <w:shd w:val="clear" w:color="auto" w:fill="auto"/>
            <w:vAlign w:val="center"/>
          </w:tcPr>
          <w:p w14:paraId="3F93A8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shd w:val="clear" w:color="auto" w:fill="auto"/>
            <w:vAlign w:val="center"/>
          </w:tcPr>
          <w:p w14:paraId="131DC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73" w:type="dxa"/>
            <w:shd w:val="clear" w:color="auto" w:fill="auto"/>
            <w:vAlign w:val="center"/>
          </w:tcPr>
          <w:p w14:paraId="39B34D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shd w:val="clear" w:color="auto" w:fill="auto"/>
            <w:vAlign w:val="center"/>
          </w:tcPr>
          <w:p w14:paraId="5BE2F9B2">
            <w:pPr>
              <w:jc w:val="center"/>
              <w:rPr>
                <w:rFonts w:hint="eastAsia" w:ascii="宋体" w:hAnsi="宋体" w:eastAsia="宋体" w:cs="宋体"/>
                <w:i w:val="0"/>
                <w:iCs w:val="0"/>
                <w:color w:val="000000"/>
                <w:sz w:val="24"/>
                <w:szCs w:val="24"/>
                <w:u w:val="none"/>
              </w:rPr>
            </w:pPr>
          </w:p>
        </w:tc>
      </w:tr>
      <w:tr w14:paraId="5DC04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2" w:hRule="atLeast"/>
        </w:trPr>
        <w:tc>
          <w:tcPr>
            <w:tcW w:w="3348" w:type="dxa"/>
            <w:gridSpan w:val="4"/>
            <w:shd w:val="clear" w:color="auto" w:fill="auto"/>
            <w:vAlign w:val="center"/>
          </w:tcPr>
          <w:p w14:paraId="4F942318">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1324" w:type="dxa"/>
            <w:shd w:val="clear" w:color="auto" w:fill="auto"/>
            <w:vAlign w:val="center"/>
          </w:tcPr>
          <w:p w14:paraId="760AA566">
            <w:pPr>
              <w:jc w:val="center"/>
              <w:rPr>
                <w:rFonts w:hint="eastAsia" w:ascii="宋体" w:hAnsi="宋体" w:eastAsia="宋体" w:cs="宋体"/>
                <w:i w:val="0"/>
                <w:iCs w:val="0"/>
                <w:color w:val="000000"/>
                <w:sz w:val="24"/>
                <w:szCs w:val="24"/>
                <w:u w:val="none"/>
              </w:rPr>
            </w:pPr>
          </w:p>
        </w:tc>
        <w:tc>
          <w:tcPr>
            <w:tcW w:w="909" w:type="dxa"/>
            <w:shd w:val="clear" w:color="auto" w:fill="auto"/>
            <w:vAlign w:val="center"/>
          </w:tcPr>
          <w:p w14:paraId="421484E7">
            <w:pPr>
              <w:jc w:val="center"/>
              <w:rPr>
                <w:rFonts w:hint="eastAsia" w:ascii="宋体" w:hAnsi="宋体" w:eastAsia="宋体" w:cs="宋体"/>
                <w:b/>
                <w:bCs/>
                <w:i w:val="0"/>
                <w:iCs w:val="0"/>
                <w:color w:val="000000"/>
                <w:sz w:val="24"/>
                <w:szCs w:val="24"/>
                <w:u w:val="none"/>
              </w:rPr>
            </w:pPr>
          </w:p>
        </w:tc>
        <w:tc>
          <w:tcPr>
            <w:tcW w:w="667" w:type="dxa"/>
            <w:shd w:val="clear" w:color="auto" w:fill="auto"/>
            <w:vAlign w:val="center"/>
          </w:tcPr>
          <w:p w14:paraId="0CAC771F">
            <w:pPr>
              <w:jc w:val="center"/>
              <w:rPr>
                <w:rFonts w:hint="eastAsia" w:ascii="宋体" w:hAnsi="宋体" w:eastAsia="宋体" w:cs="宋体"/>
                <w:i w:val="0"/>
                <w:iCs w:val="0"/>
                <w:color w:val="000000"/>
                <w:sz w:val="24"/>
                <w:szCs w:val="24"/>
                <w:u w:val="none"/>
              </w:rPr>
            </w:pPr>
          </w:p>
        </w:tc>
        <w:tc>
          <w:tcPr>
            <w:tcW w:w="666" w:type="dxa"/>
            <w:shd w:val="clear" w:color="auto" w:fill="auto"/>
            <w:noWrap/>
            <w:vAlign w:val="center"/>
          </w:tcPr>
          <w:p w14:paraId="7563195C">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100分</w:t>
            </w:r>
          </w:p>
        </w:tc>
        <w:tc>
          <w:tcPr>
            <w:tcW w:w="1112" w:type="dxa"/>
            <w:shd w:val="clear" w:color="auto" w:fill="auto"/>
            <w:vAlign w:val="center"/>
          </w:tcPr>
          <w:p w14:paraId="354F55DB">
            <w:pPr>
              <w:jc w:val="center"/>
              <w:rPr>
                <w:rFonts w:hint="eastAsia" w:ascii="宋体" w:hAnsi="宋体" w:eastAsia="宋体" w:cs="宋体"/>
                <w:i w:val="0"/>
                <w:iCs w:val="0"/>
                <w:color w:val="000000"/>
                <w:sz w:val="24"/>
                <w:szCs w:val="24"/>
                <w:u w:val="none"/>
              </w:rPr>
            </w:pPr>
          </w:p>
        </w:tc>
        <w:tc>
          <w:tcPr>
            <w:tcW w:w="967" w:type="dxa"/>
            <w:shd w:val="clear" w:color="auto" w:fill="auto"/>
            <w:vAlign w:val="center"/>
          </w:tcPr>
          <w:p w14:paraId="5774EA26">
            <w:pPr>
              <w:jc w:val="center"/>
              <w:rPr>
                <w:rFonts w:hint="eastAsia" w:ascii="宋体" w:hAnsi="宋体" w:eastAsia="宋体" w:cs="宋体"/>
                <w:i w:val="0"/>
                <w:iCs w:val="0"/>
                <w:color w:val="000000"/>
                <w:sz w:val="24"/>
                <w:szCs w:val="24"/>
                <w:u w:val="none"/>
              </w:rPr>
            </w:pPr>
          </w:p>
        </w:tc>
        <w:tc>
          <w:tcPr>
            <w:tcW w:w="1121" w:type="dxa"/>
            <w:shd w:val="clear" w:color="auto" w:fill="auto"/>
            <w:vAlign w:val="center"/>
          </w:tcPr>
          <w:p w14:paraId="2497BB90">
            <w:pPr>
              <w:jc w:val="center"/>
              <w:rPr>
                <w:rFonts w:hint="eastAsia" w:ascii="宋体" w:hAnsi="宋体" w:eastAsia="宋体" w:cs="宋体"/>
                <w:i w:val="0"/>
                <w:iCs w:val="0"/>
                <w:color w:val="000000"/>
                <w:sz w:val="24"/>
                <w:szCs w:val="24"/>
                <w:u w:val="none"/>
              </w:rPr>
            </w:pPr>
          </w:p>
        </w:tc>
        <w:tc>
          <w:tcPr>
            <w:tcW w:w="1005" w:type="dxa"/>
            <w:shd w:val="clear" w:color="auto" w:fill="auto"/>
            <w:vAlign w:val="center"/>
          </w:tcPr>
          <w:p w14:paraId="0BC69F6E">
            <w:pPr>
              <w:jc w:val="center"/>
              <w:rPr>
                <w:rFonts w:hint="eastAsia" w:ascii="宋体" w:hAnsi="宋体" w:eastAsia="宋体" w:cs="宋体"/>
                <w:i w:val="0"/>
                <w:iCs w:val="0"/>
                <w:color w:val="000000"/>
                <w:sz w:val="24"/>
                <w:szCs w:val="24"/>
                <w:u w:val="none"/>
              </w:rPr>
            </w:pPr>
          </w:p>
        </w:tc>
        <w:tc>
          <w:tcPr>
            <w:tcW w:w="973" w:type="dxa"/>
            <w:shd w:val="clear" w:color="auto" w:fill="auto"/>
            <w:noWrap/>
            <w:vAlign w:val="center"/>
          </w:tcPr>
          <w:p w14:paraId="71D07541">
            <w:pPr>
              <w:keepNext w:val="0"/>
              <w:keepLines w:val="0"/>
              <w:widowControl/>
              <w:suppressLineNumbers w:val="0"/>
              <w:ind w:firstLine="480" w:firstLineChars="20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95</w:t>
            </w:r>
          </w:p>
        </w:tc>
        <w:tc>
          <w:tcPr>
            <w:tcW w:w="823" w:type="dxa"/>
            <w:shd w:val="clear" w:color="auto" w:fill="auto"/>
            <w:vAlign w:val="center"/>
          </w:tcPr>
          <w:p w14:paraId="06184A88">
            <w:pPr>
              <w:rPr>
                <w:rFonts w:hint="eastAsia" w:ascii="宋体" w:hAnsi="宋体" w:eastAsia="宋体" w:cs="宋体"/>
                <w:i w:val="0"/>
                <w:iCs w:val="0"/>
                <w:color w:val="000000"/>
                <w:sz w:val="24"/>
                <w:szCs w:val="24"/>
                <w:u w:val="none"/>
              </w:rPr>
            </w:pPr>
          </w:p>
        </w:tc>
      </w:tr>
    </w:tbl>
    <w:p w14:paraId="78F17396">
      <w:pPr>
        <w:ind w:left="0" w:leftChars="0" w:firstLine="0" w:firstLineChars="0"/>
        <w:rPr>
          <w:rFonts w:hint="default"/>
          <w:color w:val="auto"/>
          <w:spacing w:val="-28"/>
          <w:highlight w:val="none"/>
          <w:lang w:val="en-US" w:eastAsia="zh-CN"/>
        </w:rPr>
        <w:sectPr>
          <w:pgSz w:w="16781" w:h="11849" w:orient="landscape"/>
          <w:pgMar w:top="1587" w:right="2098" w:bottom="1474" w:left="1984" w:header="737" w:footer="850" w:gutter="0"/>
          <w:pgNumType w:fmt="decimal" w:start="1"/>
          <w:cols w:space="0" w:num="1"/>
          <w:rtlGutter w:val="0"/>
          <w:docGrid w:type="lines" w:linePitch="418" w:charSpace="0"/>
        </w:sectPr>
      </w:pPr>
    </w:p>
    <w:p w14:paraId="63F5930C">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6"/>
    </w:p>
    <w:tbl>
      <w:tblPr>
        <w:tblStyle w:val="8"/>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048"/>
        <w:gridCol w:w="1913"/>
        <w:gridCol w:w="7821"/>
        <w:gridCol w:w="785"/>
        <w:gridCol w:w="769"/>
      </w:tblGrid>
      <w:tr w14:paraId="2462D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EE72D2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050B6B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048" w:type="dxa"/>
            <w:shd w:val="clear" w:color="auto" w:fill="auto"/>
            <w:noWrap w:val="0"/>
            <w:vAlign w:val="center"/>
          </w:tcPr>
          <w:p w14:paraId="3042356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1913" w:type="dxa"/>
            <w:shd w:val="clear" w:color="auto" w:fill="auto"/>
            <w:noWrap w:val="0"/>
            <w:vAlign w:val="center"/>
          </w:tcPr>
          <w:p w14:paraId="38B1B22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3AE51AB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1D414B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2C7B0930">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02250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CE783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244B21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74C900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1DFEF8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048" w:type="dxa"/>
            <w:shd w:val="clear" w:color="auto" w:fill="auto"/>
            <w:noWrap w:val="0"/>
            <w:vAlign w:val="center"/>
          </w:tcPr>
          <w:p w14:paraId="48C02DD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2BBA2B9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1913" w:type="dxa"/>
            <w:shd w:val="clear" w:color="auto" w:fill="auto"/>
            <w:noWrap w:val="0"/>
            <w:vAlign w:val="center"/>
          </w:tcPr>
          <w:p w14:paraId="558897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3B50D4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6276C2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E22A55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4C9963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662638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4E1262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A7F32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0F3AB6F">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BB212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063E93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AEEC4DB">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6867E46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2CC575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1913" w:type="dxa"/>
            <w:shd w:val="clear" w:color="auto" w:fill="auto"/>
            <w:noWrap w:val="0"/>
            <w:vAlign w:val="center"/>
          </w:tcPr>
          <w:p w14:paraId="678D9BC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334B9F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E6F465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A2CC53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DAEE81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1C7F18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3</w:t>
            </w:r>
          </w:p>
        </w:tc>
        <w:tc>
          <w:tcPr>
            <w:tcW w:w="769" w:type="dxa"/>
            <w:shd w:val="clear" w:color="auto" w:fill="auto"/>
            <w:noWrap w:val="0"/>
            <w:vAlign w:val="center"/>
          </w:tcPr>
          <w:p w14:paraId="1188A5B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2.6</w:t>
            </w:r>
          </w:p>
        </w:tc>
      </w:tr>
      <w:tr w14:paraId="4D823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966E1F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3E1148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048" w:type="dxa"/>
            <w:shd w:val="clear" w:color="auto" w:fill="auto"/>
            <w:noWrap w:val="0"/>
            <w:vAlign w:val="center"/>
          </w:tcPr>
          <w:p w14:paraId="4D33F8E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5DA4CD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13" w:type="dxa"/>
            <w:shd w:val="clear" w:color="auto" w:fill="auto"/>
            <w:noWrap w:val="0"/>
            <w:vAlign w:val="center"/>
          </w:tcPr>
          <w:p w14:paraId="659DA9D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5F310CF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58D1B1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6F60CE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FBD10B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5DB44BB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213F0BF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03DE5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CBB757C">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C8AFC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0BAED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D964B5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048" w:type="dxa"/>
            <w:shd w:val="clear" w:color="auto" w:fill="auto"/>
            <w:noWrap w:val="0"/>
            <w:vAlign w:val="center"/>
          </w:tcPr>
          <w:p w14:paraId="1792D35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4013A8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1913" w:type="dxa"/>
            <w:shd w:val="clear" w:color="auto" w:fill="auto"/>
            <w:noWrap w:val="0"/>
            <w:vAlign w:val="center"/>
          </w:tcPr>
          <w:p w14:paraId="4445E3C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817E9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96FCC4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C96A92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B7589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D20937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504F83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9D2BE2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D7B0C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B5129B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48DE34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746EA48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048" w:type="dxa"/>
            <w:shd w:val="clear" w:color="auto" w:fill="auto"/>
            <w:noWrap w:val="0"/>
            <w:vAlign w:val="center"/>
          </w:tcPr>
          <w:p w14:paraId="338D0DD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FFCF9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1913" w:type="dxa"/>
            <w:shd w:val="clear" w:color="auto" w:fill="auto"/>
            <w:noWrap w:val="0"/>
            <w:vAlign w:val="center"/>
          </w:tcPr>
          <w:p w14:paraId="2E2AF5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5A8800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56D80F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1EE5E0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6BE06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4E7CBD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EF5D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23E269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421C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9867E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360A1DF">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4FFF932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1AB04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13" w:type="dxa"/>
            <w:shd w:val="clear" w:color="auto" w:fill="auto"/>
            <w:noWrap w:val="0"/>
            <w:vAlign w:val="center"/>
          </w:tcPr>
          <w:p w14:paraId="6BF6711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DFDA0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83833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731AEA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69ECE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6125F2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1C7E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56CBCF8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46AF5F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048" w:type="dxa"/>
            <w:shd w:val="clear" w:color="auto" w:fill="auto"/>
            <w:noWrap w:val="0"/>
            <w:vAlign w:val="center"/>
          </w:tcPr>
          <w:p w14:paraId="7EE126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913" w:type="dxa"/>
            <w:shd w:val="clear" w:color="auto" w:fill="auto"/>
            <w:noWrap w:val="0"/>
            <w:vAlign w:val="center"/>
          </w:tcPr>
          <w:p w14:paraId="4F4088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E70DF3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E6FD7C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0DDF4A6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04EE0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9F77B2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3BDD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5619839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A5E3383">
            <w:pPr>
              <w:spacing w:line="0" w:lineRule="atLeast"/>
              <w:ind w:firstLine="0" w:firstLineChars="0"/>
              <w:jc w:val="center"/>
              <w:rPr>
                <w:rFonts w:hint="eastAsia" w:ascii="宋体" w:hAnsi="宋体" w:eastAsia="宋体" w:cs="宋体"/>
                <w:color w:val="auto"/>
                <w:kern w:val="0"/>
                <w:sz w:val="22"/>
                <w:szCs w:val="22"/>
                <w:highlight w:val="none"/>
              </w:rPr>
            </w:pPr>
          </w:p>
        </w:tc>
        <w:tc>
          <w:tcPr>
            <w:tcW w:w="1048" w:type="dxa"/>
            <w:shd w:val="clear" w:color="auto" w:fill="auto"/>
            <w:noWrap w:val="0"/>
            <w:vAlign w:val="center"/>
          </w:tcPr>
          <w:p w14:paraId="096462D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1913" w:type="dxa"/>
            <w:shd w:val="clear" w:color="auto" w:fill="auto"/>
            <w:noWrap w:val="0"/>
            <w:vAlign w:val="center"/>
          </w:tcPr>
          <w:p w14:paraId="535A0BD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9EF1A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57924E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698F9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671C0C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3.93</w:t>
            </w:r>
          </w:p>
        </w:tc>
      </w:tr>
      <w:tr w14:paraId="76E82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D8761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F5B99D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1A2A49E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048" w:type="dxa"/>
            <w:shd w:val="clear" w:color="auto" w:fill="auto"/>
            <w:noWrap w:val="0"/>
            <w:vAlign w:val="center"/>
          </w:tcPr>
          <w:p w14:paraId="55E5EE2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AE026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1913" w:type="dxa"/>
            <w:shd w:val="clear" w:color="auto" w:fill="auto"/>
            <w:noWrap w:val="0"/>
            <w:vAlign w:val="center"/>
          </w:tcPr>
          <w:p w14:paraId="4A2C85E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5BEA6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BFB48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11F917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5E9C5F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54EB68E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9CA7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FA824D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7843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E8AC8B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CD71A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2A3D936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048" w:type="dxa"/>
            <w:shd w:val="clear" w:color="auto" w:fill="auto"/>
            <w:noWrap w:val="0"/>
            <w:vAlign w:val="center"/>
          </w:tcPr>
          <w:p w14:paraId="27C36FE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69A7AA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1913" w:type="dxa"/>
            <w:shd w:val="clear" w:color="auto" w:fill="auto"/>
            <w:noWrap w:val="0"/>
            <w:vAlign w:val="center"/>
          </w:tcPr>
          <w:p w14:paraId="7CE66E8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5C8CE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7E276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4E95E3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D4FCF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F58011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A4CD5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2E21908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148D287">
            <w:pPr>
              <w:widowControl/>
              <w:spacing w:line="0" w:lineRule="atLeast"/>
              <w:ind w:firstLine="0" w:firstLineChars="0"/>
              <w:jc w:val="center"/>
              <w:rPr>
                <w:rFonts w:ascii="宋体" w:hAnsi="宋体" w:eastAsia="宋体" w:cs="宋体"/>
                <w:color w:val="auto"/>
                <w:kern w:val="0"/>
                <w:sz w:val="22"/>
                <w:szCs w:val="22"/>
                <w:highlight w:val="none"/>
              </w:rPr>
            </w:pPr>
          </w:p>
        </w:tc>
        <w:tc>
          <w:tcPr>
            <w:tcW w:w="1048" w:type="dxa"/>
            <w:shd w:val="clear" w:color="auto" w:fill="auto"/>
            <w:noWrap w:val="0"/>
            <w:vAlign w:val="center"/>
          </w:tcPr>
          <w:p w14:paraId="5B30B17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D39BF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1913" w:type="dxa"/>
            <w:shd w:val="clear" w:color="auto" w:fill="auto"/>
            <w:noWrap w:val="0"/>
            <w:vAlign w:val="center"/>
          </w:tcPr>
          <w:p w14:paraId="4E8D646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383B07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EE96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F41D5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1EF25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20388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99E9E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2EF534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FEB3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0EE53C2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E0DED7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048" w:type="dxa"/>
            <w:shd w:val="clear" w:color="auto" w:fill="auto"/>
            <w:noWrap w:val="0"/>
            <w:vAlign w:val="center"/>
          </w:tcPr>
          <w:p w14:paraId="77512AB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完成农产品质量安全检验检测任务数量</w:t>
            </w:r>
          </w:p>
        </w:tc>
        <w:tc>
          <w:tcPr>
            <w:tcW w:w="1913" w:type="dxa"/>
            <w:shd w:val="clear" w:color="auto" w:fill="auto"/>
            <w:noWrap w:val="0"/>
            <w:vAlign w:val="center"/>
          </w:tcPr>
          <w:p w14:paraId="4A961A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BE30A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B6B11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9DFD2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FC647E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B40034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DBEA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C87576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79FEBBC">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产出</w:t>
            </w:r>
            <w:r>
              <w:rPr>
                <w:rFonts w:hint="eastAsia" w:cs="宋体"/>
                <w:color w:val="auto"/>
                <w:kern w:val="0"/>
                <w:sz w:val="22"/>
                <w:szCs w:val="22"/>
                <w:highlight w:val="none"/>
                <w:lang w:val="en-US" w:eastAsia="zh-CN"/>
              </w:rPr>
              <w:t>质量</w:t>
            </w:r>
          </w:p>
        </w:tc>
        <w:tc>
          <w:tcPr>
            <w:tcW w:w="1048" w:type="dxa"/>
            <w:shd w:val="clear" w:color="auto" w:fill="auto"/>
            <w:noWrap w:val="0"/>
            <w:vAlign w:val="center"/>
          </w:tcPr>
          <w:p w14:paraId="08F8F19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耗材、气体质量合格率</w:t>
            </w:r>
          </w:p>
        </w:tc>
        <w:tc>
          <w:tcPr>
            <w:tcW w:w="1913" w:type="dxa"/>
            <w:shd w:val="clear" w:color="auto" w:fill="auto"/>
            <w:noWrap w:val="0"/>
            <w:vAlign w:val="center"/>
          </w:tcPr>
          <w:p w14:paraId="38E465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DEFF0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F5966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70E782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r>
              <w:rPr>
                <w:rFonts w:hint="eastAsia" w:cs="宋体"/>
                <w:color w:val="auto"/>
                <w:kern w:val="0"/>
                <w:sz w:val="22"/>
                <w:szCs w:val="22"/>
                <w:highlight w:val="none"/>
                <w:lang w:val="en-US" w:eastAsia="zh-CN"/>
              </w:rPr>
              <w:t>10</w:t>
            </w:r>
          </w:p>
        </w:tc>
        <w:tc>
          <w:tcPr>
            <w:tcW w:w="785" w:type="dxa"/>
            <w:shd w:val="clear" w:color="auto" w:fill="auto"/>
            <w:noWrap w:val="0"/>
            <w:vAlign w:val="center"/>
          </w:tcPr>
          <w:p w14:paraId="04D38D5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045376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E65A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094C22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18C948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048" w:type="dxa"/>
            <w:shd w:val="clear" w:color="auto" w:fill="auto"/>
            <w:noWrap w:val="0"/>
            <w:vAlign w:val="center"/>
          </w:tcPr>
          <w:p w14:paraId="26578D5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耗材、气体采购按时完成率</w:t>
            </w:r>
          </w:p>
        </w:tc>
        <w:tc>
          <w:tcPr>
            <w:tcW w:w="1913" w:type="dxa"/>
            <w:shd w:val="clear" w:color="auto" w:fill="auto"/>
            <w:noWrap w:val="0"/>
            <w:vAlign w:val="center"/>
          </w:tcPr>
          <w:p w14:paraId="75C638A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353F58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536E07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C63982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40CAE5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87D851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7AE5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2E52EEF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CAA3F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5F903C8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购买检测耗材费（万元）</w:t>
            </w:r>
          </w:p>
        </w:tc>
        <w:tc>
          <w:tcPr>
            <w:tcW w:w="1913" w:type="dxa"/>
            <w:shd w:val="clear" w:color="auto" w:fill="auto"/>
            <w:noWrap w:val="0"/>
            <w:vAlign w:val="center"/>
          </w:tcPr>
          <w:p w14:paraId="1E0A27D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F406F1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1B841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06555C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695D2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D64E98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248B76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A9CF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378D58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09509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0858B53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检测样品抽样费（万元）</w:t>
            </w:r>
          </w:p>
        </w:tc>
        <w:tc>
          <w:tcPr>
            <w:tcW w:w="1913" w:type="dxa"/>
            <w:shd w:val="clear" w:color="auto" w:fill="auto"/>
            <w:noWrap w:val="0"/>
            <w:vAlign w:val="center"/>
          </w:tcPr>
          <w:p w14:paraId="21250F9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DFFED0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44E20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8CF1C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301982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6CFC12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5D3E3A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0</w:t>
            </w:r>
          </w:p>
        </w:tc>
      </w:tr>
      <w:tr w14:paraId="34E5D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40956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73F726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44E2400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仪器检定费（万元）</w:t>
            </w:r>
          </w:p>
        </w:tc>
        <w:tc>
          <w:tcPr>
            <w:tcW w:w="1913" w:type="dxa"/>
            <w:shd w:val="clear" w:color="auto" w:fill="auto"/>
            <w:noWrap w:val="0"/>
            <w:vAlign w:val="center"/>
          </w:tcPr>
          <w:p w14:paraId="4E0D3FA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280362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1A900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5D17FF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F6F6DF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C9D3BE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2A5F9D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03FA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7DE01F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4100D5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1048" w:type="dxa"/>
            <w:shd w:val="clear" w:color="auto" w:fill="auto"/>
            <w:noWrap w:val="0"/>
            <w:vAlign w:val="center"/>
          </w:tcPr>
          <w:p w14:paraId="3096714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购买检测用气体费</w:t>
            </w:r>
          </w:p>
        </w:tc>
        <w:tc>
          <w:tcPr>
            <w:tcW w:w="1913" w:type="dxa"/>
            <w:shd w:val="clear" w:color="auto" w:fill="auto"/>
            <w:noWrap w:val="0"/>
            <w:vAlign w:val="center"/>
          </w:tcPr>
          <w:p w14:paraId="706A6B9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DBDA6C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7A9C0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B5F0A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0EC8BB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5E9E93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9C6245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B211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1785C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3ACEA17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048" w:type="dxa"/>
            <w:shd w:val="clear" w:color="auto" w:fill="auto"/>
            <w:noWrap w:val="0"/>
            <w:vAlign w:val="center"/>
          </w:tcPr>
          <w:p w14:paraId="3A559C9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经济效益指标</w:t>
            </w:r>
          </w:p>
        </w:tc>
        <w:tc>
          <w:tcPr>
            <w:tcW w:w="1913" w:type="dxa"/>
            <w:shd w:val="clear" w:color="auto" w:fill="auto"/>
            <w:noWrap w:val="0"/>
            <w:vAlign w:val="center"/>
          </w:tcPr>
          <w:p w14:paraId="577A4DB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增强生产主体农产品质量安全意识</w:t>
            </w:r>
          </w:p>
        </w:tc>
        <w:tc>
          <w:tcPr>
            <w:tcW w:w="7821" w:type="dxa"/>
            <w:shd w:val="clear" w:color="auto" w:fill="auto"/>
            <w:noWrap w:val="0"/>
            <w:vAlign w:val="center"/>
          </w:tcPr>
          <w:p w14:paraId="1C46E5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1A8AD6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2299BA7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6E387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676AC1D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A228AB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048" w:type="dxa"/>
            <w:shd w:val="clear" w:color="auto" w:fill="auto"/>
            <w:noWrap w:val="0"/>
            <w:vAlign w:val="center"/>
          </w:tcPr>
          <w:p w14:paraId="0424023D">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满意度</w:t>
            </w:r>
          </w:p>
        </w:tc>
        <w:tc>
          <w:tcPr>
            <w:tcW w:w="1913" w:type="dxa"/>
            <w:shd w:val="clear" w:color="auto" w:fill="auto"/>
            <w:noWrap w:val="0"/>
            <w:vAlign w:val="center"/>
          </w:tcPr>
          <w:p w14:paraId="39B0DBA8">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群众对农产品质量安全满意度提高</w:t>
            </w:r>
          </w:p>
        </w:tc>
        <w:tc>
          <w:tcPr>
            <w:tcW w:w="7821" w:type="dxa"/>
            <w:shd w:val="clear" w:color="auto" w:fill="auto"/>
            <w:noWrap w:val="0"/>
            <w:vAlign w:val="center"/>
          </w:tcPr>
          <w:p w14:paraId="158329E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57AD3839">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6117607">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60B3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441F661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6B96BED4">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F05794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4115091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94.53</w:t>
            </w:r>
          </w:p>
        </w:tc>
      </w:tr>
    </w:tbl>
    <w:p w14:paraId="756001F3">
      <w:pPr>
        <w:spacing w:line="240" w:lineRule="auto"/>
        <w:ind w:firstLine="0" w:firstLineChars="0"/>
        <w:rPr>
          <w:rFonts w:ascii="Times New Roman" w:hAnsi="Times New Roman" w:eastAsia="仿宋_GB2312" w:cs="Times New Roman"/>
          <w:color w:val="auto"/>
          <w:sz w:val="30"/>
          <w:szCs w:val="24"/>
          <w:highlight w:val="none"/>
        </w:rPr>
      </w:pPr>
    </w:p>
    <w:p w14:paraId="087FF010">
      <w:pPr>
        <w:rPr>
          <w:rFonts w:hint="default"/>
          <w:color w:val="auto"/>
          <w:highlight w:val="none"/>
          <w:lang w:val="en-US" w:eastAsia="zh-CN"/>
        </w:rPr>
      </w:pPr>
    </w:p>
    <w:p w14:paraId="7386A2FD">
      <w:pPr>
        <w:rPr>
          <w:rFonts w:hint="default"/>
          <w:color w:val="auto"/>
          <w:highlight w:val="none"/>
          <w:lang w:val="en-US" w:eastAsia="zh-CN"/>
        </w:rPr>
      </w:pPr>
    </w:p>
    <w:p w14:paraId="423A2695">
      <w:pPr>
        <w:ind w:left="0" w:leftChars="0" w:firstLine="0" w:firstLineChars="0"/>
        <w:rPr>
          <w:rFonts w:hint="default"/>
          <w:color w:val="auto"/>
          <w:highlight w:val="none"/>
          <w:lang w:val="en-US" w:eastAsia="zh-CN"/>
        </w:rPr>
      </w:pPr>
    </w:p>
    <w:p w14:paraId="4EA992C5">
      <w:pPr>
        <w:rPr>
          <w:color w:val="auto"/>
          <w:highlight w:val="none"/>
        </w:rPr>
      </w:pPr>
    </w:p>
    <w:sectPr>
      <w:pgSz w:w="16781" w:h="11849" w:orient="landscape"/>
      <w:pgMar w:top="1587" w:right="2098" w:bottom="1474" w:left="1984" w:header="737" w:footer="850" w:gutter="0"/>
      <w:pgNumType w:fmt="decimal"/>
      <w:cols w:space="0" w:num="1"/>
      <w:rtlGutter w:val="0"/>
      <w:docGrid w:type="lines" w:linePitch="4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1" w:fontKey="{975DE5FD-604C-4EA3-B7BA-DF227B019CDC}"/>
  </w:font>
  <w:font w:name="MS Sans Serif">
    <w:altName w:val="Arial"/>
    <w:panose1 w:val="00000000000000000000"/>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embedRegular r:id="rId2" w:fontKey="{884C2B83-83FE-4F5F-8482-B7124ED6CF55}"/>
  </w:font>
  <w:font w:name="方正仿宋_GBK">
    <w:panose1 w:val="03000509000000000000"/>
    <w:charset w:val="86"/>
    <w:family w:val="auto"/>
    <w:pitch w:val="default"/>
    <w:sig w:usb0="00000001" w:usb1="080E0000" w:usb2="00000000" w:usb3="00000000" w:csb0="00040000" w:csb1="00000000"/>
    <w:embedRegular r:id="rId3" w:fontKey="{F609357B-EF52-4B9C-B7D4-4F0FF1AC3A13}"/>
  </w:font>
  <w:font w:name="方正楷体_GBK">
    <w:panose1 w:val="02000000000000000000"/>
    <w:charset w:val="86"/>
    <w:family w:val="auto"/>
    <w:pitch w:val="default"/>
    <w:sig w:usb0="800002BF" w:usb1="38CF7CFA" w:usb2="00000016" w:usb3="00000000" w:csb0="00040000" w:csb1="00000000"/>
    <w:embedRegular r:id="rId4" w:fontKey="{DDE8F59B-73D0-4B00-9D95-571FAC61BBAB}"/>
  </w:font>
  <w:font w:name="华文中宋">
    <w:panose1 w:val="02010600040101010101"/>
    <w:charset w:val="86"/>
    <w:family w:val="auto"/>
    <w:pitch w:val="default"/>
    <w:sig w:usb0="00000287" w:usb1="080F0000" w:usb2="00000000" w:usb3="00000000" w:csb0="0004009F" w:csb1="DFD70000"/>
    <w:embedRegular r:id="rId5" w:fontKey="{0C57BDCB-7873-45E1-8CD8-D8BF0E51E3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E7D9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3CE3B">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33CE3B">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213E6475"/>
    <w:rsid w:val="076D2506"/>
    <w:rsid w:val="07BD0C10"/>
    <w:rsid w:val="0F9A317D"/>
    <w:rsid w:val="1422351B"/>
    <w:rsid w:val="16361726"/>
    <w:rsid w:val="201A79C2"/>
    <w:rsid w:val="213E6475"/>
    <w:rsid w:val="21725E58"/>
    <w:rsid w:val="23AC0D95"/>
    <w:rsid w:val="2D11636C"/>
    <w:rsid w:val="324C0AF4"/>
    <w:rsid w:val="33A958F0"/>
    <w:rsid w:val="36B42462"/>
    <w:rsid w:val="42AE0712"/>
    <w:rsid w:val="43215394"/>
    <w:rsid w:val="47B323E3"/>
    <w:rsid w:val="510B7FE2"/>
    <w:rsid w:val="53C24A82"/>
    <w:rsid w:val="58F52FF8"/>
    <w:rsid w:val="66990C0E"/>
    <w:rsid w:val="686544B6"/>
    <w:rsid w:val="6BFB00C8"/>
    <w:rsid w:val="6FF4003D"/>
    <w:rsid w:val="70C84600"/>
    <w:rsid w:val="718072D2"/>
    <w:rsid w:val="729B6917"/>
    <w:rsid w:val="72C405F2"/>
    <w:rsid w:val="74A266A5"/>
    <w:rsid w:val="7671125F"/>
    <w:rsid w:val="78482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0">
    <w:name w:val="WPSOffice手动目录 1"/>
    <w:autoRedefine/>
    <w:qFormat/>
    <w:uiPriority w:val="0"/>
    <w:pPr>
      <w:ind w:leftChars="0"/>
    </w:pPr>
    <w:rPr>
      <w:rFonts w:ascii="Times New Roman" w:hAnsi="Times New Roman" w:eastAsia="宋体" w:cs="Times New Roman"/>
      <w:sz w:val="20"/>
      <w:szCs w:val="20"/>
    </w:rPr>
  </w:style>
  <w:style w:type="paragraph" w:customStyle="1" w:styleId="11">
    <w:name w:val="WPSOffice手动目录 2"/>
    <w:autoRedefine/>
    <w:qFormat/>
    <w:uiPriority w:val="0"/>
    <w:pPr>
      <w:ind w:leftChars="200"/>
    </w:pPr>
    <w:rPr>
      <w:rFonts w:ascii="Times New Roman" w:hAnsi="Times New Roman" w:eastAsia="宋体" w:cs="Times New Roman"/>
      <w:sz w:val="20"/>
      <w:szCs w:val="20"/>
    </w:rPr>
  </w:style>
  <w:style w:type="paragraph" w:customStyle="1" w:styleId="12">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9800</Words>
  <Characters>10350</Characters>
  <Lines>0</Lines>
  <Paragraphs>0</Paragraphs>
  <TotalTime>3</TotalTime>
  <ScaleCrop>false</ScaleCrop>
  <LinksUpToDate>false</LinksUpToDate>
  <CharactersWithSpaces>10370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2024-04-22T02:24:00Z</dcterms:created>
  <dc:creator>F.X     </dc:creator>
  <cp:lastModifiedBy>Administrator</cp:lastModifiedBy>
  <dcterms:modified xsi:type="dcterms:W3CDTF">2025-05-24T16:52:32Z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C6BC97AD82374C27909017965674A046_11</vt:lpwstr>
  </property>
  <property fmtid="{D5CDD505-2E9C-101B-9397-08002B2CF9AE}" pid="4" name="KSOTemplateDocerSaveRecord">
    <vt:lpwstr>eyJoZGlkIjoiYzBmZTlhOTk5YmU4NWU2NmQ2NDUyNmM2ZTEyOGEyZmUifQ==</vt:lpwstr>
  </property>
</Properties>
</file>