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FF0E9">
      <w:pPr>
        <w:keepNext w:val="0"/>
        <w:keepLines w:val="0"/>
        <w:widowControl w:val="0"/>
        <w:suppressLineNumbers w:val="0"/>
        <w:autoSpaceDE w:val="0"/>
        <w:autoSpaceDN/>
        <w:spacing w:before="0" w:beforeAutospacing="0" w:after="0" w:afterAutospacing="0" w:line="360" w:lineRule="auto"/>
        <w:ind w:left="0" w:right="0" w:firstLine="1142" w:firstLineChars="316"/>
        <w:jc w:val="center"/>
        <w:rPr>
          <w:rFonts w:hint="eastAsia" w:ascii="宋体" w:hAnsi="宋体" w:eastAsia="宋体" w:cs="宋体"/>
          <w:b/>
          <w:color w:val="000000"/>
          <w:kern w:val="2"/>
          <w:sz w:val="36"/>
          <w:szCs w:val="36"/>
        </w:rPr>
      </w:pPr>
    </w:p>
    <w:p w14:paraId="3E3AAC85">
      <w:pPr>
        <w:keepNext w:val="0"/>
        <w:keepLines w:val="0"/>
        <w:widowControl w:val="0"/>
        <w:suppressLineNumbers w:val="0"/>
        <w:autoSpaceDE w:val="0"/>
        <w:autoSpaceDN/>
        <w:spacing w:before="0" w:beforeAutospacing="0" w:after="0" w:afterAutospacing="0" w:line="360" w:lineRule="auto"/>
        <w:ind w:left="0" w:right="0" w:firstLine="723" w:firstLineChars="200"/>
        <w:jc w:val="center"/>
        <w:rPr>
          <w:rFonts w:hint="eastAsia" w:ascii="宋体" w:hAnsi="宋体" w:eastAsia="宋体" w:cs="宋体"/>
          <w:b/>
          <w:color w:val="000000"/>
          <w:kern w:val="2"/>
          <w:sz w:val="36"/>
          <w:szCs w:val="36"/>
        </w:rPr>
      </w:pPr>
      <w:r>
        <w:rPr>
          <w:rFonts w:hint="eastAsia" w:ascii="宋体" w:hAnsi="宋体" w:eastAsia="宋体" w:cs="宋体"/>
          <w:b/>
          <w:color w:val="000000"/>
          <w:kern w:val="2"/>
          <w:sz w:val="36"/>
          <w:szCs w:val="36"/>
          <w:lang w:val="en-US" w:eastAsia="zh-CN" w:bidi="ar"/>
        </w:rPr>
        <w:t xml:space="preserve"> </w:t>
      </w:r>
    </w:p>
    <w:p w14:paraId="04FD4E48">
      <w:pPr>
        <w:keepNext w:val="0"/>
        <w:keepLines w:val="0"/>
        <w:widowControl w:val="0"/>
        <w:suppressLineNumbers w:val="0"/>
        <w:autoSpaceDE w:val="0"/>
        <w:autoSpaceDN/>
        <w:spacing w:before="0" w:beforeAutospacing="0" w:after="0" w:afterAutospacing="0" w:line="360" w:lineRule="auto"/>
        <w:ind w:left="0" w:right="0" w:firstLine="723" w:firstLineChars="200"/>
        <w:jc w:val="center"/>
        <w:rPr>
          <w:rFonts w:hint="eastAsia" w:ascii="宋体" w:hAnsi="宋体" w:eastAsia="宋体" w:cs="宋体"/>
          <w:b/>
          <w:color w:val="000000"/>
          <w:kern w:val="2"/>
          <w:sz w:val="36"/>
          <w:szCs w:val="36"/>
        </w:rPr>
      </w:pPr>
      <w:r>
        <w:rPr>
          <w:rFonts w:hint="eastAsia" w:ascii="宋体" w:hAnsi="宋体" w:eastAsia="宋体" w:cs="宋体"/>
          <w:b/>
          <w:color w:val="000000"/>
          <w:kern w:val="2"/>
          <w:sz w:val="36"/>
          <w:szCs w:val="36"/>
          <w:lang w:val="en-US" w:eastAsia="zh-CN" w:bidi="ar"/>
        </w:rPr>
        <w:t xml:space="preserve"> </w:t>
      </w:r>
    </w:p>
    <w:p w14:paraId="357D228E">
      <w:pPr>
        <w:keepNext w:val="0"/>
        <w:keepLines w:val="0"/>
        <w:pageBreakBefore w:val="0"/>
        <w:widowControl w:val="0"/>
        <w:kinsoku/>
        <w:wordWrap/>
        <w:overflowPunct/>
        <w:topLinePunct w:val="0"/>
        <w:autoSpaceDE/>
        <w:autoSpaceDN/>
        <w:bidi w:val="0"/>
        <w:adjustRightInd/>
        <w:snapToGrid/>
        <w:spacing w:line="360" w:lineRule="auto"/>
        <w:ind w:firstLine="803" w:firstLineChars="200"/>
        <w:jc w:val="center"/>
        <w:textAlignment w:val="auto"/>
        <w:outlineLvl w:val="0"/>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阜康市管网延伸工程项目（一期）</w:t>
      </w:r>
    </w:p>
    <w:p w14:paraId="513C18D6">
      <w:pPr>
        <w:keepNext w:val="0"/>
        <w:keepLines w:val="0"/>
        <w:pageBreakBefore w:val="0"/>
        <w:widowControl w:val="0"/>
        <w:kinsoku/>
        <w:wordWrap/>
        <w:overflowPunct/>
        <w:topLinePunct w:val="0"/>
        <w:autoSpaceDE/>
        <w:autoSpaceDN/>
        <w:bidi w:val="0"/>
        <w:adjustRightInd/>
        <w:snapToGrid/>
        <w:spacing w:line="360" w:lineRule="auto"/>
        <w:ind w:firstLine="803" w:firstLineChars="200"/>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项目支出绩效评价报告</w:t>
      </w:r>
    </w:p>
    <w:p w14:paraId="308B7746">
      <w:pPr>
        <w:keepNext w:val="0"/>
        <w:keepLines w:val="0"/>
        <w:widowControl w:val="0"/>
        <w:suppressLineNumbers w:val="0"/>
        <w:autoSpaceDE w:val="0"/>
        <w:autoSpaceDN/>
        <w:spacing w:before="0" w:beforeAutospacing="0" w:after="0" w:afterAutospacing="0" w:line="360" w:lineRule="auto"/>
        <w:ind w:left="0" w:right="0" w:firstLine="723" w:firstLineChars="200"/>
        <w:jc w:val="center"/>
        <w:rPr>
          <w:rFonts w:hint="eastAsia" w:ascii="宋体" w:hAnsi="宋体" w:eastAsia="宋体" w:cs="宋体"/>
          <w:b/>
          <w:color w:val="000000"/>
          <w:kern w:val="2"/>
          <w:sz w:val="36"/>
          <w:szCs w:val="36"/>
        </w:rPr>
      </w:pPr>
      <w:r>
        <w:rPr>
          <w:rFonts w:hint="eastAsia" w:ascii="宋体" w:hAnsi="宋体" w:eastAsia="宋体" w:cs="宋体"/>
          <w:b/>
          <w:color w:val="000000"/>
          <w:kern w:val="2"/>
          <w:sz w:val="36"/>
          <w:szCs w:val="36"/>
          <w:lang w:val="en-US" w:eastAsia="zh-CN" w:bidi="ar"/>
        </w:rPr>
        <w:t xml:space="preserve"> </w:t>
      </w:r>
    </w:p>
    <w:p w14:paraId="55C57157">
      <w:pPr>
        <w:keepNext w:val="0"/>
        <w:keepLines w:val="0"/>
        <w:widowControl w:val="0"/>
        <w:suppressLineNumbers w:val="0"/>
        <w:autoSpaceDE w:val="0"/>
        <w:autoSpaceDN/>
        <w:spacing w:before="0" w:beforeAutospacing="0" w:after="0" w:afterAutospacing="0" w:line="360" w:lineRule="auto"/>
        <w:ind w:left="0" w:right="0" w:firstLine="723" w:firstLineChars="200"/>
        <w:jc w:val="center"/>
        <w:rPr>
          <w:rFonts w:hint="eastAsia" w:ascii="宋体" w:hAnsi="宋体" w:eastAsia="宋体" w:cs="宋体"/>
          <w:b/>
          <w:color w:val="000000"/>
          <w:kern w:val="2"/>
          <w:sz w:val="36"/>
          <w:szCs w:val="36"/>
        </w:rPr>
      </w:pPr>
      <w:r>
        <w:rPr>
          <w:rFonts w:hint="eastAsia" w:ascii="宋体" w:hAnsi="宋体" w:eastAsia="宋体" w:cs="宋体"/>
          <w:b/>
          <w:color w:val="000000"/>
          <w:kern w:val="2"/>
          <w:sz w:val="36"/>
          <w:szCs w:val="36"/>
          <w:lang w:val="en-US" w:eastAsia="zh-CN" w:bidi="ar"/>
        </w:rPr>
        <w:t xml:space="preserve"> </w:t>
      </w:r>
    </w:p>
    <w:p w14:paraId="138E42B9">
      <w:pPr>
        <w:keepNext w:val="0"/>
        <w:keepLines w:val="0"/>
        <w:widowControl w:val="0"/>
        <w:suppressLineNumbers w:val="0"/>
        <w:autoSpaceDE w:val="0"/>
        <w:autoSpaceDN/>
        <w:spacing w:before="0" w:beforeAutospacing="0" w:after="0" w:afterAutospacing="0" w:line="360" w:lineRule="auto"/>
        <w:ind w:left="0" w:right="0" w:firstLine="723" w:firstLineChars="200"/>
        <w:jc w:val="center"/>
        <w:rPr>
          <w:rFonts w:hint="eastAsia" w:ascii="宋体" w:hAnsi="宋体" w:eastAsia="宋体" w:cs="宋体"/>
          <w:b/>
          <w:color w:val="000000"/>
          <w:kern w:val="2"/>
          <w:sz w:val="36"/>
          <w:szCs w:val="36"/>
        </w:rPr>
      </w:pPr>
      <w:r>
        <w:rPr>
          <w:rFonts w:hint="eastAsia" w:ascii="宋体" w:hAnsi="宋体" w:eastAsia="宋体" w:cs="宋体"/>
          <w:b/>
          <w:color w:val="000000"/>
          <w:kern w:val="2"/>
          <w:sz w:val="36"/>
          <w:szCs w:val="36"/>
          <w:lang w:val="en-US" w:eastAsia="zh-CN" w:bidi="ar"/>
        </w:rPr>
        <w:t xml:space="preserve"> </w:t>
      </w:r>
    </w:p>
    <w:p w14:paraId="05D0EB5D">
      <w:pPr>
        <w:keepNext w:val="0"/>
        <w:keepLines w:val="0"/>
        <w:widowControl w:val="0"/>
        <w:suppressLineNumbers w:val="0"/>
        <w:autoSpaceDE w:val="0"/>
        <w:autoSpaceDN/>
        <w:spacing w:before="0" w:beforeAutospacing="0" w:after="0" w:afterAutospacing="0" w:line="360" w:lineRule="auto"/>
        <w:ind w:left="0" w:right="0" w:firstLine="723" w:firstLineChars="200"/>
        <w:jc w:val="center"/>
        <w:rPr>
          <w:rFonts w:hint="eastAsia" w:ascii="宋体" w:hAnsi="宋体" w:eastAsia="宋体" w:cs="宋体"/>
          <w:b/>
          <w:color w:val="000000"/>
          <w:kern w:val="2"/>
          <w:sz w:val="36"/>
          <w:szCs w:val="36"/>
        </w:rPr>
      </w:pPr>
      <w:r>
        <w:rPr>
          <w:rFonts w:hint="eastAsia" w:ascii="宋体" w:hAnsi="宋体" w:eastAsia="宋体" w:cs="宋体"/>
          <w:b/>
          <w:color w:val="000000"/>
          <w:kern w:val="2"/>
          <w:sz w:val="36"/>
          <w:szCs w:val="36"/>
          <w:lang w:val="en-US" w:eastAsia="zh-CN" w:bidi="ar"/>
        </w:rPr>
        <w:t xml:space="preserve"> </w:t>
      </w:r>
    </w:p>
    <w:p w14:paraId="609BE6DC">
      <w:pPr>
        <w:keepNext w:val="0"/>
        <w:keepLines w:val="0"/>
        <w:widowControl w:val="0"/>
        <w:suppressLineNumbers w:val="0"/>
        <w:autoSpaceDE w:val="0"/>
        <w:autoSpaceDN/>
        <w:spacing w:before="0" w:beforeAutospacing="0" w:after="0" w:afterAutospacing="0" w:line="360" w:lineRule="auto"/>
        <w:ind w:left="0" w:right="0" w:firstLine="723" w:firstLineChars="200"/>
        <w:jc w:val="center"/>
        <w:rPr>
          <w:rFonts w:hint="eastAsia" w:ascii="宋体" w:hAnsi="宋体" w:eastAsia="宋体" w:cs="宋体"/>
          <w:b/>
          <w:color w:val="000000"/>
          <w:kern w:val="2"/>
          <w:sz w:val="36"/>
          <w:szCs w:val="36"/>
        </w:rPr>
      </w:pPr>
      <w:r>
        <w:rPr>
          <w:rFonts w:hint="eastAsia" w:ascii="宋体" w:hAnsi="宋体" w:eastAsia="宋体" w:cs="宋体"/>
          <w:b/>
          <w:color w:val="000000"/>
          <w:kern w:val="2"/>
          <w:sz w:val="36"/>
          <w:szCs w:val="36"/>
          <w:lang w:val="en-US" w:eastAsia="zh-CN" w:bidi="ar"/>
        </w:rPr>
        <w:t xml:space="preserve"> </w:t>
      </w:r>
    </w:p>
    <w:p w14:paraId="54DFE258">
      <w:pPr>
        <w:keepNext w:val="0"/>
        <w:keepLines w:val="0"/>
        <w:widowControl w:val="0"/>
        <w:suppressLineNumbers w:val="0"/>
        <w:autoSpaceDE w:val="0"/>
        <w:autoSpaceDN/>
        <w:spacing w:before="0" w:beforeAutospacing="0" w:after="0" w:afterAutospacing="0" w:line="360" w:lineRule="auto"/>
        <w:ind w:left="0" w:right="0" w:firstLine="723" w:firstLineChars="200"/>
        <w:jc w:val="center"/>
        <w:rPr>
          <w:rFonts w:hint="eastAsia" w:ascii="宋体" w:hAnsi="宋体" w:eastAsia="宋体" w:cs="宋体"/>
          <w:b/>
          <w:color w:val="000000"/>
          <w:kern w:val="2"/>
          <w:sz w:val="36"/>
          <w:szCs w:val="36"/>
        </w:rPr>
      </w:pPr>
      <w:r>
        <w:rPr>
          <w:rFonts w:hint="eastAsia" w:ascii="宋体" w:hAnsi="宋体" w:eastAsia="宋体" w:cs="宋体"/>
          <w:b/>
          <w:color w:val="000000"/>
          <w:kern w:val="2"/>
          <w:sz w:val="36"/>
          <w:szCs w:val="36"/>
          <w:lang w:val="en-US" w:eastAsia="zh-CN" w:bidi="ar"/>
        </w:rPr>
        <w:t xml:space="preserve"> </w:t>
      </w:r>
    </w:p>
    <w:p w14:paraId="2E9DF827">
      <w:pPr>
        <w:keepNext w:val="0"/>
        <w:keepLines w:val="0"/>
        <w:widowControl w:val="0"/>
        <w:suppressLineNumbers w:val="0"/>
        <w:autoSpaceDE w:val="0"/>
        <w:autoSpaceDN/>
        <w:spacing w:before="0" w:beforeAutospacing="0" w:after="0" w:afterAutospacing="0" w:line="360" w:lineRule="auto"/>
        <w:ind w:left="0" w:right="0" w:firstLine="723" w:firstLineChars="200"/>
        <w:jc w:val="center"/>
        <w:rPr>
          <w:rFonts w:hint="eastAsia" w:ascii="宋体" w:hAnsi="宋体" w:eastAsia="宋体" w:cs="宋体"/>
          <w:b/>
          <w:color w:val="000000"/>
          <w:kern w:val="2"/>
          <w:sz w:val="36"/>
          <w:szCs w:val="36"/>
        </w:rPr>
      </w:pPr>
      <w:r>
        <w:rPr>
          <w:rFonts w:hint="eastAsia" w:ascii="宋体" w:hAnsi="宋体" w:eastAsia="宋体" w:cs="宋体"/>
          <w:b/>
          <w:color w:val="000000"/>
          <w:kern w:val="2"/>
          <w:sz w:val="36"/>
          <w:szCs w:val="36"/>
          <w:lang w:val="en-US" w:eastAsia="zh-CN" w:bidi="ar"/>
        </w:rPr>
        <w:t xml:space="preserve"> </w:t>
      </w:r>
    </w:p>
    <w:p w14:paraId="513DA30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项目名称：阜康市管网延伸工程项目（一期）</w:t>
      </w:r>
    </w:p>
    <w:p w14:paraId="1D44089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实施单位：阜康市农村安全饮水管理站</w:t>
      </w:r>
    </w:p>
    <w:p w14:paraId="12F55C4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主管部门：阜康市水利局</w:t>
      </w:r>
    </w:p>
    <w:p w14:paraId="6A81B0D6">
      <w:pPr>
        <w:pStyle w:val="7"/>
        <w:widowControl/>
        <w:spacing w:beforeLines="0" w:beforeAutospacing="0" w:afterLines="0" w:afterAutospacing="0"/>
        <w:ind w:left="0" w:right="0"/>
        <w:rPr>
          <w:rFonts w:hint="eastAsia" w:ascii="宋体" w:hAnsi="宋体" w:eastAsia="宋体" w:cs="宋体"/>
          <w:b/>
          <w:color w:val="000000"/>
          <w:kern w:val="2"/>
          <w:sz w:val="28"/>
          <w:szCs w:val="28"/>
        </w:rPr>
      </w:pPr>
      <w:r>
        <w:rPr>
          <w:rFonts w:hint="eastAsia" w:ascii="宋体" w:hAnsi="宋体" w:eastAsia="宋体" w:cs="宋体"/>
          <w:b/>
          <w:color w:val="000000"/>
          <w:kern w:val="2"/>
          <w:sz w:val="28"/>
          <w:szCs w:val="28"/>
        </w:rPr>
        <w:t xml:space="preserve"> </w:t>
      </w:r>
    </w:p>
    <w:p w14:paraId="404E2B20">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br w:type="page"/>
      </w: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3CDA1AB8">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5CB45173">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02C9E1DB">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228C482C">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4ACCC939">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21A8E150">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3</w:t>
          </w:r>
          <w:r>
            <w:rPr>
              <w:b/>
              <w:bCs/>
              <w:sz w:val="28"/>
              <w:szCs w:val="28"/>
            </w:rPr>
            <w:fldChar w:fldCharType="end"/>
          </w:r>
          <w:r>
            <w:rPr>
              <w:rFonts w:hint="eastAsia"/>
              <w:b/>
              <w:bCs/>
              <w:sz w:val="28"/>
              <w:szCs w:val="28"/>
              <w:lang w:val="en-US" w:eastAsia="zh-CN"/>
            </w:rPr>
            <w:fldChar w:fldCharType="end"/>
          </w:r>
        </w:p>
        <w:p w14:paraId="228D8E40">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3</w:t>
          </w:r>
          <w:r>
            <w:rPr>
              <w:sz w:val="28"/>
              <w:szCs w:val="28"/>
            </w:rPr>
            <w:fldChar w:fldCharType="end"/>
          </w:r>
          <w:r>
            <w:rPr>
              <w:rFonts w:hint="eastAsia"/>
              <w:sz w:val="28"/>
              <w:szCs w:val="28"/>
              <w:lang w:val="en-US" w:eastAsia="zh-CN"/>
            </w:rPr>
            <w:fldChar w:fldCharType="end"/>
          </w:r>
        </w:p>
        <w:p w14:paraId="606FC191">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14:paraId="04531A61">
          <w:pPr>
            <w:pStyle w:val="12"/>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8</w:t>
          </w:r>
          <w:r>
            <w:rPr>
              <w:sz w:val="28"/>
              <w:szCs w:val="28"/>
            </w:rPr>
            <w:fldChar w:fldCharType="end"/>
          </w:r>
          <w:r>
            <w:rPr>
              <w:rFonts w:hint="eastAsia"/>
              <w:sz w:val="28"/>
              <w:szCs w:val="28"/>
              <w:lang w:val="en-US" w:eastAsia="zh-CN"/>
            </w:rPr>
            <w:fldChar w:fldCharType="end"/>
          </w:r>
        </w:p>
        <w:p w14:paraId="56972791">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10</w:t>
          </w:r>
          <w:r>
            <w:rPr>
              <w:b/>
              <w:bCs/>
              <w:sz w:val="28"/>
              <w:szCs w:val="28"/>
            </w:rPr>
            <w:fldChar w:fldCharType="end"/>
          </w:r>
          <w:r>
            <w:rPr>
              <w:rFonts w:hint="eastAsia"/>
              <w:b/>
              <w:bCs/>
              <w:sz w:val="28"/>
              <w:szCs w:val="28"/>
              <w:lang w:val="en-US" w:eastAsia="zh-CN"/>
            </w:rPr>
            <w:fldChar w:fldCharType="end"/>
          </w:r>
        </w:p>
        <w:p w14:paraId="3DD453DD">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10</w:t>
          </w:r>
          <w:r>
            <w:rPr>
              <w:b/>
              <w:bCs/>
              <w:sz w:val="28"/>
              <w:szCs w:val="28"/>
            </w:rPr>
            <w:fldChar w:fldCharType="end"/>
          </w:r>
          <w:r>
            <w:rPr>
              <w:rFonts w:hint="eastAsia"/>
              <w:b/>
              <w:bCs/>
              <w:sz w:val="28"/>
              <w:szCs w:val="28"/>
              <w:lang w:val="en-US" w:eastAsia="zh-CN"/>
            </w:rPr>
            <w:fldChar w:fldCharType="end"/>
          </w:r>
        </w:p>
        <w:p w14:paraId="651C5D5C">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14:paraId="55C60C57">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6F0B6E7D">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14:paraId="12F4FC7A">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15</w:t>
          </w:r>
          <w:r>
            <w:rPr>
              <w:sz w:val="28"/>
              <w:szCs w:val="28"/>
            </w:rPr>
            <w:fldChar w:fldCharType="end"/>
          </w:r>
          <w:r>
            <w:rPr>
              <w:rFonts w:hint="eastAsia"/>
              <w:sz w:val="28"/>
              <w:szCs w:val="28"/>
              <w:lang w:val="en-US" w:eastAsia="zh-CN"/>
            </w:rPr>
            <w:fldChar w:fldCharType="end"/>
          </w:r>
        </w:p>
        <w:p w14:paraId="39A8DBBF">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17</w:t>
          </w:r>
          <w:r>
            <w:rPr>
              <w:b/>
              <w:bCs/>
              <w:sz w:val="28"/>
              <w:szCs w:val="28"/>
            </w:rPr>
            <w:fldChar w:fldCharType="end"/>
          </w:r>
          <w:r>
            <w:rPr>
              <w:rFonts w:hint="eastAsia"/>
              <w:b/>
              <w:bCs/>
              <w:sz w:val="28"/>
              <w:szCs w:val="28"/>
              <w:lang w:val="en-US" w:eastAsia="zh-CN"/>
            </w:rPr>
            <w:fldChar w:fldCharType="end"/>
          </w:r>
        </w:p>
        <w:p w14:paraId="5EC732FC">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03970607">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1017C72C">
          <w:pPr>
            <w:pStyle w:val="11"/>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0F96B854">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174D32FA">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15D9A19C">
          <w:pPr>
            <w:pStyle w:val="13"/>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673555C6">
          <w:pPr>
            <w:keepNext w:val="0"/>
            <w:keepLines w:val="0"/>
            <w:widowControl w:val="0"/>
            <w:suppressLineNumbers w:val="0"/>
            <w:autoSpaceDE w:val="0"/>
            <w:autoSpaceDN/>
            <w:spacing w:before="0" w:beforeAutospacing="0" w:after="0" w:afterAutospacing="0" w:line="360" w:lineRule="auto"/>
            <w:ind w:right="0"/>
            <w:jc w:val="center"/>
            <w:outlineLvl w:val="0"/>
            <w:rPr>
              <w:rFonts w:hint="eastAsia" w:ascii="宋体" w:hAnsi="宋体" w:eastAsia="宋体" w:cs="宋体"/>
              <w:b/>
              <w:bCs/>
              <w:kern w:val="2"/>
              <w:sz w:val="28"/>
              <w:szCs w:val="28"/>
              <w:lang w:val="en-US" w:eastAsia="zh-CN" w:bidi="ar-SA"/>
            </w:rPr>
          </w:pPr>
          <w:r>
            <w:rPr>
              <w:rFonts w:hint="eastAsia"/>
              <w:sz w:val="28"/>
              <w:szCs w:val="28"/>
              <w:lang w:val="en-US" w:eastAsia="zh-CN"/>
            </w:rPr>
            <w:fldChar w:fldCharType="end"/>
          </w:r>
        </w:p>
      </w:sdtContent>
    </w:sdt>
    <w:p w14:paraId="5AC39CE1">
      <w:pPr>
        <w:keepNext w:val="0"/>
        <w:keepLines w:val="0"/>
        <w:widowControl w:val="0"/>
        <w:suppressLineNumbers w:val="0"/>
        <w:autoSpaceDE w:val="0"/>
        <w:autoSpaceDN/>
        <w:spacing w:before="0" w:beforeAutospacing="0" w:after="0" w:afterAutospacing="0" w:line="360" w:lineRule="auto"/>
        <w:ind w:right="0"/>
        <w:jc w:val="center"/>
        <w:outlineLvl w:val="0"/>
        <w:rPr>
          <w:rFonts w:hint="eastAsia" w:ascii="宋体" w:hAnsi="宋体" w:eastAsia="宋体" w:cs="宋体"/>
          <w:b/>
          <w:color w:val="000000"/>
          <w:kern w:val="2"/>
          <w:sz w:val="36"/>
          <w:szCs w:val="36"/>
          <w:lang w:val="en-US" w:eastAsia="zh-CN" w:bidi="ar"/>
        </w:rPr>
      </w:pPr>
    </w:p>
    <w:p w14:paraId="2A9A89B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r>
        <w:rPr>
          <w:rFonts w:hint="eastAsia" w:ascii="宋体" w:hAnsi="宋体" w:eastAsia="宋体" w:cs="宋体"/>
          <w:b/>
          <w:bCs/>
          <w:color w:val="000000" w:themeColor="text1"/>
          <w:sz w:val="36"/>
          <w:szCs w:val="36"/>
          <w:highlight w:val="none"/>
          <w:shd w:val="clear" w:color="auto" w:fill="auto"/>
          <w:lang w:val="en-US" w:eastAsia="zh-CN"/>
          <w14:textFill>
            <w14:solidFill>
              <w14:schemeClr w14:val="tx1"/>
            </w14:solidFill>
          </w14:textFill>
        </w:rPr>
        <w:t>阜康市管网延伸工程项目（一期）支出绩效评价报告</w:t>
      </w:r>
    </w:p>
    <w:p w14:paraId="1E4139DB">
      <w:pPr>
        <w:pStyle w:val="2"/>
        <w:widowControl/>
        <w:autoSpaceDE w:val="0"/>
        <w:autoSpaceDN/>
        <w:spacing w:beforeLines="0" w:beforeAutospacing="0" w:afterLines="0" w:afterAutospacing="0" w:line="360" w:lineRule="auto"/>
        <w:rPr>
          <w:rFonts w:hint="eastAsia" w:ascii="宋体" w:hAnsi="宋体" w:eastAsia="宋体" w:cs="宋体"/>
          <w:b/>
          <w:color w:val="000000"/>
          <w:kern w:val="44"/>
          <w:sz w:val="32"/>
          <w:szCs w:val="32"/>
        </w:rPr>
      </w:pPr>
      <w:bookmarkStart w:id="0" w:name="_Toc17540"/>
      <w:r>
        <w:rPr>
          <w:rFonts w:hint="eastAsia" w:ascii="宋体" w:hAnsi="宋体" w:eastAsia="宋体" w:cs="宋体"/>
          <w:b/>
          <w:color w:val="000000"/>
          <w:kern w:val="44"/>
          <w:sz w:val="32"/>
          <w:szCs w:val="32"/>
        </w:rPr>
        <w:t>一、基本情况</w:t>
      </w:r>
      <w:bookmarkEnd w:id="0"/>
    </w:p>
    <w:p w14:paraId="57980DAC">
      <w:pPr>
        <w:pStyle w:val="3"/>
        <w:keepNext/>
        <w:keepLines/>
        <w:widowControl w:val="0"/>
        <w:suppressLineNumbers w:val="0"/>
        <w:autoSpaceDE w:val="0"/>
        <w:autoSpaceDN/>
        <w:spacing w:beforeLines="0" w:beforeAutospacing="0" w:afterLines="0" w:afterAutospacing="0" w:line="360" w:lineRule="auto"/>
        <w:rPr>
          <w:rFonts w:hint="eastAsia" w:ascii="宋体" w:hAnsi="宋体" w:eastAsia="宋体" w:cs="宋体"/>
          <w:b/>
          <w:bCs w:val="0"/>
          <w:color w:val="000000"/>
          <w:kern w:val="2"/>
          <w:sz w:val="32"/>
          <w:szCs w:val="32"/>
        </w:rPr>
      </w:pPr>
      <w:bookmarkStart w:id="1" w:name="_Toc18966"/>
      <w:r>
        <w:rPr>
          <w:rFonts w:hint="eastAsia" w:ascii="宋体" w:hAnsi="宋体" w:eastAsia="宋体" w:cs="宋体"/>
          <w:b/>
          <w:bCs w:val="0"/>
          <w:color w:val="000000"/>
          <w:kern w:val="2"/>
          <w:sz w:val="32"/>
          <w:szCs w:val="32"/>
        </w:rPr>
        <w:t>（一）项目概况</w:t>
      </w:r>
      <w:bookmarkEnd w:id="1"/>
    </w:p>
    <w:p w14:paraId="334B58E0">
      <w:pPr>
        <w:pStyle w:val="4"/>
        <w:pageBreakBefore w:val="0"/>
        <w:suppressLineNumbers w:val="0"/>
        <w:kinsoku/>
        <w:wordWrap/>
        <w:overflowPunct/>
        <w:topLinePunct w:val="0"/>
        <w:autoSpaceDE/>
        <w:autoSpaceDN/>
        <w:bidi w:val="0"/>
        <w:adjustRightInd/>
        <w:spacing w:before="0" w:beforeAutospacing="0" w:after="0" w:afterAutospacing="0" w:line="360" w:lineRule="auto"/>
        <w:ind w:left="0" w:right="0"/>
        <w:textAlignment w:val="auto"/>
        <w:rPr>
          <w:rFonts w:hint="eastAsia" w:ascii="宋体" w:hAnsi="宋体" w:eastAsia="宋体" w:cs="宋体"/>
          <w:bCs/>
          <w:color w:val="000000" w:themeColor="text1"/>
          <w:szCs w:val="32"/>
          <w:highlight w:val="none"/>
          <w:shd w:val="clear" w:color="auto" w:fill="auto"/>
          <w:lang w:bidi="ar-SA"/>
          <w14:textFill>
            <w14:solidFill>
              <w14:schemeClr w14:val="tx1"/>
            </w14:solidFill>
          </w14:textFill>
        </w:rPr>
      </w:pPr>
      <w:r>
        <w:rPr>
          <w:rFonts w:hint="eastAsia" w:ascii="宋体" w:hAnsi="宋体" w:eastAsia="宋体" w:cs="宋体"/>
          <w:bCs/>
          <w:color w:val="000000" w:themeColor="text1"/>
          <w:szCs w:val="32"/>
          <w:highlight w:val="none"/>
          <w:shd w:val="clear" w:color="auto" w:fill="auto"/>
          <w:lang w:val="en-US" w:eastAsia="zh-CN" w:bidi="ar-SA"/>
          <w14:textFill>
            <w14:solidFill>
              <w14:schemeClr w14:val="tx1"/>
            </w14:solidFill>
          </w14:textFill>
        </w:rPr>
        <w:t>1.</w:t>
      </w:r>
      <w:r>
        <w:rPr>
          <w:rFonts w:hint="eastAsia" w:ascii="宋体" w:hAnsi="宋体" w:eastAsia="宋体" w:cs="宋体"/>
          <w:bCs/>
          <w:color w:val="000000" w:themeColor="text1"/>
          <w:szCs w:val="32"/>
          <w:highlight w:val="none"/>
          <w:shd w:val="clear" w:color="auto" w:fill="auto"/>
          <w:lang w:bidi="ar-SA"/>
          <w14:textFill>
            <w14:solidFill>
              <w14:schemeClr w14:val="tx1"/>
            </w14:solidFill>
          </w14:textFill>
        </w:rPr>
        <w:t>项目背景</w:t>
      </w:r>
    </w:p>
    <w:p w14:paraId="0128E8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val="en-US" w:eastAsia="zh-CN"/>
        </w:rPr>
        <w:t>现状水源为白杨河水厂，原取水设施可继续使用，但随着人口增加及牲畜增多，现状水量已无法满足人畜的正常用水要求，为解决白杨河水厂水量不足、水质不稳定现状，现规划新建一条引水管道，分期实施给白杨河水厂补给水，经勘查项目区首部为兵团已建截潜流水源，本项目供水规模为365.46m3/d，经计算，确定水源集水池为150m³。为有效利用自然资源，确保供水工程长期安全有效的供水，以达到资源的合理配置，这就迫切需要在项目区新建供水管道，增强供水工程的发展性和可持续性。</w:t>
      </w:r>
    </w:p>
    <w:p w14:paraId="4FE89CCA">
      <w:pPr>
        <w:pStyle w:val="4"/>
        <w:widowControl/>
        <w:autoSpaceDE w:val="0"/>
        <w:autoSpaceDN/>
        <w:spacing w:line="360" w:lineRule="auto"/>
        <w:rPr>
          <w:rFonts w:hint="eastAsia" w:ascii="宋体" w:hAnsi="宋体" w:eastAsia="宋体" w:cs="宋体"/>
          <w:b/>
          <w:color w:val="000000"/>
          <w:kern w:val="0"/>
          <w:sz w:val="28"/>
          <w:szCs w:val="28"/>
        </w:rPr>
      </w:pPr>
      <w:bookmarkStart w:id="2" w:name="_Toc27343"/>
      <w:r>
        <w:rPr>
          <w:rFonts w:hint="eastAsia" w:ascii="宋体" w:hAnsi="宋体" w:eastAsia="宋体" w:cs="宋体"/>
          <w:b/>
          <w:color w:val="000000"/>
          <w:kern w:val="0"/>
          <w:sz w:val="28"/>
          <w:szCs w:val="28"/>
        </w:rPr>
        <w:t>2.</w:t>
      </w:r>
      <w:bookmarkEnd w:id="2"/>
      <w:r>
        <w:rPr>
          <w:rFonts w:hint="eastAsia" w:ascii="宋体" w:hAnsi="宋体" w:eastAsia="宋体" w:cs="宋体"/>
          <w:b/>
          <w:color w:val="000000"/>
          <w:kern w:val="0"/>
          <w:sz w:val="28"/>
          <w:szCs w:val="28"/>
        </w:rPr>
        <w:t>主要内容及实施情况</w:t>
      </w:r>
    </w:p>
    <w:p w14:paraId="2D59ABEF">
      <w:pPr>
        <w:pStyle w:val="4"/>
        <w:widowControl/>
        <w:autoSpaceDE w:val="0"/>
        <w:autoSpaceDN/>
        <w:spacing w:line="360" w:lineRule="auto"/>
        <w:rPr>
          <w:rFonts w:hint="eastAsia" w:ascii="宋体" w:hAnsi="宋体" w:eastAsia="宋体" w:cs="宋体"/>
          <w:b w:val="0"/>
          <w:color w:val="auto"/>
          <w:kern w:val="2"/>
          <w:sz w:val="28"/>
          <w:szCs w:val="28"/>
          <w:highlight w:val="none"/>
          <w:shd w:val="clear" w:color="auto" w:fill="auto"/>
          <w:lang w:val="en-US" w:eastAsia="zh-CN" w:bidi="ar-SA"/>
        </w:rPr>
      </w:pPr>
      <w:bookmarkStart w:id="3" w:name="_Toc16592"/>
      <w:r>
        <w:rPr>
          <w:rFonts w:hint="eastAsia" w:ascii="仿宋_GB2312" w:eastAsia="仿宋_GB2312" w:cs="仿宋_GB2312"/>
          <w:b/>
          <w:kern w:val="0"/>
          <w:sz w:val="28"/>
          <w:szCs w:val="28"/>
        </w:rPr>
        <w:t>主要内容</w:t>
      </w:r>
      <w:bookmarkEnd w:id="3"/>
      <w:r>
        <w:rPr>
          <w:rFonts w:hint="eastAsia" w:ascii="宋体" w:hAnsi="宋体" w:eastAsia="宋体" w:cs="宋体"/>
          <w:b/>
          <w:kern w:val="0"/>
          <w:sz w:val="28"/>
          <w:szCs w:val="28"/>
        </w:rPr>
        <w:t>：</w:t>
      </w:r>
      <w:r>
        <w:rPr>
          <w:rFonts w:hint="eastAsia" w:ascii="宋体" w:hAnsi="宋体" w:eastAsia="宋体" w:cs="宋体"/>
          <w:b w:val="0"/>
          <w:color w:val="auto"/>
          <w:kern w:val="2"/>
          <w:sz w:val="28"/>
          <w:szCs w:val="28"/>
          <w:highlight w:val="none"/>
          <w:shd w:val="clear" w:color="auto" w:fill="auto"/>
          <w:lang w:val="en-US" w:eastAsia="zh-CN" w:bidi="ar-SA"/>
        </w:rPr>
        <w:t>新建3.27km管道及其14座配套建筑。</w:t>
      </w:r>
    </w:p>
    <w:p w14:paraId="187EE31E">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b w:val="0"/>
          <w:color w:val="auto"/>
          <w:kern w:val="2"/>
          <w:sz w:val="28"/>
          <w:szCs w:val="28"/>
          <w:highlight w:val="none"/>
          <w:shd w:val="clear" w:color="auto" w:fill="auto"/>
          <w:lang w:val="en-US" w:eastAsia="zh-CN" w:bidi="ar-SA"/>
        </w:rPr>
      </w:pPr>
      <w:r>
        <w:rPr>
          <w:rFonts w:hint="eastAsia" w:ascii="宋体" w:hAnsi="宋体" w:eastAsia="宋体" w:cs="宋体"/>
          <w:b w:val="0"/>
          <w:color w:val="auto"/>
          <w:kern w:val="2"/>
          <w:sz w:val="28"/>
          <w:szCs w:val="28"/>
          <w:highlight w:val="none"/>
          <w:shd w:val="clear" w:color="auto" w:fill="auto"/>
          <w:lang w:val="en-US" w:eastAsia="zh-CN" w:bidi="ar-SA"/>
        </w:rPr>
        <w:t>组织实施：本项目自2022年11月17日经阜发改投资[2022]212号文件批复，经站务会议，确定了项目领导小组，明确了责任分工：组长为赵刚，副组长为蒋淼，项目负责人为赵刚，组员为史旭、李海霞，其中：蒋淼负责监管工作，史旭负责项目档案资料，李海霞负责资金拨付工作。</w:t>
      </w:r>
    </w:p>
    <w:p w14:paraId="4B3D9375">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b w:val="0"/>
          <w:color w:val="auto"/>
          <w:kern w:val="2"/>
          <w:sz w:val="28"/>
          <w:szCs w:val="28"/>
          <w:highlight w:val="none"/>
          <w:shd w:val="clear" w:color="auto" w:fill="auto"/>
          <w:lang w:val="en-US" w:eastAsia="zh-CN" w:bidi="ar-SA"/>
        </w:rPr>
      </w:pPr>
      <w:r>
        <w:rPr>
          <w:rFonts w:hint="eastAsia" w:ascii="宋体" w:hAnsi="宋体" w:eastAsia="宋体" w:cs="宋体"/>
          <w:b w:val="0"/>
          <w:color w:val="auto"/>
          <w:kern w:val="2"/>
          <w:sz w:val="28"/>
          <w:szCs w:val="28"/>
          <w:highlight w:val="none"/>
          <w:shd w:val="clear" w:color="auto" w:fill="auto"/>
          <w:lang w:val="en-US" w:eastAsia="zh-CN" w:bidi="ar-SA"/>
        </w:rPr>
        <w:t>2022年9月资金下达后，阜康市水利局根据资金分配指标，立即启动项目前期工作，于2022年11月27完成前期设计、立项、招投标、用地手续办理等前期工作。于2023年3月28日开工建设，于2023年5月28日完工。</w:t>
      </w:r>
    </w:p>
    <w:p w14:paraId="0D6FD184">
      <w:pPr>
        <w:pStyle w:val="4"/>
        <w:widowControl/>
        <w:autoSpaceDE w:val="0"/>
        <w:autoSpaceDN/>
        <w:spacing w:line="360" w:lineRule="auto"/>
        <w:rPr>
          <w:rFonts w:hint="eastAsia" w:ascii="宋体" w:hAnsi="宋体" w:eastAsia="宋体" w:cs="宋体"/>
          <w:b/>
          <w:color w:val="000000"/>
          <w:kern w:val="0"/>
          <w:sz w:val="28"/>
          <w:szCs w:val="28"/>
        </w:rPr>
      </w:pPr>
      <w:bookmarkStart w:id="4" w:name="_Toc1858"/>
      <w:r>
        <w:rPr>
          <w:rFonts w:hint="eastAsia" w:ascii="宋体" w:hAnsi="宋体" w:eastAsia="宋体" w:cs="宋体"/>
          <w:b/>
          <w:color w:val="000000"/>
          <w:kern w:val="0"/>
          <w:sz w:val="28"/>
          <w:szCs w:val="28"/>
        </w:rPr>
        <w:t>3.资金投入和使用情况</w:t>
      </w:r>
      <w:bookmarkEnd w:id="4"/>
    </w:p>
    <w:p w14:paraId="6CE41318">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（1）项目资金安排落实、总投入等情况分析</w:t>
      </w:r>
    </w:p>
    <w:p w14:paraId="0D179E96">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kern w:val="2"/>
          <w:sz w:val="28"/>
          <w:szCs w:val="28"/>
          <w:lang w:val="en-US" w:eastAsia="zh-CN" w:bidi="ar"/>
        </w:rPr>
        <w:t>阜康市管网延伸工程项目（一期）预算安</w:t>
      </w:r>
      <w:r>
        <w:rPr>
          <w:rFonts w:hint="eastAsia" w:ascii="宋体" w:hAnsi="宋体" w:eastAsia="宋体" w:cs="宋体"/>
          <w:color w:val="auto"/>
          <w:kern w:val="2"/>
          <w:sz w:val="28"/>
          <w:szCs w:val="28"/>
          <w:lang w:val="en-US" w:eastAsia="zh-CN" w:bidi="ar"/>
        </w:rPr>
        <w:t>排总额为4.22万元，其中财政资金4.22万元，其他资金0万元，2023年实际收到预算资金4.22万元，预算资金到位率为100%。</w:t>
      </w:r>
    </w:p>
    <w:p w14:paraId="4E97C7F7">
      <w:pPr>
        <w:keepNext w:val="0"/>
        <w:keepLines w:val="0"/>
        <w:widowControl w:val="0"/>
        <w:suppressLineNumbers w:val="0"/>
        <w:autoSpaceDE w:val="0"/>
        <w:autoSpaceDN/>
        <w:spacing w:before="0" w:beforeAutospacing="0" w:after="0" w:afterAutospacing="0" w:line="360" w:lineRule="auto"/>
        <w:ind w:left="0" w:right="0" w:firstLine="544" w:firstLineChars="200"/>
        <w:jc w:val="both"/>
        <w:rPr>
          <w:rFonts w:hint="eastAsia" w:ascii="宋体" w:hAnsi="宋体" w:eastAsia="宋体" w:cs="宋体"/>
          <w:bCs/>
          <w:color w:val="000000"/>
          <w:spacing w:val="-4"/>
          <w:kern w:val="2"/>
          <w:sz w:val="28"/>
          <w:szCs w:val="28"/>
        </w:rPr>
      </w:pPr>
      <w:r>
        <w:rPr>
          <w:rFonts w:hint="eastAsia" w:ascii="宋体" w:hAnsi="宋体" w:eastAsia="宋体" w:cs="宋体"/>
          <w:bCs/>
          <w:color w:val="000000"/>
          <w:spacing w:val="-4"/>
          <w:kern w:val="2"/>
          <w:sz w:val="28"/>
          <w:szCs w:val="28"/>
          <w:lang w:val="en-US" w:eastAsia="zh-CN" w:bidi="ar"/>
        </w:rPr>
        <w:t>（2）项目资金实际使用情况分析</w:t>
      </w:r>
    </w:p>
    <w:p w14:paraId="29AED718">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color w:val="auto"/>
          <w:kern w:val="2"/>
          <w:sz w:val="28"/>
          <w:szCs w:val="28"/>
          <w:lang w:val="en-US" w:eastAsia="zh-CN" w:bidi="ar"/>
        </w:rPr>
        <w:t>截至2023年12月31日，阜康市管网延伸工程项目（一期）实际支付资金4.22万元，预算执行率100%。结转结余资金0万元。项目资金主要用于支付阜康市管网延伸工程项目（一期）设计费等方面。</w:t>
      </w:r>
    </w:p>
    <w:p w14:paraId="76C8A428">
      <w:pPr>
        <w:pStyle w:val="3"/>
        <w:widowControl/>
        <w:numPr>
          <w:ilvl w:val="0"/>
          <w:numId w:val="0"/>
        </w:numPr>
        <w:autoSpaceDE w:val="0"/>
        <w:autoSpaceDN/>
        <w:spacing w:beforeLines="0" w:beforeAutospacing="0" w:afterLines="0" w:afterAutospacing="0" w:line="360" w:lineRule="auto"/>
        <w:ind w:firstLine="643" w:firstLineChars="200"/>
        <w:rPr>
          <w:rFonts w:hint="eastAsia" w:ascii="宋体" w:hAnsi="宋体" w:eastAsia="宋体" w:cs="宋体"/>
          <w:b/>
          <w:bCs w:val="0"/>
          <w:color w:val="000000"/>
          <w:kern w:val="2"/>
          <w:sz w:val="32"/>
          <w:szCs w:val="32"/>
        </w:rPr>
      </w:pPr>
      <w:bookmarkStart w:id="5" w:name="_Toc2879"/>
      <w:r>
        <w:rPr>
          <w:rFonts w:hint="eastAsia" w:ascii="宋体" w:hAnsi="宋体" w:eastAsia="宋体" w:cs="宋体"/>
          <w:b/>
          <w:bCs w:val="0"/>
          <w:color w:val="000000"/>
          <w:kern w:val="2"/>
          <w:sz w:val="32"/>
          <w:szCs w:val="32"/>
          <w:lang w:eastAsia="zh-CN"/>
        </w:rPr>
        <w:t>（</w:t>
      </w:r>
      <w:r>
        <w:rPr>
          <w:rFonts w:hint="eastAsia" w:ascii="宋体" w:hAnsi="宋体" w:eastAsia="宋体" w:cs="宋体"/>
          <w:b/>
          <w:bCs w:val="0"/>
          <w:color w:val="000000"/>
          <w:kern w:val="2"/>
          <w:sz w:val="32"/>
          <w:szCs w:val="32"/>
          <w:lang w:val="en-US" w:eastAsia="zh-CN"/>
        </w:rPr>
        <w:t>二）</w:t>
      </w:r>
      <w:r>
        <w:rPr>
          <w:rFonts w:hint="eastAsia" w:ascii="宋体" w:hAnsi="宋体" w:eastAsia="宋体" w:cs="宋体"/>
          <w:b/>
          <w:bCs w:val="0"/>
          <w:color w:val="000000"/>
          <w:kern w:val="2"/>
          <w:sz w:val="32"/>
          <w:szCs w:val="32"/>
        </w:rPr>
        <w:t>项目绩效目标</w:t>
      </w:r>
      <w:bookmarkEnd w:id="5"/>
    </w:p>
    <w:p w14:paraId="6B9CA03D">
      <w:pPr>
        <w:pStyle w:val="4"/>
        <w:keepNext w:val="0"/>
        <w:keepLines w:val="0"/>
        <w:widowControl w:val="0"/>
        <w:suppressLineNumbers w:val="0"/>
        <w:autoSpaceDE w:val="0"/>
        <w:autoSpaceDN/>
        <w:spacing w:line="360" w:lineRule="auto"/>
        <w:rPr>
          <w:rFonts w:hint="eastAsia" w:ascii="宋体" w:hAnsi="宋体" w:eastAsia="宋体" w:cs="宋体"/>
          <w:b/>
          <w:color w:val="000000"/>
          <w:kern w:val="0"/>
          <w:sz w:val="28"/>
          <w:szCs w:val="28"/>
        </w:rPr>
      </w:pPr>
      <w:bookmarkStart w:id="6" w:name="_Toc10047"/>
      <w:r>
        <w:rPr>
          <w:rFonts w:hint="eastAsia" w:ascii="宋体" w:hAnsi="宋体" w:eastAsia="宋体" w:cs="宋体"/>
          <w:b/>
          <w:color w:val="000000"/>
          <w:kern w:val="0"/>
          <w:sz w:val="28"/>
          <w:szCs w:val="28"/>
        </w:rPr>
        <w:t>1.总体目标</w:t>
      </w:r>
      <w:bookmarkEnd w:id="6"/>
    </w:p>
    <w:p w14:paraId="7C68B612">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lang w:val="en-US" w:eastAsia="zh-CN" w:bidi="ar"/>
        </w:rPr>
      </w:pPr>
      <w:r>
        <w:rPr>
          <w:rFonts w:hint="eastAsia" w:ascii="宋体" w:hAnsi="宋体" w:eastAsia="宋体" w:cs="宋体"/>
          <w:kern w:val="2"/>
          <w:sz w:val="28"/>
          <w:szCs w:val="28"/>
          <w:lang w:val="en-US" w:eastAsia="zh-CN" w:bidi="ar"/>
        </w:rPr>
        <w:t>阜康市管网延伸工程项目（一期）绩效总体目</w:t>
      </w:r>
      <w:r>
        <w:rPr>
          <w:rFonts w:hint="eastAsia" w:ascii="宋体" w:hAnsi="宋体" w:eastAsia="宋体" w:cs="宋体"/>
          <w:color w:val="auto"/>
          <w:kern w:val="2"/>
          <w:sz w:val="28"/>
          <w:szCs w:val="28"/>
          <w:lang w:val="en-US" w:eastAsia="zh-CN" w:bidi="ar"/>
        </w:rPr>
        <w:t>标为：通过新建3.25km饮水管道及其配套附属建筑物从兵团已建截潜流水源引水，分期实施给白杨河水厂补给水源，解决白杨河水厂季节性供水不足等问题，确保长期安全有效的供水。</w:t>
      </w:r>
    </w:p>
    <w:p w14:paraId="4D0FE932">
      <w:pPr>
        <w:pStyle w:val="4"/>
        <w:keepNext w:val="0"/>
        <w:keepLines w:val="0"/>
        <w:widowControl w:val="0"/>
        <w:suppressLineNumbers w:val="0"/>
        <w:autoSpaceDE w:val="0"/>
        <w:autoSpaceDN/>
        <w:spacing w:line="360" w:lineRule="auto"/>
        <w:rPr>
          <w:rFonts w:hint="eastAsia" w:ascii="宋体" w:hAnsi="宋体" w:eastAsia="宋体" w:cs="宋体"/>
          <w:b/>
          <w:color w:val="000000"/>
          <w:kern w:val="0"/>
          <w:sz w:val="28"/>
          <w:szCs w:val="28"/>
        </w:rPr>
      </w:pPr>
      <w:bookmarkStart w:id="7" w:name="_Toc4487"/>
      <w:r>
        <w:rPr>
          <w:rFonts w:hint="eastAsia" w:ascii="宋体" w:hAnsi="宋体" w:eastAsia="宋体" w:cs="宋体"/>
          <w:b/>
          <w:color w:val="000000"/>
          <w:kern w:val="0"/>
          <w:sz w:val="28"/>
          <w:szCs w:val="28"/>
        </w:rPr>
        <w:t>2.阶段性目标</w:t>
      </w:r>
      <w:bookmarkEnd w:id="7"/>
    </w:p>
    <w:p w14:paraId="6B120F48">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sz w:val="28"/>
          <w:szCs w:val="28"/>
          <w:highlight w:val="none"/>
          <w:shd w:val="clear" w:color="auto" w:fill="auto"/>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14:paraId="04D353E6">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（1）项目产出目标</w:t>
      </w:r>
    </w:p>
    <w:p w14:paraId="7891718B">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①数量指标</w:t>
      </w:r>
    </w:p>
    <w:p w14:paraId="41C8C88D">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“新建饮水管道（公里）”指标，预期目标值为≥3.25km；</w:t>
      </w:r>
    </w:p>
    <w:p w14:paraId="0A96A2BF">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“配套附属建筑物（座）”指标，预期目标值为≥14座；</w:t>
      </w:r>
    </w:p>
    <w:p w14:paraId="5C36CB4C">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②质量指标</w:t>
      </w:r>
    </w:p>
    <w:p w14:paraId="69206134">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“工程验收合格率（%）”指标，预期目标值为100%；</w:t>
      </w:r>
    </w:p>
    <w:p w14:paraId="6C9465DF">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③时效指标</w:t>
      </w:r>
    </w:p>
    <w:p w14:paraId="25C5B570">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“截止2023年底，投资完成比例（%）”指标，预期目标值为≥80%；</w:t>
      </w:r>
    </w:p>
    <w:p w14:paraId="465BC3A4">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“完工时间”指标，预期目标值为2023年5月30日前；</w:t>
      </w:r>
    </w:p>
    <w:p w14:paraId="18736777">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（2）成本指标</w:t>
      </w:r>
    </w:p>
    <w:p w14:paraId="6A22E971">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①经济成本指标</w:t>
      </w:r>
    </w:p>
    <w:p w14:paraId="58BA3C24">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“设计投资（万元）”指标，预期目标值为≤3万元；</w:t>
      </w:r>
    </w:p>
    <w:p w14:paraId="0A586012">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“草地征占投资（万元）”指标，预期目标值为≤1.222万元；</w:t>
      </w:r>
    </w:p>
    <w:p w14:paraId="60E59B8A">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default"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该项目不涉及社会成本指标和生态环境成本指标。</w:t>
      </w:r>
    </w:p>
    <w:p w14:paraId="02BD674A">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（3）项目效益目标</w:t>
      </w:r>
    </w:p>
    <w:p w14:paraId="6887348B">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①经济效益指标</w:t>
      </w:r>
    </w:p>
    <w:p w14:paraId="16DAE31E">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default" w:ascii="宋体" w:hAnsi="宋体" w:eastAsia="宋体" w:cs="宋体"/>
          <w:color w:val="auto"/>
          <w:kern w:val="2"/>
          <w:sz w:val="28"/>
          <w:szCs w:val="28"/>
          <w:highlight w:val="none"/>
          <w:lang w:val="en-US" w:eastAsia="zh-CN" w:bidi="ar"/>
        </w:rPr>
      </w:pPr>
      <w:r>
        <w:rPr>
          <w:rFonts w:hint="eastAsia" w:ascii="宋体" w:hAnsi="宋体" w:eastAsia="宋体" w:cs="宋体"/>
          <w:kern w:val="2"/>
          <w:sz w:val="28"/>
          <w:szCs w:val="28"/>
          <w:lang w:val="en-US" w:eastAsia="zh-CN" w:bidi="ar"/>
        </w:rPr>
        <w:t>该项目不涉及经济效益指标.</w:t>
      </w:r>
    </w:p>
    <w:p w14:paraId="6869D8D7">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②社会效益指标</w:t>
      </w:r>
    </w:p>
    <w:p w14:paraId="0E85CC29">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lang w:val="en-US" w:eastAsia="zh-CN" w:bidi="ar"/>
        </w:rPr>
      </w:pPr>
      <w:r>
        <w:rPr>
          <w:rFonts w:hint="eastAsia" w:ascii="宋体" w:hAnsi="宋体" w:eastAsia="宋体" w:cs="宋体"/>
          <w:color w:val="auto"/>
          <w:kern w:val="2"/>
          <w:sz w:val="28"/>
          <w:szCs w:val="28"/>
          <w:highlight w:val="none"/>
          <w:lang w:val="en-US" w:eastAsia="zh-CN" w:bidi="ar"/>
        </w:rPr>
        <w:t>“人畜安全饮水”指标，预期目标值为≥1794人；</w:t>
      </w:r>
    </w:p>
    <w:p w14:paraId="7D0E4BE1">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③生态效益指标</w:t>
      </w:r>
    </w:p>
    <w:p w14:paraId="76DD27E9">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default"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该项目不涉及生态效益指标。</w:t>
      </w:r>
    </w:p>
    <w:p w14:paraId="49491AD6">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④可持续影响</w:t>
      </w:r>
    </w:p>
    <w:p w14:paraId="63C91F9C">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该项目不涉及可持续影响指标。</w:t>
      </w:r>
    </w:p>
    <w:p w14:paraId="6B68F7E2">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⑤满意度指标</w:t>
      </w:r>
    </w:p>
    <w:p w14:paraId="4A254A1A">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“使用人员满意度”指标，预期目标值为≥95%。</w:t>
      </w:r>
    </w:p>
    <w:p w14:paraId="60F32E7A">
      <w:pPr>
        <w:pStyle w:val="2"/>
        <w:widowControl/>
        <w:autoSpaceDE w:val="0"/>
        <w:autoSpaceDN/>
        <w:spacing w:beforeLines="0" w:beforeAutospacing="0" w:afterLines="0" w:afterAutospacing="0" w:line="360" w:lineRule="auto"/>
        <w:rPr>
          <w:rFonts w:hint="eastAsia" w:ascii="宋体" w:hAnsi="宋体" w:eastAsia="宋体" w:cs="宋体"/>
          <w:b/>
          <w:color w:val="000000"/>
          <w:kern w:val="44"/>
          <w:sz w:val="32"/>
          <w:szCs w:val="32"/>
        </w:rPr>
      </w:pPr>
      <w:bookmarkStart w:id="8" w:name="_Toc2549"/>
      <w:r>
        <w:rPr>
          <w:rFonts w:hint="eastAsia" w:ascii="宋体" w:hAnsi="宋体" w:eastAsia="宋体" w:cs="宋体"/>
          <w:b/>
          <w:color w:val="000000"/>
          <w:kern w:val="44"/>
          <w:sz w:val="32"/>
          <w:szCs w:val="32"/>
        </w:rPr>
        <w:t>二、绩效评价工作开展情况</w:t>
      </w:r>
      <w:bookmarkEnd w:id="8"/>
    </w:p>
    <w:p w14:paraId="3793A71A">
      <w:pPr>
        <w:pStyle w:val="3"/>
        <w:widowControl/>
        <w:numPr>
          <w:ilvl w:val="0"/>
          <w:numId w:val="1"/>
        </w:numPr>
        <w:autoSpaceDE w:val="0"/>
        <w:autoSpaceDN/>
        <w:spacing w:beforeLines="0" w:beforeAutospacing="0" w:afterLines="0" w:afterAutospacing="0" w:line="360" w:lineRule="auto"/>
        <w:ind w:left="0" w:leftChars="0" w:firstLine="643" w:firstLineChars="200"/>
        <w:jc w:val="both"/>
        <w:rPr>
          <w:rFonts w:hint="eastAsia" w:ascii="宋体" w:hAnsi="宋体" w:eastAsia="宋体" w:cs="宋体"/>
          <w:b/>
          <w:bCs w:val="0"/>
          <w:color w:val="000000"/>
          <w:kern w:val="2"/>
          <w:sz w:val="32"/>
          <w:szCs w:val="32"/>
        </w:rPr>
      </w:pPr>
      <w:bookmarkStart w:id="9" w:name="_Toc22922"/>
      <w:bookmarkEnd w:id="9"/>
      <w:bookmarkStart w:id="10" w:name="_Toc22169_WPSOffice_Level2"/>
      <w:bookmarkEnd w:id="10"/>
      <w:bookmarkStart w:id="11" w:name="_Toc21664"/>
      <w:bookmarkEnd w:id="11"/>
      <w:bookmarkStart w:id="12" w:name="_Toc26632"/>
      <w:bookmarkEnd w:id="12"/>
      <w:bookmarkStart w:id="13" w:name="_Toc480473081"/>
      <w:bookmarkEnd w:id="13"/>
      <w:bookmarkStart w:id="14" w:name="_Toc12868"/>
      <w:bookmarkEnd w:id="14"/>
      <w:bookmarkStart w:id="15" w:name="_Toc5258"/>
      <w:bookmarkEnd w:id="15"/>
      <w:bookmarkStart w:id="16" w:name="_Toc21778"/>
      <w:bookmarkStart w:id="17" w:name="_Toc5462343"/>
      <w:r>
        <w:rPr>
          <w:rFonts w:hint="eastAsia" w:ascii="宋体" w:hAnsi="宋体" w:eastAsia="宋体" w:cs="宋体"/>
          <w:b/>
          <w:bCs w:val="0"/>
          <w:color w:val="000000"/>
          <w:kern w:val="2"/>
          <w:sz w:val="32"/>
          <w:szCs w:val="32"/>
        </w:rPr>
        <w:t>绩效评价的目的</w:t>
      </w:r>
      <w:bookmarkEnd w:id="16"/>
      <w:bookmarkEnd w:id="17"/>
      <w:r>
        <w:rPr>
          <w:rFonts w:hint="eastAsia" w:ascii="宋体" w:hAnsi="宋体" w:eastAsia="宋体" w:cs="宋体"/>
          <w:b/>
          <w:bCs w:val="0"/>
          <w:color w:val="000000"/>
          <w:kern w:val="2"/>
          <w:sz w:val="32"/>
          <w:szCs w:val="32"/>
        </w:rPr>
        <w:t>、对象和范围</w:t>
      </w:r>
    </w:p>
    <w:p w14:paraId="389631AC">
      <w:pPr>
        <w:pStyle w:val="4"/>
        <w:keepNext w:val="0"/>
        <w:keepLines w:val="0"/>
        <w:widowControl w:val="0"/>
        <w:suppressLineNumbers w:val="0"/>
        <w:autoSpaceDE w:val="0"/>
        <w:autoSpaceDN/>
        <w:spacing w:line="360" w:lineRule="auto"/>
        <w:rPr>
          <w:rFonts w:hint="eastAsia" w:ascii="宋体" w:hAnsi="宋体" w:eastAsia="宋体" w:cs="宋体"/>
          <w:b/>
          <w:color w:val="000000"/>
          <w:kern w:val="0"/>
          <w:sz w:val="28"/>
          <w:szCs w:val="28"/>
        </w:rPr>
      </w:pPr>
      <w:bookmarkStart w:id="18" w:name="_Toc15732"/>
      <w:r>
        <w:rPr>
          <w:rFonts w:hint="eastAsia" w:ascii="宋体" w:hAnsi="宋体" w:eastAsia="宋体" w:cs="宋体"/>
          <w:b/>
          <w:color w:val="000000"/>
          <w:kern w:val="0"/>
          <w:sz w:val="28"/>
          <w:szCs w:val="28"/>
        </w:rPr>
        <w:t>1.</w:t>
      </w:r>
      <w:bookmarkEnd w:id="18"/>
      <w:r>
        <w:rPr>
          <w:rFonts w:hint="eastAsia" w:ascii="宋体" w:hAnsi="宋体" w:eastAsia="宋体" w:cs="宋体"/>
          <w:b/>
          <w:color w:val="000000"/>
          <w:kern w:val="0"/>
          <w:sz w:val="32"/>
          <w:szCs w:val="32"/>
        </w:rPr>
        <w:t>绩效评价的目的</w:t>
      </w:r>
    </w:p>
    <w:p w14:paraId="4F25616B">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pP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37D2BB59">
      <w:pPr>
        <w:pStyle w:val="4"/>
        <w:widowControl/>
        <w:autoSpaceDE w:val="0"/>
        <w:autoSpaceDN/>
        <w:spacing w:line="360" w:lineRule="auto"/>
        <w:rPr>
          <w:rFonts w:hint="eastAsia" w:ascii="宋体" w:hAnsi="宋体" w:eastAsia="宋体" w:cs="宋体"/>
          <w:b/>
          <w:color w:val="000000"/>
          <w:kern w:val="0"/>
          <w:sz w:val="28"/>
          <w:szCs w:val="28"/>
        </w:rPr>
      </w:pPr>
      <w:bookmarkStart w:id="19" w:name="_Toc30609"/>
      <w:r>
        <w:rPr>
          <w:rFonts w:hint="eastAsia" w:ascii="宋体" w:hAnsi="宋体" w:eastAsia="宋体" w:cs="宋体"/>
          <w:b/>
          <w:color w:val="000000"/>
          <w:kern w:val="0"/>
          <w:sz w:val="28"/>
          <w:szCs w:val="28"/>
        </w:rPr>
        <w:t>2.绩效评价的对象和范围</w:t>
      </w:r>
      <w:bookmarkEnd w:id="19"/>
    </w:p>
    <w:p w14:paraId="3C66B6F0">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此次我单位根据《财政支出绩效评价管理暂行办法》（财预〔2020〕10号）文件要求对2023年度我单位实施的</w:t>
      </w:r>
      <w:r>
        <w:rPr>
          <w:rFonts w:hint="eastAsia" w:ascii="宋体" w:hAnsi="宋体" w:eastAsia="宋体" w:cs="宋体"/>
          <w:kern w:val="2"/>
          <w:sz w:val="28"/>
          <w:szCs w:val="28"/>
          <w:lang w:val="en-US" w:eastAsia="zh-CN" w:bidi="ar"/>
        </w:rPr>
        <w:t>阜康市管网延伸工程项目（一期）</w:t>
      </w:r>
      <w:r>
        <w:rPr>
          <w:rFonts w:hint="eastAsia" w:ascii="宋体" w:hAnsi="宋体" w:eastAsia="宋体" w:cs="宋体"/>
          <w:color w:val="000000"/>
          <w:kern w:val="2"/>
          <w:sz w:val="28"/>
          <w:szCs w:val="28"/>
          <w:lang w:val="en-US" w:eastAsia="zh-CN" w:bidi="ar"/>
        </w:rPr>
        <w:t>开展部门绩效评价。</w:t>
      </w:r>
    </w:p>
    <w:p w14:paraId="03E52E89">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本次绩效评价主要围绕项目决策、项目管理、项目产出、项目效益四个维度，对该专项资金的预算编制、项目实施、监督管理、资金支出使用、绩效目标的实现情况以及受益对象的满意度等开展综合评价。</w:t>
      </w:r>
    </w:p>
    <w:p w14:paraId="1FB3D03D">
      <w:pPr>
        <w:pStyle w:val="3"/>
        <w:widowControl/>
        <w:numPr>
          <w:ilvl w:val="0"/>
          <w:numId w:val="1"/>
        </w:numPr>
        <w:autoSpaceDE w:val="0"/>
        <w:autoSpaceDN/>
        <w:spacing w:beforeLines="0" w:beforeAutospacing="0" w:afterLines="0" w:afterAutospacing="0" w:line="360" w:lineRule="auto"/>
        <w:ind w:left="0" w:leftChars="0" w:firstLine="643" w:firstLineChars="200"/>
        <w:jc w:val="both"/>
        <w:rPr>
          <w:rFonts w:hint="eastAsia" w:ascii="宋体" w:hAnsi="宋体" w:eastAsia="宋体" w:cs="宋体"/>
          <w:b/>
          <w:bCs w:val="0"/>
          <w:color w:val="000000"/>
          <w:kern w:val="2"/>
          <w:sz w:val="32"/>
          <w:szCs w:val="32"/>
        </w:rPr>
      </w:pPr>
      <w:bookmarkStart w:id="20" w:name="_Toc15902"/>
      <w:r>
        <w:rPr>
          <w:rFonts w:hint="eastAsia" w:ascii="宋体" w:hAnsi="宋体" w:eastAsia="宋体" w:cs="宋体"/>
          <w:b/>
          <w:bCs w:val="0"/>
          <w:color w:val="000000"/>
          <w:kern w:val="2"/>
          <w:sz w:val="32"/>
          <w:szCs w:val="32"/>
        </w:rPr>
        <w:t>绩效评价原则、评价指标体系（附表说明）、评价方法、评价标准</w:t>
      </w:r>
      <w:bookmarkEnd w:id="20"/>
    </w:p>
    <w:p w14:paraId="2608A8C6">
      <w:pPr>
        <w:pStyle w:val="4"/>
        <w:widowControl/>
        <w:autoSpaceDE w:val="0"/>
        <w:autoSpaceDN/>
        <w:spacing w:line="360" w:lineRule="auto"/>
        <w:rPr>
          <w:rFonts w:hint="eastAsia" w:ascii="宋体" w:hAnsi="宋体" w:eastAsia="宋体" w:cs="宋体"/>
          <w:b/>
          <w:color w:val="000000"/>
          <w:kern w:val="0"/>
          <w:sz w:val="28"/>
          <w:szCs w:val="28"/>
        </w:rPr>
      </w:pPr>
      <w:bookmarkStart w:id="21" w:name="_Toc24506"/>
      <w:r>
        <w:rPr>
          <w:rFonts w:hint="eastAsia" w:ascii="宋体" w:hAnsi="宋体" w:eastAsia="宋体" w:cs="宋体"/>
          <w:b/>
          <w:color w:val="000000"/>
          <w:kern w:val="0"/>
          <w:sz w:val="28"/>
          <w:szCs w:val="28"/>
        </w:rPr>
        <w:t>1.</w:t>
      </w:r>
      <w:bookmarkEnd w:id="21"/>
      <w:r>
        <w:rPr>
          <w:rFonts w:hint="eastAsia" w:ascii="宋体" w:hAnsi="宋体" w:eastAsia="宋体" w:cs="宋体"/>
          <w:b/>
          <w:color w:val="000000"/>
          <w:kern w:val="0"/>
          <w:sz w:val="28"/>
          <w:szCs w:val="28"/>
        </w:rPr>
        <w:t>绩效评价原则</w:t>
      </w:r>
    </w:p>
    <w:p w14:paraId="5E9E867B">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依据</w:t>
      </w:r>
      <w:r>
        <w:rPr>
          <w:rFonts w:hint="eastAsia" w:ascii="宋体" w:hAnsi="宋体" w:eastAsia="宋体" w:cs="宋体"/>
          <w:bCs/>
          <w:color w:val="000000"/>
          <w:kern w:val="2"/>
          <w:sz w:val="28"/>
          <w:szCs w:val="28"/>
          <w:lang w:val="en-US" w:eastAsia="zh-CN" w:bidi="ar"/>
        </w:rPr>
        <w:t>《财政支出绩效评价管理暂行办法》（财预〔2020〕10号）</w:t>
      </w:r>
      <w:r>
        <w:rPr>
          <w:rFonts w:hint="eastAsia" w:ascii="宋体" w:hAnsi="宋体" w:eastAsia="宋体" w:cs="宋体"/>
          <w:color w:val="000000"/>
          <w:kern w:val="2"/>
          <w:sz w:val="28"/>
          <w:szCs w:val="28"/>
          <w:lang w:val="en-US" w:eastAsia="zh-CN" w:bidi="ar"/>
        </w:rPr>
        <w:t>本次绩效评价秉承科学规范、公正公开、分级分类、绩效相关等原则，按照从投入、过程到产出效果和影响的绩效逻辑路径，结合</w:t>
      </w:r>
      <w:r>
        <w:rPr>
          <w:rFonts w:hint="eastAsia" w:ascii="宋体" w:hAnsi="宋体" w:eastAsia="宋体" w:cs="宋体"/>
          <w:kern w:val="2"/>
          <w:sz w:val="28"/>
          <w:szCs w:val="28"/>
          <w:lang w:val="en-US" w:eastAsia="zh-CN" w:bidi="ar"/>
        </w:rPr>
        <w:t>阜康市管网延伸工程项目（一期）</w:t>
      </w:r>
      <w:r>
        <w:rPr>
          <w:rFonts w:hint="eastAsia" w:ascii="宋体" w:hAnsi="宋体" w:eastAsia="宋体" w:cs="宋体"/>
          <w:color w:val="000000"/>
          <w:kern w:val="2"/>
          <w:sz w:val="28"/>
          <w:szCs w:val="28"/>
          <w:lang w:val="en-US" w:eastAsia="zh-CN" w:bidi="ar"/>
        </w:rPr>
        <w:t>实际开展情况，运用定量和定性分析相结合的方法，总结经验做法，反思项目实施和管理中的问题，以切实提升财政资金管理的科学化、规范化和精细化水平。</w:t>
      </w:r>
    </w:p>
    <w:p w14:paraId="1B1900D4">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根据以上原则，绩效评价应遵循如下要求：</w:t>
      </w:r>
    </w:p>
    <w:p w14:paraId="16D505FC">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（1）科学公正。绩效评价应当运用科学合理的方法，按照规范的程序，对项目绩效进行客观、公正的反映。</w:t>
      </w:r>
    </w:p>
    <w:p w14:paraId="18C4252C">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（2）统筹兼顾。单位自评、部门评价和财政评价应职责明确，各有侧重，相互衔接。单位自评应由项目单位自主实施，即“谁支出、谁自评”。</w:t>
      </w:r>
    </w:p>
    <w:p w14:paraId="44F6DABF">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（3）激励约束。绩效评价结果应与预算安排、政策调整、改进管理实质性挂钩，体现奖优罚劣和激励相容导向，有效要安排、低效要压减、无效要问责。</w:t>
      </w:r>
    </w:p>
    <w:p w14:paraId="6C9B0ACA">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（4）公开透明。绩效评价结果应依法依规公开，并自觉接受社会监督。</w:t>
      </w:r>
    </w:p>
    <w:p w14:paraId="49EF001D">
      <w:pPr>
        <w:pStyle w:val="4"/>
        <w:widowControl/>
        <w:autoSpaceDE w:val="0"/>
        <w:autoSpaceDN/>
        <w:spacing w:line="360" w:lineRule="auto"/>
        <w:rPr>
          <w:rFonts w:hint="eastAsia" w:ascii="宋体" w:hAnsi="宋体" w:eastAsia="宋体" w:cs="宋体"/>
          <w:b/>
          <w:color w:val="000000"/>
          <w:kern w:val="0"/>
          <w:sz w:val="28"/>
          <w:szCs w:val="28"/>
        </w:rPr>
      </w:pPr>
      <w:bookmarkStart w:id="22" w:name="_Toc26131"/>
      <w:bookmarkEnd w:id="22"/>
      <w:bookmarkStart w:id="23" w:name="_Toc1913"/>
      <w:bookmarkEnd w:id="23"/>
      <w:bookmarkStart w:id="24" w:name="_Toc428278230"/>
      <w:bookmarkEnd w:id="24"/>
      <w:bookmarkStart w:id="25" w:name="_Toc24396"/>
      <w:bookmarkStart w:id="26" w:name="_Toc419984722"/>
      <w:r>
        <w:rPr>
          <w:rFonts w:hint="eastAsia" w:ascii="宋体" w:hAnsi="宋体" w:eastAsia="宋体" w:cs="宋体"/>
          <w:b/>
          <w:color w:val="000000"/>
          <w:kern w:val="0"/>
          <w:sz w:val="28"/>
          <w:szCs w:val="28"/>
        </w:rPr>
        <w:t>2.</w:t>
      </w:r>
      <w:bookmarkEnd w:id="25"/>
      <w:bookmarkEnd w:id="26"/>
      <w:r>
        <w:rPr>
          <w:rFonts w:hint="eastAsia" w:ascii="宋体" w:hAnsi="宋体" w:eastAsia="宋体" w:cs="宋体"/>
          <w:b/>
          <w:color w:val="000000"/>
          <w:kern w:val="0"/>
          <w:sz w:val="28"/>
          <w:szCs w:val="28"/>
        </w:rPr>
        <w:t>绩效评价指标体系及绩效评价标准</w:t>
      </w:r>
    </w:p>
    <w:p w14:paraId="4BF7754A">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我单位根据项目的实施资料研读及前期调研，结合项目的实际开展情况，最终形成了项目绩效评价指标体系，指标体系结构如下</w:t>
      </w:r>
      <w:r>
        <w:rPr>
          <w:rFonts w:hint="eastAsia" w:ascii="宋体" w:hAnsi="宋体" w:eastAsia="宋体" w:cs="宋体"/>
          <w:b/>
          <w:color w:val="000000"/>
          <w:kern w:val="2"/>
          <w:sz w:val="28"/>
          <w:szCs w:val="28"/>
          <w:lang w:val="en-US" w:eastAsia="zh-CN" w:bidi="ar"/>
        </w:rPr>
        <w:t>（详见上传的附件）</w:t>
      </w:r>
      <w:r>
        <w:rPr>
          <w:rFonts w:hint="eastAsia" w:ascii="宋体" w:hAnsi="宋体" w:eastAsia="宋体" w:cs="宋体"/>
          <w:color w:val="000000"/>
          <w:kern w:val="2"/>
          <w:sz w:val="28"/>
          <w:szCs w:val="28"/>
          <w:lang w:val="en-US" w:eastAsia="zh-CN" w:bidi="ar"/>
        </w:rPr>
        <w:t>：</w:t>
      </w:r>
    </w:p>
    <w:p w14:paraId="1A517BC7">
      <w:pPr>
        <w:keepNext w:val="0"/>
        <w:keepLines w:val="0"/>
        <w:widowControl w:val="0"/>
        <w:suppressLineNumbers w:val="0"/>
        <w:spacing w:before="0" w:beforeAutospacing="0" w:after="0" w:afterAutospacing="0" w:line="360" w:lineRule="auto"/>
        <w:ind w:left="0" w:right="0" w:firstLine="562" w:firstLineChars="200"/>
        <w:jc w:val="center"/>
        <w:rPr>
          <w:rFonts w:hint="eastAsia" w:ascii="宋体" w:hAnsi="宋体" w:eastAsia="宋体" w:cs="宋体"/>
          <w:b/>
          <w:kern w:val="2"/>
          <w:sz w:val="28"/>
          <w:szCs w:val="28"/>
        </w:rPr>
      </w:pPr>
      <w:r>
        <w:rPr>
          <w:rFonts w:hint="eastAsia" w:ascii="宋体" w:hAnsi="宋体" w:eastAsia="宋体" w:cs="宋体"/>
          <w:b/>
          <w:kern w:val="2"/>
          <w:sz w:val="28"/>
          <w:szCs w:val="28"/>
          <w:lang w:val="en-US" w:eastAsia="zh-CN" w:bidi="ar"/>
        </w:rPr>
        <w:t>项目绩效评价指标体系</w:t>
      </w:r>
    </w:p>
    <w:tbl>
      <w:tblPr>
        <w:tblStyle w:val="8"/>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1204C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tcBorders>
              <w:tl2br w:val="nil"/>
              <w:tr2bl w:val="nil"/>
            </w:tcBorders>
            <w:shd w:val="clear" w:color="auto" w:fill="auto"/>
            <w:vAlign w:val="center"/>
          </w:tcPr>
          <w:p w14:paraId="08A3FB54">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一级指标</w:t>
            </w:r>
          </w:p>
        </w:tc>
        <w:tc>
          <w:tcPr>
            <w:tcW w:w="1196" w:type="dxa"/>
            <w:tcBorders>
              <w:tl2br w:val="nil"/>
              <w:tr2bl w:val="nil"/>
            </w:tcBorders>
            <w:shd w:val="clear" w:color="auto" w:fill="auto"/>
            <w:vAlign w:val="center"/>
          </w:tcPr>
          <w:p w14:paraId="4F33930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二级指标</w:t>
            </w:r>
          </w:p>
        </w:tc>
        <w:tc>
          <w:tcPr>
            <w:tcW w:w="1050" w:type="dxa"/>
            <w:tcBorders>
              <w:tl2br w:val="nil"/>
              <w:tr2bl w:val="nil"/>
            </w:tcBorders>
            <w:shd w:val="clear" w:color="auto" w:fill="auto"/>
            <w:vAlign w:val="center"/>
          </w:tcPr>
          <w:p w14:paraId="2DF3941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三级指标</w:t>
            </w:r>
          </w:p>
        </w:tc>
        <w:tc>
          <w:tcPr>
            <w:tcW w:w="1996" w:type="dxa"/>
            <w:tcBorders>
              <w:tl2br w:val="nil"/>
              <w:tr2bl w:val="nil"/>
            </w:tcBorders>
            <w:shd w:val="clear" w:color="auto" w:fill="auto"/>
            <w:vAlign w:val="center"/>
          </w:tcPr>
          <w:p w14:paraId="0CA2898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指标解释</w:t>
            </w:r>
          </w:p>
        </w:tc>
        <w:tc>
          <w:tcPr>
            <w:tcW w:w="3793" w:type="dxa"/>
            <w:tcBorders>
              <w:tl2br w:val="nil"/>
              <w:tr2bl w:val="nil"/>
            </w:tcBorders>
            <w:shd w:val="clear" w:color="auto" w:fill="auto"/>
            <w:vAlign w:val="center"/>
          </w:tcPr>
          <w:p w14:paraId="21EC385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指标说明</w:t>
            </w:r>
          </w:p>
        </w:tc>
      </w:tr>
      <w:tr w14:paraId="4FDF7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tcBorders>
              <w:tl2br w:val="nil"/>
              <w:tr2bl w:val="nil"/>
            </w:tcBorders>
            <w:shd w:val="clear" w:color="auto" w:fill="auto"/>
            <w:vAlign w:val="center"/>
          </w:tcPr>
          <w:p w14:paraId="26595AC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决策</w:t>
            </w:r>
          </w:p>
        </w:tc>
        <w:tc>
          <w:tcPr>
            <w:tcW w:w="1196" w:type="dxa"/>
            <w:vMerge w:val="restart"/>
            <w:tcBorders>
              <w:tl2br w:val="nil"/>
              <w:tr2bl w:val="nil"/>
            </w:tcBorders>
            <w:shd w:val="clear" w:color="auto" w:fill="auto"/>
            <w:vAlign w:val="center"/>
          </w:tcPr>
          <w:p w14:paraId="5D2E9BE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项目立项</w:t>
            </w:r>
          </w:p>
        </w:tc>
        <w:tc>
          <w:tcPr>
            <w:tcW w:w="1050" w:type="dxa"/>
            <w:tcBorders>
              <w:tl2br w:val="nil"/>
              <w:tr2bl w:val="nil"/>
            </w:tcBorders>
            <w:shd w:val="clear" w:color="auto" w:fill="auto"/>
            <w:vAlign w:val="center"/>
          </w:tcPr>
          <w:p w14:paraId="53C57EA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立项依据</w:t>
            </w:r>
          </w:p>
          <w:p w14:paraId="7F6385C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充分性</w:t>
            </w:r>
          </w:p>
        </w:tc>
        <w:tc>
          <w:tcPr>
            <w:tcW w:w="1996" w:type="dxa"/>
            <w:tcBorders>
              <w:tl2br w:val="nil"/>
              <w:tr2bl w:val="nil"/>
            </w:tcBorders>
            <w:shd w:val="clear" w:color="auto" w:fill="auto"/>
            <w:vAlign w:val="center"/>
          </w:tcPr>
          <w:p w14:paraId="1BA83E3A">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项目立项是否符合法律法规、相关政策、发展规划以及部门职责，用以反映和考核项目立项依据情况。</w:t>
            </w:r>
          </w:p>
        </w:tc>
        <w:tc>
          <w:tcPr>
            <w:tcW w:w="3793" w:type="dxa"/>
            <w:tcBorders>
              <w:tl2br w:val="nil"/>
              <w:tr2bl w:val="nil"/>
            </w:tcBorders>
            <w:shd w:val="clear" w:color="auto" w:fill="auto"/>
            <w:vAlign w:val="center"/>
          </w:tcPr>
          <w:p w14:paraId="26B3FBC8">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评价标准：</w:t>
            </w:r>
          </w:p>
          <w:p w14:paraId="4B878417">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①项目立项是否符合国家法律法规、国民经济发展规划和相关政策；</w:t>
            </w:r>
          </w:p>
          <w:p w14:paraId="78E06E4A">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②项目立项是否符合行业发展规划和政策要求；</w:t>
            </w:r>
          </w:p>
          <w:p w14:paraId="72303086">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③项目立项是否与部门职责范围相符，属于部门履职所需；</w:t>
            </w:r>
          </w:p>
          <w:p w14:paraId="4E5E2E84">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④项目是否属于公共财政支持范围，是否符合中央、地方事权支出责任划分原则；</w:t>
            </w:r>
          </w:p>
          <w:p w14:paraId="2F63EE04">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⑤项目是否与相关部门同类项目或部门内部相关项目重复。</w:t>
            </w:r>
          </w:p>
        </w:tc>
      </w:tr>
      <w:tr w14:paraId="5468B7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tcBorders>
              <w:tl2br w:val="nil"/>
              <w:tr2bl w:val="nil"/>
            </w:tcBorders>
            <w:shd w:val="clear" w:color="auto" w:fill="auto"/>
            <w:vAlign w:val="center"/>
          </w:tcPr>
          <w:p w14:paraId="65AE897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continue"/>
            <w:tcBorders>
              <w:tl2br w:val="nil"/>
              <w:tr2bl w:val="nil"/>
            </w:tcBorders>
            <w:shd w:val="clear" w:color="auto" w:fill="auto"/>
            <w:vAlign w:val="center"/>
          </w:tcPr>
          <w:p w14:paraId="4C57CD3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50" w:type="dxa"/>
            <w:tcBorders>
              <w:tl2br w:val="nil"/>
              <w:tr2bl w:val="nil"/>
            </w:tcBorders>
            <w:shd w:val="clear" w:color="auto" w:fill="auto"/>
            <w:vAlign w:val="center"/>
          </w:tcPr>
          <w:p w14:paraId="7DF26A8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立项程序</w:t>
            </w:r>
          </w:p>
          <w:p w14:paraId="7810804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规范性</w:t>
            </w:r>
          </w:p>
        </w:tc>
        <w:tc>
          <w:tcPr>
            <w:tcW w:w="1996" w:type="dxa"/>
            <w:tcBorders>
              <w:tl2br w:val="nil"/>
              <w:tr2bl w:val="nil"/>
            </w:tcBorders>
            <w:shd w:val="clear" w:color="auto" w:fill="auto"/>
            <w:vAlign w:val="center"/>
          </w:tcPr>
          <w:p w14:paraId="4C996A81">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项目申请、设立过程是否符合相关要求，用以反映和考核项目立项的规范情况。</w:t>
            </w:r>
          </w:p>
        </w:tc>
        <w:tc>
          <w:tcPr>
            <w:tcW w:w="3793" w:type="dxa"/>
            <w:tcBorders>
              <w:tl2br w:val="nil"/>
              <w:tr2bl w:val="nil"/>
            </w:tcBorders>
            <w:shd w:val="clear" w:color="auto" w:fill="auto"/>
            <w:vAlign w:val="center"/>
          </w:tcPr>
          <w:p w14:paraId="6FA3B4F7">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评价标准：</w:t>
            </w:r>
          </w:p>
          <w:p w14:paraId="38129A41">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①项目是否按照规定的程序申请设立；</w:t>
            </w:r>
          </w:p>
          <w:p w14:paraId="43384299">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②审批文件、材料是否符合相关要求；</w:t>
            </w:r>
          </w:p>
          <w:p w14:paraId="6BF1CE78">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③事前是否已经过必要的可行性研究、专家论证、风险评估、绩效评估、集体决策。</w:t>
            </w:r>
          </w:p>
        </w:tc>
      </w:tr>
      <w:tr w14:paraId="3DD08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tcBorders>
              <w:tl2br w:val="nil"/>
              <w:tr2bl w:val="nil"/>
            </w:tcBorders>
            <w:shd w:val="clear" w:color="auto" w:fill="auto"/>
            <w:vAlign w:val="center"/>
          </w:tcPr>
          <w:p w14:paraId="29943AA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restart"/>
            <w:tcBorders>
              <w:tl2br w:val="nil"/>
              <w:tr2bl w:val="nil"/>
            </w:tcBorders>
            <w:shd w:val="clear" w:color="auto" w:fill="auto"/>
            <w:vAlign w:val="center"/>
          </w:tcPr>
          <w:p w14:paraId="4997076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绩效目标</w:t>
            </w:r>
          </w:p>
        </w:tc>
        <w:tc>
          <w:tcPr>
            <w:tcW w:w="1050" w:type="dxa"/>
            <w:tcBorders>
              <w:tl2br w:val="nil"/>
              <w:tr2bl w:val="nil"/>
            </w:tcBorders>
            <w:shd w:val="clear" w:color="auto" w:fill="auto"/>
            <w:vAlign w:val="center"/>
          </w:tcPr>
          <w:p w14:paraId="5F10131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绩效目标</w:t>
            </w:r>
          </w:p>
          <w:p w14:paraId="532BD324">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合理性</w:t>
            </w:r>
          </w:p>
        </w:tc>
        <w:tc>
          <w:tcPr>
            <w:tcW w:w="1996" w:type="dxa"/>
            <w:tcBorders>
              <w:tl2br w:val="nil"/>
              <w:tr2bl w:val="nil"/>
            </w:tcBorders>
            <w:shd w:val="clear" w:color="auto" w:fill="auto"/>
            <w:vAlign w:val="center"/>
          </w:tcPr>
          <w:p w14:paraId="3E8F3379">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项目所设定的绩效目标是否依据充分，是否符合客观实际，用以反映和考核项目绩效目标与项目实施的相符情况。</w:t>
            </w:r>
          </w:p>
        </w:tc>
        <w:tc>
          <w:tcPr>
            <w:tcW w:w="3793" w:type="dxa"/>
            <w:tcBorders>
              <w:tl2br w:val="nil"/>
              <w:tr2bl w:val="nil"/>
            </w:tcBorders>
            <w:shd w:val="clear" w:color="auto" w:fill="auto"/>
            <w:vAlign w:val="center"/>
          </w:tcPr>
          <w:p w14:paraId="0977AE3D">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评价标准：</w:t>
            </w:r>
          </w:p>
          <w:p w14:paraId="0F312364">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（如未设定预算绩效目标，也可考核其他工作任务目标）</w:t>
            </w:r>
          </w:p>
          <w:p w14:paraId="6ECDBBAA">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①项目是否有绩效目标；</w:t>
            </w:r>
          </w:p>
          <w:p w14:paraId="1BF42B86">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②项目绩效目标与实际工作内容是否具有相关性；</w:t>
            </w:r>
          </w:p>
          <w:p w14:paraId="58ABFDC9">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③项目预期产出效益和效果是否符合正常的业绩水平；</w:t>
            </w:r>
          </w:p>
          <w:p w14:paraId="70FD8E8E">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④是否与预算确定的项目投资额或资金量相匹配。</w:t>
            </w:r>
          </w:p>
        </w:tc>
      </w:tr>
      <w:tr w14:paraId="13A008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tcBorders>
              <w:tl2br w:val="nil"/>
              <w:tr2bl w:val="nil"/>
            </w:tcBorders>
            <w:shd w:val="clear" w:color="auto" w:fill="auto"/>
            <w:vAlign w:val="center"/>
          </w:tcPr>
          <w:p w14:paraId="77FD950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continue"/>
            <w:tcBorders>
              <w:tl2br w:val="nil"/>
              <w:tr2bl w:val="nil"/>
            </w:tcBorders>
            <w:shd w:val="clear" w:color="auto" w:fill="auto"/>
            <w:vAlign w:val="center"/>
          </w:tcPr>
          <w:p w14:paraId="2884852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50" w:type="dxa"/>
            <w:tcBorders>
              <w:tl2br w:val="nil"/>
              <w:tr2bl w:val="nil"/>
            </w:tcBorders>
            <w:shd w:val="clear" w:color="auto" w:fill="auto"/>
            <w:vAlign w:val="center"/>
          </w:tcPr>
          <w:p w14:paraId="2F36786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绩效指标</w:t>
            </w:r>
          </w:p>
          <w:p w14:paraId="4491F00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明确性</w:t>
            </w:r>
          </w:p>
        </w:tc>
        <w:tc>
          <w:tcPr>
            <w:tcW w:w="1996" w:type="dxa"/>
            <w:tcBorders>
              <w:tl2br w:val="nil"/>
              <w:tr2bl w:val="nil"/>
            </w:tcBorders>
            <w:shd w:val="clear" w:color="auto" w:fill="auto"/>
            <w:vAlign w:val="center"/>
          </w:tcPr>
          <w:p w14:paraId="2CFD06E4">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依据绩效目标设定的绩效指标是否清晰、细化、可衡量等，用以反映和考核项目绩效目标的明细化情况。</w:t>
            </w:r>
          </w:p>
        </w:tc>
        <w:tc>
          <w:tcPr>
            <w:tcW w:w="3793" w:type="dxa"/>
            <w:tcBorders>
              <w:tl2br w:val="nil"/>
              <w:tr2bl w:val="nil"/>
            </w:tcBorders>
            <w:shd w:val="clear" w:color="auto" w:fill="auto"/>
            <w:vAlign w:val="center"/>
          </w:tcPr>
          <w:p w14:paraId="7EC9D822">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评价标准：</w:t>
            </w:r>
          </w:p>
          <w:p w14:paraId="0F97D07F">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①是否将项目绩效目标细化分解为具体的绩效指标；</w:t>
            </w:r>
          </w:p>
          <w:p w14:paraId="0B0A61BC">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②是否通过清晰、可衡量的指标值予以体现；</w:t>
            </w:r>
          </w:p>
          <w:p w14:paraId="77FFB430">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③是否与项目目标任务数或计划数相对应。</w:t>
            </w:r>
          </w:p>
        </w:tc>
      </w:tr>
      <w:tr w14:paraId="213BC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tcBorders>
              <w:tl2br w:val="nil"/>
              <w:tr2bl w:val="nil"/>
            </w:tcBorders>
            <w:shd w:val="clear" w:color="auto" w:fill="auto"/>
            <w:vAlign w:val="center"/>
          </w:tcPr>
          <w:p w14:paraId="674ECFF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restart"/>
            <w:tcBorders>
              <w:tl2br w:val="nil"/>
              <w:tr2bl w:val="nil"/>
            </w:tcBorders>
            <w:shd w:val="clear" w:color="auto" w:fill="auto"/>
            <w:vAlign w:val="center"/>
          </w:tcPr>
          <w:p w14:paraId="560D5E0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资金投入</w:t>
            </w:r>
          </w:p>
        </w:tc>
        <w:tc>
          <w:tcPr>
            <w:tcW w:w="1050" w:type="dxa"/>
            <w:tcBorders>
              <w:tl2br w:val="nil"/>
              <w:tr2bl w:val="nil"/>
            </w:tcBorders>
            <w:shd w:val="clear" w:color="auto" w:fill="auto"/>
            <w:vAlign w:val="center"/>
          </w:tcPr>
          <w:p w14:paraId="6791925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预算编制</w:t>
            </w:r>
          </w:p>
          <w:p w14:paraId="0852DB9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科学性</w:t>
            </w:r>
          </w:p>
        </w:tc>
        <w:tc>
          <w:tcPr>
            <w:tcW w:w="1996" w:type="dxa"/>
            <w:tcBorders>
              <w:tl2br w:val="nil"/>
              <w:tr2bl w:val="nil"/>
            </w:tcBorders>
            <w:shd w:val="clear" w:color="auto" w:fill="auto"/>
            <w:vAlign w:val="center"/>
          </w:tcPr>
          <w:p w14:paraId="2B561057">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项目预算编制是否经过科学论证、有明确标准，资金额度与年度目标是否相适应，用以反映和考核项目预算编制的科学性、合理性情况。</w:t>
            </w:r>
          </w:p>
        </w:tc>
        <w:tc>
          <w:tcPr>
            <w:tcW w:w="3793" w:type="dxa"/>
            <w:tcBorders>
              <w:tl2br w:val="nil"/>
              <w:tr2bl w:val="nil"/>
            </w:tcBorders>
            <w:shd w:val="clear" w:color="auto" w:fill="auto"/>
            <w:vAlign w:val="center"/>
          </w:tcPr>
          <w:p w14:paraId="7B0FA7B4">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评价标准：</w:t>
            </w:r>
          </w:p>
          <w:p w14:paraId="6CBF19B5">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①预算编制是否经过科学论证；</w:t>
            </w:r>
          </w:p>
          <w:p w14:paraId="6F5751F0">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②预算内容与项目内容是否匹配；</w:t>
            </w:r>
          </w:p>
          <w:p w14:paraId="06C5AB22">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③预算额度测算依据是否充分，是否按照标准编制；</w:t>
            </w:r>
          </w:p>
          <w:p w14:paraId="16AAFAEC">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④预算确定的项目投资额或资金量是否与工作任务相匹配。</w:t>
            </w:r>
          </w:p>
        </w:tc>
      </w:tr>
      <w:tr w14:paraId="38C50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tcBorders>
              <w:tl2br w:val="nil"/>
              <w:tr2bl w:val="nil"/>
            </w:tcBorders>
            <w:shd w:val="clear" w:color="auto" w:fill="auto"/>
            <w:vAlign w:val="center"/>
          </w:tcPr>
          <w:p w14:paraId="632AF47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continue"/>
            <w:tcBorders>
              <w:tl2br w:val="nil"/>
              <w:tr2bl w:val="nil"/>
            </w:tcBorders>
            <w:shd w:val="clear" w:color="auto" w:fill="auto"/>
            <w:vAlign w:val="center"/>
          </w:tcPr>
          <w:p w14:paraId="77B8430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50" w:type="dxa"/>
            <w:tcBorders>
              <w:tl2br w:val="nil"/>
              <w:tr2bl w:val="nil"/>
            </w:tcBorders>
            <w:shd w:val="clear" w:color="auto" w:fill="auto"/>
            <w:vAlign w:val="center"/>
          </w:tcPr>
          <w:p w14:paraId="52470DF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资金分配</w:t>
            </w:r>
          </w:p>
          <w:p w14:paraId="1FB45C6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合理性</w:t>
            </w:r>
          </w:p>
        </w:tc>
        <w:tc>
          <w:tcPr>
            <w:tcW w:w="1996" w:type="dxa"/>
            <w:tcBorders>
              <w:tl2br w:val="nil"/>
              <w:tr2bl w:val="nil"/>
            </w:tcBorders>
            <w:shd w:val="clear" w:color="auto" w:fill="auto"/>
            <w:vAlign w:val="center"/>
          </w:tcPr>
          <w:p w14:paraId="4FB1D26C">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项目预算资金分配是否有测算依据，与补助单位或地方实际是否相适应，用以反映和考核项目预算资金分配的科学性、合理性情况。</w:t>
            </w:r>
          </w:p>
        </w:tc>
        <w:tc>
          <w:tcPr>
            <w:tcW w:w="3793" w:type="dxa"/>
            <w:tcBorders>
              <w:tl2br w:val="nil"/>
              <w:tr2bl w:val="nil"/>
            </w:tcBorders>
            <w:shd w:val="clear" w:color="auto" w:fill="auto"/>
            <w:vAlign w:val="center"/>
          </w:tcPr>
          <w:p w14:paraId="730866A2">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评价标准：</w:t>
            </w:r>
          </w:p>
          <w:p w14:paraId="04A5516A">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①预算资金分配依据是否充分；</w:t>
            </w:r>
          </w:p>
          <w:p w14:paraId="5AC70304">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②资金分配额度是否合理，与项目单位或地方实际是否相适应。</w:t>
            </w:r>
          </w:p>
        </w:tc>
      </w:tr>
      <w:tr w14:paraId="3E947A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tcBorders>
              <w:tl2br w:val="nil"/>
              <w:tr2bl w:val="nil"/>
            </w:tcBorders>
            <w:shd w:val="clear" w:color="auto" w:fill="auto"/>
            <w:vAlign w:val="center"/>
          </w:tcPr>
          <w:p w14:paraId="77C83581">
            <w:pPr>
              <w:keepNext w:val="0"/>
              <w:keepLines w:val="0"/>
              <w:widowControl w:val="0"/>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过程</w:t>
            </w:r>
          </w:p>
        </w:tc>
        <w:tc>
          <w:tcPr>
            <w:tcW w:w="1196" w:type="dxa"/>
            <w:vMerge w:val="restart"/>
            <w:tcBorders>
              <w:tl2br w:val="nil"/>
              <w:tr2bl w:val="nil"/>
            </w:tcBorders>
            <w:shd w:val="clear" w:color="auto" w:fill="auto"/>
            <w:vAlign w:val="center"/>
          </w:tcPr>
          <w:p w14:paraId="08CCF99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资金管理</w:t>
            </w:r>
          </w:p>
        </w:tc>
        <w:tc>
          <w:tcPr>
            <w:tcW w:w="1050" w:type="dxa"/>
            <w:tcBorders>
              <w:tl2br w:val="nil"/>
              <w:tr2bl w:val="nil"/>
            </w:tcBorders>
            <w:shd w:val="clear" w:color="auto" w:fill="auto"/>
            <w:vAlign w:val="center"/>
          </w:tcPr>
          <w:p w14:paraId="78730DE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资金到位率</w:t>
            </w:r>
          </w:p>
        </w:tc>
        <w:tc>
          <w:tcPr>
            <w:tcW w:w="1996" w:type="dxa"/>
            <w:tcBorders>
              <w:tl2br w:val="nil"/>
              <w:tr2bl w:val="nil"/>
            </w:tcBorders>
            <w:shd w:val="clear" w:color="auto" w:fill="auto"/>
            <w:vAlign w:val="center"/>
          </w:tcPr>
          <w:p w14:paraId="724DD711">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实际到位资金与预算资金的比率，用以反映和考核资金落实情况对项目实施的总体保障程度。</w:t>
            </w:r>
          </w:p>
        </w:tc>
        <w:tc>
          <w:tcPr>
            <w:tcW w:w="3793" w:type="dxa"/>
            <w:tcBorders>
              <w:tl2br w:val="nil"/>
              <w:tr2bl w:val="nil"/>
            </w:tcBorders>
            <w:shd w:val="clear" w:color="auto" w:fill="auto"/>
            <w:vAlign w:val="center"/>
          </w:tcPr>
          <w:p w14:paraId="376A72CD">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资金到位率=（实际到位资金/预算资金）×100%。</w:t>
            </w:r>
          </w:p>
          <w:p w14:paraId="7718381C">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实际到位资金：一定时期（本年度或项目期）内落实到具体项目的资金。</w:t>
            </w:r>
          </w:p>
          <w:p w14:paraId="495D6A5C">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预算资金：一定时期（本年度或项目期）内预算安排到具体项目的资金。</w:t>
            </w:r>
          </w:p>
        </w:tc>
      </w:tr>
      <w:tr w14:paraId="2001E3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tcBorders>
              <w:tl2br w:val="nil"/>
              <w:tr2bl w:val="nil"/>
            </w:tcBorders>
            <w:shd w:val="clear" w:color="auto" w:fill="auto"/>
            <w:vAlign w:val="center"/>
          </w:tcPr>
          <w:p w14:paraId="7857BE6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continue"/>
            <w:tcBorders>
              <w:tl2br w:val="nil"/>
              <w:tr2bl w:val="nil"/>
            </w:tcBorders>
            <w:shd w:val="clear" w:color="auto" w:fill="auto"/>
            <w:vAlign w:val="center"/>
          </w:tcPr>
          <w:p w14:paraId="072820B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50" w:type="dxa"/>
            <w:tcBorders>
              <w:tl2br w:val="nil"/>
              <w:tr2bl w:val="nil"/>
            </w:tcBorders>
            <w:shd w:val="clear" w:color="auto" w:fill="auto"/>
            <w:vAlign w:val="center"/>
          </w:tcPr>
          <w:p w14:paraId="67D27B7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预算执行率</w:t>
            </w:r>
          </w:p>
        </w:tc>
        <w:tc>
          <w:tcPr>
            <w:tcW w:w="1996" w:type="dxa"/>
            <w:tcBorders>
              <w:tl2br w:val="nil"/>
              <w:tr2bl w:val="nil"/>
            </w:tcBorders>
            <w:shd w:val="clear" w:color="auto" w:fill="auto"/>
            <w:vAlign w:val="center"/>
          </w:tcPr>
          <w:p w14:paraId="7386AB6B">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项目预算资金是否按照计划执行，用以反映或考核项目预算执行情况。</w:t>
            </w:r>
          </w:p>
        </w:tc>
        <w:tc>
          <w:tcPr>
            <w:tcW w:w="3793" w:type="dxa"/>
            <w:tcBorders>
              <w:tl2br w:val="nil"/>
              <w:tr2bl w:val="nil"/>
            </w:tcBorders>
            <w:shd w:val="clear" w:color="auto" w:fill="auto"/>
            <w:vAlign w:val="center"/>
          </w:tcPr>
          <w:p w14:paraId="2F183D38">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预算执行率=（实际支出资金/实际到位资金）×100%。</w:t>
            </w:r>
          </w:p>
          <w:p w14:paraId="06AC005B">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实际支出资金：一定时期（本年度或项目期）内项目实际拨付的资金。</w:t>
            </w:r>
          </w:p>
        </w:tc>
      </w:tr>
      <w:tr w14:paraId="2E37FB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tcBorders>
              <w:tl2br w:val="nil"/>
              <w:tr2bl w:val="nil"/>
            </w:tcBorders>
            <w:shd w:val="clear" w:color="auto" w:fill="auto"/>
            <w:vAlign w:val="center"/>
          </w:tcPr>
          <w:p w14:paraId="2157F2C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continue"/>
            <w:tcBorders>
              <w:tl2br w:val="nil"/>
              <w:tr2bl w:val="nil"/>
            </w:tcBorders>
            <w:shd w:val="clear" w:color="auto" w:fill="auto"/>
            <w:vAlign w:val="center"/>
          </w:tcPr>
          <w:p w14:paraId="58E1EB2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50" w:type="dxa"/>
            <w:tcBorders>
              <w:tl2br w:val="nil"/>
              <w:tr2bl w:val="nil"/>
            </w:tcBorders>
            <w:shd w:val="clear" w:color="auto" w:fill="auto"/>
            <w:vAlign w:val="center"/>
          </w:tcPr>
          <w:p w14:paraId="0F21D1B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资金使用</w:t>
            </w:r>
          </w:p>
          <w:p w14:paraId="6969C42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合规性</w:t>
            </w:r>
          </w:p>
        </w:tc>
        <w:tc>
          <w:tcPr>
            <w:tcW w:w="1996" w:type="dxa"/>
            <w:tcBorders>
              <w:tl2br w:val="nil"/>
              <w:tr2bl w:val="nil"/>
            </w:tcBorders>
            <w:shd w:val="clear" w:color="auto" w:fill="auto"/>
            <w:vAlign w:val="center"/>
          </w:tcPr>
          <w:p w14:paraId="0C92AB1D">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项目资金使用是否符合相关的财务管理制度规定，用以反映和考核项目资金的规范运行情况。</w:t>
            </w:r>
          </w:p>
        </w:tc>
        <w:tc>
          <w:tcPr>
            <w:tcW w:w="3793" w:type="dxa"/>
            <w:tcBorders>
              <w:tl2br w:val="nil"/>
              <w:tr2bl w:val="nil"/>
            </w:tcBorders>
            <w:shd w:val="clear" w:color="auto" w:fill="auto"/>
            <w:vAlign w:val="center"/>
          </w:tcPr>
          <w:p w14:paraId="73E6D447">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评价标准：</w:t>
            </w:r>
          </w:p>
          <w:p w14:paraId="7021ECDD">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①是否符合国家财经法规和财务管理制度以及有关专项资金管理办法的规定；</w:t>
            </w:r>
          </w:p>
          <w:p w14:paraId="101DD344">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②资金的拨付是否有完整的审批程序和手续；</w:t>
            </w:r>
          </w:p>
          <w:p w14:paraId="7D822677">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③是否符合项目预算批复或合同规定的用途；</w:t>
            </w:r>
          </w:p>
          <w:p w14:paraId="03ADFE71">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④是否存在截留、挤占、挪用、虚列支出等情况。</w:t>
            </w:r>
          </w:p>
        </w:tc>
      </w:tr>
      <w:tr w14:paraId="185DE6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tcBorders>
              <w:tl2br w:val="nil"/>
              <w:tr2bl w:val="nil"/>
            </w:tcBorders>
            <w:shd w:val="clear" w:color="auto" w:fill="auto"/>
            <w:vAlign w:val="center"/>
          </w:tcPr>
          <w:p w14:paraId="126FE89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restart"/>
            <w:tcBorders>
              <w:tl2br w:val="nil"/>
              <w:tr2bl w:val="nil"/>
            </w:tcBorders>
            <w:shd w:val="clear" w:color="auto" w:fill="auto"/>
            <w:vAlign w:val="center"/>
          </w:tcPr>
          <w:p w14:paraId="1E84BDC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组织实施</w:t>
            </w:r>
          </w:p>
        </w:tc>
        <w:tc>
          <w:tcPr>
            <w:tcW w:w="1050" w:type="dxa"/>
            <w:tcBorders>
              <w:tl2br w:val="nil"/>
              <w:tr2bl w:val="nil"/>
            </w:tcBorders>
            <w:shd w:val="clear" w:color="auto" w:fill="auto"/>
            <w:vAlign w:val="center"/>
          </w:tcPr>
          <w:p w14:paraId="173A1D2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管理制度</w:t>
            </w:r>
          </w:p>
          <w:p w14:paraId="646245F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健全性</w:t>
            </w:r>
          </w:p>
        </w:tc>
        <w:tc>
          <w:tcPr>
            <w:tcW w:w="1996" w:type="dxa"/>
            <w:tcBorders>
              <w:tl2br w:val="nil"/>
              <w:tr2bl w:val="nil"/>
            </w:tcBorders>
            <w:shd w:val="clear" w:color="auto" w:fill="auto"/>
            <w:vAlign w:val="center"/>
          </w:tcPr>
          <w:p w14:paraId="49538E59">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项目实施单位的财务和业务管理制度是否健全，用以反映和考核财务和业务管理制度对项目顺利实施的保障情况。</w:t>
            </w:r>
          </w:p>
        </w:tc>
        <w:tc>
          <w:tcPr>
            <w:tcW w:w="3793" w:type="dxa"/>
            <w:tcBorders>
              <w:tl2br w:val="nil"/>
              <w:tr2bl w:val="nil"/>
            </w:tcBorders>
            <w:shd w:val="clear" w:color="auto" w:fill="auto"/>
            <w:vAlign w:val="center"/>
          </w:tcPr>
          <w:p w14:paraId="40E9B324">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评价标准：</w:t>
            </w:r>
          </w:p>
          <w:p w14:paraId="09823F4F">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①是否已制定或具有相应的财务和业务管理制度；</w:t>
            </w:r>
          </w:p>
          <w:p w14:paraId="602B02D9">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②财务和业务管理制度是否合法、合规、完整。</w:t>
            </w:r>
          </w:p>
        </w:tc>
      </w:tr>
      <w:tr w14:paraId="518AC2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tcBorders>
              <w:tl2br w:val="nil"/>
              <w:tr2bl w:val="nil"/>
            </w:tcBorders>
            <w:shd w:val="clear" w:color="auto" w:fill="auto"/>
            <w:vAlign w:val="center"/>
          </w:tcPr>
          <w:p w14:paraId="33A68EA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continue"/>
            <w:tcBorders>
              <w:tl2br w:val="nil"/>
              <w:tr2bl w:val="nil"/>
            </w:tcBorders>
            <w:shd w:val="clear" w:color="auto" w:fill="auto"/>
            <w:vAlign w:val="center"/>
          </w:tcPr>
          <w:p w14:paraId="21308DC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50" w:type="dxa"/>
            <w:tcBorders>
              <w:tl2br w:val="nil"/>
              <w:tr2bl w:val="nil"/>
            </w:tcBorders>
            <w:shd w:val="clear" w:color="auto" w:fill="auto"/>
            <w:vAlign w:val="center"/>
          </w:tcPr>
          <w:p w14:paraId="7F955FA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制度执行</w:t>
            </w:r>
          </w:p>
          <w:p w14:paraId="7125970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有效性</w:t>
            </w:r>
          </w:p>
        </w:tc>
        <w:tc>
          <w:tcPr>
            <w:tcW w:w="1996" w:type="dxa"/>
            <w:tcBorders>
              <w:tl2br w:val="nil"/>
              <w:tr2bl w:val="nil"/>
            </w:tcBorders>
            <w:shd w:val="clear" w:color="auto" w:fill="auto"/>
            <w:vAlign w:val="center"/>
          </w:tcPr>
          <w:p w14:paraId="0B3FD07D">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项目实施是否符合相关管理规定，用以反映和考核相关管理制度的有效执行情况。</w:t>
            </w:r>
          </w:p>
        </w:tc>
        <w:tc>
          <w:tcPr>
            <w:tcW w:w="3793" w:type="dxa"/>
            <w:tcBorders>
              <w:tl2br w:val="nil"/>
              <w:tr2bl w:val="nil"/>
            </w:tcBorders>
            <w:shd w:val="clear" w:color="auto" w:fill="auto"/>
            <w:vAlign w:val="center"/>
          </w:tcPr>
          <w:p w14:paraId="46DAED20">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评价标准：</w:t>
            </w:r>
          </w:p>
          <w:p w14:paraId="122CF30D">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①是否遵守相关法律法规和相关管理规定；</w:t>
            </w:r>
          </w:p>
          <w:p w14:paraId="3F0F4C26">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②项目调整及支出调整手续是否完备；</w:t>
            </w:r>
          </w:p>
          <w:p w14:paraId="26FE359E">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③项目合同书、验收报告、技术鉴定等资料是否齐全并及时归档；</w:t>
            </w:r>
          </w:p>
          <w:p w14:paraId="52F5D460">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④项目实施的人员条件、场地设备、信息支撑等是否落实到位。</w:t>
            </w:r>
          </w:p>
        </w:tc>
      </w:tr>
      <w:tr w14:paraId="0BD031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tcBorders>
              <w:tl2br w:val="nil"/>
              <w:tr2bl w:val="nil"/>
            </w:tcBorders>
            <w:shd w:val="clear" w:color="auto" w:fill="auto"/>
            <w:vAlign w:val="center"/>
          </w:tcPr>
          <w:p w14:paraId="75EA63B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产出</w:t>
            </w:r>
          </w:p>
        </w:tc>
        <w:tc>
          <w:tcPr>
            <w:tcW w:w="1196" w:type="dxa"/>
            <w:tcBorders>
              <w:tl2br w:val="nil"/>
              <w:tr2bl w:val="nil"/>
            </w:tcBorders>
            <w:shd w:val="clear" w:color="auto" w:fill="auto"/>
            <w:vAlign w:val="center"/>
          </w:tcPr>
          <w:p w14:paraId="6624414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产出数量</w:t>
            </w:r>
          </w:p>
        </w:tc>
        <w:tc>
          <w:tcPr>
            <w:tcW w:w="1050" w:type="dxa"/>
            <w:tcBorders>
              <w:tl2br w:val="nil"/>
              <w:tr2bl w:val="nil"/>
            </w:tcBorders>
            <w:shd w:val="clear" w:color="auto" w:fill="auto"/>
            <w:vAlign w:val="center"/>
          </w:tcPr>
          <w:p w14:paraId="7737A62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实际完成率</w:t>
            </w:r>
          </w:p>
        </w:tc>
        <w:tc>
          <w:tcPr>
            <w:tcW w:w="1996" w:type="dxa"/>
            <w:tcBorders>
              <w:tl2br w:val="nil"/>
              <w:tr2bl w:val="nil"/>
            </w:tcBorders>
            <w:shd w:val="clear" w:color="auto" w:fill="auto"/>
            <w:vAlign w:val="center"/>
          </w:tcPr>
          <w:p w14:paraId="1CF79053">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项目实施的实际产出数与计划产出数的比率，用以反映和考核项目产出数量目标的实现程度。</w:t>
            </w:r>
          </w:p>
        </w:tc>
        <w:tc>
          <w:tcPr>
            <w:tcW w:w="3793" w:type="dxa"/>
            <w:tcBorders>
              <w:tl2br w:val="nil"/>
              <w:tr2bl w:val="nil"/>
            </w:tcBorders>
            <w:shd w:val="clear" w:color="auto" w:fill="auto"/>
            <w:vAlign w:val="center"/>
          </w:tcPr>
          <w:p w14:paraId="3BCDC02B">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实际完成率=（实际产出数/计划产出数）×100%。</w:t>
            </w:r>
          </w:p>
          <w:p w14:paraId="51FF0A23">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实际产出数：一定时期（本年度或项目期）内项目实际产出的产品或提供的服务数量。</w:t>
            </w:r>
          </w:p>
          <w:p w14:paraId="0139A053">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计划产出数：项目绩效目标确定的在一定时期（本年度或项目期）内计划产出的产品或提供的服务数量。</w:t>
            </w:r>
          </w:p>
        </w:tc>
      </w:tr>
      <w:tr w14:paraId="0F45A5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tcBorders>
              <w:tl2br w:val="nil"/>
              <w:tr2bl w:val="nil"/>
            </w:tcBorders>
            <w:shd w:val="clear" w:color="auto" w:fill="auto"/>
            <w:vAlign w:val="center"/>
          </w:tcPr>
          <w:p w14:paraId="34978A6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tcBorders>
              <w:tl2br w:val="nil"/>
              <w:tr2bl w:val="nil"/>
            </w:tcBorders>
            <w:shd w:val="clear" w:color="auto" w:fill="auto"/>
            <w:vAlign w:val="center"/>
          </w:tcPr>
          <w:p w14:paraId="6E8FF5B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产出质量</w:t>
            </w:r>
          </w:p>
        </w:tc>
        <w:tc>
          <w:tcPr>
            <w:tcW w:w="1050" w:type="dxa"/>
            <w:tcBorders>
              <w:tl2br w:val="nil"/>
              <w:tr2bl w:val="nil"/>
            </w:tcBorders>
            <w:shd w:val="clear" w:color="auto" w:fill="auto"/>
            <w:vAlign w:val="center"/>
          </w:tcPr>
          <w:p w14:paraId="2606825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质量达标率</w:t>
            </w:r>
          </w:p>
        </w:tc>
        <w:tc>
          <w:tcPr>
            <w:tcW w:w="1996" w:type="dxa"/>
            <w:tcBorders>
              <w:tl2br w:val="nil"/>
              <w:tr2bl w:val="nil"/>
            </w:tcBorders>
            <w:shd w:val="clear" w:color="auto" w:fill="auto"/>
            <w:vAlign w:val="center"/>
          </w:tcPr>
          <w:p w14:paraId="137E4AD2">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项目完成的质量达标产出数与实际产出数的比率，用以反映和考核项目产出质量目标的实现程度。</w:t>
            </w:r>
          </w:p>
        </w:tc>
        <w:tc>
          <w:tcPr>
            <w:tcW w:w="3793" w:type="dxa"/>
            <w:tcBorders>
              <w:tl2br w:val="nil"/>
              <w:tr2bl w:val="nil"/>
            </w:tcBorders>
            <w:shd w:val="clear" w:color="auto" w:fill="auto"/>
            <w:vAlign w:val="center"/>
          </w:tcPr>
          <w:p w14:paraId="253AFFDB">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质量达标率=（质量达标产出数/实际产出数）×100%。</w:t>
            </w:r>
          </w:p>
          <w:p w14:paraId="009B1DFF">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847BD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tcBorders>
              <w:tl2br w:val="nil"/>
              <w:tr2bl w:val="nil"/>
            </w:tcBorders>
            <w:shd w:val="clear" w:color="auto" w:fill="auto"/>
            <w:vAlign w:val="center"/>
          </w:tcPr>
          <w:p w14:paraId="7EE3B89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tcBorders>
              <w:tl2br w:val="nil"/>
              <w:tr2bl w:val="nil"/>
            </w:tcBorders>
            <w:shd w:val="clear" w:color="auto" w:fill="auto"/>
            <w:vAlign w:val="center"/>
          </w:tcPr>
          <w:p w14:paraId="04759F1A">
            <w:pPr>
              <w:keepNext w:val="0"/>
              <w:keepLines w:val="0"/>
              <w:widowControl w:val="0"/>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产出时效</w:t>
            </w:r>
          </w:p>
        </w:tc>
        <w:tc>
          <w:tcPr>
            <w:tcW w:w="1050" w:type="dxa"/>
            <w:tcBorders>
              <w:tl2br w:val="nil"/>
              <w:tr2bl w:val="nil"/>
            </w:tcBorders>
            <w:shd w:val="clear" w:color="auto" w:fill="auto"/>
            <w:vAlign w:val="center"/>
          </w:tcPr>
          <w:p w14:paraId="1B590B8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完成及时性</w:t>
            </w:r>
          </w:p>
        </w:tc>
        <w:tc>
          <w:tcPr>
            <w:tcW w:w="1996" w:type="dxa"/>
            <w:tcBorders>
              <w:tl2br w:val="nil"/>
              <w:tr2bl w:val="nil"/>
            </w:tcBorders>
            <w:shd w:val="clear" w:color="auto" w:fill="auto"/>
            <w:vAlign w:val="center"/>
          </w:tcPr>
          <w:p w14:paraId="0F80536B">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项目实际完成时间与计划完成时间的比较，用以反映和考核项目产出时效目标的实现程度。</w:t>
            </w:r>
          </w:p>
        </w:tc>
        <w:tc>
          <w:tcPr>
            <w:tcW w:w="3793" w:type="dxa"/>
            <w:tcBorders>
              <w:tl2br w:val="nil"/>
              <w:tr2bl w:val="nil"/>
            </w:tcBorders>
            <w:shd w:val="clear" w:color="auto" w:fill="auto"/>
            <w:vAlign w:val="center"/>
          </w:tcPr>
          <w:p w14:paraId="79E1A44E">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实际完成时间：项目实施单位完成该项目实际所耗用的时间。</w:t>
            </w:r>
          </w:p>
          <w:p w14:paraId="19EB94E5">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计划完成时间：按照项目实施计划或相关规定完成该项目所需的时间。</w:t>
            </w:r>
          </w:p>
        </w:tc>
      </w:tr>
      <w:tr w14:paraId="329471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tcBorders>
              <w:tl2br w:val="nil"/>
              <w:tr2bl w:val="nil"/>
            </w:tcBorders>
            <w:shd w:val="clear" w:color="auto" w:fill="auto"/>
            <w:vAlign w:val="center"/>
          </w:tcPr>
          <w:p w14:paraId="66FE43F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tcBorders>
              <w:tl2br w:val="nil"/>
              <w:tr2bl w:val="nil"/>
            </w:tcBorders>
            <w:shd w:val="clear" w:color="auto" w:fill="auto"/>
            <w:vAlign w:val="center"/>
          </w:tcPr>
          <w:p w14:paraId="484DD014">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产出成本</w:t>
            </w:r>
          </w:p>
        </w:tc>
        <w:tc>
          <w:tcPr>
            <w:tcW w:w="1050" w:type="dxa"/>
            <w:tcBorders>
              <w:tl2br w:val="nil"/>
              <w:tr2bl w:val="nil"/>
            </w:tcBorders>
            <w:shd w:val="clear" w:color="auto" w:fill="auto"/>
            <w:vAlign w:val="center"/>
          </w:tcPr>
          <w:p w14:paraId="3271620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成本节约率</w:t>
            </w:r>
          </w:p>
        </w:tc>
        <w:tc>
          <w:tcPr>
            <w:tcW w:w="1996" w:type="dxa"/>
            <w:tcBorders>
              <w:tl2br w:val="nil"/>
              <w:tr2bl w:val="nil"/>
            </w:tcBorders>
            <w:shd w:val="clear" w:color="auto" w:fill="auto"/>
            <w:vAlign w:val="center"/>
          </w:tcPr>
          <w:p w14:paraId="31D7204B">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完成项目计划工作目标的实际节约成本与计划成本的比率，用以反映和考核项目的成本节约程度。</w:t>
            </w:r>
          </w:p>
        </w:tc>
        <w:tc>
          <w:tcPr>
            <w:tcW w:w="3793" w:type="dxa"/>
            <w:tcBorders>
              <w:tl2br w:val="nil"/>
              <w:tr2bl w:val="nil"/>
            </w:tcBorders>
            <w:shd w:val="clear" w:color="auto" w:fill="auto"/>
            <w:vAlign w:val="center"/>
          </w:tcPr>
          <w:p w14:paraId="19B23940">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成本节约率=[（计划成本-实际成本）/计划成本]×100%。</w:t>
            </w:r>
          </w:p>
          <w:p w14:paraId="2DDF24FA">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实际成本：项目实施单位如期、保质、保量完成既定工作目标实际所耗费的支出。</w:t>
            </w:r>
          </w:p>
          <w:p w14:paraId="429BC696">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计划成本：项目实施单位为完成工作目标计划安排的支出，一般以项目预算为参考。</w:t>
            </w:r>
          </w:p>
        </w:tc>
      </w:tr>
      <w:tr w14:paraId="69993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tcBorders>
              <w:tl2br w:val="nil"/>
              <w:tr2bl w:val="nil"/>
            </w:tcBorders>
            <w:shd w:val="clear" w:color="auto" w:fill="auto"/>
            <w:vAlign w:val="center"/>
          </w:tcPr>
          <w:p w14:paraId="24F2761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效益</w:t>
            </w:r>
          </w:p>
        </w:tc>
        <w:tc>
          <w:tcPr>
            <w:tcW w:w="1196" w:type="dxa"/>
            <w:vMerge w:val="restart"/>
            <w:tcBorders>
              <w:tl2br w:val="nil"/>
              <w:tr2bl w:val="nil"/>
            </w:tcBorders>
            <w:shd w:val="clear" w:color="auto" w:fill="auto"/>
            <w:vAlign w:val="center"/>
          </w:tcPr>
          <w:p w14:paraId="5B98076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项目效益</w:t>
            </w:r>
          </w:p>
        </w:tc>
        <w:tc>
          <w:tcPr>
            <w:tcW w:w="1050" w:type="dxa"/>
            <w:tcBorders>
              <w:tl2br w:val="nil"/>
              <w:tr2bl w:val="nil"/>
            </w:tcBorders>
            <w:shd w:val="clear" w:color="auto" w:fill="auto"/>
            <w:vAlign w:val="center"/>
          </w:tcPr>
          <w:p w14:paraId="7672649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实施效益</w:t>
            </w:r>
          </w:p>
        </w:tc>
        <w:tc>
          <w:tcPr>
            <w:tcW w:w="1996" w:type="dxa"/>
            <w:tcBorders>
              <w:tl2br w:val="nil"/>
              <w:tr2bl w:val="nil"/>
            </w:tcBorders>
            <w:shd w:val="clear" w:color="auto" w:fill="auto"/>
            <w:vAlign w:val="center"/>
          </w:tcPr>
          <w:p w14:paraId="5B65B6CE">
            <w:pPr>
              <w:keepNext w:val="0"/>
              <w:keepLines w:val="0"/>
              <w:widowControl/>
              <w:suppressLineNumbers w:val="0"/>
              <w:autoSpaceDE w:val="0"/>
              <w:autoSpaceDN/>
              <w:snapToGrid w:val="0"/>
              <w:spacing w:before="0" w:beforeAutospacing="0" w:after="0" w:afterAutospacing="0" w:line="360" w:lineRule="auto"/>
              <w:ind w:left="0" w:right="0"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项目实施所产生的效益。</w:t>
            </w:r>
          </w:p>
        </w:tc>
        <w:tc>
          <w:tcPr>
            <w:tcW w:w="3793" w:type="dxa"/>
            <w:tcBorders>
              <w:tl2br w:val="nil"/>
              <w:tr2bl w:val="nil"/>
            </w:tcBorders>
            <w:shd w:val="clear" w:color="auto" w:fill="auto"/>
            <w:vAlign w:val="center"/>
          </w:tcPr>
          <w:p w14:paraId="0DA141A2">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项目实施所产生的社会效益、经济效益、生态效益、可持续影响等。可根据项目实际情况有选择地设置和细化。</w:t>
            </w:r>
          </w:p>
        </w:tc>
      </w:tr>
      <w:tr w14:paraId="706BB5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tcBorders>
              <w:tl2br w:val="nil"/>
              <w:tr2bl w:val="nil"/>
            </w:tcBorders>
            <w:shd w:val="clear" w:color="auto" w:fill="auto"/>
            <w:vAlign w:val="center"/>
          </w:tcPr>
          <w:p w14:paraId="79AD87E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96" w:type="dxa"/>
            <w:vMerge w:val="continue"/>
            <w:tcBorders>
              <w:tl2br w:val="nil"/>
              <w:tr2bl w:val="nil"/>
            </w:tcBorders>
            <w:shd w:val="clear" w:color="auto" w:fill="auto"/>
            <w:vAlign w:val="center"/>
          </w:tcPr>
          <w:p w14:paraId="2E7C19B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50" w:type="dxa"/>
            <w:tcBorders>
              <w:tl2br w:val="nil"/>
              <w:tr2bl w:val="nil"/>
            </w:tcBorders>
            <w:shd w:val="clear" w:color="auto" w:fill="auto"/>
            <w:vAlign w:val="center"/>
          </w:tcPr>
          <w:p w14:paraId="2B3E47F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满意度</w:t>
            </w:r>
          </w:p>
        </w:tc>
        <w:tc>
          <w:tcPr>
            <w:tcW w:w="1996" w:type="dxa"/>
            <w:tcBorders>
              <w:tl2br w:val="nil"/>
              <w:tr2bl w:val="nil"/>
            </w:tcBorders>
            <w:shd w:val="clear" w:color="auto" w:fill="auto"/>
            <w:vAlign w:val="center"/>
          </w:tcPr>
          <w:p w14:paraId="3785C757">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社会公众或服务对象对项目实施效果的满意程度。</w:t>
            </w:r>
          </w:p>
        </w:tc>
        <w:tc>
          <w:tcPr>
            <w:tcW w:w="3793" w:type="dxa"/>
            <w:tcBorders>
              <w:tl2br w:val="nil"/>
              <w:tr2bl w:val="nil"/>
            </w:tcBorders>
            <w:shd w:val="clear" w:color="auto" w:fill="auto"/>
            <w:vAlign w:val="center"/>
          </w:tcPr>
          <w:p w14:paraId="0F909320">
            <w:pPr>
              <w:keepNext w:val="0"/>
              <w:keepLines w:val="0"/>
              <w:widowControl/>
              <w:suppressLineNumbers w:val="0"/>
              <w:autoSpaceDE w:val="0"/>
              <w:autoSpaceDN/>
              <w:snapToGrid w:val="0"/>
              <w:spacing w:before="0" w:beforeAutospacing="0" w:after="0" w:afterAutospacing="0" w:line="360" w:lineRule="auto"/>
              <w:ind w:left="0" w:right="0" w:firstLine="0" w:firstLineChars="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社会公众或服务对象是指因该项目实施而受到影响的部门（单位）、群体或个人。一般采取社会调查的方式。</w:t>
            </w:r>
          </w:p>
        </w:tc>
      </w:tr>
    </w:tbl>
    <w:p w14:paraId="6627359E">
      <w:pPr>
        <w:pStyle w:val="4"/>
        <w:widowControl/>
        <w:autoSpaceDE w:val="0"/>
        <w:autoSpaceDN/>
        <w:spacing w:line="360" w:lineRule="auto"/>
        <w:rPr>
          <w:rFonts w:hint="eastAsia" w:ascii="宋体" w:hAnsi="宋体" w:eastAsia="宋体" w:cs="宋体"/>
          <w:b/>
          <w:color w:val="000000"/>
          <w:kern w:val="0"/>
          <w:sz w:val="28"/>
          <w:szCs w:val="28"/>
        </w:rPr>
      </w:pPr>
      <w:bookmarkStart w:id="27" w:name="_Toc9941"/>
      <w:r>
        <w:rPr>
          <w:rFonts w:hint="eastAsia" w:ascii="宋体" w:hAnsi="宋体" w:eastAsia="宋体" w:cs="宋体"/>
          <w:b/>
          <w:color w:val="000000"/>
          <w:kern w:val="0"/>
          <w:sz w:val="28"/>
          <w:szCs w:val="28"/>
        </w:rPr>
        <w:t>3.</w:t>
      </w:r>
      <w:bookmarkEnd w:id="27"/>
      <w:r>
        <w:rPr>
          <w:rFonts w:hint="eastAsia" w:ascii="宋体" w:hAnsi="宋体" w:eastAsia="宋体" w:cs="宋体"/>
          <w:b/>
          <w:color w:val="000000"/>
          <w:kern w:val="0"/>
          <w:sz w:val="28"/>
          <w:szCs w:val="28"/>
        </w:rPr>
        <w:t>评价方法</w:t>
      </w:r>
    </w:p>
    <w:p w14:paraId="46BB7C59">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本次绩效评价采用的方法为比较法、因素分析法、公众评判法对项目绩效目标预期目标值与实施情况进行比较，以及采取公众问卷及抽样调查等方式进行评判的方法对</w:t>
      </w:r>
      <w:r>
        <w:rPr>
          <w:rFonts w:hint="eastAsia" w:ascii="宋体" w:hAnsi="宋体" w:eastAsia="宋体" w:cs="宋体"/>
          <w:kern w:val="2"/>
          <w:sz w:val="28"/>
          <w:szCs w:val="28"/>
          <w:lang w:val="en-US" w:eastAsia="zh-CN" w:bidi="ar"/>
        </w:rPr>
        <w:t>阜康市管网延伸工程项目（一期）</w:t>
      </w:r>
      <w:r>
        <w:rPr>
          <w:rFonts w:hint="eastAsia" w:ascii="宋体" w:hAnsi="宋体" w:eastAsia="宋体" w:cs="宋体"/>
          <w:color w:val="000000"/>
          <w:kern w:val="2"/>
          <w:sz w:val="28"/>
          <w:szCs w:val="28"/>
          <w:lang w:val="en-US" w:eastAsia="zh-CN" w:bidi="ar"/>
        </w:rPr>
        <w:t>进行评价。</w:t>
      </w:r>
    </w:p>
    <w:p w14:paraId="65FB7D3E">
      <w:pPr>
        <w:pStyle w:val="4"/>
        <w:widowControl/>
        <w:rPr>
          <w:rFonts w:hint="eastAsia" w:ascii="宋体" w:hAnsi="宋体" w:eastAsia="宋体" w:cs="宋体"/>
          <w:b/>
          <w:color w:val="000000"/>
          <w:kern w:val="0"/>
          <w:sz w:val="28"/>
          <w:szCs w:val="28"/>
        </w:rPr>
      </w:pPr>
      <w:bookmarkStart w:id="28" w:name="_Toc25391"/>
      <w:r>
        <w:rPr>
          <w:rFonts w:hint="eastAsia" w:ascii="宋体" w:hAnsi="宋体" w:eastAsia="宋体" w:cs="宋体"/>
          <w:b/>
          <w:color w:val="000000"/>
          <w:kern w:val="0"/>
          <w:sz w:val="28"/>
          <w:szCs w:val="28"/>
        </w:rPr>
        <w:t>4.评价标准</w:t>
      </w:r>
      <w:bookmarkEnd w:id="28"/>
    </w:p>
    <w:p w14:paraId="4B71B560">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（1）计划标准。指以预先制定的目标、计划、预算、定额等作为评价标准。</w:t>
      </w:r>
    </w:p>
    <w:p w14:paraId="18801ACE">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（2）行业标准。指参照国家公布的行业指标数据制定的评价标准。</w:t>
      </w:r>
    </w:p>
    <w:p w14:paraId="2EEC22A6">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（3）历史标准。指参照历史数据制定的评价标准，为体现绩效改进的原则，在可实现的条件下应当确定相对较高的评价标准。</w:t>
      </w:r>
    </w:p>
    <w:p w14:paraId="58B94754">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（4）财政部门和预算部门确认或认可的其他标准。</w:t>
      </w:r>
    </w:p>
    <w:p w14:paraId="4597FC2E">
      <w:pPr>
        <w:pStyle w:val="4"/>
        <w:widowControl/>
        <w:outlineLvl w:val="1"/>
        <w:rPr>
          <w:rFonts w:hint="eastAsia" w:ascii="宋体" w:hAnsi="宋体" w:eastAsia="宋体" w:cs="宋体"/>
          <w:b/>
          <w:color w:val="000000"/>
          <w:kern w:val="0"/>
          <w:sz w:val="28"/>
          <w:szCs w:val="28"/>
        </w:rPr>
      </w:pPr>
      <w:bookmarkStart w:id="29" w:name="_Toc1070"/>
      <w:r>
        <w:rPr>
          <w:rFonts w:hint="eastAsia" w:ascii="宋体" w:hAnsi="宋体" w:eastAsia="宋体" w:cs="宋体"/>
          <w:b/>
          <w:color w:val="000000"/>
          <w:kern w:val="0"/>
          <w:sz w:val="28"/>
          <w:szCs w:val="28"/>
        </w:rPr>
        <w:t>（三）绩效评价工作过程</w:t>
      </w:r>
      <w:bookmarkEnd w:id="29"/>
    </w:p>
    <w:p w14:paraId="5AB7CA52">
      <w:pPr>
        <w:keepNext w:val="0"/>
        <w:keepLines w:val="0"/>
        <w:widowControl w:val="0"/>
        <w:suppressLineNumbers w:val="0"/>
        <w:autoSpaceDE w:val="0"/>
        <w:autoSpaceDN/>
        <w:spacing w:before="0" w:beforeAutospacing="0" w:after="0" w:afterAutospacing="0" w:line="360" w:lineRule="auto"/>
        <w:ind w:left="0" w:right="0" w:firstLine="560" w:firstLineChars="200"/>
        <w:jc w:val="both"/>
        <w:outlineLvl w:val="2"/>
        <w:rPr>
          <w:rFonts w:hint="eastAsia" w:ascii="宋体" w:hAnsi="宋体" w:eastAsia="宋体" w:cs="宋体"/>
          <w:color w:val="000000"/>
          <w:kern w:val="2"/>
          <w:sz w:val="28"/>
          <w:szCs w:val="28"/>
        </w:rPr>
      </w:pPr>
      <w:bookmarkStart w:id="30" w:name="_Toc12862"/>
      <w:r>
        <w:rPr>
          <w:rFonts w:hint="eastAsia" w:ascii="宋体" w:hAnsi="宋体" w:eastAsia="宋体" w:cs="宋体"/>
          <w:color w:val="000000"/>
          <w:kern w:val="2"/>
          <w:sz w:val="28"/>
          <w:szCs w:val="28"/>
          <w:lang w:val="en-US" w:eastAsia="zh-CN" w:bidi="ar"/>
        </w:rPr>
        <w:t>1.前期准备</w:t>
      </w:r>
      <w:bookmarkEnd w:id="30"/>
    </w:p>
    <w:p w14:paraId="51E4BCCD">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（1）成立绩效评价项目小组</w:t>
      </w:r>
    </w:p>
    <w:p w14:paraId="0E37F70F">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为确保该项目绩效评价的顺利实施，评价机构组建了绩效评价项目小组。项目小组负责建立联络制度、明确评价责任人、制定评价方案、实施具体评价等工作。</w:t>
      </w:r>
    </w:p>
    <w:p w14:paraId="5153D5E6">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31" w:name="_Toc31571"/>
      <w:r>
        <w:rPr>
          <w:rFonts w:hint="eastAsia" w:ascii="宋体" w:hAnsi="宋体" w:eastAsia="宋体" w:cs="宋体"/>
          <w:b w:val="0"/>
          <w:color w:val="000000"/>
          <w:kern w:val="2"/>
          <w:sz w:val="28"/>
          <w:szCs w:val="28"/>
        </w:rPr>
        <w:t>（2）开展前期调研</w:t>
      </w:r>
      <w:bookmarkEnd w:id="31"/>
    </w:p>
    <w:p w14:paraId="3C268C8D">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32" w:name="_Toc21240"/>
      <w:r>
        <w:rPr>
          <w:rFonts w:hint="eastAsia" w:ascii="宋体" w:hAnsi="宋体" w:eastAsia="宋体" w:cs="宋体"/>
          <w:b w:val="0"/>
          <w:color w:val="000000"/>
          <w:kern w:val="2"/>
          <w:sz w:val="28"/>
          <w:szCs w:val="28"/>
        </w:rPr>
        <w:t>绩效评价项目小组依据此次绩效评价受委托内容，对拟评价的项目实施前期调研。通过调研对</w:t>
      </w:r>
      <w:bookmarkEnd w:id="32"/>
      <w:r>
        <w:rPr>
          <w:rFonts w:hint="eastAsia" w:ascii="宋体" w:hAnsi="宋体" w:eastAsia="宋体" w:cs="宋体"/>
          <w:b w:val="0"/>
          <w:color w:val="000000"/>
          <w:kern w:val="2"/>
          <w:sz w:val="28"/>
          <w:szCs w:val="28"/>
          <w:lang w:val="en-US" w:eastAsia="zh-CN"/>
        </w:rPr>
        <w:t>阜康市管网延伸工程项目（一期）</w:t>
      </w:r>
      <w:r>
        <w:rPr>
          <w:rFonts w:hint="eastAsia" w:ascii="宋体" w:hAnsi="宋体" w:eastAsia="宋体" w:cs="宋体"/>
          <w:b w:val="0"/>
          <w:color w:val="000000"/>
          <w:kern w:val="2"/>
          <w:sz w:val="28"/>
          <w:szCs w:val="28"/>
        </w:rPr>
        <w:t>实施内容、目标信息、预算信息以及其他的一些项目基本信息，有了初步了解，为制定绩效评价工作方案做好准备。</w:t>
      </w:r>
    </w:p>
    <w:p w14:paraId="6D4211B2">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33" w:name="_Toc27977"/>
      <w:r>
        <w:rPr>
          <w:rFonts w:hint="eastAsia" w:ascii="宋体" w:hAnsi="宋体" w:eastAsia="宋体" w:cs="宋体"/>
          <w:b w:val="0"/>
          <w:color w:val="000000"/>
          <w:kern w:val="2"/>
          <w:sz w:val="28"/>
          <w:szCs w:val="28"/>
        </w:rPr>
        <w:t>（3）制订绩效评价工作方案</w:t>
      </w:r>
      <w:bookmarkEnd w:id="33"/>
    </w:p>
    <w:p w14:paraId="60535F98">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34" w:name="_Toc19659"/>
      <w:r>
        <w:rPr>
          <w:rFonts w:hint="eastAsia" w:ascii="宋体" w:hAnsi="宋体" w:eastAsia="宋体" w:cs="宋体"/>
          <w:b w:val="0"/>
          <w:color w:val="000000"/>
          <w:kern w:val="2"/>
          <w:sz w:val="28"/>
          <w:szCs w:val="28"/>
        </w:rPr>
        <w:t>绩效评价项目小组根据有关规定和评价对象的特点以及前期调研收集的一些信息，拟定详细的绩效评价工作方案</w:t>
      </w:r>
      <w:bookmarkEnd w:id="34"/>
      <w:r>
        <w:rPr>
          <w:rFonts w:hint="eastAsia" w:ascii="宋体" w:hAnsi="宋体" w:eastAsia="宋体" w:cs="宋体"/>
          <w:b w:val="0"/>
          <w:color w:val="000000"/>
          <w:kern w:val="2"/>
          <w:sz w:val="28"/>
          <w:szCs w:val="28"/>
        </w:rPr>
        <w:t>。</w:t>
      </w:r>
    </w:p>
    <w:p w14:paraId="7E56C9C2">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outlineLvl w:val="2"/>
        <w:rPr>
          <w:rFonts w:hint="eastAsia" w:ascii="宋体" w:hAnsi="宋体" w:eastAsia="宋体" w:cs="宋体"/>
          <w:b w:val="0"/>
          <w:color w:val="000000"/>
          <w:kern w:val="2"/>
          <w:sz w:val="28"/>
          <w:szCs w:val="28"/>
        </w:rPr>
      </w:pPr>
      <w:bookmarkStart w:id="35" w:name="_Toc11353"/>
      <w:r>
        <w:rPr>
          <w:rFonts w:hint="eastAsia" w:ascii="宋体" w:hAnsi="宋体" w:eastAsia="宋体" w:cs="宋体"/>
          <w:b w:val="0"/>
          <w:color w:val="000000"/>
          <w:kern w:val="2"/>
          <w:sz w:val="28"/>
          <w:szCs w:val="28"/>
        </w:rPr>
        <w:t>2.具体实施</w:t>
      </w:r>
      <w:bookmarkEnd w:id="35"/>
    </w:p>
    <w:p w14:paraId="3A0BEECE">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36" w:name="_Toc14111"/>
      <w:r>
        <w:rPr>
          <w:rFonts w:hint="eastAsia" w:ascii="宋体" w:hAnsi="宋体" w:eastAsia="宋体" w:cs="宋体"/>
          <w:b w:val="0"/>
          <w:color w:val="000000"/>
          <w:kern w:val="2"/>
          <w:sz w:val="28"/>
          <w:szCs w:val="28"/>
        </w:rPr>
        <w:t>（1）收集基础资料</w:t>
      </w:r>
      <w:bookmarkEnd w:id="36"/>
    </w:p>
    <w:p w14:paraId="092328B4">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37" w:name="_Toc28524"/>
      <w:r>
        <w:rPr>
          <w:rFonts w:hint="eastAsia" w:ascii="宋体" w:hAnsi="宋体" w:eastAsia="宋体" w:cs="宋体"/>
          <w:b w:val="0"/>
          <w:color w:val="000000"/>
          <w:kern w:val="2"/>
          <w:sz w:val="28"/>
          <w:szCs w:val="28"/>
        </w:rPr>
        <w:t>根据评价工作的需要和要求，在前期调研的基础上，通过多种渠道全面收集项目基础信息资料，主要包括：</w:t>
      </w:r>
      <w:bookmarkEnd w:id="37"/>
    </w:p>
    <w:p w14:paraId="0A601DC2">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38" w:name="_Toc32216"/>
      <w:r>
        <w:rPr>
          <w:rFonts w:hint="eastAsia" w:ascii="宋体" w:hAnsi="宋体" w:eastAsia="宋体" w:cs="宋体"/>
          <w:b w:val="0"/>
          <w:color w:val="000000"/>
          <w:kern w:val="2"/>
          <w:sz w:val="28"/>
          <w:szCs w:val="28"/>
        </w:rPr>
        <w:t>①被评价单位基本概况，如单位职能、事业发展规划、预决算情况、项目立项依据等；</w:t>
      </w:r>
      <w:bookmarkEnd w:id="38"/>
    </w:p>
    <w:p w14:paraId="3FE4F45D">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39" w:name="_Toc10505"/>
      <w:r>
        <w:rPr>
          <w:rFonts w:hint="eastAsia" w:ascii="宋体" w:hAnsi="宋体" w:eastAsia="宋体" w:cs="宋体"/>
          <w:b w:val="0"/>
          <w:color w:val="000000"/>
          <w:kern w:val="2"/>
          <w:sz w:val="28"/>
          <w:szCs w:val="28"/>
        </w:rPr>
        <w:t>②绩效目标及其设立依据和调整情况；</w:t>
      </w:r>
      <w:bookmarkEnd w:id="39"/>
    </w:p>
    <w:p w14:paraId="6AAB58D8">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40" w:name="_Toc28365"/>
      <w:r>
        <w:rPr>
          <w:rFonts w:hint="eastAsia" w:ascii="宋体" w:hAnsi="宋体" w:eastAsia="宋体" w:cs="宋体"/>
          <w:b w:val="0"/>
          <w:color w:val="000000"/>
          <w:kern w:val="2"/>
          <w:sz w:val="28"/>
          <w:szCs w:val="28"/>
        </w:rPr>
        <w:t>③管理措施及组织实施情况；</w:t>
      </w:r>
      <w:bookmarkEnd w:id="40"/>
    </w:p>
    <w:p w14:paraId="17FF3B50">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41" w:name="_Toc10091"/>
      <w:r>
        <w:rPr>
          <w:rFonts w:hint="eastAsia" w:ascii="宋体" w:hAnsi="宋体" w:eastAsia="宋体" w:cs="宋体"/>
          <w:b w:val="0"/>
          <w:color w:val="000000"/>
          <w:kern w:val="2"/>
          <w:sz w:val="28"/>
          <w:szCs w:val="28"/>
        </w:rPr>
        <w:t>④被评价单位总结分析的绩效目标完成情况及绩效报告；</w:t>
      </w:r>
      <w:bookmarkEnd w:id="41"/>
    </w:p>
    <w:p w14:paraId="7FB2DD1C">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42" w:name="_Toc1"/>
      <w:r>
        <w:rPr>
          <w:rFonts w:hint="eastAsia" w:ascii="宋体" w:hAnsi="宋体" w:eastAsia="宋体" w:cs="宋体"/>
          <w:b w:val="0"/>
          <w:color w:val="000000"/>
          <w:kern w:val="2"/>
          <w:sz w:val="28"/>
          <w:szCs w:val="28"/>
        </w:rPr>
        <w:t>⑤与绩效评价相关的计划标准、行业标准、历史标准等；</w:t>
      </w:r>
      <w:bookmarkEnd w:id="42"/>
    </w:p>
    <w:p w14:paraId="08E0105F">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43" w:name="_Toc20059"/>
      <w:r>
        <w:rPr>
          <w:rFonts w:hint="eastAsia" w:ascii="宋体" w:hAnsi="宋体" w:eastAsia="宋体" w:cs="宋体"/>
          <w:b w:val="0"/>
          <w:color w:val="000000"/>
          <w:kern w:val="2"/>
          <w:sz w:val="28"/>
          <w:szCs w:val="28"/>
        </w:rPr>
        <w:t>⑥</w:t>
      </w:r>
      <w:bookmarkEnd w:id="43"/>
      <w:r>
        <w:rPr>
          <w:rFonts w:hint="eastAsia" w:ascii="宋体" w:hAnsi="宋体" w:eastAsia="宋体" w:cs="宋体"/>
          <w:b w:val="0"/>
          <w:color w:val="000000"/>
          <w:kern w:val="2"/>
          <w:sz w:val="28"/>
          <w:szCs w:val="28"/>
        </w:rPr>
        <w:t>其他必要的相关资料等。</w:t>
      </w:r>
    </w:p>
    <w:p w14:paraId="4ECAFE8C">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44" w:name="_Toc31911"/>
      <w:r>
        <w:rPr>
          <w:rFonts w:hint="eastAsia" w:ascii="宋体" w:hAnsi="宋体" w:eastAsia="宋体" w:cs="宋体"/>
          <w:b w:val="0"/>
          <w:color w:val="000000"/>
          <w:kern w:val="2"/>
          <w:sz w:val="28"/>
          <w:szCs w:val="28"/>
        </w:rPr>
        <w:t>（2）整理、研读基础资料</w:t>
      </w:r>
      <w:bookmarkEnd w:id="44"/>
    </w:p>
    <w:p w14:paraId="1D58ED65">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45" w:name="_Toc167"/>
      <w:r>
        <w:rPr>
          <w:rFonts w:hint="eastAsia" w:ascii="宋体" w:hAnsi="宋体" w:eastAsia="宋体" w:cs="宋体"/>
          <w:b w:val="0"/>
          <w:color w:val="000000"/>
          <w:kern w:val="2"/>
          <w:sz w:val="28"/>
          <w:szCs w:val="28"/>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5"/>
    </w:p>
    <w:p w14:paraId="38537BAA">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outlineLvl w:val="2"/>
        <w:rPr>
          <w:rFonts w:hint="eastAsia" w:ascii="宋体" w:hAnsi="宋体" w:eastAsia="宋体" w:cs="宋体"/>
          <w:b w:val="0"/>
          <w:color w:val="000000"/>
          <w:kern w:val="2"/>
          <w:sz w:val="28"/>
          <w:szCs w:val="28"/>
        </w:rPr>
      </w:pPr>
      <w:bookmarkStart w:id="46" w:name="_Toc30513"/>
      <w:r>
        <w:rPr>
          <w:rFonts w:hint="eastAsia" w:ascii="宋体" w:hAnsi="宋体" w:eastAsia="宋体" w:cs="宋体"/>
          <w:b w:val="0"/>
          <w:color w:val="000000"/>
          <w:kern w:val="2"/>
          <w:sz w:val="28"/>
          <w:szCs w:val="28"/>
        </w:rPr>
        <w:t>3.</w:t>
      </w:r>
      <w:bookmarkEnd w:id="46"/>
      <w:r>
        <w:rPr>
          <w:rFonts w:hint="eastAsia" w:ascii="宋体" w:hAnsi="宋体" w:eastAsia="宋体" w:cs="宋体"/>
          <w:b w:val="0"/>
          <w:color w:val="000000"/>
          <w:kern w:val="2"/>
          <w:sz w:val="28"/>
          <w:szCs w:val="28"/>
        </w:rPr>
        <w:t>分析评价和撰写报告</w:t>
      </w:r>
    </w:p>
    <w:p w14:paraId="68E26387">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47" w:name="_Toc15974"/>
      <w:r>
        <w:rPr>
          <w:rFonts w:hint="eastAsia" w:ascii="宋体" w:hAnsi="宋体" w:eastAsia="宋体" w:cs="宋体"/>
          <w:b w:val="0"/>
          <w:kern w:val="2"/>
          <w:sz w:val="28"/>
          <w:szCs w:val="28"/>
        </w:rPr>
        <w:t>（</w:t>
      </w:r>
      <w:bookmarkEnd w:id="47"/>
      <w:r>
        <w:rPr>
          <w:rFonts w:hint="eastAsia" w:ascii="宋体" w:hAnsi="宋体" w:eastAsia="宋体" w:cs="宋体"/>
          <w:b w:val="0"/>
          <w:color w:val="000000"/>
          <w:kern w:val="2"/>
          <w:sz w:val="28"/>
          <w:szCs w:val="28"/>
        </w:rPr>
        <w:t>1）综合分析评价</w:t>
      </w:r>
    </w:p>
    <w:p w14:paraId="0E2EC062">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48" w:name="_Toc4352"/>
      <w:r>
        <w:rPr>
          <w:rFonts w:hint="eastAsia" w:ascii="宋体" w:hAnsi="宋体" w:eastAsia="宋体" w:cs="宋体"/>
          <w:b w:val="0"/>
          <w:color w:val="000000"/>
          <w:kern w:val="2"/>
          <w:sz w:val="28"/>
          <w:szCs w:val="28"/>
        </w:rPr>
        <w:t>①根据所收集的基础资料，结合现场核查的有关情况，整理出绩效评价所需的项目材料和基础数据。</w:t>
      </w:r>
      <w:bookmarkEnd w:id="48"/>
    </w:p>
    <w:p w14:paraId="4883D3E1">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color w:val="000000"/>
          <w:kern w:val="2"/>
          <w:sz w:val="28"/>
          <w:szCs w:val="28"/>
        </w:rPr>
      </w:pPr>
      <w:bookmarkStart w:id="49" w:name="_Toc26231"/>
      <w:r>
        <w:rPr>
          <w:rFonts w:hint="eastAsia" w:ascii="宋体" w:hAnsi="宋体" w:eastAsia="宋体" w:cs="宋体"/>
          <w:b w:val="0"/>
          <w:color w:val="000000"/>
          <w:kern w:val="2"/>
          <w:sz w:val="28"/>
          <w:szCs w:val="28"/>
        </w:rPr>
        <w:t>②将初步评价结论、调整</w:t>
      </w:r>
      <w:bookmarkEnd w:id="49"/>
      <w:r>
        <w:rPr>
          <w:rFonts w:hint="eastAsia" w:ascii="宋体" w:hAnsi="宋体" w:eastAsia="宋体" w:cs="宋体"/>
          <w:b w:val="0"/>
          <w:color w:val="000000"/>
          <w:kern w:val="2"/>
          <w:sz w:val="28"/>
          <w:szCs w:val="28"/>
        </w:rPr>
        <w:t>事项、专家咨询意见和有关说明等提交单位内部讨论并征求意见。之后，对所征求的意见及时地进行收集和整理。</w:t>
      </w:r>
    </w:p>
    <w:p w14:paraId="48C958DD">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50" w:name="_Toc27759"/>
      <w:r>
        <w:rPr>
          <w:rFonts w:hint="eastAsia" w:ascii="宋体" w:hAnsi="宋体" w:eastAsia="宋体" w:cs="宋体"/>
          <w:b w:val="0"/>
          <w:color w:val="000000"/>
          <w:kern w:val="2"/>
          <w:sz w:val="28"/>
          <w:szCs w:val="28"/>
        </w:rPr>
        <w:t>（</w:t>
      </w:r>
      <w:bookmarkEnd w:id="50"/>
      <w:r>
        <w:rPr>
          <w:rFonts w:hint="eastAsia" w:ascii="宋体" w:hAnsi="宋体" w:eastAsia="宋体" w:cs="宋体"/>
          <w:b w:val="0"/>
          <w:color w:val="000000"/>
          <w:kern w:val="2"/>
          <w:sz w:val="28"/>
          <w:szCs w:val="28"/>
        </w:rPr>
        <w:t>2）撰写报告</w:t>
      </w:r>
    </w:p>
    <w:p w14:paraId="4CEF0BCF">
      <w:pPr>
        <w:pStyle w:val="7"/>
        <w:keepNext w:val="0"/>
        <w:keepLines w:val="0"/>
        <w:widowControl w:val="0"/>
        <w:suppressLineNumbers w:val="0"/>
        <w:autoSpaceDE w:val="0"/>
        <w:autoSpaceDN/>
        <w:spacing w:before="0" w:beforeLines="0" w:beforeAutospacing="0" w:after="0" w:afterLines="0" w:afterAutospacing="0" w:line="360" w:lineRule="auto"/>
        <w:ind w:left="0" w:right="0"/>
        <w:jc w:val="both"/>
        <w:rPr>
          <w:rFonts w:hint="eastAsia" w:ascii="宋体" w:hAnsi="宋体" w:eastAsia="宋体" w:cs="宋体"/>
          <w:b w:val="0"/>
          <w:color w:val="000000"/>
          <w:kern w:val="2"/>
          <w:sz w:val="28"/>
          <w:szCs w:val="28"/>
        </w:rPr>
      </w:pPr>
      <w:bookmarkStart w:id="51" w:name="_Toc15579"/>
      <w:r>
        <w:rPr>
          <w:rFonts w:hint="eastAsia" w:ascii="宋体" w:hAnsi="宋体" w:eastAsia="宋体" w:cs="宋体"/>
          <w:b w:val="0"/>
          <w:color w:val="000000"/>
          <w:kern w:val="2"/>
          <w:sz w:val="28"/>
          <w:szCs w:val="28"/>
        </w:rPr>
        <w:t>绩效评价项目小组依照整理、分析后的项目材料、数据资料，依据评价形成的初步结论，按照既定的格式和内容要求撰写绩效评价初步报告，</w:t>
      </w:r>
      <w:bookmarkEnd w:id="51"/>
      <w:r>
        <w:rPr>
          <w:rFonts w:hint="eastAsia" w:ascii="宋体" w:hAnsi="宋体" w:eastAsia="宋体" w:cs="宋体"/>
          <w:b w:val="0"/>
          <w:color w:val="000000"/>
          <w:kern w:val="2"/>
          <w:sz w:val="28"/>
          <w:szCs w:val="28"/>
        </w:rPr>
        <w:t>最终形成评价结果。</w:t>
      </w:r>
    </w:p>
    <w:p w14:paraId="67163E54">
      <w:pPr>
        <w:pStyle w:val="2"/>
        <w:widowControl/>
        <w:autoSpaceDE w:val="0"/>
        <w:autoSpaceDN/>
        <w:spacing w:beforeLines="0" w:beforeAutospacing="0" w:afterLines="0" w:afterAutospacing="0" w:line="360" w:lineRule="auto"/>
        <w:rPr>
          <w:rFonts w:hint="eastAsia" w:ascii="宋体" w:hAnsi="宋体" w:eastAsia="宋体" w:cs="宋体"/>
          <w:b/>
          <w:color w:val="000000"/>
          <w:kern w:val="44"/>
          <w:sz w:val="32"/>
          <w:szCs w:val="32"/>
        </w:rPr>
      </w:pPr>
      <w:bookmarkStart w:id="52" w:name="_Toc1100"/>
      <w:r>
        <w:rPr>
          <w:rFonts w:hint="eastAsia" w:ascii="宋体" w:hAnsi="宋体" w:eastAsia="宋体" w:cs="宋体"/>
          <w:b/>
          <w:color w:val="000000"/>
          <w:kern w:val="44"/>
          <w:sz w:val="32"/>
          <w:szCs w:val="32"/>
        </w:rPr>
        <w:t>三、</w:t>
      </w:r>
      <w:bookmarkEnd w:id="52"/>
      <w:r>
        <w:rPr>
          <w:rFonts w:hint="eastAsia" w:ascii="宋体" w:hAnsi="宋体" w:eastAsia="宋体" w:cs="宋体"/>
          <w:b/>
          <w:color w:val="000000"/>
          <w:kern w:val="44"/>
          <w:sz w:val="32"/>
          <w:szCs w:val="32"/>
        </w:rPr>
        <w:t>综合评价情况及评价结论</w:t>
      </w:r>
    </w:p>
    <w:p w14:paraId="1F65ADD8">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color w:val="000000"/>
          <w:kern w:val="2"/>
          <w:sz w:val="28"/>
          <w:szCs w:val="28"/>
          <w:lang w:val="en-US" w:eastAsia="zh-CN" w:bidi="ar"/>
        </w:rPr>
        <w:t>此次绩效评价通过组论证的评价指标体系及评分标准，采用的方法比较法、因素分析法、公众评判法，</w:t>
      </w:r>
      <w:r>
        <w:rPr>
          <w:rFonts w:hint="eastAsia" w:ascii="宋体" w:hAnsi="宋体" w:eastAsia="宋体" w:cs="宋体"/>
          <w:kern w:val="2"/>
          <w:sz w:val="28"/>
          <w:szCs w:val="28"/>
          <w:lang w:val="en-US" w:eastAsia="zh-CN" w:bidi="ar"/>
        </w:rPr>
        <w:t>对阜康市管网延伸工程项目（一期）绩效进行客观评价，最终评分结果：总</w:t>
      </w:r>
      <w:r>
        <w:rPr>
          <w:rFonts w:hint="eastAsia" w:ascii="宋体" w:hAnsi="宋体" w:eastAsia="宋体" w:cs="宋体"/>
          <w:color w:val="auto"/>
          <w:kern w:val="2"/>
          <w:sz w:val="28"/>
          <w:szCs w:val="28"/>
          <w:lang w:val="en-US" w:eastAsia="zh-CN" w:bidi="ar"/>
        </w:rPr>
        <w:t>分为99.6分，绩效评级</w:t>
      </w:r>
      <w:r>
        <w:rPr>
          <w:rFonts w:hint="eastAsia" w:ascii="宋体" w:hAnsi="宋体" w:eastAsia="宋体" w:cs="宋体"/>
          <w:kern w:val="2"/>
          <w:sz w:val="28"/>
          <w:szCs w:val="28"/>
          <w:lang w:val="en-US" w:eastAsia="zh-CN" w:bidi="ar"/>
        </w:rPr>
        <w:t>为“优”。各部分权重和绩效汇总分值如下表</w:t>
      </w:r>
      <w:r>
        <w:rPr>
          <w:rFonts w:hint="eastAsia" w:ascii="宋体" w:hAnsi="宋体" w:eastAsia="宋体" w:cs="宋体"/>
          <w:b/>
          <w:color w:val="000000"/>
          <w:kern w:val="0"/>
          <w:sz w:val="28"/>
          <w:szCs w:val="28"/>
          <w:lang w:val="en-US" w:eastAsia="zh-CN" w:bidi="ar"/>
        </w:rPr>
        <w:t>3-1</w:t>
      </w:r>
      <w:r>
        <w:rPr>
          <w:rFonts w:hint="eastAsia" w:ascii="宋体" w:hAnsi="宋体" w:eastAsia="宋体" w:cs="宋体"/>
          <w:kern w:val="2"/>
          <w:sz w:val="28"/>
          <w:szCs w:val="28"/>
          <w:lang w:val="en-US" w:eastAsia="zh-CN" w:bidi="ar"/>
        </w:rPr>
        <w:t>所示</w:t>
      </w:r>
      <w:r>
        <w:rPr>
          <w:rFonts w:hint="eastAsia" w:ascii="宋体" w:hAnsi="宋体" w:eastAsia="宋体" w:cs="宋体"/>
          <w:b/>
          <w:kern w:val="2"/>
          <w:sz w:val="28"/>
          <w:szCs w:val="28"/>
          <w:lang w:val="en-US" w:eastAsia="zh-CN" w:bidi="ar"/>
        </w:rPr>
        <w:t>（详见上传的附件）</w:t>
      </w:r>
      <w:r>
        <w:rPr>
          <w:rFonts w:hint="eastAsia" w:ascii="宋体" w:hAnsi="宋体" w:eastAsia="宋体" w:cs="宋体"/>
          <w:kern w:val="2"/>
          <w:sz w:val="28"/>
          <w:szCs w:val="28"/>
          <w:lang w:val="en-US" w:eastAsia="zh-CN" w:bidi="ar"/>
        </w:rPr>
        <w:t>：</w:t>
      </w:r>
    </w:p>
    <w:tbl>
      <w:tblPr>
        <w:tblStyle w:val="8"/>
        <w:tblW w:w="82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007D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08A96A8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4"/>
                <w:szCs w:val="24"/>
              </w:rPr>
            </w:pPr>
            <w:r>
              <w:rPr>
                <w:rFonts w:hint="eastAsia" w:ascii="宋体" w:hAnsi="宋体" w:eastAsia="宋体" w:cs="宋体"/>
                <w:b/>
                <w:color w:val="000000"/>
                <w:kern w:val="0"/>
                <w:sz w:val="28"/>
                <w:szCs w:val="28"/>
                <w:lang w:val="en-US" w:eastAsia="zh-CN" w:bidi="ar"/>
              </w:rPr>
              <w:t>表3-1：</w:t>
            </w:r>
            <w:r>
              <w:rPr>
                <w:rFonts w:hint="eastAsia" w:ascii="宋体" w:hAnsi="宋体" w:eastAsia="宋体" w:cs="宋体"/>
                <w:kern w:val="2"/>
                <w:sz w:val="28"/>
                <w:szCs w:val="28"/>
                <w:lang w:val="en-US" w:eastAsia="zh-CN" w:bidi="ar"/>
              </w:rPr>
              <w:t>阜康市管网延伸工程项目（一期）</w:t>
            </w:r>
            <w:r>
              <w:rPr>
                <w:rFonts w:hint="eastAsia" w:ascii="宋体" w:hAnsi="宋体" w:eastAsia="宋体" w:cs="宋体"/>
                <w:b/>
                <w:color w:val="000000"/>
                <w:kern w:val="0"/>
                <w:sz w:val="28"/>
                <w:szCs w:val="28"/>
                <w:lang w:val="en-US" w:eastAsia="zh-CN" w:bidi="ar"/>
              </w:rPr>
              <w:t>得分表</w:t>
            </w:r>
          </w:p>
        </w:tc>
      </w:tr>
      <w:tr w14:paraId="076D5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25652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lang w:val="en-US" w:eastAsia="zh-CN" w:bidi="ar"/>
              </w:rPr>
              <w:t>指标类别</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7FB84C7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lang w:val="en-US" w:eastAsia="zh-CN" w:bidi="ar"/>
              </w:rPr>
              <w:t>1.项目决策</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043D92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lang w:val="en-US" w:eastAsia="zh-CN" w:bidi="ar"/>
              </w:rPr>
              <w:t>2.过程管理</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4E07D65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lang w:val="en-US" w:eastAsia="zh-CN" w:bidi="ar"/>
              </w:rPr>
              <w:t>3.项目产出</w:t>
            </w:r>
          </w:p>
        </w:tc>
        <w:tc>
          <w:tcPr>
            <w:tcW w:w="162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FCB31C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lang w:val="en-US" w:eastAsia="zh-CN" w:bidi="ar"/>
              </w:rPr>
              <w:t>4.项目效益</w:t>
            </w:r>
          </w:p>
        </w:tc>
        <w:tc>
          <w:tcPr>
            <w:tcW w:w="148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1C6803E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lang w:val="en-US" w:eastAsia="zh-CN" w:bidi="ar"/>
              </w:rPr>
              <w:t>合计</w:t>
            </w:r>
          </w:p>
        </w:tc>
      </w:tr>
      <w:tr w14:paraId="6C401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C19A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val="0"/>
                <w:color w:val="000000"/>
                <w:kern w:val="0"/>
                <w:sz w:val="21"/>
                <w:szCs w:val="21"/>
              </w:rPr>
            </w:pPr>
            <w:r>
              <w:rPr>
                <w:rFonts w:hint="eastAsia" w:ascii="宋体" w:hAnsi="宋体" w:eastAsia="宋体" w:cs="宋体"/>
                <w:b w:val="0"/>
                <w:color w:val="000000"/>
                <w:kern w:val="0"/>
                <w:sz w:val="21"/>
                <w:szCs w:val="21"/>
                <w:lang w:val="en-US" w:eastAsia="zh-CN" w:bidi="ar"/>
              </w:rPr>
              <w:t>权重</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019E429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20</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1757FF8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20</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BD30D8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30</w:t>
            </w:r>
          </w:p>
        </w:tc>
        <w:tc>
          <w:tcPr>
            <w:tcW w:w="162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3F91EEB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30</w:t>
            </w:r>
          </w:p>
        </w:tc>
        <w:tc>
          <w:tcPr>
            <w:tcW w:w="148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537D64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100</w:t>
            </w:r>
          </w:p>
        </w:tc>
      </w:tr>
      <w:tr w14:paraId="6EB68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B68F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val="0"/>
                <w:color w:val="000000"/>
                <w:kern w:val="0"/>
                <w:sz w:val="21"/>
                <w:szCs w:val="21"/>
              </w:rPr>
            </w:pPr>
            <w:r>
              <w:rPr>
                <w:rFonts w:hint="eastAsia" w:ascii="宋体" w:hAnsi="宋体" w:eastAsia="宋体" w:cs="宋体"/>
                <w:b w:val="0"/>
                <w:color w:val="000000"/>
                <w:kern w:val="0"/>
                <w:sz w:val="21"/>
                <w:szCs w:val="21"/>
                <w:lang w:val="en-US" w:eastAsia="zh-CN" w:bidi="ar"/>
              </w:rPr>
              <w:t>分值</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F68814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default" w:ascii="宋体" w:hAnsi="宋体" w:eastAsia="宋体" w:cs="宋体"/>
                <w:color w:val="auto"/>
                <w:kern w:val="0"/>
                <w:sz w:val="21"/>
                <w:szCs w:val="21"/>
                <w:lang w:val="en-US"/>
              </w:rPr>
            </w:pPr>
            <w:r>
              <w:rPr>
                <w:rFonts w:hint="eastAsia" w:ascii="宋体" w:hAnsi="宋体" w:eastAsia="宋体" w:cs="宋体"/>
                <w:color w:val="auto"/>
                <w:kern w:val="0"/>
                <w:sz w:val="21"/>
                <w:szCs w:val="21"/>
                <w:lang w:val="en-US" w:eastAsia="zh-CN" w:bidi="ar"/>
              </w:rPr>
              <w:t>19.6</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75AE287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default" w:ascii="宋体" w:hAnsi="宋体" w:eastAsia="宋体" w:cs="宋体"/>
                <w:color w:val="auto"/>
                <w:kern w:val="0"/>
                <w:sz w:val="21"/>
                <w:szCs w:val="21"/>
                <w:lang w:val="en-US"/>
              </w:rPr>
            </w:pPr>
            <w:r>
              <w:rPr>
                <w:rFonts w:hint="eastAsia" w:ascii="宋体" w:hAnsi="宋体" w:eastAsia="宋体" w:cs="宋体"/>
                <w:color w:val="auto"/>
                <w:kern w:val="0"/>
                <w:sz w:val="21"/>
                <w:szCs w:val="21"/>
                <w:lang w:val="en-US" w:eastAsia="zh-CN" w:bidi="ar"/>
              </w:rPr>
              <w:t>20</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009513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default" w:ascii="宋体" w:hAnsi="宋体" w:eastAsia="宋体" w:cs="宋体"/>
                <w:color w:val="auto"/>
                <w:kern w:val="0"/>
                <w:sz w:val="21"/>
                <w:szCs w:val="21"/>
                <w:lang w:val="en-US"/>
              </w:rPr>
            </w:pPr>
            <w:r>
              <w:rPr>
                <w:rFonts w:hint="eastAsia" w:ascii="宋体" w:hAnsi="宋体" w:eastAsia="宋体" w:cs="宋体"/>
                <w:color w:val="auto"/>
                <w:kern w:val="0"/>
                <w:sz w:val="21"/>
                <w:szCs w:val="21"/>
                <w:lang w:val="en-US" w:eastAsia="zh-CN" w:bidi="ar"/>
              </w:rPr>
              <w:t>30</w:t>
            </w:r>
          </w:p>
        </w:tc>
        <w:tc>
          <w:tcPr>
            <w:tcW w:w="162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0D593F8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default" w:ascii="宋体" w:hAnsi="宋体" w:eastAsia="宋体" w:cs="宋体"/>
                <w:color w:val="auto"/>
                <w:kern w:val="0"/>
                <w:sz w:val="21"/>
                <w:szCs w:val="21"/>
                <w:lang w:val="en-US"/>
              </w:rPr>
            </w:pPr>
            <w:r>
              <w:rPr>
                <w:rFonts w:hint="eastAsia" w:ascii="宋体" w:hAnsi="宋体" w:eastAsia="宋体" w:cs="宋体"/>
                <w:color w:val="auto"/>
                <w:kern w:val="0"/>
                <w:sz w:val="21"/>
                <w:szCs w:val="21"/>
                <w:lang w:val="en-US" w:eastAsia="zh-CN" w:bidi="ar"/>
              </w:rPr>
              <w:t>30</w:t>
            </w:r>
          </w:p>
        </w:tc>
        <w:tc>
          <w:tcPr>
            <w:tcW w:w="148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3534FC7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default" w:ascii="宋体" w:hAnsi="宋体" w:eastAsia="宋体" w:cs="宋体"/>
                <w:color w:val="auto"/>
                <w:kern w:val="0"/>
                <w:sz w:val="21"/>
                <w:szCs w:val="21"/>
                <w:lang w:val="en-US"/>
              </w:rPr>
            </w:pPr>
            <w:r>
              <w:rPr>
                <w:rFonts w:hint="eastAsia" w:ascii="宋体" w:hAnsi="宋体" w:eastAsia="宋体" w:cs="宋体"/>
                <w:color w:val="auto"/>
                <w:kern w:val="0"/>
                <w:sz w:val="21"/>
                <w:szCs w:val="21"/>
                <w:lang w:val="en-US" w:eastAsia="zh-CN" w:bidi="ar"/>
              </w:rPr>
              <w:t>99.6</w:t>
            </w:r>
          </w:p>
        </w:tc>
      </w:tr>
      <w:tr w14:paraId="2B4B3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69227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val="0"/>
                <w:color w:val="000000"/>
                <w:kern w:val="0"/>
                <w:sz w:val="21"/>
                <w:szCs w:val="21"/>
              </w:rPr>
            </w:pPr>
            <w:r>
              <w:rPr>
                <w:rFonts w:hint="eastAsia" w:ascii="宋体" w:hAnsi="宋体" w:eastAsia="宋体" w:cs="宋体"/>
                <w:b w:val="0"/>
                <w:color w:val="000000"/>
                <w:kern w:val="0"/>
                <w:sz w:val="21"/>
                <w:szCs w:val="21"/>
                <w:lang w:val="en-US" w:eastAsia="zh-CN" w:bidi="ar"/>
              </w:rPr>
              <w:t>得分率</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5916CF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98%</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FA1BFF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100%</w:t>
            </w:r>
          </w:p>
        </w:tc>
        <w:tc>
          <w:tcPr>
            <w:tcW w:w="136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204D164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100%</w:t>
            </w:r>
          </w:p>
        </w:tc>
        <w:tc>
          <w:tcPr>
            <w:tcW w:w="162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119DCA5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100%</w:t>
            </w:r>
          </w:p>
        </w:tc>
        <w:tc>
          <w:tcPr>
            <w:tcW w:w="148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05C87B6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99.6%</w:t>
            </w:r>
          </w:p>
        </w:tc>
      </w:tr>
    </w:tbl>
    <w:p w14:paraId="5546039F">
      <w:pPr>
        <w:pStyle w:val="2"/>
        <w:widowControl/>
        <w:autoSpaceDE w:val="0"/>
        <w:autoSpaceDN/>
        <w:spacing w:beforeLines="0" w:beforeAutospacing="0" w:afterLines="0" w:afterAutospacing="0" w:line="360" w:lineRule="auto"/>
        <w:rPr>
          <w:rFonts w:hint="eastAsia" w:ascii="宋体" w:hAnsi="宋体" w:eastAsia="宋体" w:cs="宋体"/>
          <w:b/>
          <w:color w:val="000000"/>
          <w:kern w:val="44"/>
          <w:sz w:val="32"/>
          <w:szCs w:val="32"/>
        </w:rPr>
      </w:pPr>
      <w:bookmarkStart w:id="53" w:name="_Toc9421"/>
      <w:r>
        <w:rPr>
          <w:rFonts w:hint="eastAsia" w:ascii="宋体" w:hAnsi="宋体" w:eastAsia="宋体" w:cs="宋体"/>
          <w:b/>
          <w:color w:val="000000"/>
          <w:kern w:val="44"/>
          <w:sz w:val="32"/>
          <w:szCs w:val="32"/>
        </w:rPr>
        <w:t>四、绩效评价指标分析</w:t>
      </w:r>
      <w:bookmarkEnd w:id="53"/>
    </w:p>
    <w:p w14:paraId="47E2E176">
      <w:pPr>
        <w:pStyle w:val="3"/>
        <w:keepNext/>
        <w:keepLines/>
        <w:widowControl w:val="0"/>
        <w:suppressLineNumbers w:val="0"/>
        <w:autoSpaceDE w:val="0"/>
        <w:autoSpaceDN/>
        <w:spacing w:beforeLines="0" w:beforeAutospacing="0" w:afterLines="0" w:afterAutospacing="0" w:line="360" w:lineRule="auto"/>
        <w:rPr>
          <w:rFonts w:hint="eastAsia" w:ascii="宋体" w:hAnsi="宋体" w:eastAsia="宋体" w:cs="宋体"/>
          <w:b/>
          <w:bCs w:val="0"/>
          <w:color w:val="000000"/>
          <w:kern w:val="2"/>
          <w:sz w:val="32"/>
          <w:szCs w:val="32"/>
        </w:rPr>
      </w:pPr>
      <w:bookmarkStart w:id="54" w:name="_Toc15355"/>
      <w:r>
        <w:rPr>
          <w:rFonts w:hint="eastAsia" w:ascii="宋体" w:hAnsi="宋体" w:eastAsia="宋体" w:cs="宋体"/>
          <w:b/>
          <w:bCs w:val="0"/>
          <w:color w:val="000000"/>
          <w:kern w:val="2"/>
          <w:sz w:val="32"/>
          <w:szCs w:val="32"/>
        </w:rPr>
        <w:t>（一）项目决策情况</w:t>
      </w:r>
      <w:bookmarkEnd w:id="54"/>
    </w:p>
    <w:p w14:paraId="3937BF28">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项目决策由3个二级指标和6个三级指标构成，权重分20分，实际得</w:t>
      </w:r>
      <w:r>
        <w:rPr>
          <w:rFonts w:hint="eastAsia" w:ascii="宋体" w:hAnsi="宋体" w:eastAsia="宋体" w:cs="宋体"/>
          <w:color w:val="auto"/>
          <w:kern w:val="2"/>
          <w:sz w:val="28"/>
          <w:szCs w:val="28"/>
          <w:lang w:val="en-US" w:eastAsia="zh-CN" w:bidi="ar"/>
        </w:rPr>
        <w:t>分19.6分</w:t>
      </w:r>
      <w:r>
        <w:rPr>
          <w:rFonts w:hint="eastAsia" w:ascii="宋体" w:hAnsi="宋体" w:eastAsia="宋体" w:cs="宋体"/>
          <w:kern w:val="2"/>
          <w:sz w:val="28"/>
          <w:szCs w:val="28"/>
          <w:lang w:val="en-US" w:eastAsia="zh-CN" w:bidi="ar"/>
        </w:rPr>
        <w:t>，各指标业绩值和绩效分值如表</w:t>
      </w:r>
      <w:r>
        <w:rPr>
          <w:rFonts w:hint="eastAsia" w:ascii="宋体" w:hAnsi="宋体" w:eastAsia="宋体" w:cs="宋体"/>
          <w:b/>
          <w:kern w:val="2"/>
          <w:sz w:val="28"/>
          <w:szCs w:val="28"/>
          <w:lang w:val="en-US" w:eastAsia="zh-CN" w:bidi="ar"/>
        </w:rPr>
        <w:t>4-1</w:t>
      </w:r>
      <w:r>
        <w:rPr>
          <w:rFonts w:hint="eastAsia" w:ascii="宋体" w:hAnsi="宋体" w:eastAsia="宋体" w:cs="宋体"/>
          <w:kern w:val="2"/>
          <w:sz w:val="28"/>
          <w:szCs w:val="28"/>
          <w:lang w:val="en-US" w:eastAsia="zh-CN" w:bidi="ar"/>
        </w:rPr>
        <w:t>所示</w:t>
      </w:r>
      <w:r>
        <w:rPr>
          <w:rFonts w:hint="eastAsia" w:ascii="宋体" w:hAnsi="宋体" w:eastAsia="宋体" w:cs="宋体"/>
          <w:b/>
          <w:kern w:val="2"/>
          <w:sz w:val="28"/>
          <w:szCs w:val="28"/>
          <w:lang w:val="en-US" w:eastAsia="zh-CN" w:bidi="ar"/>
        </w:rPr>
        <w:t>（详见上传的附件）</w:t>
      </w:r>
      <w:r>
        <w:rPr>
          <w:rFonts w:hint="eastAsia" w:ascii="宋体" w:hAnsi="宋体" w:eastAsia="宋体" w:cs="宋体"/>
          <w:kern w:val="2"/>
          <w:sz w:val="28"/>
          <w:szCs w:val="28"/>
          <w:lang w:val="en-US" w:eastAsia="zh-CN" w:bidi="ar"/>
        </w:rPr>
        <w:t>：</w:t>
      </w:r>
    </w:p>
    <w:p w14:paraId="6406EE5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lang w:val="en-US" w:eastAsia="zh-CN" w:bidi="ar"/>
        </w:rPr>
        <w:t>表4-1项目决策指标及分值</w:t>
      </w:r>
    </w:p>
    <w:tbl>
      <w:tblPr>
        <w:tblStyle w:val="8"/>
        <w:tblW w:w="84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074"/>
        <w:gridCol w:w="958"/>
        <w:gridCol w:w="1245"/>
        <w:gridCol w:w="792"/>
        <w:gridCol w:w="2"/>
        <w:gridCol w:w="1864"/>
        <w:gridCol w:w="2"/>
        <w:gridCol w:w="1411"/>
        <w:gridCol w:w="2"/>
        <w:gridCol w:w="1071"/>
        <w:gridCol w:w="19"/>
      </w:tblGrid>
      <w:tr w14:paraId="4FBE3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19" w:type="dxa"/>
          <w:trHeight w:val="522" w:hRule="atLeast"/>
          <w:jc w:val="center"/>
        </w:trPr>
        <w:tc>
          <w:tcPr>
            <w:tcW w:w="1074" w:type="dxa"/>
            <w:tcBorders>
              <w:tl2br w:val="nil"/>
              <w:tr2bl w:val="nil"/>
            </w:tcBorders>
            <w:shd w:val="clear" w:color="auto" w:fill="auto"/>
            <w:tcMar>
              <w:top w:w="12" w:type="dxa"/>
              <w:left w:w="12" w:type="dxa"/>
              <w:right w:w="12" w:type="dxa"/>
            </w:tcMar>
            <w:vAlign w:val="center"/>
          </w:tcPr>
          <w:p w14:paraId="0C34595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一级指标</w:t>
            </w:r>
          </w:p>
        </w:tc>
        <w:tc>
          <w:tcPr>
            <w:tcW w:w="958" w:type="dxa"/>
            <w:tcBorders>
              <w:tl2br w:val="nil"/>
              <w:tr2bl w:val="nil"/>
            </w:tcBorders>
            <w:shd w:val="clear" w:color="auto" w:fill="auto"/>
            <w:tcMar>
              <w:top w:w="12" w:type="dxa"/>
              <w:left w:w="12" w:type="dxa"/>
              <w:right w:w="12" w:type="dxa"/>
            </w:tcMar>
            <w:vAlign w:val="center"/>
          </w:tcPr>
          <w:p w14:paraId="33A2BB24">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分值</w:t>
            </w:r>
          </w:p>
        </w:tc>
        <w:tc>
          <w:tcPr>
            <w:tcW w:w="1245" w:type="dxa"/>
            <w:tcBorders>
              <w:tl2br w:val="nil"/>
              <w:tr2bl w:val="nil"/>
            </w:tcBorders>
            <w:shd w:val="clear" w:color="auto" w:fill="auto"/>
            <w:tcMar>
              <w:top w:w="12" w:type="dxa"/>
              <w:left w:w="12" w:type="dxa"/>
              <w:right w:w="12" w:type="dxa"/>
            </w:tcMar>
            <w:vAlign w:val="center"/>
          </w:tcPr>
          <w:p w14:paraId="4F1D2F3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二级指标</w:t>
            </w:r>
          </w:p>
        </w:tc>
        <w:tc>
          <w:tcPr>
            <w:tcW w:w="792" w:type="dxa"/>
            <w:tcBorders>
              <w:tl2br w:val="nil"/>
              <w:tr2bl w:val="nil"/>
            </w:tcBorders>
            <w:shd w:val="clear" w:color="auto" w:fill="auto"/>
            <w:tcMar>
              <w:top w:w="12" w:type="dxa"/>
              <w:left w:w="12" w:type="dxa"/>
              <w:right w:w="12" w:type="dxa"/>
            </w:tcMar>
            <w:vAlign w:val="center"/>
          </w:tcPr>
          <w:p w14:paraId="4F7DB69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分值</w:t>
            </w:r>
          </w:p>
        </w:tc>
        <w:tc>
          <w:tcPr>
            <w:tcW w:w="1866" w:type="dxa"/>
            <w:gridSpan w:val="2"/>
            <w:tcBorders>
              <w:tl2br w:val="nil"/>
              <w:tr2bl w:val="nil"/>
            </w:tcBorders>
            <w:shd w:val="clear" w:color="auto" w:fill="auto"/>
            <w:tcMar>
              <w:top w:w="12" w:type="dxa"/>
              <w:left w:w="12" w:type="dxa"/>
              <w:right w:w="12" w:type="dxa"/>
            </w:tcMar>
            <w:vAlign w:val="center"/>
          </w:tcPr>
          <w:p w14:paraId="6779BBD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三级指标</w:t>
            </w:r>
          </w:p>
        </w:tc>
        <w:tc>
          <w:tcPr>
            <w:tcW w:w="1413" w:type="dxa"/>
            <w:gridSpan w:val="2"/>
            <w:tcBorders>
              <w:tl2br w:val="nil"/>
              <w:tr2bl w:val="nil"/>
            </w:tcBorders>
            <w:shd w:val="clear" w:color="auto" w:fill="auto"/>
            <w:tcMar>
              <w:top w:w="12" w:type="dxa"/>
              <w:left w:w="12" w:type="dxa"/>
              <w:right w:w="12" w:type="dxa"/>
            </w:tcMar>
            <w:vAlign w:val="center"/>
          </w:tcPr>
          <w:p w14:paraId="46A0801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分值</w:t>
            </w:r>
          </w:p>
        </w:tc>
        <w:tc>
          <w:tcPr>
            <w:tcW w:w="1073" w:type="dxa"/>
            <w:gridSpan w:val="2"/>
            <w:tcBorders>
              <w:tl2br w:val="nil"/>
              <w:tr2bl w:val="nil"/>
            </w:tcBorders>
            <w:shd w:val="clear" w:color="auto" w:fill="auto"/>
            <w:tcMar>
              <w:top w:w="12" w:type="dxa"/>
              <w:left w:w="12" w:type="dxa"/>
              <w:right w:w="12" w:type="dxa"/>
            </w:tcMar>
            <w:vAlign w:val="center"/>
          </w:tcPr>
          <w:p w14:paraId="0ECA44E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得分</w:t>
            </w:r>
          </w:p>
        </w:tc>
      </w:tr>
      <w:tr w14:paraId="6DB79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19" w:type="dxa"/>
          <w:trHeight w:val="334" w:hRule="atLeast"/>
          <w:jc w:val="center"/>
        </w:trPr>
        <w:tc>
          <w:tcPr>
            <w:tcW w:w="1074" w:type="dxa"/>
            <w:vMerge w:val="restart"/>
            <w:tcBorders>
              <w:tl2br w:val="nil"/>
              <w:tr2bl w:val="nil"/>
            </w:tcBorders>
            <w:shd w:val="clear" w:color="auto" w:fill="auto"/>
            <w:tcMar>
              <w:top w:w="12" w:type="dxa"/>
              <w:left w:w="12" w:type="dxa"/>
              <w:right w:w="12" w:type="dxa"/>
            </w:tcMar>
            <w:vAlign w:val="center"/>
          </w:tcPr>
          <w:p w14:paraId="7889452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项目决策</w:t>
            </w:r>
          </w:p>
        </w:tc>
        <w:tc>
          <w:tcPr>
            <w:tcW w:w="958" w:type="dxa"/>
            <w:vMerge w:val="restart"/>
            <w:tcBorders>
              <w:tl2br w:val="nil"/>
              <w:tr2bl w:val="nil"/>
            </w:tcBorders>
            <w:shd w:val="clear" w:color="auto" w:fill="auto"/>
            <w:tcMar>
              <w:top w:w="12" w:type="dxa"/>
              <w:left w:w="12" w:type="dxa"/>
              <w:right w:w="12" w:type="dxa"/>
            </w:tcMar>
            <w:vAlign w:val="center"/>
          </w:tcPr>
          <w:p w14:paraId="38FE234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20</w:t>
            </w:r>
          </w:p>
        </w:tc>
        <w:tc>
          <w:tcPr>
            <w:tcW w:w="1245" w:type="dxa"/>
            <w:vMerge w:val="restart"/>
            <w:tcBorders>
              <w:tl2br w:val="nil"/>
              <w:tr2bl w:val="nil"/>
            </w:tcBorders>
            <w:shd w:val="clear" w:color="auto" w:fill="auto"/>
            <w:tcMar>
              <w:top w:w="12" w:type="dxa"/>
              <w:left w:w="12" w:type="dxa"/>
              <w:right w:w="12" w:type="dxa"/>
            </w:tcMar>
            <w:vAlign w:val="center"/>
          </w:tcPr>
          <w:p w14:paraId="5CCAAED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项目立项</w:t>
            </w:r>
          </w:p>
        </w:tc>
        <w:tc>
          <w:tcPr>
            <w:tcW w:w="792" w:type="dxa"/>
            <w:vMerge w:val="restart"/>
            <w:tcBorders>
              <w:tl2br w:val="nil"/>
              <w:tr2bl w:val="nil"/>
            </w:tcBorders>
            <w:shd w:val="clear" w:color="auto" w:fill="auto"/>
            <w:tcMar>
              <w:top w:w="12" w:type="dxa"/>
              <w:left w:w="12" w:type="dxa"/>
              <w:right w:w="12" w:type="dxa"/>
            </w:tcMar>
            <w:vAlign w:val="center"/>
          </w:tcPr>
          <w:p w14:paraId="00E4E43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5</w:t>
            </w:r>
          </w:p>
        </w:tc>
        <w:tc>
          <w:tcPr>
            <w:tcW w:w="1866" w:type="dxa"/>
            <w:gridSpan w:val="2"/>
            <w:tcBorders>
              <w:tl2br w:val="nil"/>
              <w:tr2bl w:val="nil"/>
            </w:tcBorders>
            <w:shd w:val="clear" w:color="auto" w:fill="auto"/>
            <w:tcMar>
              <w:top w:w="12" w:type="dxa"/>
              <w:left w:w="12" w:type="dxa"/>
              <w:right w:w="12" w:type="dxa"/>
            </w:tcMar>
            <w:vAlign w:val="center"/>
          </w:tcPr>
          <w:p w14:paraId="2AABD49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立项依据充分性</w:t>
            </w:r>
          </w:p>
        </w:tc>
        <w:tc>
          <w:tcPr>
            <w:tcW w:w="1413" w:type="dxa"/>
            <w:gridSpan w:val="2"/>
            <w:tcBorders>
              <w:tl2br w:val="nil"/>
              <w:tr2bl w:val="nil"/>
            </w:tcBorders>
            <w:shd w:val="clear" w:color="auto" w:fill="auto"/>
            <w:tcMar>
              <w:top w:w="12" w:type="dxa"/>
              <w:left w:w="12" w:type="dxa"/>
              <w:right w:w="12" w:type="dxa"/>
            </w:tcMar>
            <w:vAlign w:val="center"/>
          </w:tcPr>
          <w:p w14:paraId="0B4A40F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2</w:t>
            </w:r>
          </w:p>
        </w:tc>
        <w:tc>
          <w:tcPr>
            <w:tcW w:w="1073" w:type="dxa"/>
            <w:gridSpan w:val="2"/>
            <w:tcBorders>
              <w:tl2br w:val="nil"/>
              <w:tr2bl w:val="nil"/>
            </w:tcBorders>
            <w:shd w:val="clear" w:color="auto" w:fill="auto"/>
            <w:tcMar>
              <w:top w:w="12" w:type="dxa"/>
              <w:left w:w="12" w:type="dxa"/>
              <w:right w:w="12" w:type="dxa"/>
            </w:tcMar>
            <w:vAlign w:val="center"/>
          </w:tcPr>
          <w:p w14:paraId="751BD7C4">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2</w:t>
            </w:r>
          </w:p>
        </w:tc>
      </w:tr>
      <w:tr w14:paraId="34C4C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19" w:type="dxa"/>
          <w:trHeight w:val="334" w:hRule="atLeast"/>
          <w:jc w:val="center"/>
        </w:trPr>
        <w:tc>
          <w:tcPr>
            <w:tcW w:w="1074" w:type="dxa"/>
            <w:vMerge w:val="continue"/>
            <w:tcBorders>
              <w:tl2br w:val="nil"/>
              <w:tr2bl w:val="nil"/>
            </w:tcBorders>
            <w:shd w:val="clear" w:color="auto" w:fill="auto"/>
            <w:tcMar>
              <w:top w:w="12" w:type="dxa"/>
              <w:left w:w="12" w:type="dxa"/>
              <w:right w:w="12" w:type="dxa"/>
            </w:tcMar>
            <w:vAlign w:val="center"/>
          </w:tcPr>
          <w:p w14:paraId="418FDFE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58" w:type="dxa"/>
            <w:vMerge w:val="continue"/>
            <w:tcBorders>
              <w:tl2br w:val="nil"/>
              <w:tr2bl w:val="nil"/>
            </w:tcBorders>
            <w:shd w:val="clear" w:color="auto" w:fill="auto"/>
            <w:tcMar>
              <w:top w:w="12" w:type="dxa"/>
              <w:left w:w="12" w:type="dxa"/>
              <w:right w:w="12" w:type="dxa"/>
            </w:tcMar>
            <w:vAlign w:val="center"/>
          </w:tcPr>
          <w:p w14:paraId="55318AE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5" w:type="dxa"/>
            <w:vMerge w:val="continue"/>
            <w:tcBorders>
              <w:tl2br w:val="nil"/>
              <w:tr2bl w:val="nil"/>
            </w:tcBorders>
            <w:shd w:val="clear" w:color="auto" w:fill="auto"/>
            <w:tcMar>
              <w:top w:w="12" w:type="dxa"/>
              <w:left w:w="12" w:type="dxa"/>
              <w:right w:w="12" w:type="dxa"/>
            </w:tcMar>
            <w:vAlign w:val="center"/>
          </w:tcPr>
          <w:p w14:paraId="6B00B6B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2" w:type="dxa"/>
            <w:vMerge w:val="continue"/>
            <w:tcBorders>
              <w:tl2br w:val="nil"/>
              <w:tr2bl w:val="nil"/>
            </w:tcBorders>
            <w:shd w:val="clear" w:color="auto" w:fill="auto"/>
            <w:tcMar>
              <w:top w:w="12" w:type="dxa"/>
              <w:left w:w="12" w:type="dxa"/>
              <w:right w:w="12" w:type="dxa"/>
            </w:tcMar>
            <w:vAlign w:val="center"/>
          </w:tcPr>
          <w:p w14:paraId="0B5212A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866" w:type="dxa"/>
            <w:gridSpan w:val="2"/>
            <w:tcBorders>
              <w:tl2br w:val="nil"/>
              <w:tr2bl w:val="nil"/>
            </w:tcBorders>
            <w:shd w:val="clear" w:color="auto" w:fill="auto"/>
            <w:tcMar>
              <w:top w:w="12" w:type="dxa"/>
              <w:left w:w="12" w:type="dxa"/>
              <w:right w:w="12" w:type="dxa"/>
            </w:tcMar>
            <w:vAlign w:val="center"/>
          </w:tcPr>
          <w:p w14:paraId="5F65E83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立项程序规范性</w:t>
            </w:r>
          </w:p>
        </w:tc>
        <w:tc>
          <w:tcPr>
            <w:tcW w:w="1413" w:type="dxa"/>
            <w:gridSpan w:val="2"/>
            <w:tcBorders>
              <w:tl2br w:val="nil"/>
              <w:tr2bl w:val="nil"/>
            </w:tcBorders>
            <w:shd w:val="clear" w:color="auto" w:fill="auto"/>
            <w:tcMar>
              <w:top w:w="12" w:type="dxa"/>
              <w:left w:w="12" w:type="dxa"/>
              <w:right w:w="12" w:type="dxa"/>
            </w:tcMar>
            <w:vAlign w:val="center"/>
          </w:tcPr>
          <w:p w14:paraId="7411F0C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3</w:t>
            </w:r>
          </w:p>
        </w:tc>
        <w:tc>
          <w:tcPr>
            <w:tcW w:w="1073" w:type="dxa"/>
            <w:gridSpan w:val="2"/>
            <w:tcBorders>
              <w:tl2br w:val="nil"/>
              <w:tr2bl w:val="nil"/>
            </w:tcBorders>
            <w:shd w:val="clear" w:color="auto" w:fill="auto"/>
            <w:tcMar>
              <w:top w:w="12" w:type="dxa"/>
              <w:left w:w="12" w:type="dxa"/>
              <w:right w:w="12" w:type="dxa"/>
            </w:tcMar>
            <w:vAlign w:val="center"/>
          </w:tcPr>
          <w:p w14:paraId="0A07B2C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2.6</w:t>
            </w:r>
          </w:p>
        </w:tc>
      </w:tr>
      <w:tr w14:paraId="4FFC51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19" w:type="dxa"/>
          <w:trHeight w:val="334" w:hRule="atLeast"/>
          <w:jc w:val="center"/>
        </w:trPr>
        <w:tc>
          <w:tcPr>
            <w:tcW w:w="1074" w:type="dxa"/>
            <w:vMerge w:val="continue"/>
            <w:tcBorders>
              <w:tl2br w:val="nil"/>
              <w:tr2bl w:val="nil"/>
            </w:tcBorders>
            <w:shd w:val="clear" w:color="auto" w:fill="auto"/>
            <w:tcMar>
              <w:top w:w="12" w:type="dxa"/>
              <w:left w:w="12" w:type="dxa"/>
              <w:right w:w="12" w:type="dxa"/>
            </w:tcMar>
            <w:vAlign w:val="center"/>
          </w:tcPr>
          <w:p w14:paraId="4C1C6A6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58" w:type="dxa"/>
            <w:vMerge w:val="continue"/>
            <w:tcBorders>
              <w:tl2br w:val="nil"/>
              <w:tr2bl w:val="nil"/>
            </w:tcBorders>
            <w:shd w:val="clear" w:color="auto" w:fill="auto"/>
            <w:tcMar>
              <w:top w:w="12" w:type="dxa"/>
              <w:left w:w="12" w:type="dxa"/>
              <w:right w:w="12" w:type="dxa"/>
            </w:tcMar>
            <w:vAlign w:val="center"/>
          </w:tcPr>
          <w:p w14:paraId="43DFCB2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5" w:type="dxa"/>
            <w:vMerge w:val="restart"/>
            <w:tcBorders>
              <w:tl2br w:val="nil"/>
              <w:tr2bl w:val="nil"/>
            </w:tcBorders>
            <w:shd w:val="clear" w:color="auto" w:fill="auto"/>
            <w:tcMar>
              <w:top w:w="12" w:type="dxa"/>
              <w:left w:w="12" w:type="dxa"/>
              <w:right w:w="12" w:type="dxa"/>
            </w:tcMar>
            <w:vAlign w:val="center"/>
          </w:tcPr>
          <w:p w14:paraId="33CE8C3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绩效目标</w:t>
            </w:r>
          </w:p>
        </w:tc>
        <w:tc>
          <w:tcPr>
            <w:tcW w:w="792" w:type="dxa"/>
            <w:vMerge w:val="restart"/>
            <w:tcBorders>
              <w:tl2br w:val="nil"/>
              <w:tr2bl w:val="nil"/>
            </w:tcBorders>
            <w:shd w:val="clear" w:color="auto" w:fill="auto"/>
            <w:tcMar>
              <w:top w:w="12" w:type="dxa"/>
              <w:left w:w="12" w:type="dxa"/>
              <w:right w:w="12" w:type="dxa"/>
            </w:tcMar>
            <w:vAlign w:val="center"/>
          </w:tcPr>
          <w:p w14:paraId="2E3AE704">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10</w:t>
            </w:r>
          </w:p>
        </w:tc>
        <w:tc>
          <w:tcPr>
            <w:tcW w:w="1866" w:type="dxa"/>
            <w:gridSpan w:val="2"/>
            <w:tcBorders>
              <w:tl2br w:val="nil"/>
              <w:tr2bl w:val="nil"/>
            </w:tcBorders>
            <w:shd w:val="clear" w:color="auto" w:fill="auto"/>
            <w:tcMar>
              <w:top w:w="12" w:type="dxa"/>
              <w:left w:w="12" w:type="dxa"/>
              <w:right w:w="12" w:type="dxa"/>
            </w:tcMar>
            <w:vAlign w:val="center"/>
          </w:tcPr>
          <w:p w14:paraId="2A0F466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绩效目标合理性</w:t>
            </w:r>
          </w:p>
        </w:tc>
        <w:tc>
          <w:tcPr>
            <w:tcW w:w="1413" w:type="dxa"/>
            <w:gridSpan w:val="2"/>
            <w:tcBorders>
              <w:tl2br w:val="nil"/>
              <w:tr2bl w:val="nil"/>
            </w:tcBorders>
            <w:shd w:val="clear" w:color="auto" w:fill="auto"/>
            <w:tcMar>
              <w:top w:w="12" w:type="dxa"/>
              <w:left w:w="12" w:type="dxa"/>
              <w:right w:w="12" w:type="dxa"/>
            </w:tcMar>
            <w:vAlign w:val="center"/>
          </w:tcPr>
          <w:p w14:paraId="428B4CB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5</w:t>
            </w:r>
          </w:p>
        </w:tc>
        <w:tc>
          <w:tcPr>
            <w:tcW w:w="1073" w:type="dxa"/>
            <w:gridSpan w:val="2"/>
            <w:tcBorders>
              <w:tl2br w:val="nil"/>
              <w:tr2bl w:val="nil"/>
            </w:tcBorders>
            <w:shd w:val="clear" w:color="auto" w:fill="auto"/>
            <w:tcMar>
              <w:top w:w="12" w:type="dxa"/>
              <w:left w:w="12" w:type="dxa"/>
              <w:right w:w="12" w:type="dxa"/>
            </w:tcMar>
            <w:vAlign w:val="center"/>
          </w:tcPr>
          <w:p w14:paraId="43F6827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w:t>
            </w:r>
          </w:p>
        </w:tc>
      </w:tr>
      <w:tr w14:paraId="45F89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19" w:type="dxa"/>
          <w:trHeight w:val="334" w:hRule="atLeast"/>
          <w:jc w:val="center"/>
        </w:trPr>
        <w:tc>
          <w:tcPr>
            <w:tcW w:w="1074" w:type="dxa"/>
            <w:vMerge w:val="continue"/>
            <w:tcBorders>
              <w:tl2br w:val="nil"/>
              <w:tr2bl w:val="nil"/>
            </w:tcBorders>
            <w:shd w:val="clear" w:color="auto" w:fill="auto"/>
            <w:tcMar>
              <w:top w:w="12" w:type="dxa"/>
              <w:left w:w="12" w:type="dxa"/>
              <w:right w:w="12" w:type="dxa"/>
            </w:tcMar>
            <w:vAlign w:val="center"/>
          </w:tcPr>
          <w:p w14:paraId="296B1A8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58" w:type="dxa"/>
            <w:vMerge w:val="continue"/>
            <w:tcBorders>
              <w:tl2br w:val="nil"/>
              <w:tr2bl w:val="nil"/>
            </w:tcBorders>
            <w:shd w:val="clear" w:color="auto" w:fill="auto"/>
            <w:tcMar>
              <w:top w:w="12" w:type="dxa"/>
              <w:left w:w="12" w:type="dxa"/>
              <w:right w:w="12" w:type="dxa"/>
            </w:tcMar>
            <w:vAlign w:val="center"/>
          </w:tcPr>
          <w:p w14:paraId="26C8E89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5" w:type="dxa"/>
            <w:vMerge w:val="continue"/>
            <w:tcBorders>
              <w:tl2br w:val="nil"/>
              <w:tr2bl w:val="nil"/>
            </w:tcBorders>
            <w:shd w:val="clear" w:color="auto" w:fill="auto"/>
            <w:tcMar>
              <w:top w:w="12" w:type="dxa"/>
              <w:left w:w="12" w:type="dxa"/>
              <w:right w:w="12" w:type="dxa"/>
            </w:tcMar>
            <w:vAlign w:val="center"/>
          </w:tcPr>
          <w:p w14:paraId="4D24173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2" w:type="dxa"/>
            <w:vMerge w:val="continue"/>
            <w:tcBorders>
              <w:tl2br w:val="nil"/>
              <w:tr2bl w:val="nil"/>
            </w:tcBorders>
            <w:shd w:val="clear" w:color="auto" w:fill="auto"/>
            <w:tcMar>
              <w:top w:w="12" w:type="dxa"/>
              <w:left w:w="12" w:type="dxa"/>
              <w:right w:w="12" w:type="dxa"/>
            </w:tcMar>
            <w:vAlign w:val="center"/>
          </w:tcPr>
          <w:p w14:paraId="0B2E5F1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866" w:type="dxa"/>
            <w:gridSpan w:val="2"/>
            <w:tcBorders>
              <w:tl2br w:val="nil"/>
              <w:tr2bl w:val="nil"/>
            </w:tcBorders>
            <w:shd w:val="clear" w:color="auto" w:fill="auto"/>
            <w:tcMar>
              <w:top w:w="12" w:type="dxa"/>
              <w:left w:w="12" w:type="dxa"/>
              <w:right w:w="12" w:type="dxa"/>
            </w:tcMar>
            <w:vAlign w:val="center"/>
          </w:tcPr>
          <w:p w14:paraId="524E89C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绩效指标明确性</w:t>
            </w:r>
          </w:p>
        </w:tc>
        <w:tc>
          <w:tcPr>
            <w:tcW w:w="1413" w:type="dxa"/>
            <w:gridSpan w:val="2"/>
            <w:tcBorders>
              <w:tl2br w:val="nil"/>
              <w:tr2bl w:val="nil"/>
            </w:tcBorders>
            <w:shd w:val="clear" w:color="auto" w:fill="auto"/>
            <w:tcMar>
              <w:top w:w="12" w:type="dxa"/>
              <w:left w:w="12" w:type="dxa"/>
              <w:right w:w="12" w:type="dxa"/>
            </w:tcMar>
            <w:vAlign w:val="center"/>
          </w:tcPr>
          <w:p w14:paraId="14AEB1F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5</w:t>
            </w:r>
          </w:p>
        </w:tc>
        <w:tc>
          <w:tcPr>
            <w:tcW w:w="1073" w:type="dxa"/>
            <w:gridSpan w:val="2"/>
            <w:tcBorders>
              <w:tl2br w:val="nil"/>
              <w:tr2bl w:val="nil"/>
            </w:tcBorders>
            <w:shd w:val="clear" w:color="auto" w:fill="auto"/>
            <w:tcMar>
              <w:top w:w="12" w:type="dxa"/>
              <w:left w:w="12" w:type="dxa"/>
              <w:right w:w="12" w:type="dxa"/>
            </w:tcMar>
            <w:vAlign w:val="center"/>
          </w:tcPr>
          <w:p w14:paraId="1463D3C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w:t>
            </w:r>
          </w:p>
        </w:tc>
      </w:tr>
      <w:tr w14:paraId="578A68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19" w:type="dxa"/>
          <w:trHeight w:val="334" w:hRule="atLeast"/>
          <w:jc w:val="center"/>
        </w:trPr>
        <w:tc>
          <w:tcPr>
            <w:tcW w:w="1074" w:type="dxa"/>
            <w:vMerge w:val="continue"/>
            <w:tcBorders>
              <w:tl2br w:val="nil"/>
              <w:tr2bl w:val="nil"/>
            </w:tcBorders>
            <w:shd w:val="clear" w:color="auto" w:fill="auto"/>
            <w:tcMar>
              <w:top w:w="12" w:type="dxa"/>
              <w:left w:w="12" w:type="dxa"/>
              <w:right w:w="12" w:type="dxa"/>
            </w:tcMar>
            <w:vAlign w:val="center"/>
          </w:tcPr>
          <w:p w14:paraId="11C74C8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58" w:type="dxa"/>
            <w:vMerge w:val="continue"/>
            <w:tcBorders>
              <w:tl2br w:val="nil"/>
              <w:tr2bl w:val="nil"/>
            </w:tcBorders>
            <w:shd w:val="clear" w:color="auto" w:fill="auto"/>
            <w:tcMar>
              <w:top w:w="12" w:type="dxa"/>
              <w:left w:w="12" w:type="dxa"/>
              <w:right w:w="12" w:type="dxa"/>
            </w:tcMar>
            <w:vAlign w:val="center"/>
          </w:tcPr>
          <w:p w14:paraId="1504166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5" w:type="dxa"/>
            <w:vMerge w:val="restart"/>
            <w:tcBorders>
              <w:tl2br w:val="nil"/>
              <w:tr2bl w:val="nil"/>
            </w:tcBorders>
            <w:shd w:val="clear" w:color="auto" w:fill="auto"/>
            <w:tcMar>
              <w:top w:w="12" w:type="dxa"/>
              <w:left w:w="12" w:type="dxa"/>
              <w:right w:w="12" w:type="dxa"/>
            </w:tcMar>
            <w:vAlign w:val="center"/>
          </w:tcPr>
          <w:p w14:paraId="6F15099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资金投入</w:t>
            </w:r>
          </w:p>
        </w:tc>
        <w:tc>
          <w:tcPr>
            <w:tcW w:w="792" w:type="dxa"/>
            <w:vMerge w:val="restart"/>
            <w:tcBorders>
              <w:tl2br w:val="nil"/>
              <w:tr2bl w:val="nil"/>
            </w:tcBorders>
            <w:shd w:val="clear" w:color="auto" w:fill="auto"/>
            <w:tcMar>
              <w:top w:w="12" w:type="dxa"/>
              <w:left w:w="12" w:type="dxa"/>
              <w:right w:w="12" w:type="dxa"/>
            </w:tcMar>
            <w:vAlign w:val="center"/>
          </w:tcPr>
          <w:p w14:paraId="4C46765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5</w:t>
            </w:r>
          </w:p>
        </w:tc>
        <w:tc>
          <w:tcPr>
            <w:tcW w:w="1866" w:type="dxa"/>
            <w:gridSpan w:val="2"/>
            <w:tcBorders>
              <w:tl2br w:val="nil"/>
              <w:tr2bl w:val="nil"/>
            </w:tcBorders>
            <w:shd w:val="clear" w:color="auto" w:fill="auto"/>
            <w:tcMar>
              <w:top w:w="12" w:type="dxa"/>
              <w:left w:w="12" w:type="dxa"/>
              <w:right w:w="12" w:type="dxa"/>
            </w:tcMar>
            <w:vAlign w:val="center"/>
          </w:tcPr>
          <w:p w14:paraId="4DE281A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预算编制科学性</w:t>
            </w:r>
          </w:p>
        </w:tc>
        <w:tc>
          <w:tcPr>
            <w:tcW w:w="1413" w:type="dxa"/>
            <w:gridSpan w:val="2"/>
            <w:tcBorders>
              <w:tl2br w:val="nil"/>
              <w:tr2bl w:val="nil"/>
            </w:tcBorders>
            <w:shd w:val="clear" w:color="auto" w:fill="auto"/>
            <w:tcMar>
              <w:top w:w="12" w:type="dxa"/>
              <w:left w:w="12" w:type="dxa"/>
              <w:right w:w="12" w:type="dxa"/>
            </w:tcMar>
            <w:vAlign w:val="center"/>
          </w:tcPr>
          <w:p w14:paraId="2D6B06E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2</w:t>
            </w:r>
          </w:p>
        </w:tc>
        <w:tc>
          <w:tcPr>
            <w:tcW w:w="1073" w:type="dxa"/>
            <w:gridSpan w:val="2"/>
            <w:tcBorders>
              <w:tl2br w:val="nil"/>
              <w:tr2bl w:val="nil"/>
            </w:tcBorders>
            <w:shd w:val="clear" w:color="auto" w:fill="auto"/>
            <w:tcMar>
              <w:top w:w="12" w:type="dxa"/>
              <w:left w:w="12" w:type="dxa"/>
              <w:right w:w="12" w:type="dxa"/>
            </w:tcMar>
            <w:vAlign w:val="center"/>
          </w:tcPr>
          <w:p w14:paraId="5233269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w:t>
            </w:r>
          </w:p>
        </w:tc>
      </w:tr>
      <w:tr w14:paraId="12B72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19" w:type="dxa"/>
          <w:trHeight w:val="334" w:hRule="atLeast"/>
          <w:jc w:val="center"/>
        </w:trPr>
        <w:tc>
          <w:tcPr>
            <w:tcW w:w="1074" w:type="dxa"/>
            <w:vMerge w:val="continue"/>
            <w:tcBorders>
              <w:tl2br w:val="nil"/>
              <w:tr2bl w:val="nil"/>
            </w:tcBorders>
            <w:shd w:val="clear" w:color="auto" w:fill="auto"/>
            <w:tcMar>
              <w:top w:w="12" w:type="dxa"/>
              <w:left w:w="12" w:type="dxa"/>
              <w:right w:w="12" w:type="dxa"/>
            </w:tcMar>
            <w:vAlign w:val="center"/>
          </w:tcPr>
          <w:p w14:paraId="4596A2E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58" w:type="dxa"/>
            <w:vMerge w:val="continue"/>
            <w:tcBorders>
              <w:tl2br w:val="nil"/>
              <w:tr2bl w:val="nil"/>
            </w:tcBorders>
            <w:shd w:val="clear" w:color="auto" w:fill="auto"/>
            <w:tcMar>
              <w:top w:w="12" w:type="dxa"/>
              <w:left w:w="12" w:type="dxa"/>
              <w:right w:w="12" w:type="dxa"/>
            </w:tcMar>
            <w:vAlign w:val="center"/>
          </w:tcPr>
          <w:p w14:paraId="0511F9A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5" w:type="dxa"/>
            <w:vMerge w:val="continue"/>
            <w:tcBorders>
              <w:tl2br w:val="nil"/>
              <w:tr2bl w:val="nil"/>
            </w:tcBorders>
            <w:shd w:val="clear" w:color="auto" w:fill="auto"/>
            <w:tcMar>
              <w:top w:w="12" w:type="dxa"/>
              <w:left w:w="12" w:type="dxa"/>
              <w:right w:w="12" w:type="dxa"/>
            </w:tcMar>
            <w:vAlign w:val="center"/>
          </w:tcPr>
          <w:p w14:paraId="118FC11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2" w:type="dxa"/>
            <w:vMerge w:val="continue"/>
            <w:tcBorders>
              <w:tl2br w:val="nil"/>
              <w:tr2bl w:val="nil"/>
            </w:tcBorders>
            <w:shd w:val="clear" w:color="auto" w:fill="auto"/>
            <w:tcMar>
              <w:top w:w="12" w:type="dxa"/>
              <w:left w:w="12" w:type="dxa"/>
              <w:right w:w="12" w:type="dxa"/>
            </w:tcMar>
            <w:vAlign w:val="center"/>
          </w:tcPr>
          <w:p w14:paraId="6441586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866" w:type="dxa"/>
            <w:gridSpan w:val="2"/>
            <w:tcBorders>
              <w:tl2br w:val="nil"/>
              <w:tr2bl w:val="nil"/>
            </w:tcBorders>
            <w:shd w:val="clear" w:color="auto" w:fill="auto"/>
            <w:tcMar>
              <w:top w:w="12" w:type="dxa"/>
              <w:left w:w="12" w:type="dxa"/>
              <w:right w:w="12" w:type="dxa"/>
            </w:tcMar>
            <w:vAlign w:val="center"/>
          </w:tcPr>
          <w:p w14:paraId="77E5129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资金分配合理性</w:t>
            </w:r>
          </w:p>
        </w:tc>
        <w:tc>
          <w:tcPr>
            <w:tcW w:w="1413" w:type="dxa"/>
            <w:gridSpan w:val="2"/>
            <w:tcBorders>
              <w:tl2br w:val="nil"/>
              <w:tr2bl w:val="nil"/>
            </w:tcBorders>
            <w:shd w:val="clear" w:color="auto" w:fill="auto"/>
            <w:tcMar>
              <w:top w:w="12" w:type="dxa"/>
              <w:left w:w="12" w:type="dxa"/>
              <w:right w:w="12" w:type="dxa"/>
            </w:tcMar>
            <w:vAlign w:val="center"/>
          </w:tcPr>
          <w:p w14:paraId="503EE96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3</w:t>
            </w:r>
          </w:p>
        </w:tc>
        <w:tc>
          <w:tcPr>
            <w:tcW w:w="1073" w:type="dxa"/>
            <w:gridSpan w:val="2"/>
            <w:tcBorders>
              <w:tl2br w:val="nil"/>
              <w:tr2bl w:val="nil"/>
            </w:tcBorders>
            <w:shd w:val="clear" w:color="auto" w:fill="auto"/>
            <w:tcMar>
              <w:top w:w="12" w:type="dxa"/>
              <w:left w:w="12" w:type="dxa"/>
              <w:right w:w="12" w:type="dxa"/>
            </w:tcMar>
            <w:vAlign w:val="center"/>
          </w:tcPr>
          <w:p w14:paraId="1B58A44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w:t>
            </w:r>
          </w:p>
        </w:tc>
      </w:tr>
      <w:tr w14:paraId="197CD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4" w:hRule="atLeast"/>
          <w:jc w:val="center"/>
        </w:trPr>
        <w:tc>
          <w:tcPr>
            <w:tcW w:w="3277" w:type="dxa"/>
            <w:gridSpan w:val="3"/>
            <w:tcBorders>
              <w:tl2br w:val="nil"/>
              <w:tr2bl w:val="nil"/>
            </w:tcBorders>
            <w:shd w:val="clear" w:color="auto" w:fill="auto"/>
            <w:tcMar>
              <w:top w:w="12" w:type="dxa"/>
              <w:left w:w="12" w:type="dxa"/>
              <w:right w:w="12" w:type="dxa"/>
            </w:tcMar>
            <w:vAlign w:val="center"/>
          </w:tcPr>
          <w:p w14:paraId="1C7BB89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合计</w:t>
            </w:r>
          </w:p>
        </w:tc>
        <w:tc>
          <w:tcPr>
            <w:tcW w:w="794" w:type="dxa"/>
            <w:gridSpan w:val="2"/>
            <w:tcBorders>
              <w:tl2br w:val="nil"/>
              <w:tr2bl w:val="nil"/>
            </w:tcBorders>
            <w:shd w:val="clear" w:color="auto" w:fill="auto"/>
            <w:tcMar>
              <w:top w:w="12" w:type="dxa"/>
              <w:left w:w="12" w:type="dxa"/>
              <w:right w:w="12" w:type="dxa"/>
            </w:tcMar>
            <w:vAlign w:val="center"/>
          </w:tcPr>
          <w:p w14:paraId="5C2E2AA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20</w:t>
            </w:r>
          </w:p>
        </w:tc>
        <w:tc>
          <w:tcPr>
            <w:tcW w:w="1866" w:type="dxa"/>
            <w:gridSpan w:val="2"/>
            <w:tcBorders>
              <w:tl2br w:val="nil"/>
              <w:tr2bl w:val="nil"/>
            </w:tcBorders>
            <w:shd w:val="clear" w:color="auto" w:fill="auto"/>
            <w:tcMar>
              <w:top w:w="12" w:type="dxa"/>
              <w:left w:w="12" w:type="dxa"/>
              <w:right w:w="12" w:type="dxa"/>
            </w:tcMar>
            <w:vAlign w:val="center"/>
          </w:tcPr>
          <w:p w14:paraId="3157978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p>
        </w:tc>
        <w:tc>
          <w:tcPr>
            <w:tcW w:w="1413" w:type="dxa"/>
            <w:gridSpan w:val="2"/>
            <w:tcBorders>
              <w:tl2br w:val="nil"/>
              <w:tr2bl w:val="nil"/>
            </w:tcBorders>
            <w:shd w:val="clear" w:color="auto" w:fill="auto"/>
            <w:tcMar>
              <w:top w:w="12" w:type="dxa"/>
              <w:left w:w="12" w:type="dxa"/>
              <w:right w:w="12" w:type="dxa"/>
            </w:tcMar>
            <w:vAlign w:val="center"/>
          </w:tcPr>
          <w:p w14:paraId="444B246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20</w:t>
            </w:r>
          </w:p>
        </w:tc>
        <w:tc>
          <w:tcPr>
            <w:tcW w:w="1090" w:type="dxa"/>
            <w:gridSpan w:val="2"/>
            <w:tcBorders>
              <w:tl2br w:val="nil"/>
              <w:tr2bl w:val="nil"/>
            </w:tcBorders>
            <w:shd w:val="clear" w:color="auto" w:fill="auto"/>
            <w:tcMar>
              <w:top w:w="12" w:type="dxa"/>
              <w:left w:w="12" w:type="dxa"/>
              <w:right w:w="12" w:type="dxa"/>
            </w:tcMar>
            <w:vAlign w:val="center"/>
          </w:tcPr>
          <w:p w14:paraId="1660E13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19.6</w:t>
            </w:r>
          </w:p>
        </w:tc>
      </w:tr>
    </w:tbl>
    <w:p w14:paraId="39414B66">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kern w:val="2"/>
          <w:sz w:val="28"/>
          <w:szCs w:val="28"/>
        </w:rPr>
      </w:pPr>
      <w:bookmarkStart w:id="55" w:name="_Toc13522"/>
      <w:r>
        <w:rPr>
          <w:rFonts w:hint="eastAsia" w:ascii="宋体" w:hAnsi="宋体" w:eastAsia="宋体" w:cs="宋体"/>
          <w:b/>
          <w:kern w:val="2"/>
          <w:sz w:val="28"/>
          <w:szCs w:val="28"/>
          <w:lang w:val="en-US" w:eastAsia="zh-CN" w:bidi="ar"/>
        </w:rPr>
        <w:t>1.立项依据充分性</w:t>
      </w:r>
      <w:bookmarkEnd w:id="55"/>
    </w:p>
    <w:p w14:paraId="144936FD">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kern w:val="2"/>
          <w:sz w:val="28"/>
          <w:szCs w:val="28"/>
          <w:lang w:val="en-US" w:eastAsia="zh-CN" w:bidi="ar"/>
        </w:rPr>
        <w:t>①</w:t>
      </w:r>
      <w:r>
        <w:rPr>
          <w:rFonts w:hint="eastAsia" w:ascii="宋体" w:hAnsi="宋体" w:eastAsia="宋体" w:cs="宋体"/>
          <w:color w:val="auto"/>
          <w:kern w:val="2"/>
          <w:sz w:val="28"/>
          <w:szCs w:val="28"/>
          <w:lang w:val="en-US" w:eastAsia="zh-CN" w:bidi="ar"/>
        </w:rPr>
        <w:t>项目立项符合国家法律法规、国民经济发展规划和相关政策；</w:t>
      </w:r>
    </w:p>
    <w:p w14:paraId="744F4F08">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color w:val="auto"/>
          <w:kern w:val="2"/>
          <w:sz w:val="28"/>
          <w:szCs w:val="28"/>
          <w:lang w:val="en-US" w:eastAsia="zh-CN" w:bidi="ar"/>
        </w:rPr>
        <w:t>②项目立项符合行业发展规划和政策要求；</w:t>
      </w:r>
    </w:p>
    <w:p w14:paraId="1A9C1AFA">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color w:val="auto"/>
          <w:kern w:val="2"/>
          <w:sz w:val="28"/>
          <w:szCs w:val="28"/>
          <w:lang w:val="en-US" w:eastAsia="zh-CN" w:bidi="ar"/>
        </w:rPr>
        <w:t>③项目立项与部门职责范围负责全市各乡镇水厂主管网辐射区域内供水保障、农村饮水水质监测、工程建设相符，属</w:t>
      </w:r>
      <w:r>
        <w:rPr>
          <w:rFonts w:hint="eastAsia" w:ascii="宋体" w:hAnsi="宋体" w:eastAsia="宋体" w:cs="宋体"/>
          <w:kern w:val="2"/>
          <w:sz w:val="28"/>
          <w:szCs w:val="28"/>
          <w:lang w:val="en-US" w:eastAsia="zh-CN" w:bidi="ar"/>
        </w:rPr>
        <w:t>于部门履职所需；</w:t>
      </w:r>
    </w:p>
    <w:p w14:paraId="64956D5D">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④项目属于公共财政支持范围，符合中央、地方事权支出责任划分原则；</w:t>
      </w:r>
    </w:p>
    <w:p w14:paraId="79DAD05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⑤项目经</w:t>
      </w:r>
      <w:r>
        <w:rPr>
          <w:rFonts w:hint="eastAsia" w:ascii="宋体" w:hAnsi="宋体" w:eastAsia="宋体" w:cs="宋体"/>
          <w:b w:val="0"/>
          <w:color w:val="auto"/>
          <w:kern w:val="2"/>
          <w:sz w:val="28"/>
          <w:szCs w:val="28"/>
          <w:highlight w:val="none"/>
          <w:shd w:val="clear" w:color="auto" w:fill="auto"/>
          <w:lang w:val="en-US" w:eastAsia="zh-CN" w:bidi="ar-SA"/>
        </w:rPr>
        <w:t>阜发改投资[2022]212号文件进行建设</w:t>
      </w:r>
      <w:r>
        <w:rPr>
          <w:rFonts w:hint="eastAsia" w:ascii="宋体" w:hAnsi="宋体" w:eastAsia="宋体" w:cs="宋体"/>
          <w:kern w:val="2"/>
          <w:sz w:val="28"/>
          <w:szCs w:val="28"/>
          <w:lang w:val="en-US" w:eastAsia="zh-CN" w:bidi="ar"/>
        </w:rPr>
        <w:t>。</w:t>
      </w:r>
    </w:p>
    <w:p w14:paraId="0069367E">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kern w:val="2"/>
          <w:sz w:val="28"/>
          <w:szCs w:val="28"/>
          <w:lang w:val="en-US" w:eastAsia="zh-CN" w:bidi="ar"/>
        </w:rPr>
        <w:t>综上，该项指标满</w:t>
      </w:r>
      <w:r>
        <w:rPr>
          <w:rFonts w:hint="eastAsia" w:ascii="宋体" w:hAnsi="宋体" w:eastAsia="宋体" w:cs="宋体"/>
          <w:b/>
          <w:color w:val="auto"/>
          <w:kern w:val="2"/>
          <w:sz w:val="28"/>
          <w:szCs w:val="28"/>
          <w:lang w:val="en-US" w:eastAsia="zh-CN" w:bidi="ar"/>
        </w:rPr>
        <w:t>分2分，得分2分。</w:t>
      </w:r>
    </w:p>
    <w:p w14:paraId="1E593E29">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kern w:val="2"/>
          <w:sz w:val="28"/>
          <w:szCs w:val="28"/>
        </w:rPr>
      </w:pPr>
      <w:bookmarkStart w:id="56" w:name="_Toc21976"/>
      <w:r>
        <w:rPr>
          <w:rFonts w:hint="eastAsia" w:ascii="宋体" w:hAnsi="宋体" w:eastAsia="宋体" w:cs="宋体"/>
          <w:b/>
          <w:kern w:val="2"/>
          <w:sz w:val="28"/>
          <w:szCs w:val="28"/>
          <w:lang w:val="en-US" w:eastAsia="zh-CN" w:bidi="ar"/>
        </w:rPr>
        <w:t>2.立项程序规范性</w:t>
      </w:r>
      <w:bookmarkEnd w:id="56"/>
    </w:p>
    <w:p w14:paraId="7B816DDC">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①项目按照规定的程序申请设立</w:t>
      </w:r>
      <w:r>
        <w:rPr>
          <w:rFonts w:hint="eastAsia" w:ascii="宋体" w:hAnsi="宋体" w:eastAsia="宋体" w:cs="宋体"/>
          <w:b w:val="0"/>
          <w:color w:val="auto"/>
          <w:kern w:val="2"/>
          <w:sz w:val="28"/>
          <w:szCs w:val="28"/>
          <w:highlight w:val="none"/>
          <w:shd w:val="clear" w:color="auto" w:fill="auto"/>
          <w:lang w:val="en-US" w:eastAsia="zh-CN" w:bidi="ar-SA"/>
        </w:rPr>
        <w:t>经阜发改投资[2022]212号文件批复</w:t>
      </w:r>
      <w:r>
        <w:rPr>
          <w:rFonts w:hint="eastAsia" w:ascii="宋体" w:hAnsi="宋体" w:eastAsia="宋体" w:cs="宋体"/>
          <w:kern w:val="2"/>
          <w:sz w:val="28"/>
          <w:szCs w:val="28"/>
          <w:lang w:val="en-US" w:eastAsia="zh-CN" w:bidi="ar"/>
        </w:rPr>
        <w:t>；</w:t>
      </w:r>
    </w:p>
    <w:p w14:paraId="2D794FB3">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②审批文件符合相关要求；</w:t>
      </w:r>
    </w:p>
    <w:p w14:paraId="3F019726">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③事前经过必要的可行性研究、专家论证、集体决策，未经过风险评估、绩效评估。</w:t>
      </w:r>
    </w:p>
    <w:p w14:paraId="751AE28E">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kern w:val="2"/>
          <w:sz w:val="28"/>
          <w:szCs w:val="28"/>
          <w:lang w:val="en-US" w:eastAsia="zh-CN" w:bidi="ar"/>
        </w:rPr>
        <w:t>综上，该项指标满</w:t>
      </w:r>
      <w:r>
        <w:rPr>
          <w:rFonts w:hint="eastAsia" w:ascii="宋体" w:hAnsi="宋体" w:eastAsia="宋体" w:cs="宋体"/>
          <w:b/>
          <w:color w:val="auto"/>
          <w:kern w:val="2"/>
          <w:sz w:val="28"/>
          <w:szCs w:val="28"/>
          <w:lang w:val="en-US" w:eastAsia="zh-CN" w:bidi="ar"/>
        </w:rPr>
        <w:t>分3分，得分2.6分。</w:t>
      </w:r>
    </w:p>
    <w:p w14:paraId="76EED6F0">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color w:val="auto"/>
          <w:kern w:val="2"/>
          <w:sz w:val="28"/>
          <w:szCs w:val="28"/>
        </w:rPr>
      </w:pPr>
      <w:bookmarkStart w:id="57" w:name="_Toc15382"/>
      <w:r>
        <w:rPr>
          <w:rFonts w:hint="eastAsia" w:ascii="宋体" w:hAnsi="宋体" w:eastAsia="宋体" w:cs="宋体"/>
          <w:b/>
          <w:color w:val="auto"/>
          <w:kern w:val="2"/>
          <w:sz w:val="28"/>
          <w:szCs w:val="28"/>
          <w:lang w:val="en-US" w:eastAsia="zh-CN" w:bidi="ar"/>
        </w:rPr>
        <w:t>3.绩效目标合理性</w:t>
      </w:r>
      <w:bookmarkEnd w:id="57"/>
    </w:p>
    <w:p w14:paraId="6B7BAD5C">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①项目有绩效目标；</w:t>
      </w:r>
    </w:p>
    <w:p w14:paraId="3562916F">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②项目绩效目标与实际工作内容具有相关性；</w:t>
      </w:r>
    </w:p>
    <w:p w14:paraId="3348F50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③项目预期产出效益和效果符合正常的业绩水平；</w:t>
      </w:r>
    </w:p>
    <w:p w14:paraId="7DF80F82">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④与预算确定的项目投资额或资金量相匹配。</w:t>
      </w:r>
    </w:p>
    <w:p w14:paraId="6FD34BAA">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kern w:val="2"/>
          <w:sz w:val="28"/>
          <w:szCs w:val="28"/>
        </w:rPr>
      </w:pPr>
      <w:r>
        <w:rPr>
          <w:rFonts w:hint="eastAsia" w:ascii="宋体" w:hAnsi="宋体" w:eastAsia="宋体" w:cs="宋体"/>
          <w:b/>
          <w:kern w:val="2"/>
          <w:sz w:val="28"/>
          <w:szCs w:val="28"/>
          <w:lang w:val="en-US" w:eastAsia="zh-CN" w:bidi="ar"/>
        </w:rPr>
        <w:t>综上，该项指标满</w:t>
      </w:r>
      <w:r>
        <w:rPr>
          <w:rFonts w:hint="eastAsia" w:ascii="宋体" w:hAnsi="宋体" w:eastAsia="宋体" w:cs="宋体"/>
          <w:b/>
          <w:color w:val="auto"/>
          <w:kern w:val="2"/>
          <w:sz w:val="28"/>
          <w:szCs w:val="28"/>
          <w:lang w:val="en-US" w:eastAsia="zh-CN" w:bidi="ar"/>
        </w:rPr>
        <w:t>分5分，得分5分</w:t>
      </w:r>
      <w:r>
        <w:rPr>
          <w:rFonts w:hint="eastAsia" w:ascii="宋体" w:hAnsi="宋体" w:eastAsia="宋体" w:cs="宋体"/>
          <w:b/>
          <w:kern w:val="2"/>
          <w:sz w:val="28"/>
          <w:szCs w:val="28"/>
          <w:lang w:val="en-US" w:eastAsia="zh-CN" w:bidi="ar"/>
        </w:rPr>
        <w:t>。</w:t>
      </w:r>
    </w:p>
    <w:p w14:paraId="6643F844">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kern w:val="2"/>
          <w:sz w:val="28"/>
          <w:szCs w:val="28"/>
        </w:rPr>
      </w:pPr>
      <w:bookmarkStart w:id="58" w:name="_Toc10650"/>
      <w:r>
        <w:rPr>
          <w:rFonts w:hint="eastAsia" w:ascii="宋体" w:hAnsi="宋体" w:eastAsia="宋体" w:cs="宋体"/>
          <w:b/>
          <w:kern w:val="2"/>
          <w:sz w:val="28"/>
          <w:szCs w:val="28"/>
          <w:lang w:val="en-US" w:eastAsia="zh-CN" w:bidi="ar"/>
        </w:rPr>
        <w:t>4.绩效指标明确性</w:t>
      </w:r>
      <w:bookmarkEnd w:id="58"/>
    </w:p>
    <w:p w14:paraId="159FF072">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①将项目绩效目标细化分解为具体的绩效指标，一级指标4个，二级指标6个，三级指标9个；</w:t>
      </w:r>
    </w:p>
    <w:p w14:paraId="4FB46190">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②通过清晰、可衡量的指标值予以体现，三级指标9个其中定量指标9个，定性指标0个，量化率达到100%；</w:t>
      </w:r>
    </w:p>
    <w:p w14:paraId="752186BB">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③与项目目标任务数或计划数相对应。</w:t>
      </w:r>
    </w:p>
    <w:p w14:paraId="566F8C9E">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kern w:val="2"/>
          <w:sz w:val="28"/>
          <w:szCs w:val="28"/>
        </w:rPr>
      </w:pPr>
      <w:r>
        <w:rPr>
          <w:rFonts w:hint="eastAsia" w:ascii="宋体" w:hAnsi="宋体" w:eastAsia="宋体" w:cs="宋体"/>
          <w:b/>
          <w:kern w:val="2"/>
          <w:sz w:val="28"/>
          <w:szCs w:val="28"/>
          <w:lang w:val="en-US" w:eastAsia="zh-CN" w:bidi="ar"/>
        </w:rPr>
        <w:t>综上，该项指标</w:t>
      </w:r>
      <w:r>
        <w:rPr>
          <w:rFonts w:hint="eastAsia" w:ascii="宋体" w:hAnsi="宋体" w:eastAsia="宋体" w:cs="宋体"/>
          <w:b/>
          <w:color w:val="auto"/>
          <w:kern w:val="2"/>
          <w:sz w:val="28"/>
          <w:szCs w:val="28"/>
          <w:lang w:val="en-US" w:eastAsia="zh-CN" w:bidi="ar"/>
        </w:rPr>
        <w:t>满分5分，得分5分。</w:t>
      </w:r>
    </w:p>
    <w:p w14:paraId="3B62120B">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kern w:val="2"/>
          <w:sz w:val="28"/>
          <w:szCs w:val="28"/>
        </w:rPr>
      </w:pPr>
      <w:bookmarkStart w:id="59" w:name="_Toc19401"/>
      <w:r>
        <w:rPr>
          <w:rFonts w:hint="eastAsia" w:ascii="宋体" w:hAnsi="宋体" w:eastAsia="宋体" w:cs="宋体"/>
          <w:b/>
          <w:kern w:val="2"/>
          <w:sz w:val="28"/>
          <w:szCs w:val="28"/>
          <w:lang w:val="en-US" w:eastAsia="zh-CN" w:bidi="ar"/>
        </w:rPr>
        <w:t>5.预算编制科学性</w:t>
      </w:r>
      <w:bookmarkEnd w:id="59"/>
    </w:p>
    <w:p w14:paraId="4A0BAEC0">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①预算编制经过科学论证；</w:t>
      </w:r>
    </w:p>
    <w:p w14:paraId="677F76A8">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②预算内容与项目内容匹配；</w:t>
      </w:r>
    </w:p>
    <w:p w14:paraId="0B87099B">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③预算额度测算依据充分，按照标准编制；</w:t>
      </w:r>
    </w:p>
    <w:p w14:paraId="55E0F34A">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kern w:val="2"/>
          <w:sz w:val="28"/>
          <w:szCs w:val="28"/>
          <w:lang w:val="en-US" w:eastAsia="zh-CN" w:bidi="ar"/>
        </w:rPr>
        <w:t>④预算确</w:t>
      </w:r>
      <w:r>
        <w:rPr>
          <w:rFonts w:hint="eastAsia" w:ascii="宋体" w:hAnsi="宋体" w:eastAsia="宋体" w:cs="宋体"/>
          <w:color w:val="auto"/>
          <w:kern w:val="2"/>
          <w:sz w:val="28"/>
          <w:szCs w:val="28"/>
          <w:lang w:val="en-US" w:eastAsia="zh-CN" w:bidi="ar"/>
        </w:rPr>
        <w:t>定的项目投资额或资金量与工作任务相匹配。</w:t>
      </w:r>
    </w:p>
    <w:p w14:paraId="7D298EF8">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color w:val="auto"/>
          <w:kern w:val="2"/>
          <w:sz w:val="28"/>
          <w:szCs w:val="28"/>
          <w:lang w:val="en-US" w:eastAsia="zh-CN" w:bidi="ar"/>
        </w:rPr>
        <w:t>综上，该项指标满分2分，得分2分。</w:t>
      </w:r>
    </w:p>
    <w:p w14:paraId="090FBBC1">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color w:val="auto"/>
          <w:kern w:val="2"/>
          <w:sz w:val="28"/>
          <w:szCs w:val="28"/>
        </w:rPr>
      </w:pPr>
      <w:bookmarkStart w:id="60" w:name="_Toc697"/>
      <w:r>
        <w:rPr>
          <w:rFonts w:hint="eastAsia" w:ascii="宋体" w:hAnsi="宋体" w:eastAsia="宋体" w:cs="宋体"/>
          <w:b/>
          <w:color w:val="auto"/>
          <w:kern w:val="2"/>
          <w:sz w:val="28"/>
          <w:szCs w:val="28"/>
          <w:lang w:val="en-US" w:eastAsia="zh-CN" w:bidi="ar"/>
        </w:rPr>
        <w:t>6.资金分配合理性</w:t>
      </w:r>
      <w:bookmarkEnd w:id="60"/>
    </w:p>
    <w:p w14:paraId="01AF880C">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color w:val="auto"/>
          <w:kern w:val="2"/>
          <w:sz w:val="28"/>
          <w:szCs w:val="28"/>
          <w:lang w:val="en-US" w:eastAsia="zh-CN" w:bidi="ar"/>
        </w:rPr>
        <w:t>①预算资金分配依据充分；</w:t>
      </w:r>
    </w:p>
    <w:p w14:paraId="35238D07">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color w:val="auto"/>
          <w:kern w:val="2"/>
          <w:sz w:val="28"/>
          <w:szCs w:val="28"/>
          <w:lang w:val="en-US" w:eastAsia="zh-CN" w:bidi="ar"/>
        </w:rPr>
        <w:t>②资金分配额度合理，与项目单位或地方实际相适应。</w:t>
      </w:r>
    </w:p>
    <w:p w14:paraId="044FEB3E">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color w:val="auto"/>
          <w:kern w:val="2"/>
          <w:sz w:val="28"/>
          <w:szCs w:val="28"/>
          <w:lang w:val="en-US" w:eastAsia="zh-CN" w:bidi="ar"/>
        </w:rPr>
        <w:t>综上，该项指标满分3分，得分3分。</w:t>
      </w:r>
    </w:p>
    <w:p w14:paraId="1DBFB19A">
      <w:pPr>
        <w:pStyle w:val="3"/>
        <w:keepNext/>
        <w:keepLines/>
        <w:widowControl w:val="0"/>
        <w:suppressLineNumbers w:val="0"/>
        <w:autoSpaceDE w:val="0"/>
        <w:autoSpaceDN/>
        <w:spacing w:beforeLines="0" w:beforeAutospacing="0" w:afterLines="0" w:afterAutospacing="0" w:line="360" w:lineRule="auto"/>
        <w:rPr>
          <w:rFonts w:hint="eastAsia" w:ascii="宋体" w:hAnsi="宋体" w:eastAsia="宋体" w:cs="宋体"/>
          <w:b/>
          <w:bCs w:val="0"/>
          <w:color w:val="auto"/>
          <w:kern w:val="2"/>
          <w:sz w:val="32"/>
          <w:szCs w:val="32"/>
        </w:rPr>
      </w:pPr>
      <w:bookmarkStart w:id="61" w:name="_Toc11361"/>
      <w:r>
        <w:rPr>
          <w:rFonts w:hint="eastAsia" w:ascii="宋体" w:hAnsi="宋体" w:eastAsia="宋体" w:cs="宋体"/>
          <w:b/>
          <w:bCs w:val="0"/>
          <w:color w:val="auto"/>
          <w:kern w:val="2"/>
          <w:sz w:val="32"/>
          <w:szCs w:val="32"/>
        </w:rPr>
        <w:t>（</w:t>
      </w:r>
      <w:bookmarkEnd w:id="61"/>
      <w:r>
        <w:rPr>
          <w:rFonts w:hint="eastAsia" w:ascii="宋体" w:hAnsi="宋体" w:eastAsia="宋体" w:cs="宋体"/>
          <w:b/>
          <w:bCs w:val="0"/>
          <w:color w:val="auto"/>
          <w:kern w:val="2"/>
          <w:sz w:val="32"/>
          <w:szCs w:val="32"/>
        </w:rPr>
        <w:t>二）项目过程情况</w:t>
      </w:r>
    </w:p>
    <w:p w14:paraId="732B1081">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项目过</w:t>
      </w:r>
      <w:r>
        <w:rPr>
          <w:rFonts w:hint="eastAsia" w:ascii="宋体" w:hAnsi="宋体" w:eastAsia="宋体" w:cs="宋体"/>
          <w:color w:val="auto"/>
          <w:kern w:val="2"/>
          <w:sz w:val="28"/>
          <w:szCs w:val="28"/>
          <w:lang w:val="en-US" w:eastAsia="zh-CN" w:bidi="ar"/>
        </w:rPr>
        <w:t>程管理类指标由2个二级指标和5个三级指标构成，权重分20分，实际得分20分，各</w:t>
      </w:r>
      <w:r>
        <w:rPr>
          <w:rFonts w:hint="eastAsia" w:ascii="宋体" w:hAnsi="宋体" w:eastAsia="宋体" w:cs="宋体"/>
          <w:kern w:val="2"/>
          <w:sz w:val="28"/>
          <w:szCs w:val="28"/>
          <w:lang w:val="en-US" w:eastAsia="zh-CN" w:bidi="ar"/>
        </w:rPr>
        <w:t>指标业绩值和绩效分值如表4-2所示</w:t>
      </w:r>
      <w:r>
        <w:rPr>
          <w:rFonts w:hint="eastAsia" w:ascii="宋体" w:hAnsi="宋体" w:eastAsia="宋体" w:cs="宋体"/>
          <w:b/>
          <w:kern w:val="2"/>
          <w:sz w:val="28"/>
          <w:szCs w:val="28"/>
          <w:lang w:val="en-US" w:eastAsia="zh-CN" w:bidi="ar"/>
        </w:rPr>
        <w:t>（详见上传的附件）</w:t>
      </w:r>
      <w:r>
        <w:rPr>
          <w:rFonts w:hint="eastAsia" w:ascii="宋体" w:hAnsi="宋体" w:eastAsia="宋体" w:cs="宋体"/>
          <w:kern w:val="2"/>
          <w:sz w:val="28"/>
          <w:szCs w:val="28"/>
          <w:lang w:val="en-US" w:eastAsia="zh-CN" w:bidi="ar"/>
        </w:rPr>
        <w:t>：</w:t>
      </w:r>
    </w:p>
    <w:p w14:paraId="01E8EB4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lang w:val="en-US" w:eastAsia="zh-CN" w:bidi="ar"/>
        </w:rPr>
        <w:t>表4-2项目管理指标及分值情况</w:t>
      </w:r>
    </w:p>
    <w:tbl>
      <w:tblPr>
        <w:tblStyle w:val="8"/>
        <w:tblW w:w="83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63270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2" w:hRule="atLeast"/>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A777A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一级指标</w:t>
            </w:r>
          </w:p>
        </w:tc>
        <w:tc>
          <w:tcPr>
            <w:tcW w:w="738"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2057DF4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分值</w:t>
            </w:r>
          </w:p>
        </w:tc>
        <w:tc>
          <w:tcPr>
            <w:tcW w:w="1248"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6DE3E7F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二级指标</w:t>
            </w:r>
          </w:p>
        </w:tc>
        <w:tc>
          <w:tcPr>
            <w:tcW w:w="1176"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0D8EFD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分值</w:t>
            </w:r>
          </w:p>
        </w:tc>
        <w:tc>
          <w:tcPr>
            <w:tcW w:w="183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246E8E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三级指标</w:t>
            </w:r>
          </w:p>
        </w:tc>
        <w:tc>
          <w:tcPr>
            <w:tcW w:w="987"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FBB1C3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分值</w:t>
            </w:r>
          </w:p>
        </w:tc>
        <w:tc>
          <w:tcPr>
            <w:tcW w:w="115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37ED8E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得分</w:t>
            </w:r>
          </w:p>
        </w:tc>
      </w:tr>
      <w:tr w14:paraId="5DF14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restar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3878D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过程管理</w:t>
            </w:r>
          </w:p>
        </w:tc>
        <w:tc>
          <w:tcPr>
            <w:tcW w:w="738" w:type="dxa"/>
            <w:vMerge w:val="restart"/>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2DE0F82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20</w:t>
            </w:r>
          </w:p>
        </w:tc>
        <w:tc>
          <w:tcPr>
            <w:tcW w:w="1248" w:type="dxa"/>
            <w:vMerge w:val="restart"/>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0160F9D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资金管理</w:t>
            </w:r>
          </w:p>
        </w:tc>
        <w:tc>
          <w:tcPr>
            <w:tcW w:w="1176" w:type="dxa"/>
            <w:vMerge w:val="restart"/>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710007D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12</w:t>
            </w:r>
          </w:p>
        </w:tc>
        <w:tc>
          <w:tcPr>
            <w:tcW w:w="183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602BB0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资金到位率</w:t>
            </w:r>
          </w:p>
        </w:tc>
        <w:tc>
          <w:tcPr>
            <w:tcW w:w="987"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15BE4E0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4</w:t>
            </w:r>
          </w:p>
        </w:tc>
        <w:tc>
          <w:tcPr>
            <w:tcW w:w="115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2677B8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w:t>
            </w:r>
          </w:p>
        </w:tc>
      </w:tr>
      <w:tr w14:paraId="0CB35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D9F9D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38"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2493FEB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8"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0998F47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76"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2F0BB59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83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3DCDC34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预算执行率</w:t>
            </w:r>
          </w:p>
        </w:tc>
        <w:tc>
          <w:tcPr>
            <w:tcW w:w="987"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7BBB2ED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4</w:t>
            </w:r>
          </w:p>
        </w:tc>
        <w:tc>
          <w:tcPr>
            <w:tcW w:w="115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2A6C956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w:t>
            </w:r>
          </w:p>
        </w:tc>
      </w:tr>
      <w:tr w14:paraId="5820C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3" w:hRule="atLeast"/>
          <w:jc w:val="center"/>
        </w:trPr>
        <w:tc>
          <w:tcPr>
            <w:tcW w:w="1182"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B014F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38"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39D9BCC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8"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5BF7B1D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76"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4C2D762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83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B56AF7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资金使用合规性</w:t>
            </w:r>
          </w:p>
        </w:tc>
        <w:tc>
          <w:tcPr>
            <w:tcW w:w="987"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5D1A168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4</w:t>
            </w:r>
          </w:p>
        </w:tc>
        <w:tc>
          <w:tcPr>
            <w:tcW w:w="115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297A69E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w:t>
            </w:r>
          </w:p>
        </w:tc>
      </w:tr>
      <w:tr w14:paraId="7D805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784ED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38"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5C433EA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8" w:type="dxa"/>
            <w:vMerge w:val="restart"/>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12489F4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组织实施</w:t>
            </w:r>
          </w:p>
        </w:tc>
        <w:tc>
          <w:tcPr>
            <w:tcW w:w="1176" w:type="dxa"/>
            <w:vMerge w:val="restart"/>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2144320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8</w:t>
            </w:r>
          </w:p>
        </w:tc>
        <w:tc>
          <w:tcPr>
            <w:tcW w:w="183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55F9142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管理制度健全性</w:t>
            </w:r>
          </w:p>
        </w:tc>
        <w:tc>
          <w:tcPr>
            <w:tcW w:w="987"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33595BF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4</w:t>
            </w:r>
          </w:p>
        </w:tc>
        <w:tc>
          <w:tcPr>
            <w:tcW w:w="115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5AC3B40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w:t>
            </w:r>
          </w:p>
        </w:tc>
      </w:tr>
      <w:tr w14:paraId="23E42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EDA91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38"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257F982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48"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12EA7BE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76" w:type="dxa"/>
            <w:vMerge w:val="continue"/>
            <w:tcBorders>
              <w:top w:val="nil"/>
              <w:left w:val="nil"/>
              <w:bottom w:val="single" w:color="000000" w:sz="4" w:space="0"/>
              <w:right w:val="single" w:color="000000" w:sz="4" w:space="0"/>
            </w:tcBorders>
            <w:shd w:val="clear" w:color="auto" w:fill="auto"/>
            <w:tcMar>
              <w:top w:w="12" w:type="dxa"/>
              <w:left w:w="12" w:type="dxa"/>
              <w:right w:w="12" w:type="dxa"/>
            </w:tcMar>
            <w:vAlign w:val="center"/>
          </w:tcPr>
          <w:p w14:paraId="1192738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83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2D1B31F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制度执行有效性</w:t>
            </w:r>
          </w:p>
        </w:tc>
        <w:tc>
          <w:tcPr>
            <w:tcW w:w="987"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508B604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4</w:t>
            </w:r>
          </w:p>
        </w:tc>
        <w:tc>
          <w:tcPr>
            <w:tcW w:w="115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29AF169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w:t>
            </w:r>
          </w:p>
        </w:tc>
      </w:tr>
      <w:tr w14:paraId="57AD4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A12BF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合计</w:t>
            </w:r>
          </w:p>
        </w:tc>
        <w:tc>
          <w:tcPr>
            <w:tcW w:w="1176"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5464F89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20</w:t>
            </w:r>
          </w:p>
        </w:tc>
        <w:tc>
          <w:tcPr>
            <w:tcW w:w="183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191334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p>
        </w:tc>
        <w:tc>
          <w:tcPr>
            <w:tcW w:w="987"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4FFD49B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20</w:t>
            </w:r>
          </w:p>
        </w:tc>
        <w:tc>
          <w:tcPr>
            <w:tcW w:w="1153" w:type="dxa"/>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209B24F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20</w:t>
            </w:r>
          </w:p>
        </w:tc>
      </w:tr>
    </w:tbl>
    <w:p w14:paraId="7B2A4513">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color w:val="auto"/>
          <w:kern w:val="2"/>
          <w:sz w:val="28"/>
          <w:szCs w:val="28"/>
          <w:highlight w:val="none"/>
        </w:rPr>
      </w:pPr>
      <w:bookmarkStart w:id="62" w:name="_Toc3886"/>
      <w:r>
        <w:rPr>
          <w:rFonts w:hint="eastAsia" w:ascii="宋体" w:hAnsi="宋体" w:eastAsia="宋体" w:cs="宋体"/>
          <w:b/>
          <w:color w:val="auto"/>
          <w:kern w:val="2"/>
          <w:sz w:val="28"/>
          <w:szCs w:val="28"/>
          <w:highlight w:val="none"/>
          <w:lang w:val="en-US" w:eastAsia="zh-CN" w:bidi="ar"/>
        </w:rPr>
        <w:t>1.资金到位率</w:t>
      </w:r>
      <w:bookmarkEnd w:id="62"/>
    </w:p>
    <w:p w14:paraId="1EA629F8">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b/>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资金到位率=（4.22万元/4.22万元）×100%</w:t>
      </w:r>
      <w:r>
        <w:rPr>
          <w:rFonts w:hint="eastAsia" w:ascii="宋体" w:hAnsi="宋体" w:eastAsia="宋体" w:cs="宋体"/>
          <w:b/>
          <w:color w:val="auto"/>
          <w:kern w:val="2"/>
          <w:sz w:val="28"/>
          <w:szCs w:val="28"/>
          <w:highlight w:val="none"/>
          <w:lang w:val="en-US" w:eastAsia="zh-CN" w:bidi="ar"/>
        </w:rPr>
        <w:t>=</w:t>
      </w:r>
      <w:r>
        <w:rPr>
          <w:rFonts w:hint="eastAsia" w:ascii="宋体" w:hAnsi="宋体" w:eastAsia="宋体" w:cs="宋体"/>
          <w:color w:val="auto"/>
          <w:kern w:val="2"/>
          <w:sz w:val="28"/>
          <w:szCs w:val="28"/>
          <w:highlight w:val="none"/>
          <w:lang w:val="en-US" w:eastAsia="zh-CN" w:bidi="ar"/>
        </w:rPr>
        <w:t>100%</w:t>
      </w:r>
    </w:p>
    <w:p w14:paraId="257985F5">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highlight w:val="none"/>
        </w:rPr>
      </w:pPr>
      <w:r>
        <w:rPr>
          <w:rFonts w:hint="eastAsia" w:ascii="宋体" w:hAnsi="宋体" w:eastAsia="宋体" w:cs="宋体"/>
          <w:b/>
          <w:color w:val="auto"/>
          <w:kern w:val="2"/>
          <w:sz w:val="28"/>
          <w:szCs w:val="28"/>
          <w:highlight w:val="none"/>
          <w:lang w:val="en-US" w:eastAsia="zh-CN" w:bidi="ar"/>
        </w:rPr>
        <w:t>综上，该项指标满分4分，得分4分。</w:t>
      </w:r>
    </w:p>
    <w:p w14:paraId="5F1B18F0">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color w:val="auto"/>
          <w:kern w:val="2"/>
          <w:sz w:val="28"/>
          <w:szCs w:val="28"/>
          <w:highlight w:val="none"/>
        </w:rPr>
      </w:pPr>
      <w:bookmarkStart w:id="63" w:name="_Toc9705"/>
      <w:r>
        <w:rPr>
          <w:rFonts w:hint="eastAsia" w:ascii="宋体" w:hAnsi="宋体" w:eastAsia="宋体" w:cs="宋体"/>
          <w:b/>
          <w:color w:val="auto"/>
          <w:kern w:val="2"/>
          <w:sz w:val="28"/>
          <w:szCs w:val="28"/>
          <w:highlight w:val="none"/>
          <w:lang w:val="en-US" w:eastAsia="zh-CN" w:bidi="ar"/>
        </w:rPr>
        <w:t>2.预算执行率</w:t>
      </w:r>
      <w:bookmarkEnd w:id="63"/>
    </w:p>
    <w:p w14:paraId="112B571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lang w:val="en-US" w:eastAsia="zh-CN" w:bidi="ar"/>
        </w:rPr>
        <w:t>预算执行率=（4.22万元/4.22万元）×100%</w:t>
      </w:r>
      <w:r>
        <w:rPr>
          <w:rFonts w:hint="eastAsia" w:ascii="宋体" w:hAnsi="宋体" w:eastAsia="宋体" w:cs="宋体"/>
          <w:b/>
          <w:color w:val="auto"/>
          <w:kern w:val="2"/>
          <w:sz w:val="28"/>
          <w:szCs w:val="28"/>
          <w:highlight w:val="none"/>
          <w:lang w:val="en-US" w:eastAsia="zh-CN" w:bidi="ar"/>
        </w:rPr>
        <w:t>=</w:t>
      </w:r>
      <w:r>
        <w:rPr>
          <w:rFonts w:hint="eastAsia" w:ascii="宋体" w:hAnsi="宋体" w:eastAsia="宋体" w:cs="宋体"/>
          <w:color w:val="auto"/>
          <w:kern w:val="2"/>
          <w:sz w:val="28"/>
          <w:szCs w:val="28"/>
          <w:highlight w:val="none"/>
          <w:lang w:val="en-US" w:eastAsia="zh-CN" w:bidi="ar"/>
        </w:rPr>
        <w:t>100%</w:t>
      </w:r>
    </w:p>
    <w:p w14:paraId="08C781B2">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highlight w:val="none"/>
        </w:rPr>
      </w:pPr>
      <w:r>
        <w:rPr>
          <w:rFonts w:hint="eastAsia" w:ascii="宋体" w:hAnsi="宋体" w:eastAsia="宋体" w:cs="宋体"/>
          <w:b/>
          <w:color w:val="auto"/>
          <w:kern w:val="2"/>
          <w:sz w:val="28"/>
          <w:szCs w:val="28"/>
          <w:highlight w:val="none"/>
          <w:lang w:val="en-US" w:eastAsia="zh-CN" w:bidi="ar"/>
        </w:rPr>
        <w:t>综上，该项指标满分4分，得分4分。</w:t>
      </w:r>
    </w:p>
    <w:p w14:paraId="4B3BFCBA">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kern w:val="2"/>
          <w:sz w:val="28"/>
          <w:szCs w:val="28"/>
        </w:rPr>
      </w:pPr>
      <w:bookmarkStart w:id="64" w:name="_Toc18691"/>
      <w:r>
        <w:rPr>
          <w:rFonts w:hint="eastAsia" w:ascii="宋体" w:hAnsi="宋体" w:eastAsia="宋体" w:cs="宋体"/>
          <w:b/>
          <w:kern w:val="2"/>
          <w:sz w:val="28"/>
          <w:szCs w:val="28"/>
          <w:lang w:val="en-US" w:eastAsia="zh-CN" w:bidi="ar"/>
        </w:rPr>
        <w:t>3.资金使用合规性</w:t>
      </w:r>
      <w:bookmarkEnd w:id="64"/>
    </w:p>
    <w:p w14:paraId="742B91E7">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kern w:val="2"/>
          <w:sz w:val="28"/>
          <w:szCs w:val="28"/>
          <w:lang w:val="en-US" w:eastAsia="zh-CN" w:bidi="ar"/>
        </w:rPr>
        <w:t>①符合</w:t>
      </w:r>
      <w:r>
        <w:rPr>
          <w:rFonts w:hint="eastAsia" w:ascii="宋体" w:hAnsi="宋体" w:eastAsia="宋体" w:cs="宋体"/>
          <w:color w:val="auto"/>
          <w:kern w:val="2"/>
          <w:sz w:val="28"/>
          <w:szCs w:val="28"/>
          <w:highlight w:val="none"/>
          <w:lang w:val="en-US" w:eastAsia="zh-CN" w:bidi="ar"/>
        </w:rPr>
        <w:t>国家财经法规和《阜康市水利局财务管理制度》以及有关专项资金管理办法的规定；</w:t>
      </w:r>
    </w:p>
    <w:p w14:paraId="4BD44ED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②资金的拨付有完整的审批程序和手续；</w:t>
      </w:r>
    </w:p>
    <w:p w14:paraId="69EABDF3">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③符合项目预算批复或合同规定的用途；</w:t>
      </w:r>
    </w:p>
    <w:p w14:paraId="51E32CF7">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kern w:val="2"/>
          <w:sz w:val="28"/>
          <w:szCs w:val="28"/>
          <w:lang w:val="en-US" w:eastAsia="zh-CN" w:bidi="ar"/>
        </w:rPr>
        <w:t>④不存在截留、挤</w:t>
      </w:r>
      <w:r>
        <w:rPr>
          <w:rFonts w:hint="eastAsia" w:ascii="宋体" w:hAnsi="宋体" w:eastAsia="宋体" w:cs="宋体"/>
          <w:color w:val="auto"/>
          <w:kern w:val="2"/>
          <w:sz w:val="28"/>
          <w:szCs w:val="28"/>
          <w:lang w:val="en-US" w:eastAsia="zh-CN" w:bidi="ar"/>
        </w:rPr>
        <w:t>占、挪用、虚列支出等情况。</w:t>
      </w:r>
    </w:p>
    <w:p w14:paraId="47B91063">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color w:val="auto"/>
          <w:kern w:val="2"/>
          <w:sz w:val="28"/>
          <w:szCs w:val="28"/>
          <w:lang w:val="en-US" w:eastAsia="zh-CN" w:bidi="ar"/>
        </w:rPr>
        <w:t>综上，该项指标满分4分，得分4分。</w:t>
      </w:r>
    </w:p>
    <w:p w14:paraId="0AAEC7A1">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b/>
          <w:color w:val="auto"/>
          <w:kern w:val="2"/>
          <w:sz w:val="28"/>
          <w:szCs w:val="28"/>
        </w:rPr>
      </w:pPr>
      <w:r>
        <w:rPr>
          <w:rFonts w:hint="eastAsia" w:ascii="宋体" w:hAnsi="宋体" w:eastAsia="宋体" w:cs="宋体"/>
          <w:b/>
          <w:color w:val="auto"/>
          <w:kern w:val="2"/>
          <w:sz w:val="28"/>
          <w:szCs w:val="28"/>
          <w:lang w:val="en-US" w:eastAsia="zh-CN" w:bidi="ar"/>
        </w:rPr>
        <w:t>4.管理制度健全性</w:t>
      </w:r>
    </w:p>
    <w:p w14:paraId="16CAF966">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lang w:val="en-US" w:eastAsia="zh-CN" w:bidi="ar"/>
        </w:rPr>
        <w:t>①已制定或具有相应的财</w:t>
      </w:r>
      <w:r>
        <w:rPr>
          <w:rFonts w:hint="eastAsia" w:ascii="宋体" w:hAnsi="宋体" w:eastAsia="宋体" w:cs="宋体"/>
          <w:color w:val="auto"/>
          <w:kern w:val="2"/>
          <w:sz w:val="28"/>
          <w:szCs w:val="28"/>
          <w:highlight w:val="none"/>
          <w:lang w:val="en-US" w:eastAsia="zh-CN" w:bidi="ar"/>
        </w:rPr>
        <w:t>务和《阜康市水利局财务管理制度》、《阜康市水利项目管理制度》；</w:t>
      </w:r>
    </w:p>
    <w:p w14:paraId="006A620C">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color w:val="auto"/>
          <w:kern w:val="2"/>
          <w:sz w:val="28"/>
          <w:szCs w:val="28"/>
          <w:highlight w:val="none"/>
          <w:lang w:val="en-US" w:eastAsia="zh-CN" w:bidi="ar"/>
        </w:rPr>
        <w:t>②财务和业务管理制度合法、合规</w:t>
      </w:r>
      <w:r>
        <w:rPr>
          <w:rFonts w:hint="eastAsia" w:ascii="宋体" w:hAnsi="宋体" w:eastAsia="宋体" w:cs="宋体"/>
          <w:color w:val="auto"/>
          <w:kern w:val="2"/>
          <w:sz w:val="28"/>
          <w:szCs w:val="28"/>
          <w:lang w:val="en-US" w:eastAsia="zh-CN" w:bidi="ar"/>
        </w:rPr>
        <w:t>、完整。</w:t>
      </w:r>
    </w:p>
    <w:p w14:paraId="465DAD8E">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color w:val="auto"/>
          <w:kern w:val="2"/>
          <w:sz w:val="28"/>
          <w:szCs w:val="28"/>
          <w:lang w:val="en-US" w:eastAsia="zh-CN" w:bidi="ar"/>
        </w:rPr>
        <w:t>综上，该项指标满分4分，得分4分。</w:t>
      </w:r>
    </w:p>
    <w:p w14:paraId="1D192072">
      <w:pPr>
        <w:keepNext w:val="0"/>
        <w:keepLines w:val="0"/>
        <w:widowControl w:val="0"/>
        <w:suppressLineNumbers w:val="0"/>
        <w:spacing w:before="0" w:beforeAutospacing="0" w:after="0" w:afterAutospacing="0" w:line="360" w:lineRule="auto"/>
        <w:ind w:left="1263" w:leftChars="200" w:right="0" w:hanging="843" w:hangingChars="300"/>
        <w:jc w:val="both"/>
        <w:outlineLvl w:val="2"/>
        <w:rPr>
          <w:rFonts w:hint="eastAsia" w:ascii="宋体" w:hAnsi="宋体" w:eastAsia="宋体" w:cs="宋体"/>
          <w:b/>
          <w:kern w:val="2"/>
          <w:sz w:val="28"/>
          <w:szCs w:val="28"/>
        </w:rPr>
      </w:pPr>
      <w:bookmarkStart w:id="65" w:name="_Toc31684"/>
      <w:r>
        <w:rPr>
          <w:rFonts w:hint="eastAsia" w:ascii="宋体" w:hAnsi="宋体" w:eastAsia="宋体" w:cs="宋体"/>
          <w:b/>
          <w:kern w:val="2"/>
          <w:sz w:val="28"/>
          <w:szCs w:val="28"/>
          <w:lang w:val="en-US" w:eastAsia="zh-CN" w:bidi="ar"/>
        </w:rPr>
        <w:t>5.制度执行有效性</w:t>
      </w:r>
      <w:bookmarkEnd w:id="65"/>
    </w:p>
    <w:p w14:paraId="68546F1A">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①遵守相关法律法规和相关管理规定；</w:t>
      </w:r>
    </w:p>
    <w:p w14:paraId="361845CB">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②项目未调整；</w:t>
      </w:r>
    </w:p>
    <w:p w14:paraId="2083E6DD">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③项目合同书、验收报告、技术鉴定等资料齐全并及时归档；</w:t>
      </w:r>
    </w:p>
    <w:p w14:paraId="10436198">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kern w:val="2"/>
          <w:sz w:val="28"/>
          <w:szCs w:val="28"/>
          <w:lang w:val="en-US" w:eastAsia="zh-CN" w:bidi="ar"/>
        </w:rPr>
        <w:t>④项目实施的人员</w:t>
      </w:r>
      <w:r>
        <w:rPr>
          <w:rFonts w:hint="eastAsia" w:ascii="宋体" w:hAnsi="宋体" w:eastAsia="宋体" w:cs="宋体"/>
          <w:color w:val="auto"/>
          <w:kern w:val="2"/>
          <w:sz w:val="28"/>
          <w:szCs w:val="28"/>
          <w:lang w:val="en-US" w:eastAsia="zh-CN" w:bidi="ar"/>
        </w:rPr>
        <w:t>条件、场地设备、信息支撑等落实到位,</w:t>
      </w:r>
      <w:r>
        <w:rPr>
          <w:rFonts w:hint="eastAsia" w:ascii="宋体" w:hAnsi="宋体" w:eastAsia="宋体" w:cs="宋体"/>
          <w:b w:val="0"/>
          <w:color w:val="auto"/>
          <w:kern w:val="2"/>
          <w:sz w:val="28"/>
          <w:szCs w:val="28"/>
          <w:highlight w:val="none"/>
          <w:shd w:val="clear" w:color="auto" w:fill="auto"/>
          <w:lang w:val="en-US" w:eastAsia="zh-CN" w:bidi="ar-SA"/>
        </w:rPr>
        <w:t>经站务会议，确定了项目领导小组，明确了责任分工：组长为赵刚，副组长为蒋淼，项目负责人为赵刚，组员为史旭、李海霞，其中：蒋淼负责监管工作，史旭负责项目档案资料，李海霞负责资金拨付工作</w:t>
      </w:r>
      <w:r>
        <w:rPr>
          <w:rFonts w:hint="eastAsia" w:ascii="宋体" w:hAnsi="宋体" w:eastAsia="宋体" w:cs="宋体"/>
          <w:color w:val="auto"/>
          <w:kern w:val="2"/>
          <w:sz w:val="28"/>
          <w:szCs w:val="28"/>
          <w:lang w:val="en-US" w:eastAsia="zh-CN" w:bidi="ar"/>
        </w:rPr>
        <w:t>。</w:t>
      </w:r>
    </w:p>
    <w:p w14:paraId="36F4C223">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color w:val="auto"/>
          <w:kern w:val="2"/>
          <w:sz w:val="28"/>
          <w:szCs w:val="28"/>
          <w:lang w:val="en-US" w:eastAsia="zh-CN" w:bidi="ar"/>
        </w:rPr>
        <w:t>综上，该项指标满分4分，得分4分。</w:t>
      </w:r>
    </w:p>
    <w:p w14:paraId="2BC9ED1B">
      <w:pPr>
        <w:pStyle w:val="3"/>
        <w:widowControl/>
        <w:autoSpaceDE w:val="0"/>
        <w:autoSpaceDN/>
        <w:spacing w:beforeLines="0" w:beforeAutospacing="0" w:afterLines="0" w:afterAutospacing="0" w:line="360" w:lineRule="auto"/>
        <w:ind w:leftChars="200"/>
        <w:rPr>
          <w:rFonts w:hint="eastAsia" w:ascii="宋体" w:hAnsi="宋体" w:eastAsia="宋体" w:cs="宋体"/>
          <w:b/>
          <w:bCs w:val="0"/>
          <w:color w:val="000000"/>
          <w:kern w:val="2"/>
          <w:sz w:val="32"/>
          <w:szCs w:val="32"/>
        </w:rPr>
      </w:pPr>
      <w:bookmarkStart w:id="66" w:name="_Toc16268"/>
      <w:r>
        <w:rPr>
          <w:rFonts w:hint="eastAsia" w:ascii="宋体" w:hAnsi="宋体" w:eastAsia="宋体" w:cs="宋体"/>
          <w:b/>
          <w:bCs w:val="0"/>
          <w:color w:val="000000"/>
          <w:kern w:val="2"/>
          <w:sz w:val="32"/>
          <w:szCs w:val="32"/>
        </w:rPr>
        <w:t>（</w:t>
      </w:r>
      <w:bookmarkEnd w:id="66"/>
      <w:r>
        <w:rPr>
          <w:rFonts w:hint="eastAsia" w:ascii="宋体" w:hAnsi="宋体" w:eastAsia="宋体" w:cs="宋体"/>
          <w:b/>
          <w:bCs w:val="0"/>
          <w:color w:val="000000"/>
          <w:kern w:val="2"/>
          <w:sz w:val="32"/>
          <w:szCs w:val="32"/>
        </w:rPr>
        <w:t>三）项目产出情况</w:t>
      </w:r>
    </w:p>
    <w:p w14:paraId="176E1BBD">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项</w:t>
      </w:r>
      <w:r>
        <w:rPr>
          <w:rFonts w:hint="eastAsia" w:ascii="宋体" w:hAnsi="宋体" w:eastAsia="宋体" w:cs="宋体"/>
          <w:color w:val="auto"/>
          <w:kern w:val="2"/>
          <w:sz w:val="28"/>
          <w:szCs w:val="28"/>
          <w:lang w:val="en-US" w:eastAsia="zh-CN" w:bidi="ar"/>
        </w:rPr>
        <w:t>目产出类指标由4个二级指标和7个三级指标构成，权重分30分，实际得分30分，各指标业绩值</w:t>
      </w:r>
      <w:r>
        <w:rPr>
          <w:rFonts w:hint="eastAsia" w:ascii="宋体" w:hAnsi="宋体" w:eastAsia="宋体" w:cs="宋体"/>
          <w:kern w:val="2"/>
          <w:sz w:val="28"/>
          <w:szCs w:val="28"/>
          <w:lang w:val="en-US" w:eastAsia="zh-CN" w:bidi="ar"/>
        </w:rPr>
        <w:t>和绩效分值如表4-3所示</w:t>
      </w:r>
      <w:r>
        <w:rPr>
          <w:rFonts w:hint="eastAsia" w:ascii="宋体" w:hAnsi="宋体" w:eastAsia="宋体" w:cs="宋体"/>
          <w:b/>
          <w:kern w:val="2"/>
          <w:sz w:val="28"/>
          <w:szCs w:val="28"/>
          <w:lang w:val="en-US" w:eastAsia="zh-CN" w:bidi="ar"/>
        </w:rPr>
        <w:t>（详见上传的附件）</w:t>
      </w:r>
      <w:r>
        <w:rPr>
          <w:rFonts w:hint="eastAsia" w:ascii="宋体" w:hAnsi="宋体" w:eastAsia="宋体" w:cs="宋体"/>
          <w:kern w:val="2"/>
          <w:sz w:val="28"/>
          <w:szCs w:val="28"/>
          <w:lang w:val="en-US" w:eastAsia="zh-CN" w:bidi="ar"/>
        </w:rPr>
        <w:t>：</w:t>
      </w:r>
    </w:p>
    <w:tbl>
      <w:tblPr>
        <w:tblStyle w:val="8"/>
        <w:tblpPr w:leftFromText="180" w:rightFromText="180" w:vertAnchor="text" w:horzAnchor="page" w:tblpX="1922" w:tblpY="519"/>
        <w:tblOverlap w:val="never"/>
        <w:tblW w:w="81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506AB1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50" w:hRule="atLeast"/>
        </w:trPr>
        <w:tc>
          <w:tcPr>
            <w:tcW w:w="634" w:type="dxa"/>
            <w:tcBorders>
              <w:tl2br w:val="nil"/>
              <w:tr2bl w:val="nil"/>
            </w:tcBorders>
            <w:shd w:val="clear" w:color="auto" w:fill="auto"/>
            <w:tcMar>
              <w:top w:w="15" w:type="dxa"/>
              <w:left w:w="15" w:type="dxa"/>
              <w:right w:w="15" w:type="dxa"/>
            </w:tcMar>
            <w:vAlign w:val="center"/>
          </w:tcPr>
          <w:p w14:paraId="6705D8B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一级指标</w:t>
            </w:r>
          </w:p>
        </w:tc>
        <w:tc>
          <w:tcPr>
            <w:tcW w:w="928" w:type="dxa"/>
            <w:tcBorders>
              <w:tl2br w:val="nil"/>
              <w:tr2bl w:val="nil"/>
            </w:tcBorders>
            <w:shd w:val="clear" w:color="auto" w:fill="auto"/>
            <w:tcMar>
              <w:top w:w="15" w:type="dxa"/>
              <w:left w:w="15" w:type="dxa"/>
              <w:right w:w="15" w:type="dxa"/>
            </w:tcMar>
            <w:vAlign w:val="center"/>
          </w:tcPr>
          <w:p w14:paraId="164DD69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二级指标</w:t>
            </w:r>
          </w:p>
        </w:tc>
        <w:tc>
          <w:tcPr>
            <w:tcW w:w="2644" w:type="dxa"/>
            <w:tcBorders>
              <w:tl2br w:val="nil"/>
              <w:tr2bl w:val="nil"/>
            </w:tcBorders>
            <w:shd w:val="clear" w:color="auto" w:fill="auto"/>
            <w:tcMar>
              <w:top w:w="15" w:type="dxa"/>
              <w:left w:w="15" w:type="dxa"/>
              <w:right w:w="15" w:type="dxa"/>
            </w:tcMar>
            <w:vAlign w:val="center"/>
          </w:tcPr>
          <w:p w14:paraId="485690C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三级指标</w:t>
            </w:r>
          </w:p>
        </w:tc>
        <w:tc>
          <w:tcPr>
            <w:tcW w:w="1437" w:type="dxa"/>
            <w:tcBorders>
              <w:tl2br w:val="nil"/>
              <w:tr2bl w:val="nil"/>
            </w:tcBorders>
            <w:shd w:val="clear" w:color="auto" w:fill="auto"/>
            <w:tcMar>
              <w:top w:w="15" w:type="dxa"/>
              <w:left w:w="15" w:type="dxa"/>
              <w:right w:w="15" w:type="dxa"/>
            </w:tcMar>
            <w:vAlign w:val="center"/>
          </w:tcPr>
          <w:p w14:paraId="2DC64FC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年度指标值</w:t>
            </w:r>
          </w:p>
        </w:tc>
        <w:tc>
          <w:tcPr>
            <w:tcW w:w="558" w:type="dxa"/>
            <w:tcBorders>
              <w:tl2br w:val="nil"/>
              <w:tr2bl w:val="nil"/>
            </w:tcBorders>
            <w:shd w:val="clear" w:color="auto" w:fill="auto"/>
            <w:tcMar>
              <w:top w:w="15" w:type="dxa"/>
              <w:left w:w="15" w:type="dxa"/>
              <w:right w:w="15" w:type="dxa"/>
            </w:tcMar>
            <w:vAlign w:val="center"/>
          </w:tcPr>
          <w:p w14:paraId="37C1B9F4">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标杆分值</w:t>
            </w:r>
          </w:p>
        </w:tc>
        <w:tc>
          <w:tcPr>
            <w:tcW w:w="1365" w:type="dxa"/>
            <w:tcBorders>
              <w:tl2br w:val="nil"/>
              <w:tr2bl w:val="nil"/>
            </w:tcBorders>
            <w:shd w:val="clear" w:color="auto" w:fill="auto"/>
            <w:tcMar>
              <w:top w:w="15" w:type="dxa"/>
              <w:left w:w="15" w:type="dxa"/>
              <w:right w:w="15" w:type="dxa"/>
            </w:tcMar>
            <w:vAlign w:val="center"/>
          </w:tcPr>
          <w:p w14:paraId="2B844C3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全年实际完成值</w:t>
            </w:r>
          </w:p>
        </w:tc>
        <w:tc>
          <w:tcPr>
            <w:tcW w:w="631" w:type="dxa"/>
            <w:tcBorders>
              <w:tl2br w:val="nil"/>
              <w:tr2bl w:val="nil"/>
            </w:tcBorders>
            <w:shd w:val="clear" w:color="auto" w:fill="auto"/>
            <w:tcMar>
              <w:top w:w="15" w:type="dxa"/>
              <w:left w:w="15" w:type="dxa"/>
              <w:right w:w="15" w:type="dxa"/>
            </w:tcMar>
            <w:vAlign w:val="center"/>
          </w:tcPr>
          <w:p w14:paraId="2D3B03A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lang w:val="en-US" w:eastAsia="zh-CN" w:bidi="ar"/>
              </w:rPr>
              <w:t>指标得分</w:t>
            </w:r>
          </w:p>
        </w:tc>
      </w:tr>
      <w:tr w14:paraId="640F7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20" w:hRule="atLeast"/>
        </w:trPr>
        <w:tc>
          <w:tcPr>
            <w:tcW w:w="634" w:type="dxa"/>
            <w:vMerge w:val="restart"/>
            <w:tcBorders>
              <w:tl2br w:val="nil"/>
              <w:tr2bl w:val="nil"/>
            </w:tcBorders>
            <w:shd w:val="clear" w:color="auto" w:fill="auto"/>
            <w:tcMar>
              <w:top w:w="15" w:type="dxa"/>
              <w:left w:w="15" w:type="dxa"/>
              <w:right w:w="15" w:type="dxa"/>
            </w:tcMar>
            <w:vAlign w:val="center"/>
          </w:tcPr>
          <w:p w14:paraId="5687DD5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lang w:val="en-US" w:eastAsia="zh-CN" w:bidi="ar"/>
              </w:rPr>
              <w:t>产出</w:t>
            </w:r>
          </w:p>
        </w:tc>
        <w:tc>
          <w:tcPr>
            <w:tcW w:w="928" w:type="dxa"/>
            <w:vMerge w:val="restart"/>
            <w:tcBorders>
              <w:tl2br w:val="nil"/>
              <w:tr2bl w:val="nil"/>
            </w:tcBorders>
            <w:shd w:val="clear" w:color="auto" w:fill="auto"/>
            <w:tcMar>
              <w:top w:w="15" w:type="dxa"/>
              <w:left w:w="15" w:type="dxa"/>
              <w:right w:w="15" w:type="dxa"/>
            </w:tcMar>
            <w:vAlign w:val="center"/>
          </w:tcPr>
          <w:p w14:paraId="658D944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数量指标</w:t>
            </w:r>
          </w:p>
        </w:tc>
        <w:tc>
          <w:tcPr>
            <w:tcW w:w="2644" w:type="dxa"/>
            <w:tcBorders>
              <w:tl2br w:val="nil"/>
              <w:tr2bl w:val="nil"/>
            </w:tcBorders>
            <w:shd w:val="clear" w:color="auto" w:fill="auto"/>
            <w:tcMar>
              <w:top w:w="15" w:type="dxa"/>
              <w:left w:w="15" w:type="dxa"/>
              <w:right w:w="15" w:type="dxa"/>
            </w:tcMar>
            <w:vAlign w:val="center"/>
          </w:tcPr>
          <w:p w14:paraId="5D04144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新建饮水管道（公里）</w:t>
            </w:r>
          </w:p>
        </w:tc>
        <w:tc>
          <w:tcPr>
            <w:tcW w:w="1437" w:type="dxa"/>
            <w:tcBorders>
              <w:tl2br w:val="nil"/>
              <w:tr2bl w:val="nil"/>
            </w:tcBorders>
            <w:shd w:val="clear" w:color="auto" w:fill="auto"/>
            <w:tcMar>
              <w:top w:w="15" w:type="dxa"/>
              <w:left w:w="15" w:type="dxa"/>
              <w:right w:w="15" w:type="dxa"/>
            </w:tcMar>
            <w:vAlign w:val="center"/>
          </w:tcPr>
          <w:p w14:paraId="10ACCFD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≥3.25km</w:t>
            </w:r>
          </w:p>
        </w:tc>
        <w:tc>
          <w:tcPr>
            <w:tcW w:w="558" w:type="dxa"/>
            <w:tcBorders>
              <w:tl2br w:val="nil"/>
              <w:tr2bl w:val="nil"/>
            </w:tcBorders>
            <w:shd w:val="clear" w:color="auto" w:fill="auto"/>
            <w:tcMar>
              <w:top w:w="15" w:type="dxa"/>
              <w:left w:w="15" w:type="dxa"/>
              <w:right w:w="15" w:type="dxa"/>
            </w:tcMar>
            <w:vAlign w:val="center"/>
          </w:tcPr>
          <w:p w14:paraId="7598CE2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2.5</w:t>
            </w:r>
          </w:p>
        </w:tc>
        <w:tc>
          <w:tcPr>
            <w:tcW w:w="1365" w:type="dxa"/>
            <w:tcBorders>
              <w:tl2br w:val="nil"/>
              <w:tr2bl w:val="nil"/>
            </w:tcBorders>
            <w:shd w:val="clear" w:color="auto" w:fill="auto"/>
            <w:tcMar>
              <w:top w:w="15" w:type="dxa"/>
              <w:left w:w="15" w:type="dxa"/>
              <w:right w:w="15" w:type="dxa"/>
            </w:tcMar>
            <w:vAlign w:val="center"/>
          </w:tcPr>
          <w:p w14:paraId="6DE19472">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3.27km</w:t>
            </w:r>
          </w:p>
        </w:tc>
        <w:tc>
          <w:tcPr>
            <w:tcW w:w="631" w:type="dxa"/>
            <w:tcBorders>
              <w:tl2br w:val="nil"/>
              <w:tr2bl w:val="nil"/>
            </w:tcBorders>
            <w:shd w:val="clear" w:color="auto" w:fill="auto"/>
            <w:tcMar>
              <w:top w:w="15" w:type="dxa"/>
              <w:left w:w="15" w:type="dxa"/>
              <w:right w:w="15" w:type="dxa"/>
            </w:tcMar>
            <w:vAlign w:val="center"/>
          </w:tcPr>
          <w:p w14:paraId="3321A159">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2.5</w:t>
            </w:r>
          </w:p>
        </w:tc>
      </w:tr>
      <w:tr w14:paraId="4608F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45" w:hRule="atLeast"/>
        </w:trPr>
        <w:tc>
          <w:tcPr>
            <w:tcW w:w="634" w:type="dxa"/>
            <w:vMerge w:val="continue"/>
            <w:tcBorders>
              <w:tl2br w:val="nil"/>
              <w:tr2bl w:val="nil"/>
            </w:tcBorders>
            <w:shd w:val="clear" w:color="auto" w:fill="FFFFFF"/>
            <w:tcMar>
              <w:top w:w="15" w:type="dxa"/>
              <w:left w:w="15" w:type="dxa"/>
              <w:right w:w="15" w:type="dxa"/>
            </w:tcMar>
            <w:vAlign w:val="center"/>
          </w:tcPr>
          <w:p w14:paraId="09A2D4B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p>
        </w:tc>
        <w:tc>
          <w:tcPr>
            <w:tcW w:w="928" w:type="dxa"/>
            <w:vMerge w:val="continue"/>
            <w:tcBorders>
              <w:tl2br w:val="nil"/>
              <w:tr2bl w:val="nil"/>
            </w:tcBorders>
            <w:shd w:val="clear" w:color="auto" w:fill="FFFFFF"/>
            <w:tcMar>
              <w:top w:w="15" w:type="dxa"/>
              <w:left w:w="15" w:type="dxa"/>
              <w:right w:w="15" w:type="dxa"/>
            </w:tcMar>
            <w:vAlign w:val="center"/>
          </w:tcPr>
          <w:p w14:paraId="6F32892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p>
        </w:tc>
        <w:tc>
          <w:tcPr>
            <w:tcW w:w="2644" w:type="dxa"/>
            <w:tcBorders>
              <w:tl2br w:val="nil"/>
              <w:tr2bl w:val="nil"/>
            </w:tcBorders>
            <w:shd w:val="clear" w:color="auto" w:fill="auto"/>
            <w:tcMar>
              <w:top w:w="15" w:type="dxa"/>
              <w:left w:w="15" w:type="dxa"/>
              <w:right w:w="15" w:type="dxa"/>
            </w:tcMar>
            <w:vAlign w:val="center"/>
          </w:tcPr>
          <w:p w14:paraId="0F184FFD">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配套附属建筑物（座）</w:t>
            </w:r>
          </w:p>
        </w:tc>
        <w:tc>
          <w:tcPr>
            <w:tcW w:w="1437" w:type="dxa"/>
            <w:tcBorders>
              <w:tl2br w:val="nil"/>
              <w:tr2bl w:val="nil"/>
            </w:tcBorders>
            <w:shd w:val="clear" w:color="auto" w:fill="auto"/>
            <w:tcMar>
              <w:top w:w="15" w:type="dxa"/>
              <w:left w:w="15" w:type="dxa"/>
              <w:right w:w="15" w:type="dxa"/>
            </w:tcMar>
            <w:vAlign w:val="center"/>
          </w:tcPr>
          <w:p w14:paraId="7785336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≥14座</w:t>
            </w:r>
          </w:p>
        </w:tc>
        <w:tc>
          <w:tcPr>
            <w:tcW w:w="558" w:type="dxa"/>
            <w:tcBorders>
              <w:tl2br w:val="nil"/>
              <w:tr2bl w:val="nil"/>
            </w:tcBorders>
            <w:shd w:val="clear" w:color="auto" w:fill="auto"/>
            <w:tcMar>
              <w:top w:w="15" w:type="dxa"/>
              <w:left w:w="15" w:type="dxa"/>
              <w:right w:w="15" w:type="dxa"/>
            </w:tcMar>
            <w:vAlign w:val="center"/>
          </w:tcPr>
          <w:p w14:paraId="50EC6DC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default"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cstheme="minorEastAsia"/>
                <w:b w:val="0"/>
                <w:bCs w:val="0"/>
                <w:color w:val="auto"/>
                <w:kern w:val="0"/>
                <w:sz w:val="20"/>
                <w:szCs w:val="20"/>
                <w:lang w:val="en-US" w:eastAsia="zh-CN" w:bidi="ar"/>
              </w:rPr>
              <w:t>2.5</w:t>
            </w:r>
          </w:p>
        </w:tc>
        <w:tc>
          <w:tcPr>
            <w:tcW w:w="1365" w:type="dxa"/>
            <w:tcBorders>
              <w:tl2br w:val="nil"/>
              <w:tr2bl w:val="nil"/>
            </w:tcBorders>
            <w:shd w:val="clear" w:color="auto" w:fill="auto"/>
            <w:tcMar>
              <w:top w:w="15" w:type="dxa"/>
              <w:left w:w="15" w:type="dxa"/>
              <w:right w:w="15" w:type="dxa"/>
            </w:tcMar>
            <w:vAlign w:val="center"/>
          </w:tcPr>
          <w:p w14:paraId="0CBB301B">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14座</w:t>
            </w:r>
          </w:p>
        </w:tc>
        <w:tc>
          <w:tcPr>
            <w:tcW w:w="631" w:type="dxa"/>
            <w:tcBorders>
              <w:tl2br w:val="nil"/>
              <w:tr2bl w:val="nil"/>
            </w:tcBorders>
            <w:shd w:val="clear" w:color="auto" w:fill="auto"/>
            <w:tcMar>
              <w:top w:w="15" w:type="dxa"/>
              <w:left w:w="15" w:type="dxa"/>
              <w:right w:w="15" w:type="dxa"/>
            </w:tcMar>
            <w:vAlign w:val="center"/>
          </w:tcPr>
          <w:p w14:paraId="4658F5EE">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cstheme="minorEastAsia"/>
                <w:b w:val="0"/>
                <w:bCs w:val="0"/>
                <w:color w:val="auto"/>
                <w:kern w:val="0"/>
                <w:sz w:val="20"/>
                <w:szCs w:val="20"/>
                <w:lang w:val="en-US" w:eastAsia="zh-CN" w:bidi="ar"/>
              </w:rPr>
              <w:t>2</w:t>
            </w:r>
            <w:r>
              <w:rPr>
                <w:rFonts w:hint="eastAsia" w:asciiTheme="minorEastAsia" w:hAnsiTheme="minorEastAsia" w:eastAsiaTheme="minorEastAsia" w:cstheme="minorEastAsia"/>
                <w:b w:val="0"/>
                <w:bCs w:val="0"/>
                <w:color w:val="auto"/>
                <w:kern w:val="0"/>
                <w:sz w:val="20"/>
                <w:szCs w:val="20"/>
                <w:lang w:val="en-US" w:eastAsia="zh-CN" w:bidi="ar"/>
              </w:rPr>
              <w:t>.5</w:t>
            </w:r>
          </w:p>
        </w:tc>
      </w:tr>
      <w:tr w14:paraId="39801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634" w:type="dxa"/>
            <w:vMerge w:val="continue"/>
            <w:tcBorders>
              <w:tl2br w:val="nil"/>
              <w:tr2bl w:val="nil"/>
            </w:tcBorders>
            <w:shd w:val="clear" w:color="auto" w:fill="auto"/>
            <w:tcMar>
              <w:top w:w="15" w:type="dxa"/>
              <w:left w:w="15" w:type="dxa"/>
              <w:right w:w="15" w:type="dxa"/>
            </w:tcMar>
            <w:vAlign w:val="center"/>
          </w:tcPr>
          <w:p w14:paraId="1CA23A9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p>
        </w:tc>
        <w:tc>
          <w:tcPr>
            <w:tcW w:w="928" w:type="dxa"/>
            <w:tcBorders>
              <w:tl2br w:val="nil"/>
              <w:tr2bl w:val="nil"/>
            </w:tcBorders>
            <w:shd w:val="clear" w:color="auto" w:fill="auto"/>
            <w:tcMar>
              <w:top w:w="15" w:type="dxa"/>
              <w:left w:w="15" w:type="dxa"/>
              <w:right w:w="15" w:type="dxa"/>
            </w:tcMar>
            <w:vAlign w:val="center"/>
          </w:tcPr>
          <w:p w14:paraId="3667B88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bidi="ar"/>
              </w:rPr>
            </w:pPr>
            <w:r>
              <w:rPr>
                <w:rFonts w:hint="eastAsia" w:asciiTheme="minorEastAsia" w:hAnsiTheme="minorEastAsia" w:eastAsiaTheme="minorEastAsia" w:cstheme="minorEastAsia"/>
                <w:b w:val="0"/>
                <w:bCs w:val="0"/>
                <w:color w:val="auto"/>
                <w:kern w:val="0"/>
                <w:sz w:val="20"/>
                <w:szCs w:val="20"/>
                <w:lang w:val="en-US" w:eastAsia="zh-CN" w:bidi="ar"/>
              </w:rPr>
              <w:t>质量指标</w:t>
            </w:r>
          </w:p>
        </w:tc>
        <w:tc>
          <w:tcPr>
            <w:tcW w:w="2644" w:type="dxa"/>
            <w:tcBorders>
              <w:tl2br w:val="nil"/>
              <w:tr2bl w:val="nil"/>
            </w:tcBorders>
            <w:shd w:val="clear" w:color="auto" w:fill="auto"/>
            <w:tcMar>
              <w:top w:w="15" w:type="dxa"/>
              <w:left w:w="15" w:type="dxa"/>
              <w:right w:w="15" w:type="dxa"/>
            </w:tcMar>
            <w:vAlign w:val="center"/>
          </w:tcPr>
          <w:p w14:paraId="1EDDAA2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rPr>
              <w:t>工程验收合格率（%）</w:t>
            </w:r>
          </w:p>
        </w:tc>
        <w:tc>
          <w:tcPr>
            <w:tcW w:w="1437" w:type="dxa"/>
            <w:tcBorders>
              <w:tl2br w:val="nil"/>
              <w:tr2bl w:val="nil"/>
            </w:tcBorders>
            <w:shd w:val="clear" w:color="auto" w:fill="auto"/>
            <w:tcMar>
              <w:top w:w="15" w:type="dxa"/>
              <w:left w:w="15" w:type="dxa"/>
              <w:right w:w="15" w:type="dxa"/>
            </w:tcMar>
            <w:vAlign w:val="center"/>
          </w:tcPr>
          <w:p w14:paraId="08A82DF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rPr>
            </w:pPr>
            <w:r>
              <w:rPr>
                <w:rFonts w:hint="eastAsia" w:asciiTheme="minorEastAsia" w:hAnsiTheme="minorEastAsia" w:eastAsiaTheme="minorEastAsia" w:cstheme="minorEastAsia"/>
                <w:b w:val="0"/>
                <w:bCs w:val="0"/>
                <w:color w:val="auto"/>
                <w:kern w:val="0"/>
                <w:sz w:val="20"/>
                <w:szCs w:val="20"/>
                <w:lang w:val="en-US" w:eastAsia="zh-CN"/>
              </w:rPr>
              <w:t>100%</w:t>
            </w:r>
          </w:p>
        </w:tc>
        <w:tc>
          <w:tcPr>
            <w:tcW w:w="558" w:type="dxa"/>
            <w:tcBorders>
              <w:tl2br w:val="nil"/>
              <w:tr2bl w:val="nil"/>
            </w:tcBorders>
            <w:shd w:val="clear" w:color="auto" w:fill="auto"/>
            <w:tcMar>
              <w:top w:w="15" w:type="dxa"/>
              <w:left w:w="15" w:type="dxa"/>
              <w:right w:w="15" w:type="dxa"/>
            </w:tcMar>
            <w:vAlign w:val="center"/>
          </w:tcPr>
          <w:p w14:paraId="19262C2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rPr>
            </w:pPr>
            <w:r>
              <w:rPr>
                <w:rFonts w:hint="eastAsia" w:asciiTheme="minorEastAsia" w:hAnsiTheme="minorEastAsia" w:cstheme="minorEastAsia"/>
                <w:b w:val="0"/>
                <w:bCs w:val="0"/>
                <w:color w:val="auto"/>
                <w:kern w:val="0"/>
                <w:sz w:val="20"/>
                <w:szCs w:val="20"/>
                <w:lang w:val="en-US" w:eastAsia="zh-CN"/>
              </w:rPr>
              <w:t>3</w:t>
            </w:r>
            <w:r>
              <w:rPr>
                <w:rFonts w:hint="eastAsia" w:asciiTheme="minorEastAsia" w:hAnsiTheme="minorEastAsia" w:eastAsiaTheme="minorEastAsia" w:cstheme="minorEastAsia"/>
                <w:b w:val="0"/>
                <w:bCs w:val="0"/>
                <w:color w:val="auto"/>
                <w:kern w:val="0"/>
                <w:sz w:val="20"/>
                <w:szCs w:val="20"/>
                <w:lang w:val="en-US" w:eastAsia="zh-CN"/>
              </w:rPr>
              <w:t>.5</w:t>
            </w:r>
          </w:p>
        </w:tc>
        <w:tc>
          <w:tcPr>
            <w:tcW w:w="1365" w:type="dxa"/>
            <w:tcBorders>
              <w:tl2br w:val="nil"/>
              <w:tr2bl w:val="nil"/>
            </w:tcBorders>
            <w:shd w:val="clear" w:color="auto" w:fill="auto"/>
            <w:tcMar>
              <w:top w:w="15" w:type="dxa"/>
              <w:left w:w="15" w:type="dxa"/>
              <w:right w:w="15" w:type="dxa"/>
            </w:tcMar>
            <w:vAlign w:val="center"/>
          </w:tcPr>
          <w:p w14:paraId="01AA27E0">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lang w:val="en-US" w:eastAsia="zh-CN"/>
              </w:rPr>
              <w:t>100%</w:t>
            </w:r>
          </w:p>
        </w:tc>
        <w:tc>
          <w:tcPr>
            <w:tcW w:w="631" w:type="dxa"/>
            <w:tcBorders>
              <w:tl2br w:val="nil"/>
              <w:tr2bl w:val="nil"/>
            </w:tcBorders>
            <w:shd w:val="clear" w:color="auto" w:fill="auto"/>
            <w:tcMar>
              <w:top w:w="15" w:type="dxa"/>
              <w:left w:w="15" w:type="dxa"/>
              <w:right w:w="15" w:type="dxa"/>
            </w:tcMar>
            <w:vAlign w:val="center"/>
          </w:tcPr>
          <w:p w14:paraId="4C422D10">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cstheme="minorEastAsia"/>
                <w:b w:val="0"/>
                <w:bCs w:val="0"/>
                <w:color w:val="auto"/>
                <w:kern w:val="0"/>
                <w:sz w:val="20"/>
                <w:szCs w:val="20"/>
                <w:lang w:val="en-US" w:eastAsia="zh-CN"/>
              </w:rPr>
              <w:t>3</w:t>
            </w:r>
            <w:r>
              <w:rPr>
                <w:rFonts w:hint="eastAsia" w:asciiTheme="minorEastAsia" w:hAnsiTheme="minorEastAsia" w:eastAsiaTheme="minorEastAsia" w:cstheme="minorEastAsia"/>
                <w:b w:val="0"/>
                <w:bCs w:val="0"/>
                <w:color w:val="auto"/>
                <w:kern w:val="0"/>
                <w:sz w:val="20"/>
                <w:szCs w:val="20"/>
                <w:lang w:val="en-US" w:eastAsia="zh-CN"/>
              </w:rPr>
              <w:t>.5</w:t>
            </w:r>
          </w:p>
        </w:tc>
      </w:tr>
      <w:tr w14:paraId="616B6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634" w:type="dxa"/>
            <w:vMerge w:val="continue"/>
            <w:tcBorders>
              <w:tl2br w:val="nil"/>
              <w:tr2bl w:val="nil"/>
            </w:tcBorders>
            <w:shd w:val="clear" w:color="auto" w:fill="auto"/>
            <w:tcMar>
              <w:top w:w="15" w:type="dxa"/>
              <w:left w:w="15" w:type="dxa"/>
              <w:right w:w="15" w:type="dxa"/>
            </w:tcMar>
            <w:vAlign w:val="center"/>
          </w:tcPr>
          <w:p w14:paraId="12C880D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rPr>
            </w:pPr>
          </w:p>
        </w:tc>
        <w:tc>
          <w:tcPr>
            <w:tcW w:w="928" w:type="dxa"/>
            <w:vMerge w:val="restart"/>
            <w:tcBorders>
              <w:tl2br w:val="nil"/>
              <w:tr2bl w:val="nil"/>
            </w:tcBorders>
            <w:shd w:val="clear" w:color="auto" w:fill="auto"/>
            <w:tcMar>
              <w:top w:w="15" w:type="dxa"/>
              <w:left w:w="15" w:type="dxa"/>
              <w:right w:w="15" w:type="dxa"/>
            </w:tcMar>
            <w:vAlign w:val="center"/>
          </w:tcPr>
          <w:p w14:paraId="5AD7DEE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lang w:val="en-US" w:eastAsia="zh-CN" w:bidi="ar"/>
              </w:rPr>
              <w:t>时效指标</w:t>
            </w:r>
          </w:p>
        </w:tc>
        <w:tc>
          <w:tcPr>
            <w:tcW w:w="2644" w:type="dxa"/>
            <w:tcBorders>
              <w:tl2br w:val="nil"/>
              <w:tr2bl w:val="nil"/>
            </w:tcBorders>
            <w:shd w:val="clear" w:color="auto" w:fill="auto"/>
            <w:tcMar>
              <w:top w:w="15" w:type="dxa"/>
              <w:left w:w="15" w:type="dxa"/>
              <w:right w:w="15" w:type="dxa"/>
            </w:tcMar>
            <w:vAlign w:val="center"/>
          </w:tcPr>
          <w:p w14:paraId="4B12FD75">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rPr>
              <w:t>截止2023年底，投资完成比例（%）</w:t>
            </w:r>
          </w:p>
        </w:tc>
        <w:tc>
          <w:tcPr>
            <w:tcW w:w="1437" w:type="dxa"/>
            <w:tcBorders>
              <w:tl2br w:val="nil"/>
              <w:tr2bl w:val="nil"/>
            </w:tcBorders>
            <w:shd w:val="clear" w:color="auto" w:fill="auto"/>
            <w:tcMar>
              <w:top w:w="15" w:type="dxa"/>
              <w:left w:w="15" w:type="dxa"/>
              <w:right w:w="15" w:type="dxa"/>
            </w:tcMar>
            <w:vAlign w:val="center"/>
          </w:tcPr>
          <w:p w14:paraId="443F3D5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≥80%</w:t>
            </w:r>
          </w:p>
        </w:tc>
        <w:tc>
          <w:tcPr>
            <w:tcW w:w="558" w:type="dxa"/>
            <w:tcBorders>
              <w:tl2br w:val="nil"/>
              <w:tr2bl w:val="nil"/>
            </w:tcBorders>
            <w:shd w:val="clear" w:color="auto" w:fill="auto"/>
            <w:tcMar>
              <w:top w:w="15" w:type="dxa"/>
              <w:left w:w="15" w:type="dxa"/>
              <w:right w:w="15" w:type="dxa"/>
            </w:tcMar>
            <w:vAlign w:val="center"/>
          </w:tcPr>
          <w:p w14:paraId="42159E41">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rPr>
            </w:pPr>
            <w:r>
              <w:rPr>
                <w:rFonts w:hint="eastAsia" w:asciiTheme="minorEastAsia" w:hAnsiTheme="minorEastAsia" w:eastAsiaTheme="minorEastAsia" w:cstheme="minorEastAsia"/>
                <w:b w:val="0"/>
                <w:bCs w:val="0"/>
                <w:color w:val="auto"/>
                <w:kern w:val="0"/>
                <w:sz w:val="20"/>
                <w:szCs w:val="20"/>
                <w:lang w:val="en-US" w:eastAsia="zh-CN"/>
              </w:rPr>
              <w:t>7.5</w:t>
            </w:r>
          </w:p>
        </w:tc>
        <w:tc>
          <w:tcPr>
            <w:tcW w:w="1365" w:type="dxa"/>
            <w:tcBorders>
              <w:tl2br w:val="nil"/>
              <w:tr2bl w:val="nil"/>
            </w:tcBorders>
            <w:shd w:val="clear" w:color="auto" w:fill="auto"/>
            <w:tcMar>
              <w:top w:w="15" w:type="dxa"/>
              <w:left w:w="15" w:type="dxa"/>
              <w:right w:w="15" w:type="dxa"/>
            </w:tcMar>
            <w:vAlign w:val="center"/>
          </w:tcPr>
          <w:p w14:paraId="5D93EA0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80%</w:t>
            </w:r>
          </w:p>
        </w:tc>
        <w:tc>
          <w:tcPr>
            <w:tcW w:w="631" w:type="dxa"/>
            <w:tcBorders>
              <w:tl2br w:val="nil"/>
              <w:tr2bl w:val="nil"/>
            </w:tcBorders>
            <w:shd w:val="clear" w:color="auto" w:fill="auto"/>
            <w:tcMar>
              <w:top w:w="15" w:type="dxa"/>
              <w:left w:w="15" w:type="dxa"/>
              <w:right w:w="15" w:type="dxa"/>
            </w:tcMar>
            <w:vAlign w:val="center"/>
          </w:tcPr>
          <w:p w14:paraId="78EC7F0D">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lang w:val="en-US" w:eastAsia="zh-CN"/>
              </w:rPr>
              <w:t>7.5</w:t>
            </w:r>
          </w:p>
        </w:tc>
      </w:tr>
      <w:tr w14:paraId="6DD112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14:paraId="2C06D91E">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val="0"/>
                <w:bCs w:val="0"/>
                <w:color w:val="auto"/>
                <w:sz w:val="20"/>
                <w:szCs w:val="20"/>
              </w:rPr>
            </w:pPr>
          </w:p>
        </w:tc>
        <w:tc>
          <w:tcPr>
            <w:tcW w:w="928" w:type="dxa"/>
            <w:vMerge w:val="continue"/>
            <w:tcBorders>
              <w:tl2br w:val="nil"/>
              <w:tr2bl w:val="nil"/>
            </w:tcBorders>
            <w:shd w:val="clear" w:color="auto" w:fill="auto"/>
            <w:tcMar>
              <w:top w:w="15" w:type="dxa"/>
              <w:left w:w="15" w:type="dxa"/>
              <w:right w:w="15" w:type="dxa"/>
            </w:tcMar>
            <w:vAlign w:val="center"/>
          </w:tcPr>
          <w:p w14:paraId="432CE9E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rPr>
            </w:pPr>
          </w:p>
        </w:tc>
        <w:tc>
          <w:tcPr>
            <w:tcW w:w="2644" w:type="dxa"/>
            <w:tcBorders>
              <w:tl2br w:val="nil"/>
              <w:tr2bl w:val="nil"/>
            </w:tcBorders>
            <w:shd w:val="clear" w:color="auto" w:fill="auto"/>
            <w:tcMar>
              <w:top w:w="15" w:type="dxa"/>
              <w:left w:w="15" w:type="dxa"/>
              <w:right w:w="15" w:type="dxa"/>
            </w:tcMar>
            <w:vAlign w:val="center"/>
          </w:tcPr>
          <w:p w14:paraId="08E6BB7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rPr>
              <w:t>完工时间</w:t>
            </w:r>
          </w:p>
        </w:tc>
        <w:tc>
          <w:tcPr>
            <w:tcW w:w="1437" w:type="dxa"/>
            <w:tcBorders>
              <w:tl2br w:val="nil"/>
              <w:tr2bl w:val="nil"/>
            </w:tcBorders>
            <w:shd w:val="clear" w:color="auto" w:fill="auto"/>
            <w:tcMar>
              <w:top w:w="15" w:type="dxa"/>
              <w:left w:w="15" w:type="dxa"/>
              <w:right w:w="15" w:type="dxa"/>
            </w:tcMar>
            <w:vAlign w:val="center"/>
          </w:tcPr>
          <w:p w14:paraId="07BBCFF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2023年5月30日前</w:t>
            </w:r>
          </w:p>
        </w:tc>
        <w:tc>
          <w:tcPr>
            <w:tcW w:w="558" w:type="dxa"/>
            <w:tcBorders>
              <w:tl2br w:val="nil"/>
              <w:tr2bl w:val="nil"/>
            </w:tcBorders>
            <w:shd w:val="clear" w:color="auto" w:fill="auto"/>
            <w:tcMar>
              <w:top w:w="15" w:type="dxa"/>
              <w:left w:w="15" w:type="dxa"/>
              <w:right w:w="15" w:type="dxa"/>
            </w:tcMar>
            <w:vAlign w:val="center"/>
          </w:tcPr>
          <w:p w14:paraId="46D7E9DE">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rPr>
            </w:pPr>
            <w:r>
              <w:rPr>
                <w:rFonts w:hint="eastAsia" w:asciiTheme="minorEastAsia" w:hAnsiTheme="minorEastAsia" w:eastAsiaTheme="minorEastAsia" w:cstheme="minorEastAsia"/>
                <w:b w:val="0"/>
                <w:bCs w:val="0"/>
                <w:color w:val="auto"/>
                <w:kern w:val="0"/>
                <w:sz w:val="20"/>
                <w:szCs w:val="20"/>
                <w:lang w:val="en-US" w:eastAsia="zh-CN"/>
              </w:rPr>
              <w:t>4</w:t>
            </w:r>
          </w:p>
        </w:tc>
        <w:tc>
          <w:tcPr>
            <w:tcW w:w="1365" w:type="dxa"/>
            <w:tcBorders>
              <w:tl2br w:val="nil"/>
              <w:tr2bl w:val="nil"/>
            </w:tcBorders>
            <w:shd w:val="clear" w:color="auto" w:fill="auto"/>
            <w:tcMar>
              <w:top w:w="15" w:type="dxa"/>
              <w:left w:w="15" w:type="dxa"/>
              <w:right w:w="15" w:type="dxa"/>
            </w:tcMar>
            <w:vAlign w:val="center"/>
          </w:tcPr>
          <w:p w14:paraId="0008005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2023年5月25日</w:t>
            </w:r>
          </w:p>
        </w:tc>
        <w:tc>
          <w:tcPr>
            <w:tcW w:w="631" w:type="dxa"/>
            <w:tcBorders>
              <w:tl2br w:val="nil"/>
              <w:tr2bl w:val="nil"/>
            </w:tcBorders>
            <w:shd w:val="clear" w:color="auto" w:fill="auto"/>
            <w:tcMar>
              <w:top w:w="15" w:type="dxa"/>
              <w:left w:w="15" w:type="dxa"/>
              <w:right w:w="15" w:type="dxa"/>
            </w:tcMar>
            <w:vAlign w:val="center"/>
          </w:tcPr>
          <w:p w14:paraId="6828EADA">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lang w:val="en-US" w:eastAsia="zh-CN"/>
              </w:rPr>
              <w:t>4</w:t>
            </w:r>
          </w:p>
        </w:tc>
      </w:tr>
      <w:tr w14:paraId="4D93FC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14:paraId="49871F80">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val="0"/>
                <w:bCs w:val="0"/>
                <w:color w:val="auto"/>
                <w:sz w:val="20"/>
                <w:szCs w:val="20"/>
                <w:highlight w:val="none"/>
              </w:rPr>
            </w:pPr>
          </w:p>
        </w:tc>
        <w:tc>
          <w:tcPr>
            <w:tcW w:w="928" w:type="dxa"/>
            <w:vMerge w:val="restart"/>
            <w:tcBorders>
              <w:tl2br w:val="nil"/>
              <w:tr2bl w:val="nil"/>
            </w:tcBorders>
            <w:shd w:val="clear" w:color="auto" w:fill="auto"/>
            <w:tcMar>
              <w:top w:w="15" w:type="dxa"/>
              <w:left w:w="15" w:type="dxa"/>
              <w:right w:w="15" w:type="dxa"/>
            </w:tcMar>
            <w:vAlign w:val="center"/>
          </w:tcPr>
          <w:p w14:paraId="59EB5EB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highlight w:val="none"/>
              </w:rPr>
            </w:pPr>
            <w:r>
              <w:rPr>
                <w:rFonts w:hint="eastAsia" w:asciiTheme="minorEastAsia" w:hAnsiTheme="minorEastAsia" w:eastAsiaTheme="minorEastAsia" w:cstheme="minorEastAsia"/>
                <w:b w:val="0"/>
                <w:bCs w:val="0"/>
                <w:color w:val="auto"/>
                <w:kern w:val="0"/>
                <w:sz w:val="20"/>
                <w:szCs w:val="20"/>
                <w:highlight w:val="none"/>
                <w:lang w:val="en-US" w:eastAsia="zh-CN" w:bidi="ar"/>
              </w:rPr>
              <w:t>经济成本指标</w:t>
            </w:r>
          </w:p>
        </w:tc>
        <w:tc>
          <w:tcPr>
            <w:tcW w:w="2644" w:type="dxa"/>
            <w:tcBorders>
              <w:tl2br w:val="nil"/>
              <w:tr2bl w:val="nil"/>
            </w:tcBorders>
            <w:shd w:val="clear" w:color="auto" w:fill="auto"/>
            <w:tcMar>
              <w:top w:w="15" w:type="dxa"/>
              <w:left w:w="15" w:type="dxa"/>
              <w:right w:w="15" w:type="dxa"/>
            </w:tcMar>
            <w:vAlign w:val="center"/>
          </w:tcPr>
          <w:p w14:paraId="3EA1541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设计投资（万元）</w:t>
            </w:r>
          </w:p>
        </w:tc>
        <w:tc>
          <w:tcPr>
            <w:tcW w:w="1437" w:type="dxa"/>
            <w:tcBorders>
              <w:tl2br w:val="nil"/>
              <w:tr2bl w:val="nil"/>
            </w:tcBorders>
            <w:shd w:val="clear" w:color="auto" w:fill="auto"/>
            <w:tcMar>
              <w:top w:w="15" w:type="dxa"/>
              <w:left w:w="15" w:type="dxa"/>
              <w:right w:w="15" w:type="dxa"/>
            </w:tcMar>
            <w:vAlign w:val="center"/>
          </w:tcPr>
          <w:p w14:paraId="5F7DBAB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≤3万元</w:t>
            </w:r>
          </w:p>
        </w:tc>
        <w:tc>
          <w:tcPr>
            <w:tcW w:w="558" w:type="dxa"/>
            <w:tcBorders>
              <w:tl2br w:val="nil"/>
              <w:tr2bl w:val="nil"/>
            </w:tcBorders>
            <w:shd w:val="clear" w:color="auto" w:fill="auto"/>
            <w:tcMar>
              <w:top w:w="15" w:type="dxa"/>
              <w:left w:w="15" w:type="dxa"/>
              <w:right w:w="15" w:type="dxa"/>
            </w:tcMar>
            <w:vAlign w:val="center"/>
          </w:tcPr>
          <w:p w14:paraId="13D4901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rPr>
            </w:pPr>
            <w:r>
              <w:rPr>
                <w:rFonts w:hint="eastAsia" w:asciiTheme="minorEastAsia" w:hAnsiTheme="minorEastAsia" w:eastAsiaTheme="minorEastAsia" w:cstheme="minorEastAsia"/>
                <w:b w:val="0"/>
                <w:bCs w:val="0"/>
                <w:color w:val="auto"/>
                <w:kern w:val="0"/>
                <w:sz w:val="20"/>
                <w:szCs w:val="20"/>
                <w:lang w:val="en-US" w:eastAsia="zh-CN"/>
              </w:rPr>
              <w:t>4.5</w:t>
            </w:r>
          </w:p>
        </w:tc>
        <w:tc>
          <w:tcPr>
            <w:tcW w:w="1365" w:type="dxa"/>
            <w:tcBorders>
              <w:tl2br w:val="nil"/>
              <w:tr2bl w:val="nil"/>
            </w:tcBorders>
            <w:shd w:val="clear" w:color="auto" w:fill="auto"/>
            <w:tcMar>
              <w:top w:w="15" w:type="dxa"/>
              <w:left w:w="15" w:type="dxa"/>
              <w:right w:w="15" w:type="dxa"/>
            </w:tcMar>
            <w:vAlign w:val="center"/>
          </w:tcPr>
          <w:p w14:paraId="56C95B0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3万元</w:t>
            </w:r>
          </w:p>
        </w:tc>
        <w:tc>
          <w:tcPr>
            <w:tcW w:w="631" w:type="dxa"/>
            <w:tcBorders>
              <w:tl2br w:val="nil"/>
              <w:tr2bl w:val="nil"/>
            </w:tcBorders>
            <w:shd w:val="clear" w:color="auto" w:fill="auto"/>
            <w:tcMar>
              <w:top w:w="15" w:type="dxa"/>
              <w:left w:w="15" w:type="dxa"/>
              <w:right w:w="15" w:type="dxa"/>
            </w:tcMar>
            <w:vAlign w:val="center"/>
          </w:tcPr>
          <w:p w14:paraId="0F28BBCE">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lang w:val="en-US" w:eastAsia="zh-CN"/>
              </w:rPr>
              <w:t>4.5</w:t>
            </w:r>
          </w:p>
        </w:tc>
      </w:tr>
      <w:tr w14:paraId="3064A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634" w:type="dxa"/>
            <w:vMerge w:val="continue"/>
            <w:tcBorders>
              <w:tl2br w:val="nil"/>
              <w:tr2bl w:val="nil"/>
            </w:tcBorders>
            <w:shd w:val="clear" w:color="auto" w:fill="auto"/>
            <w:tcMar>
              <w:top w:w="15" w:type="dxa"/>
              <w:left w:w="15" w:type="dxa"/>
              <w:right w:w="15" w:type="dxa"/>
            </w:tcMar>
            <w:vAlign w:val="center"/>
          </w:tcPr>
          <w:p w14:paraId="4430FB24">
            <w:pPr>
              <w:keepNext w:val="0"/>
              <w:keepLines w:val="0"/>
              <w:suppressLineNumbers w:val="0"/>
              <w:spacing w:before="0" w:beforeAutospacing="0" w:after="0" w:afterAutospacing="0"/>
              <w:ind w:left="0" w:right="0"/>
              <w:rPr>
                <w:rFonts w:hint="eastAsia" w:asciiTheme="minorEastAsia" w:hAnsiTheme="minorEastAsia" w:eastAsiaTheme="minorEastAsia" w:cstheme="minorEastAsia"/>
                <w:b w:val="0"/>
                <w:bCs w:val="0"/>
                <w:color w:val="auto"/>
                <w:sz w:val="20"/>
                <w:szCs w:val="20"/>
              </w:rPr>
            </w:pPr>
          </w:p>
        </w:tc>
        <w:tc>
          <w:tcPr>
            <w:tcW w:w="928" w:type="dxa"/>
            <w:vMerge w:val="continue"/>
            <w:tcBorders>
              <w:tl2br w:val="nil"/>
              <w:tr2bl w:val="nil"/>
            </w:tcBorders>
            <w:shd w:val="clear" w:color="auto" w:fill="auto"/>
            <w:tcMar>
              <w:top w:w="15" w:type="dxa"/>
              <w:left w:w="15" w:type="dxa"/>
              <w:right w:w="15" w:type="dxa"/>
            </w:tcMar>
            <w:vAlign w:val="center"/>
          </w:tcPr>
          <w:p w14:paraId="097D61A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rPr>
            </w:pPr>
          </w:p>
        </w:tc>
        <w:tc>
          <w:tcPr>
            <w:tcW w:w="2644" w:type="dxa"/>
            <w:tcBorders>
              <w:tl2br w:val="nil"/>
              <w:tr2bl w:val="nil"/>
            </w:tcBorders>
            <w:shd w:val="clear" w:color="auto" w:fill="auto"/>
            <w:tcMar>
              <w:top w:w="15" w:type="dxa"/>
              <w:left w:w="15" w:type="dxa"/>
              <w:right w:w="15" w:type="dxa"/>
            </w:tcMar>
            <w:vAlign w:val="center"/>
          </w:tcPr>
          <w:p w14:paraId="4B47DAB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草地征占投资（万元）</w:t>
            </w:r>
          </w:p>
        </w:tc>
        <w:tc>
          <w:tcPr>
            <w:tcW w:w="1437" w:type="dxa"/>
            <w:tcBorders>
              <w:tl2br w:val="nil"/>
              <w:tr2bl w:val="nil"/>
            </w:tcBorders>
            <w:shd w:val="clear" w:color="auto" w:fill="auto"/>
            <w:tcMar>
              <w:top w:w="15" w:type="dxa"/>
              <w:left w:w="15" w:type="dxa"/>
              <w:right w:w="15" w:type="dxa"/>
            </w:tcMar>
            <w:vAlign w:val="center"/>
          </w:tcPr>
          <w:p w14:paraId="5034E43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≤1.222万元</w:t>
            </w:r>
          </w:p>
        </w:tc>
        <w:tc>
          <w:tcPr>
            <w:tcW w:w="558" w:type="dxa"/>
            <w:tcBorders>
              <w:tl2br w:val="nil"/>
              <w:tr2bl w:val="nil"/>
            </w:tcBorders>
            <w:shd w:val="clear" w:color="auto" w:fill="auto"/>
            <w:tcMar>
              <w:top w:w="15" w:type="dxa"/>
              <w:left w:w="15" w:type="dxa"/>
              <w:right w:w="15" w:type="dxa"/>
            </w:tcMar>
            <w:vAlign w:val="center"/>
          </w:tcPr>
          <w:p w14:paraId="5CA90A2C">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Theme="minorEastAsia" w:hAnsiTheme="minorEastAsia" w:eastAsiaTheme="minorEastAsia" w:cstheme="minorEastAsia"/>
                <w:b w:val="0"/>
                <w:bCs w:val="0"/>
                <w:color w:val="auto"/>
                <w:kern w:val="0"/>
                <w:sz w:val="20"/>
                <w:szCs w:val="20"/>
                <w:lang w:val="en-US" w:eastAsia="zh-CN"/>
              </w:rPr>
            </w:pPr>
            <w:r>
              <w:rPr>
                <w:rFonts w:hint="eastAsia" w:asciiTheme="minorEastAsia" w:hAnsiTheme="minorEastAsia" w:eastAsiaTheme="minorEastAsia" w:cstheme="minorEastAsia"/>
                <w:b w:val="0"/>
                <w:bCs w:val="0"/>
                <w:color w:val="auto"/>
                <w:kern w:val="0"/>
                <w:sz w:val="20"/>
                <w:szCs w:val="20"/>
                <w:lang w:val="en-US" w:eastAsia="zh-CN"/>
              </w:rPr>
              <w:t>5.5</w:t>
            </w:r>
          </w:p>
        </w:tc>
        <w:tc>
          <w:tcPr>
            <w:tcW w:w="1365" w:type="dxa"/>
            <w:tcBorders>
              <w:tl2br w:val="nil"/>
              <w:tr2bl w:val="nil"/>
            </w:tcBorders>
            <w:shd w:val="clear" w:color="auto" w:fill="auto"/>
            <w:tcMar>
              <w:top w:w="15" w:type="dxa"/>
              <w:left w:w="15" w:type="dxa"/>
              <w:right w:w="15" w:type="dxa"/>
            </w:tcMar>
            <w:vAlign w:val="center"/>
          </w:tcPr>
          <w:p w14:paraId="078322A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val="0"/>
                <w:bCs w:val="0"/>
                <w:color w:val="auto"/>
                <w:kern w:val="0"/>
                <w:sz w:val="20"/>
                <w:szCs w:val="20"/>
              </w:rPr>
            </w:pPr>
            <w:r>
              <w:rPr>
                <w:rFonts w:hint="eastAsia" w:ascii="宋体" w:hAnsi="宋体" w:eastAsia="宋体" w:cs="宋体"/>
                <w:i w:val="0"/>
                <w:color w:val="000000"/>
                <w:kern w:val="0"/>
                <w:sz w:val="20"/>
                <w:szCs w:val="20"/>
                <w:u w:val="none"/>
                <w:lang w:val="en-US" w:eastAsia="zh-CN" w:bidi="ar"/>
              </w:rPr>
              <w:t>1.222万元</w:t>
            </w:r>
          </w:p>
        </w:tc>
        <w:tc>
          <w:tcPr>
            <w:tcW w:w="631" w:type="dxa"/>
            <w:tcBorders>
              <w:tl2br w:val="nil"/>
              <w:tr2bl w:val="nil"/>
            </w:tcBorders>
            <w:shd w:val="clear" w:color="auto" w:fill="auto"/>
            <w:tcMar>
              <w:top w:w="15" w:type="dxa"/>
              <w:left w:w="15" w:type="dxa"/>
              <w:right w:w="15" w:type="dxa"/>
            </w:tcMar>
            <w:vAlign w:val="center"/>
          </w:tcPr>
          <w:p w14:paraId="7B2391CB">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Theme="minorEastAsia" w:hAnsiTheme="minorEastAsia" w:eastAsiaTheme="minorEastAsia" w:cstheme="minorEastAsia"/>
                <w:b w:val="0"/>
                <w:bCs w:val="0"/>
                <w:color w:val="auto"/>
                <w:kern w:val="0"/>
                <w:sz w:val="20"/>
                <w:szCs w:val="20"/>
              </w:rPr>
            </w:pPr>
            <w:r>
              <w:rPr>
                <w:rFonts w:hint="eastAsia" w:asciiTheme="minorEastAsia" w:hAnsiTheme="minorEastAsia" w:eastAsiaTheme="minorEastAsia" w:cstheme="minorEastAsia"/>
                <w:b w:val="0"/>
                <w:bCs w:val="0"/>
                <w:color w:val="auto"/>
                <w:kern w:val="0"/>
                <w:sz w:val="20"/>
                <w:szCs w:val="20"/>
                <w:lang w:val="en-US" w:eastAsia="zh-CN"/>
              </w:rPr>
              <w:t>5.5</w:t>
            </w:r>
          </w:p>
        </w:tc>
      </w:tr>
      <w:tr w14:paraId="2A032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03" w:hRule="atLeast"/>
        </w:trPr>
        <w:tc>
          <w:tcPr>
            <w:tcW w:w="5643" w:type="dxa"/>
            <w:gridSpan w:val="4"/>
            <w:tcBorders>
              <w:tl2br w:val="nil"/>
              <w:tr2bl w:val="nil"/>
            </w:tcBorders>
            <w:shd w:val="clear" w:color="auto" w:fill="auto"/>
            <w:tcMar>
              <w:top w:w="15" w:type="dxa"/>
              <w:left w:w="15" w:type="dxa"/>
              <w:right w:w="15" w:type="dxa"/>
            </w:tcMar>
            <w:vAlign w:val="center"/>
          </w:tcPr>
          <w:p w14:paraId="0F14D71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合计</w:t>
            </w:r>
          </w:p>
        </w:tc>
        <w:tc>
          <w:tcPr>
            <w:tcW w:w="558" w:type="dxa"/>
            <w:tcBorders>
              <w:tl2br w:val="nil"/>
              <w:tr2bl w:val="nil"/>
            </w:tcBorders>
            <w:shd w:val="clear" w:color="auto" w:fill="auto"/>
            <w:tcMar>
              <w:top w:w="15" w:type="dxa"/>
              <w:left w:w="15" w:type="dxa"/>
              <w:right w:w="15" w:type="dxa"/>
            </w:tcMar>
            <w:vAlign w:val="center"/>
          </w:tcPr>
          <w:p w14:paraId="469094F7">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bidi="ar"/>
              </w:rPr>
              <w:t>30</w:t>
            </w:r>
          </w:p>
        </w:tc>
        <w:tc>
          <w:tcPr>
            <w:tcW w:w="1365" w:type="dxa"/>
            <w:tcBorders>
              <w:tl2br w:val="nil"/>
              <w:tr2bl w:val="nil"/>
            </w:tcBorders>
            <w:shd w:val="clear" w:color="auto" w:fill="auto"/>
            <w:tcMar>
              <w:top w:w="15" w:type="dxa"/>
              <w:left w:w="15" w:type="dxa"/>
              <w:right w:w="15" w:type="dxa"/>
            </w:tcMar>
            <w:vAlign w:val="center"/>
          </w:tcPr>
          <w:p w14:paraId="49C443D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kern w:val="0"/>
                <w:sz w:val="20"/>
                <w:szCs w:val="20"/>
              </w:rPr>
            </w:pPr>
          </w:p>
        </w:tc>
        <w:tc>
          <w:tcPr>
            <w:tcW w:w="631" w:type="dxa"/>
            <w:tcBorders>
              <w:tl2br w:val="nil"/>
              <w:tr2bl w:val="nil"/>
            </w:tcBorders>
            <w:shd w:val="clear" w:color="auto" w:fill="auto"/>
            <w:tcMar>
              <w:top w:w="15" w:type="dxa"/>
              <w:left w:w="15" w:type="dxa"/>
              <w:right w:w="15" w:type="dxa"/>
            </w:tcMar>
            <w:vAlign w:val="center"/>
          </w:tcPr>
          <w:p w14:paraId="72B93F1B">
            <w:pPr>
              <w:keepNext w:val="0"/>
              <w:keepLines w:val="0"/>
              <w:widowControl/>
              <w:suppressLineNumbers w:val="0"/>
              <w:autoSpaceDE w:val="0"/>
              <w:autoSpaceDN/>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FF0000"/>
                <w:kern w:val="0"/>
                <w:sz w:val="20"/>
                <w:szCs w:val="20"/>
              </w:rPr>
            </w:pPr>
            <w:r>
              <w:rPr>
                <w:rFonts w:hint="eastAsia" w:ascii="宋体" w:hAnsi="宋体" w:eastAsia="宋体" w:cs="宋体"/>
                <w:kern w:val="0"/>
                <w:sz w:val="20"/>
                <w:szCs w:val="20"/>
                <w:lang w:val="en-US" w:eastAsia="zh-CN" w:bidi="ar"/>
              </w:rPr>
              <w:t>30</w:t>
            </w:r>
          </w:p>
        </w:tc>
      </w:tr>
    </w:tbl>
    <w:p w14:paraId="3C9CC1D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lang w:val="en-US" w:eastAsia="zh-CN" w:bidi="ar"/>
        </w:rPr>
        <w:t>表4-3项目产出指标及分值情况</w:t>
      </w:r>
    </w:p>
    <w:p w14:paraId="48782916">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b/>
          <w:color w:val="FF0000"/>
          <w:kern w:val="2"/>
          <w:sz w:val="28"/>
          <w:szCs w:val="28"/>
        </w:rPr>
      </w:pPr>
      <w:bookmarkStart w:id="67" w:name="_Toc11067"/>
      <w:r>
        <w:rPr>
          <w:rFonts w:hint="eastAsia" w:ascii="宋体" w:hAnsi="宋体" w:eastAsia="宋体" w:cs="宋体"/>
          <w:b/>
          <w:kern w:val="2"/>
          <w:sz w:val="28"/>
          <w:szCs w:val="28"/>
          <w:lang w:val="en-US" w:eastAsia="zh-CN" w:bidi="ar"/>
        </w:rPr>
        <w:t>1.项目完成数量</w:t>
      </w:r>
      <w:bookmarkEnd w:id="67"/>
    </w:p>
    <w:p w14:paraId="645788D3">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“新建饮水管道（公里）”指标，预期目标值为≥3.25km，实际完成为3.27km。实际完成率100%。</w:t>
      </w:r>
    </w:p>
    <w:p w14:paraId="5F40CFC1">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b/>
          <w:color w:val="auto"/>
          <w:kern w:val="2"/>
          <w:sz w:val="28"/>
          <w:szCs w:val="28"/>
          <w:lang w:val="en-US" w:eastAsia="zh-CN" w:bidi="ar"/>
        </w:rPr>
      </w:pPr>
      <w:r>
        <w:rPr>
          <w:rFonts w:hint="eastAsia" w:ascii="宋体" w:hAnsi="宋体" w:eastAsia="宋体" w:cs="宋体"/>
          <w:b/>
          <w:kern w:val="2"/>
          <w:sz w:val="28"/>
          <w:szCs w:val="28"/>
          <w:lang w:val="en-US" w:eastAsia="zh-CN" w:bidi="ar"/>
        </w:rPr>
        <w:t>综上，该项指标满</w:t>
      </w:r>
      <w:r>
        <w:rPr>
          <w:rFonts w:hint="eastAsia" w:ascii="宋体" w:hAnsi="宋体" w:eastAsia="宋体" w:cs="宋体"/>
          <w:b/>
          <w:color w:val="auto"/>
          <w:kern w:val="2"/>
          <w:sz w:val="28"/>
          <w:szCs w:val="28"/>
          <w:lang w:val="en-US" w:eastAsia="zh-CN" w:bidi="ar"/>
        </w:rPr>
        <w:t>分2.5分，得分2.5分</w:t>
      </w:r>
    </w:p>
    <w:p w14:paraId="0991C2AE">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“配套附属建筑物（座）”指标，预期目标值为≥14座，实际完成为14座。实际完成率=（14座/14座）×100%=100%。</w:t>
      </w:r>
    </w:p>
    <w:p w14:paraId="148A9650">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kern w:val="2"/>
          <w:sz w:val="28"/>
          <w:szCs w:val="28"/>
          <w:lang w:val="en-US" w:eastAsia="zh-CN" w:bidi="ar"/>
        </w:rPr>
        <w:t>综上，该项指标满分</w:t>
      </w:r>
      <w:r>
        <w:rPr>
          <w:rFonts w:hint="eastAsia" w:ascii="宋体" w:hAnsi="宋体" w:eastAsia="宋体" w:cs="宋体"/>
          <w:b/>
          <w:color w:val="auto"/>
          <w:kern w:val="2"/>
          <w:sz w:val="28"/>
          <w:szCs w:val="28"/>
          <w:lang w:val="en-US" w:eastAsia="zh-CN" w:bidi="ar"/>
        </w:rPr>
        <w:t>2.5分，得分2.5分。</w:t>
      </w:r>
    </w:p>
    <w:p w14:paraId="3A963808">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kern w:val="2"/>
          <w:sz w:val="28"/>
          <w:szCs w:val="28"/>
        </w:rPr>
      </w:pPr>
      <w:bookmarkStart w:id="68" w:name="_Toc31739"/>
      <w:r>
        <w:rPr>
          <w:rFonts w:hint="eastAsia" w:ascii="宋体" w:hAnsi="宋体" w:eastAsia="宋体" w:cs="宋体"/>
          <w:b/>
          <w:kern w:val="2"/>
          <w:sz w:val="28"/>
          <w:szCs w:val="28"/>
          <w:lang w:val="en-US" w:eastAsia="zh-CN" w:bidi="ar"/>
        </w:rPr>
        <w:t>2.项目完成质量</w:t>
      </w:r>
      <w:bookmarkEnd w:id="68"/>
    </w:p>
    <w:p w14:paraId="581CB353">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“工程验收合格率（%）”指标，预期目标值为100%，实际完成为100%。</w:t>
      </w:r>
    </w:p>
    <w:p w14:paraId="44A7D5E5">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kern w:val="2"/>
          <w:sz w:val="28"/>
          <w:szCs w:val="28"/>
        </w:rPr>
      </w:pPr>
      <w:r>
        <w:rPr>
          <w:rFonts w:hint="eastAsia" w:ascii="宋体" w:hAnsi="宋体" w:eastAsia="宋体" w:cs="宋体"/>
          <w:b/>
          <w:kern w:val="2"/>
          <w:sz w:val="28"/>
          <w:szCs w:val="28"/>
          <w:lang w:val="en-US" w:eastAsia="zh-CN" w:bidi="ar"/>
        </w:rPr>
        <w:t>综上，该项指标满</w:t>
      </w:r>
      <w:r>
        <w:rPr>
          <w:rFonts w:hint="eastAsia" w:ascii="宋体" w:hAnsi="宋体" w:eastAsia="宋体" w:cs="宋体"/>
          <w:b/>
          <w:color w:val="auto"/>
          <w:kern w:val="2"/>
          <w:sz w:val="28"/>
          <w:szCs w:val="28"/>
          <w:lang w:val="en-US" w:eastAsia="zh-CN" w:bidi="ar"/>
        </w:rPr>
        <w:t>分3.5分，得分3.5分。</w:t>
      </w:r>
    </w:p>
    <w:p w14:paraId="3F03AE5E">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kern w:val="2"/>
          <w:sz w:val="28"/>
          <w:szCs w:val="28"/>
        </w:rPr>
      </w:pPr>
      <w:bookmarkStart w:id="69" w:name="_Toc18307"/>
      <w:r>
        <w:rPr>
          <w:rFonts w:hint="eastAsia" w:ascii="宋体" w:hAnsi="宋体" w:eastAsia="宋体" w:cs="宋体"/>
          <w:b/>
          <w:kern w:val="2"/>
          <w:sz w:val="28"/>
          <w:szCs w:val="28"/>
          <w:lang w:val="en-US" w:eastAsia="zh-CN" w:bidi="ar"/>
        </w:rPr>
        <w:t>3.项目完成时效</w:t>
      </w:r>
      <w:bookmarkEnd w:id="69"/>
    </w:p>
    <w:p w14:paraId="23AA87B7">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lang w:val="en-US" w:eastAsia="zh-CN" w:bidi="ar"/>
        </w:rPr>
      </w:pPr>
      <w:r>
        <w:rPr>
          <w:rFonts w:hint="eastAsia" w:ascii="宋体" w:hAnsi="宋体" w:eastAsia="宋体" w:cs="宋体"/>
          <w:kern w:val="2"/>
          <w:sz w:val="28"/>
          <w:szCs w:val="28"/>
          <w:lang w:val="en-US" w:eastAsia="zh-CN" w:bidi="ar"/>
        </w:rPr>
        <w:t>“截止2023年底，投资完成比例（%）”指标，预期目标值为≥80%，实际完成为80%，实际完成为100%</w:t>
      </w:r>
      <w:r>
        <w:rPr>
          <w:rFonts w:hint="eastAsia" w:ascii="宋体" w:hAnsi="宋体" w:eastAsia="宋体" w:cs="宋体"/>
          <w:color w:val="auto"/>
          <w:kern w:val="2"/>
          <w:sz w:val="28"/>
          <w:szCs w:val="28"/>
          <w:lang w:val="en-US" w:eastAsia="zh-CN" w:bidi="ar"/>
        </w:rPr>
        <w:t>。</w:t>
      </w:r>
    </w:p>
    <w:p w14:paraId="2ADEBBBD">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color w:val="auto"/>
          <w:kern w:val="2"/>
          <w:sz w:val="28"/>
          <w:szCs w:val="28"/>
          <w:lang w:val="en-US" w:eastAsia="zh-CN" w:bidi="ar"/>
        </w:rPr>
        <w:t>综上，该项指标满分7.5分，得分7.5分。</w:t>
      </w:r>
    </w:p>
    <w:p w14:paraId="7DE158F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lang w:val="en-US" w:eastAsia="zh-CN" w:bidi="ar"/>
        </w:rPr>
      </w:pPr>
      <w:r>
        <w:rPr>
          <w:rFonts w:hint="eastAsia" w:ascii="宋体" w:hAnsi="宋体" w:eastAsia="宋体" w:cs="宋体"/>
          <w:color w:val="auto"/>
          <w:kern w:val="2"/>
          <w:sz w:val="28"/>
          <w:szCs w:val="28"/>
          <w:lang w:val="en-US" w:eastAsia="zh-CN" w:bidi="ar"/>
        </w:rPr>
        <w:t>完工时间”指标，预期目标值为2023年5月30日前，实际完成为2023年5月25日，</w:t>
      </w:r>
      <w:r>
        <w:rPr>
          <w:rFonts w:hint="eastAsia" w:ascii="宋体" w:hAnsi="宋体" w:eastAsia="宋体" w:cs="宋体"/>
          <w:kern w:val="2"/>
          <w:sz w:val="28"/>
          <w:szCs w:val="28"/>
          <w:lang w:val="en-US" w:eastAsia="zh-CN" w:bidi="ar"/>
        </w:rPr>
        <w:t>实际完成为100%</w:t>
      </w:r>
      <w:r>
        <w:rPr>
          <w:rFonts w:hint="eastAsia" w:ascii="宋体" w:hAnsi="宋体" w:eastAsia="宋体" w:cs="宋体"/>
          <w:color w:val="auto"/>
          <w:kern w:val="2"/>
          <w:sz w:val="28"/>
          <w:szCs w:val="28"/>
          <w:lang w:val="en-US" w:eastAsia="zh-CN" w:bidi="ar"/>
        </w:rPr>
        <w:t>。</w:t>
      </w:r>
    </w:p>
    <w:p w14:paraId="44F8B36B">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color w:val="auto"/>
          <w:kern w:val="2"/>
          <w:sz w:val="28"/>
          <w:szCs w:val="28"/>
          <w:lang w:val="en-US" w:eastAsia="zh-CN" w:bidi="ar"/>
        </w:rPr>
        <w:t>综上，该项指标满分4分，得分4分。</w:t>
      </w:r>
    </w:p>
    <w:p w14:paraId="46BC598F">
      <w:pPr>
        <w:keepNext w:val="0"/>
        <w:keepLines w:val="0"/>
        <w:widowControl w:val="0"/>
        <w:suppressLineNumbers w:val="0"/>
        <w:spacing w:before="0" w:beforeAutospacing="0" w:after="0" w:afterAutospacing="0" w:line="360" w:lineRule="auto"/>
        <w:ind w:left="0" w:right="0" w:firstLine="562" w:firstLineChars="200"/>
        <w:jc w:val="both"/>
        <w:outlineLvl w:val="2"/>
        <w:rPr>
          <w:rFonts w:hint="eastAsia" w:ascii="宋体" w:hAnsi="宋体" w:eastAsia="宋体" w:cs="宋体"/>
          <w:b/>
          <w:kern w:val="2"/>
          <w:sz w:val="28"/>
          <w:szCs w:val="28"/>
        </w:rPr>
      </w:pPr>
      <w:bookmarkStart w:id="70" w:name="_Toc32765"/>
      <w:r>
        <w:rPr>
          <w:rFonts w:hint="eastAsia" w:ascii="宋体" w:hAnsi="宋体" w:eastAsia="宋体" w:cs="宋体"/>
          <w:b/>
          <w:kern w:val="2"/>
          <w:sz w:val="28"/>
          <w:szCs w:val="28"/>
          <w:lang w:val="en-US" w:eastAsia="zh-CN" w:bidi="ar"/>
        </w:rPr>
        <w:t>4.项目完成成本</w:t>
      </w:r>
      <w:bookmarkEnd w:id="70"/>
    </w:p>
    <w:p w14:paraId="52ED63D8">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“设计投资（万元）”指标，预期目标值为≤3万元，实际完成为3万元。实际完成率=（3万元/3万元）×100%=100%。</w:t>
      </w:r>
    </w:p>
    <w:p w14:paraId="1CD6C993">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lang w:val="en-US" w:eastAsia="zh-CN" w:bidi="ar"/>
        </w:rPr>
      </w:pPr>
      <w:r>
        <w:rPr>
          <w:rFonts w:hint="eastAsia" w:ascii="宋体" w:hAnsi="宋体" w:eastAsia="宋体" w:cs="宋体"/>
          <w:b/>
          <w:kern w:val="2"/>
          <w:sz w:val="28"/>
          <w:szCs w:val="28"/>
          <w:lang w:val="en-US" w:eastAsia="zh-CN" w:bidi="ar"/>
        </w:rPr>
        <w:t>综上，该项指标满</w:t>
      </w:r>
      <w:r>
        <w:rPr>
          <w:rFonts w:hint="eastAsia" w:ascii="宋体" w:hAnsi="宋体" w:eastAsia="宋体" w:cs="宋体"/>
          <w:b/>
          <w:color w:val="auto"/>
          <w:kern w:val="2"/>
          <w:sz w:val="28"/>
          <w:szCs w:val="28"/>
          <w:lang w:val="en-US" w:eastAsia="zh-CN" w:bidi="ar"/>
        </w:rPr>
        <w:t>分4.5分，得分4.5分</w:t>
      </w:r>
    </w:p>
    <w:p w14:paraId="7C270FAF">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lang w:val="en-US" w:eastAsia="zh-CN" w:bidi="ar"/>
        </w:rPr>
      </w:pPr>
      <w:r>
        <w:rPr>
          <w:rFonts w:hint="eastAsia" w:ascii="宋体" w:hAnsi="宋体" w:eastAsia="宋体" w:cs="宋体"/>
          <w:color w:val="auto"/>
          <w:kern w:val="2"/>
          <w:sz w:val="28"/>
          <w:szCs w:val="28"/>
          <w:lang w:val="en-US" w:eastAsia="zh-CN" w:bidi="ar"/>
        </w:rPr>
        <w:t>“草地征占投资（万元）”指标，预期目标</w:t>
      </w:r>
      <w:r>
        <w:rPr>
          <w:rFonts w:hint="eastAsia" w:ascii="宋体" w:hAnsi="宋体" w:eastAsia="宋体" w:cs="宋体"/>
          <w:kern w:val="2"/>
          <w:sz w:val="28"/>
          <w:szCs w:val="28"/>
          <w:lang w:val="en-US" w:eastAsia="zh-CN" w:bidi="ar"/>
        </w:rPr>
        <w:t>值为≤1.222万元，实际完成为1.222万元。实际完成率=（1.222万元/1.222万元）×100%=100%。</w:t>
      </w:r>
    </w:p>
    <w:p w14:paraId="72A56E66">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color w:val="auto"/>
          <w:kern w:val="2"/>
          <w:sz w:val="28"/>
          <w:szCs w:val="28"/>
        </w:rPr>
      </w:pPr>
      <w:r>
        <w:rPr>
          <w:rFonts w:hint="eastAsia" w:ascii="宋体" w:hAnsi="宋体" w:eastAsia="宋体" w:cs="宋体"/>
          <w:b/>
          <w:color w:val="auto"/>
          <w:kern w:val="2"/>
          <w:sz w:val="28"/>
          <w:szCs w:val="28"/>
          <w:lang w:val="en-US" w:eastAsia="zh-CN" w:bidi="ar"/>
        </w:rPr>
        <w:t>综上，该项指标满分5.5分，得分5.5分。</w:t>
      </w:r>
    </w:p>
    <w:p w14:paraId="41500FF0">
      <w:pPr>
        <w:pStyle w:val="3"/>
        <w:widowControl/>
        <w:autoSpaceDE w:val="0"/>
        <w:autoSpaceDN/>
        <w:spacing w:beforeLines="0" w:beforeAutospacing="0" w:afterLines="0" w:afterAutospacing="0" w:line="360" w:lineRule="auto"/>
        <w:ind w:leftChars="200"/>
        <w:rPr>
          <w:rFonts w:hint="eastAsia" w:ascii="宋体" w:hAnsi="宋体" w:eastAsia="宋体" w:cs="宋体"/>
          <w:b/>
          <w:bCs w:val="0"/>
          <w:color w:val="auto"/>
          <w:kern w:val="2"/>
          <w:sz w:val="32"/>
          <w:szCs w:val="32"/>
        </w:rPr>
      </w:pPr>
      <w:bookmarkStart w:id="71" w:name="_Toc18446"/>
      <w:r>
        <w:rPr>
          <w:rFonts w:hint="eastAsia" w:ascii="宋体" w:hAnsi="宋体" w:eastAsia="宋体" w:cs="宋体"/>
          <w:b/>
          <w:bCs w:val="0"/>
          <w:color w:val="auto"/>
          <w:kern w:val="2"/>
          <w:sz w:val="32"/>
          <w:szCs w:val="32"/>
        </w:rPr>
        <w:t>（</w:t>
      </w:r>
      <w:bookmarkEnd w:id="71"/>
      <w:r>
        <w:rPr>
          <w:rFonts w:hint="eastAsia" w:ascii="宋体" w:hAnsi="宋体" w:eastAsia="宋体" w:cs="宋体"/>
          <w:b/>
          <w:bCs w:val="0"/>
          <w:color w:val="auto"/>
          <w:kern w:val="2"/>
          <w:sz w:val="32"/>
          <w:szCs w:val="32"/>
        </w:rPr>
        <w:t>四）项目效益情况</w:t>
      </w:r>
    </w:p>
    <w:p w14:paraId="34758C7E">
      <w:pPr>
        <w:keepNext w:val="0"/>
        <w:keepLines w:val="0"/>
        <w:widowControl w:val="0"/>
        <w:suppressLineNumbers w:val="0"/>
        <w:autoSpaceDE w:val="0"/>
        <w:autoSpaceDN/>
        <w:spacing w:before="0" w:beforeAutospacing="0" w:after="0" w:afterAutospacing="0" w:line="360" w:lineRule="auto"/>
        <w:ind w:left="0" w:right="0" w:firstLine="560" w:firstLineChars="200"/>
        <w:jc w:val="left"/>
        <w:rPr>
          <w:rFonts w:hint="eastAsia" w:ascii="宋体" w:hAnsi="宋体" w:eastAsia="宋体" w:cs="宋体"/>
          <w:kern w:val="2"/>
          <w:sz w:val="28"/>
          <w:szCs w:val="28"/>
        </w:rPr>
      </w:pPr>
      <w:r>
        <w:rPr>
          <w:rFonts w:hint="eastAsia" w:ascii="宋体" w:hAnsi="宋体" w:eastAsia="宋体" w:cs="宋体"/>
          <w:color w:val="auto"/>
          <w:kern w:val="2"/>
          <w:sz w:val="28"/>
          <w:szCs w:val="28"/>
          <w:lang w:val="en-US" w:eastAsia="zh-CN" w:bidi="ar"/>
        </w:rPr>
        <w:t>项目产出类指标由2个二级指标和2个三级</w:t>
      </w:r>
      <w:r>
        <w:rPr>
          <w:rFonts w:hint="eastAsia" w:ascii="宋体" w:hAnsi="宋体" w:eastAsia="宋体" w:cs="宋体"/>
          <w:kern w:val="2"/>
          <w:sz w:val="28"/>
          <w:szCs w:val="28"/>
          <w:lang w:val="en-US" w:eastAsia="zh-CN" w:bidi="ar"/>
        </w:rPr>
        <w:t>指标构成，权重分</w:t>
      </w:r>
      <w:r>
        <w:rPr>
          <w:rFonts w:hint="eastAsia" w:ascii="宋体" w:hAnsi="宋体" w:eastAsia="宋体" w:cs="宋体"/>
          <w:color w:val="auto"/>
          <w:kern w:val="2"/>
          <w:sz w:val="28"/>
          <w:szCs w:val="28"/>
          <w:lang w:val="en-US" w:eastAsia="zh-CN" w:bidi="ar"/>
        </w:rPr>
        <w:t>30分，实际得分30分，</w:t>
      </w:r>
      <w:r>
        <w:rPr>
          <w:rFonts w:hint="eastAsia" w:ascii="宋体" w:hAnsi="宋体" w:eastAsia="宋体" w:cs="宋体"/>
          <w:kern w:val="2"/>
          <w:sz w:val="28"/>
          <w:szCs w:val="28"/>
          <w:lang w:val="en-US" w:eastAsia="zh-CN" w:bidi="ar"/>
        </w:rPr>
        <w:t>各指标业绩值和绩效分值如表4-4所示</w:t>
      </w:r>
      <w:r>
        <w:rPr>
          <w:rFonts w:hint="eastAsia" w:ascii="宋体" w:hAnsi="宋体" w:eastAsia="宋体" w:cs="宋体"/>
          <w:b/>
          <w:kern w:val="2"/>
          <w:sz w:val="28"/>
          <w:szCs w:val="28"/>
          <w:lang w:val="en-US" w:eastAsia="zh-CN" w:bidi="ar"/>
        </w:rPr>
        <w:t>（详见上传的附件）</w:t>
      </w:r>
      <w:r>
        <w:rPr>
          <w:rFonts w:hint="eastAsia" w:ascii="宋体" w:hAnsi="宋体" w:eastAsia="宋体" w:cs="宋体"/>
          <w:kern w:val="2"/>
          <w:sz w:val="28"/>
          <w:szCs w:val="28"/>
          <w:lang w:val="en-US" w:eastAsia="zh-CN" w:bidi="ar"/>
        </w:rPr>
        <w:t>：</w:t>
      </w:r>
    </w:p>
    <w:p w14:paraId="2C4087F4">
      <w:pPr>
        <w:pStyle w:val="7"/>
        <w:bidi w:val="0"/>
        <w:ind w:left="0" w:leftChars="0" w:firstLine="0" w:firstLineChars="0"/>
        <w:jc w:val="center"/>
        <w:rPr>
          <w:rFonts w:hint="eastAsia" w:ascii="宋体" w:hAnsi="宋体" w:eastAsia="宋体" w:cs="宋体"/>
          <w:b/>
          <w:bCs/>
          <w:color w:val="000000" w:themeColor="text1"/>
          <w:kern w:val="0"/>
          <w:sz w:val="28"/>
          <w:szCs w:val="28"/>
          <w:highlight w:val="none"/>
          <w:shd w:val="clear" w:color="auto" w:fill="auto"/>
          <w:lang w:val="en-US" w:eastAsia="zh-CN" w:bidi="ar-SA"/>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bidi="ar-SA"/>
          <w14:textFill>
            <w14:solidFill>
              <w14:schemeClr w14:val="tx1"/>
            </w14:solidFill>
          </w14:textFill>
        </w:rPr>
        <w:t>表4-4项目效益指标及分值情况</w:t>
      </w:r>
    </w:p>
    <w:p w14:paraId="781AB147">
      <w:pPr>
        <w:pStyle w:val="7"/>
        <w:numPr>
          <w:ilvl w:val="0"/>
          <w:numId w:val="0"/>
        </w:numPr>
        <w:bidi w:val="0"/>
        <w:rPr>
          <w:rFonts w:hint="eastAsia" w:ascii="宋体" w:hAnsi="宋体" w:eastAsia="宋体" w:cs="宋体"/>
          <w:b/>
          <w:bCs/>
          <w:kern w:val="2"/>
          <w:sz w:val="28"/>
          <w:szCs w:val="28"/>
          <w:lang w:val="en-US" w:eastAsia="zh-CN" w:bidi="ar-SA"/>
        </w:rPr>
      </w:pPr>
    </w:p>
    <w:tbl>
      <w:tblPr>
        <w:tblStyle w:val="8"/>
        <w:tblpPr w:leftFromText="180" w:rightFromText="180" w:vertAnchor="text" w:horzAnchor="page" w:tblpX="1742" w:tblpY="161"/>
        <w:tblOverlap w:val="never"/>
        <w:tblW w:w="8372" w:type="dxa"/>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E9E6418">
        <w:tblPrEx>
          <w:tblCellMar>
            <w:top w:w="0" w:type="dxa"/>
            <w:left w:w="0" w:type="dxa"/>
            <w:bottom w:w="0" w:type="dxa"/>
            <w:right w:w="0" w:type="dxa"/>
          </w:tblCellMar>
        </w:tblPrEx>
        <w:trPr>
          <w:trHeight w:val="816" w:hRule="atLeast"/>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6C76B6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373C7B9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1A6A38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D604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2B4B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73B9EEE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31B39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3ED0D88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B751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5FF816D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A82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529BEBB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4BDC09A2">
        <w:tblPrEx>
          <w:shd w:val="clear" w:color="auto" w:fill="auto"/>
          <w:tblCellMar>
            <w:top w:w="0" w:type="dxa"/>
            <w:left w:w="0" w:type="dxa"/>
            <w:bottom w:w="0" w:type="dxa"/>
            <w:right w:w="0" w:type="dxa"/>
          </w:tblCellMar>
        </w:tblPrEx>
        <w:trPr>
          <w:trHeight w:val="436" w:hRule="atLeast"/>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19AF0B2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C3C9A7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806564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D89C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805B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7A092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484C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0B6BFF7C">
        <w:tblPrEx>
          <w:tblCellMar>
            <w:top w:w="0" w:type="dxa"/>
            <w:left w:w="0" w:type="dxa"/>
            <w:bottom w:w="0" w:type="dxa"/>
            <w:right w:w="0" w:type="dxa"/>
          </w:tblCellMar>
        </w:tblPrEx>
        <w:trPr>
          <w:trHeight w:val="436" w:hRule="atLeast"/>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22C197A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8C07A3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1C194D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人畜安全饮水</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69AE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≥1794人</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49290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D66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1794人</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CD57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w:t>
            </w:r>
          </w:p>
        </w:tc>
      </w:tr>
      <w:tr w14:paraId="7F30F9AB">
        <w:tblPrEx>
          <w:shd w:val="clear" w:color="auto" w:fill="auto"/>
          <w:tblCellMar>
            <w:top w:w="0" w:type="dxa"/>
            <w:left w:w="0" w:type="dxa"/>
            <w:bottom w:w="0" w:type="dxa"/>
            <w:right w:w="0" w:type="dxa"/>
          </w:tblCellMar>
        </w:tblPrEx>
        <w:trPr>
          <w:trHeight w:val="436" w:hRule="atLeast"/>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925F0A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A70181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F80C7E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B4A0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56B63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7CE1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8DA0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3421A6F0">
        <w:tblPrEx>
          <w:tblCellMar>
            <w:top w:w="0" w:type="dxa"/>
            <w:left w:w="0" w:type="dxa"/>
            <w:bottom w:w="0" w:type="dxa"/>
            <w:right w:w="0" w:type="dxa"/>
          </w:tblCellMar>
        </w:tblPrEx>
        <w:trPr>
          <w:trHeight w:val="436" w:hRule="atLeast"/>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846BE7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61608B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A000B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8899D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0E51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2A3A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36BC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p>
        </w:tc>
      </w:tr>
      <w:tr w14:paraId="43157AB3">
        <w:tblPrEx>
          <w:tblCellMar>
            <w:top w:w="0" w:type="dxa"/>
            <w:left w:w="0" w:type="dxa"/>
            <w:bottom w:w="0" w:type="dxa"/>
            <w:right w:w="0" w:type="dxa"/>
          </w:tblCellMar>
        </w:tblPrEx>
        <w:trPr>
          <w:trHeight w:val="436" w:hRule="atLeast"/>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48CA7F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CBE7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6F4F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使用人员满意度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105F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9B91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3FEAB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8B171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w:t>
            </w:r>
          </w:p>
        </w:tc>
      </w:tr>
      <w:tr w14:paraId="25468EDF">
        <w:tblPrEx>
          <w:tblCellMar>
            <w:top w:w="0" w:type="dxa"/>
            <w:left w:w="0" w:type="dxa"/>
            <w:bottom w:w="0" w:type="dxa"/>
            <w:right w:w="0" w:type="dxa"/>
          </w:tblCellMar>
        </w:tblPrEx>
        <w:trPr>
          <w:trHeight w:val="469" w:hRule="atLeast"/>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FBF2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B047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A201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0A57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783DC02E">
      <w:pPr>
        <w:pStyle w:val="7"/>
        <w:numPr>
          <w:ilvl w:val="0"/>
          <w:numId w:val="0"/>
        </w:numPr>
        <w:bidi w:val="0"/>
        <w:ind w:firstLine="562" w:firstLineChars="200"/>
        <w:rPr>
          <w:rFonts w:hint="eastAsia" w:ascii="宋体" w:hAnsi="宋体" w:eastAsia="宋体" w:cs="宋体"/>
          <w:b/>
          <w:bCs/>
          <w:kern w:val="2"/>
          <w:sz w:val="28"/>
          <w:szCs w:val="28"/>
          <w:lang w:val="en-US" w:eastAsia="zh-CN" w:bidi="ar-SA"/>
        </w:rPr>
      </w:pPr>
      <w:bookmarkStart w:id="72" w:name="_Toc8010"/>
      <w:r>
        <w:rPr>
          <w:rFonts w:hint="eastAsia" w:ascii="宋体" w:hAnsi="宋体" w:eastAsia="宋体" w:cs="宋体"/>
          <w:b/>
          <w:bCs/>
          <w:kern w:val="2"/>
          <w:sz w:val="28"/>
          <w:szCs w:val="28"/>
          <w:lang w:val="en-US" w:eastAsia="zh-CN" w:bidi="ar-SA"/>
        </w:rPr>
        <w:t>1.经济效益指标</w:t>
      </w:r>
    </w:p>
    <w:p w14:paraId="1C94E07E">
      <w:pPr>
        <w:bidi w:val="0"/>
        <w:spacing w:line="360" w:lineRule="auto"/>
        <w:ind w:firstLine="560" w:firstLineChars="200"/>
        <w:rPr>
          <w:rFonts w:hint="default" w:ascii="宋体" w:hAnsi="宋体" w:eastAsia="宋体" w:cs="宋体"/>
          <w:b/>
          <w:bCs/>
          <w:sz w:val="28"/>
          <w:szCs w:val="28"/>
          <w:lang w:val="en-US" w:eastAsia="zh-CN"/>
        </w:rPr>
      </w:pPr>
      <w:r>
        <w:rPr>
          <w:rFonts w:hint="eastAsia" w:ascii="宋体" w:hAnsi="宋体" w:eastAsia="宋体" w:cs="宋体"/>
          <w:color w:val="auto"/>
          <w:kern w:val="2"/>
          <w:sz w:val="28"/>
          <w:szCs w:val="28"/>
          <w:highlight w:val="none"/>
          <w:lang w:val="en-US" w:eastAsia="zh-CN" w:bidi="ar"/>
        </w:rPr>
        <w:t>该项目不涉及经济效益指标。</w:t>
      </w:r>
    </w:p>
    <w:p w14:paraId="40365979">
      <w:pPr>
        <w:keepNext w:val="0"/>
        <w:keepLines w:val="0"/>
        <w:widowControl w:val="0"/>
        <w:suppressLineNumbers w:val="0"/>
        <w:spacing w:before="0" w:beforeAutospacing="0" w:after="0" w:afterAutospacing="0" w:line="360" w:lineRule="auto"/>
        <w:ind w:right="0" w:firstLine="562" w:firstLineChars="200"/>
        <w:jc w:val="both"/>
        <w:outlineLvl w:val="2"/>
        <w:rPr>
          <w:rFonts w:hint="eastAsia" w:ascii="宋体" w:hAnsi="宋体" w:eastAsia="宋体" w:cs="宋体"/>
          <w:b/>
          <w:kern w:val="2"/>
          <w:sz w:val="28"/>
          <w:szCs w:val="28"/>
        </w:rPr>
      </w:pPr>
      <w:r>
        <w:rPr>
          <w:rFonts w:hint="eastAsia" w:ascii="宋体" w:hAnsi="宋体" w:eastAsia="宋体" w:cs="宋体"/>
          <w:b/>
          <w:kern w:val="2"/>
          <w:sz w:val="28"/>
          <w:szCs w:val="28"/>
          <w:lang w:val="en-US" w:eastAsia="zh-CN" w:bidi="ar"/>
        </w:rPr>
        <w:t>2.</w:t>
      </w:r>
      <w:bookmarkEnd w:id="72"/>
      <w:bookmarkStart w:id="73" w:name="_Toc27006"/>
      <w:r>
        <w:rPr>
          <w:rFonts w:hint="eastAsia" w:ascii="宋体" w:hAnsi="宋体" w:eastAsia="宋体" w:cs="宋体"/>
          <w:b/>
          <w:kern w:val="2"/>
          <w:sz w:val="28"/>
          <w:szCs w:val="28"/>
          <w:lang w:val="en-US" w:eastAsia="zh-CN" w:bidi="ar"/>
        </w:rPr>
        <w:t>社会效益指标</w:t>
      </w:r>
      <w:bookmarkEnd w:id="73"/>
    </w:p>
    <w:p w14:paraId="297BC3C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“人畜安全饮水”指标，预期目标值为≥1794人，实际完成为1794人，实际完成率100%。</w:t>
      </w:r>
    </w:p>
    <w:p w14:paraId="6723C36F">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b w:val="0"/>
          <w:kern w:val="2"/>
          <w:sz w:val="28"/>
          <w:szCs w:val="28"/>
        </w:rPr>
      </w:pPr>
      <w:r>
        <w:rPr>
          <w:rFonts w:hint="eastAsia" w:ascii="宋体" w:hAnsi="宋体" w:eastAsia="宋体" w:cs="宋体"/>
          <w:b w:val="0"/>
          <w:kern w:val="2"/>
          <w:sz w:val="28"/>
          <w:szCs w:val="28"/>
          <w:lang w:val="en-US" w:eastAsia="zh-CN" w:bidi="ar"/>
        </w:rPr>
        <w:t>通过项目的实施，解决白杨河水厂季节性供水不足等问题，确保长期安全有效的供水。</w:t>
      </w:r>
    </w:p>
    <w:p w14:paraId="6C3FFB69">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b/>
          <w:color w:val="auto"/>
          <w:kern w:val="2"/>
          <w:sz w:val="28"/>
          <w:szCs w:val="28"/>
          <w:lang w:val="en-US" w:eastAsia="zh-CN" w:bidi="ar"/>
        </w:rPr>
      </w:pPr>
      <w:r>
        <w:rPr>
          <w:rFonts w:hint="eastAsia" w:ascii="宋体" w:hAnsi="宋体" w:eastAsia="宋体" w:cs="宋体"/>
          <w:b/>
          <w:color w:val="auto"/>
          <w:kern w:val="2"/>
          <w:sz w:val="28"/>
          <w:szCs w:val="28"/>
          <w:lang w:val="en-US" w:eastAsia="zh-CN" w:bidi="ar"/>
        </w:rPr>
        <w:t>综上，该项指标满分15分，得分15分。</w:t>
      </w:r>
    </w:p>
    <w:p w14:paraId="268B61F7">
      <w:pPr>
        <w:keepNext w:val="0"/>
        <w:keepLines w:val="0"/>
        <w:widowControl w:val="0"/>
        <w:numPr>
          <w:ilvl w:val="0"/>
          <w:numId w:val="0"/>
        </w:numPr>
        <w:suppressLineNumbers w:val="0"/>
        <w:spacing w:before="0" w:beforeAutospacing="0" w:after="0" w:afterAutospacing="0" w:line="360" w:lineRule="auto"/>
        <w:ind w:right="0" w:rightChars="0" w:firstLine="562" w:firstLineChars="200"/>
        <w:jc w:val="both"/>
        <w:rPr>
          <w:rFonts w:hint="eastAsia" w:ascii="宋体" w:hAnsi="宋体" w:eastAsia="宋体" w:cs="宋体"/>
          <w:b/>
          <w:color w:val="auto"/>
          <w:kern w:val="2"/>
          <w:sz w:val="28"/>
          <w:szCs w:val="28"/>
          <w:lang w:val="en-US" w:eastAsia="zh-CN" w:bidi="ar"/>
        </w:rPr>
      </w:pPr>
      <w:r>
        <w:rPr>
          <w:rFonts w:hint="eastAsia" w:ascii="宋体" w:hAnsi="宋体" w:eastAsia="宋体" w:cs="宋体"/>
          <w:b/>
          <w:color w:val="auto"/>
          <w:kern w:val="2"/>
          <w:sz w:val="28"/>
          <w:szCs w:val="28"/>
          <w:lang w:val="en-US" w:eastAsia="zh-CN" w:bidi="ar"/>
        </w:rPr>
        <w:t>3.生态效益指指标</w:t>
      </w:r>
    </w:p>
    <w:p w14:paraId="592AEBF3">
      <w:pPr>
        <w:keepNext w:val="0"/>
        <w:keepLines w:val="0"/>
        <w:widowControl w:val="0"/>
        <w:numPr>
          <w:ilvl w:val="0"/>
          <w:numId w:val="0"/>
        </w:numPr>
        <w:suppressLineNumbers w:val="0"/>
        <w:spacing w:before="0" w:beforeAutospacing="0" w:after="0" w:afterAutospacing="0" w:line="360" w:lineRule="auto"/>
        <w:ind w:right="0" w:rightChars="0" w:firstLine="560" w:firstLineChars="200"/>
        <w:jc w:val="both"/>
        <w:rPr>
          <w:rFonts w:hint="eastAsia" w:ascii="宋体" w:hAnsi="宋体" w:eastAsia="宋体" w:cs="宋体"/>
          <w:b/>
          <w:kern w:val="2"/>
          <w:sz w:val="28"/>
          <w:szCs w:val="28"/>
          <w:lang w:val="en-US" w:eastAsia="zh-CN" w:bidi="ar"/>
        </w:rPr>
      </w:pPr>
      <w:r>
        <w:rPr>
          <w:rFonts w:hint="eastAsia" w:ascii="宋体" w:hAnsi="宋体" w:eastAsia="宋体" w:cs="宋体"/>
          <w:color w:val="auto"/>
          <w:kern w:val="2"/>
          <w:sz w:val="28"/>
          <w:szCs w:val="28"/>
          <w:highlight w:val="none"/>
          <w:lang w:val="en-US" w:eastAsia="zh-CN" w:bidi="ar"/>
        </w:rPr>
        <w:t>该项目不涉及生态效益指标</w:t>
      </w:r>
    </w:p>
    <w:p w14:paraId="73D10549">
      <w:pPr>
        <w:keepNext w:val="0"/>
        <w:keepLines w:val="0"/>
        <w:widowControl w:val="0"/>
        <w:numPr>
          <w:ilvl w:val="0"/>
          <w:numId w:val="0"/>
        </w:numPr>
        <w:suppressLineNumbers w:val="0"/>
        <w:spacing w:before="0" w:beforeAutospacing="0" w:after="0" w:afterAutospacing="0" w:line="360" w:lineRule="auto"/>
        <w:ind w:leftChars="200" w:right="0" w:rightChars="0"/>
        <w:jc w:val="both"/>
        <w:rPr>
          <w:rFonts w:hint="eastAsia" w:ascii="宋体" w:hAnsi="宋体" w:eastAsia="宋体" w:cs="宋体"/>
          <w:b/>
          <w:kern w:val="2"/>
          <w:sz w:val="28"/>
          <w:szCs w:val="28"/>
          <w:lang w:val="en-US" w:eastAsia="zh-CN" w:bidi="ar"/>
        </w:rPr>
      </w:pPr>
      <w:r>
        <w:rPr>
          <w:rFonts w:hint="eastAsia" w:ascii="宋体" w:hAnsi="宋体" w:eastAsia="宋体" w:cs="宋体"/>
          <w:b/>
          <w:kern w:val="2"/>
          <w:sz w:val="28"/>
          <w:szCs w:val="28"/>
          <w:lang w:val="en-US" w:eastAsia="zh-CN" w:bidi="ar"/>
        </w:rPr>
        <w:t>4.可持续影响指标</w:t>
      </w:r>
    </w:p>
    <w:p w14:paraId="5BA451B9">
      <w:pPr>
        <w:keepNext w:val="0"/>
        <w:keepLines w:val="0"/>
        <w:widowControl w:val="0"/>
        <w:numPr>
          <w:ilvl w:val="0"/>
          <w:numId w:val="0"/>
        </w:numPr>
        <w:suppressLineNumbers w:val="0"/>
        <w:spacing w:before="0" w:beforeAutospacing="0" w:after="0" w:afterAutospacing="0" w:line="360" w:lineRule="auto"/>
        <w:ind w:leftChars="200" w:right="0" w:rightChars="0"/>
        <w:jc w:val="both"/>
        <w:rPr>
          <w:rFonts w:hint="eastAsia" w:ascii="宋体" w:hAnsi="宋体" w:eastAsia="宋体" w:cs="宋体"/>
          <w:b/>
          <w:kern w:val="2"/>
          <w:sz w:val="28"/>
          <w:szCs w:val="28"/>
          <w:lang w:val="en-US" w:eastAsia="zh-CN" w:bidi="ar"/>
        </w:rPr>
      </w:pPr>
      <w:r>
        <w:rPr>
          <w:rFonts w:hint="eastAsia" w:ascii="宋体" w:hAnsi="宋体" w:eastAsia="宋体" w:cs="宋体"/>
          <w:color w:val="auto"/>
          <w:kern w:val="2"/>
          <w:sz w:val="28"/>
          <w:szCs w:val="28"/>
          <w:highlight w:val="none"/>
          <w:lang w:val="en-US" w:eastAsia="zh-CN" w:bidi="ar"/>
        </w:rPr>
        <w:t>该项目不涉及可持续影响指标</w:t>
      </w:r>
    </w:p>
    <w:p w14:paraId="30A0F379">
      <w:pPr>
        <w:keepNext w:val="0"/>
        <w:keepLines w:val="0"/>
        <w:widowControl w:val="0"/>
        <w:numPr>
          <w:ilvl w:val="0"/>
          <w:numId w:val="0"/>
        </w:numPr>
        <w:suppressLineNumbers w:val="0"/>
        <w:spacing w:before="0" w:beforeAutospacing="0" w:after="0" w:afterAutospacing="0" w:line="360" w:lineRule="auto"/>
        <w:ind w:right="0" w:rightChars="0" w:firstLine="562" w:firstLineChars="200"/>
        <w:jc w:val="both"/>
        <w:rPr>
          <w:rFonts w:hint="eastAsia" w:ascii="宋体" w:hAnsi="宋体" w:eastAsia="宋体" w:cs="宋体"/>
          <w:b/>
          <w:kern w:val="2"/>
          <w:sz w:val="28"/>
          <w:szCs w:val="28"/>
          <w:lang w:val="en-US" w:eastAsia="zh-CN" w:bidi="ar"/>
        </w:rPr>
      </w:pPr>
      <w:r>
        <w:rPr>
          <w:rFonts w:hint="eastAsia" w:ascii="宋体" w:hAnsi="宋体" w:eastAsia="宋体" w:cs="宋体"/>
          <w:b/>
          <w:kern w:val="2"/>
          <w:sz w:val="28"/>
          <w:szCs w:val="28"/>
          <w:lang w:val="en-US" w:eastAsia="zh-CN" w:bidi="ar"/>
        </w:rPr>
        <w:t>5.满意度指标</w:t>
      </w:r>
    </w:p>
    <w:p w14:paraId="725EC74B">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b w:val="0"/>
          <w:kern w:val="2"/>
          <w:sz w:val="28"/>
          <w:szCs w:val="28"/>
        </w:rPr>
      </w:pPr>
      <w:r>
        <w:rPr>
          <w:rFonts w:hint="eastAsia" w:ascii="宋体" w:hAnsi="宋体" w:eastAsia="宋体" w:cs="宋体"/>
          <w:kern w:val="2"/>
          <w:sz w:val="28"/>
          <w:szCs w:val="28"/>
          <w:lang w:val="en-US" w:eastAsia="zh-CN" w:bidi="ar"/>
        </w:rPr>
        <w:t>“使用人员满意度”指标，预期目标值为≥95%，实际完成为95%人，实际完成率100%</w:t>
      </w:r>
      <w:r>
        <w:rPr>
          <w:rFonts w:hint="eastAsia" w:ascii="宋体" w:hAnsi="宋体" w:eastAsia="宋体" w:cs="宋体"/>
          <w:b w:val="0"/>
          <w:kern w:val="2"/>
          <w:sz w:val="28"/>
          <w:szCs w:val="28"/>
          <w:lang w:val="en-US" w:eastAsia="zh-CN" w:bidi="ar"/>
        </w:rPr>
        <w:t>。</w:t>
      </w:r>
    </w:p>
    <w:p w14:paraId="5F7EDA63">
      <w:pPr>
        <w:keepNext w:val="0"/>
        <w:keepLines w:val="0"/>
        <w:widowControl w:val="0"/>
        <w:suppressLineNumbers w:val="0"/>
        <w:spacing w:before="0" w:beforeAutospacing="0" w:after="0" w:afterAutospacing="0" w:line="360" w:lineRule="auto"/>
        <w:ind w:left="0" w:right="0" w:firstLine="562" w:firstLineChars="200"/>
        <w:jc w:val="both"/>
        <w:rPr>
          <w:rFonts w:hint="eastAsia" w:ascii="宋体" w:hAnsi="宋体" w:eastAsia="宋体" w:cs="宋体"/>
          <w:b/>
          <w:color w:val="auto"/>
          <w:kern w:val="2"/>
          <w:sz w:val="28"/>
          <w:szCs w:val="28"/>
          <w:lang w:val="en-US" w:eastAsia="zh-CN" w:bidi="ar"/>
        </w:rPr>
      </w:pPr>
      <w:r>
        <w:rPr>
          <w:rFonts w:hint="eastAsia" w:ascii="宋体" w:hAnsi="宋体" w:eastAsia="宋体" w:cs="宋体"/>
          <w:b/>
          <w:color w:val="auto"/>
          <w:kern w:val="2"/>
          <w:sz w:val="28"/>
          <w:szCs w:val="28"/>
          <w:lang w:val="en-US" w:eastAsia="zh-CN" w:bidi="ar"/>
        </w:rPr>
        <w:t>综上，该项指标满分15分，得分15分。</w:t>
      </w:r>
    </w:p>
    <w:p w14:paraId="69672A04">
      <w:pPr>
        <w:pStyle w:val="2"/>
        <w:widowControl/>
        <w:autoSpaceDE w:val="0"/>
        <w:autoSpaceDN/>
        <w:spacing w:beforeLines="0" w:beforeAutospacing="0" w:afterLines="0" w:afterAutospacing="0" w:line="360" w:lineRule="auto"/>
        <w:rPr>
          <w:rFonts w:hint="eastAsia" w:ascii="宋体" w:hAnsi="宋体" w:eastAsia="宋体" w:cs="宋体"/>
          <w:b/>
          <w:color w:val="auto"/>
          <w:kern w:val="44"/>
          <w:sz w:val="32"/>
          <w:szCs w:val="32"/>
        </w:rPr>
      </w:pPr>
      <w:bookmarkStart w:id="74" w:name="_Toc19962"/>
      <w:r>
        <w:rPr>
          <w:rFonts w:hint="eastAsia" w:ascii="宋体" w:hAnsi="宋体" w:eastAsia="宋体" w:cs="宋体"/>
          <w:b/>
          <w:color w:val="auto"/>
          <w:kern w:val="44"/>
          <w:sz w:val="32"/>
          <w:szCs w:val="32"/>
        </w:rPr>
        <w:t>五、预算执行进度与指标偏差</w:t>
      </w:r>
      <w:bookmarkEnd w:id="74"/>
    </w:p>
    <w:p w14:paraId="027FE9CA">
      <w:pPr>
        <w:keepNext w:val="0"/>
        <w:keepLines w:val="0"/>
        <w:widowControl w:val="0"/>
        <w:suppressLineNumbers w:val="0"/>
        <w:autoSpaceDE w:val="0"/>
        <w:autoSpaceDN/>
        <w:adjustRightInd w:val="0"/>
        <w:snapToGrid w:val="0"/>
        <w:spacing w:before="0" w:beforeAutospacing="0" w:after="0" w:afterAutospacing="0" w:line="360" w:lineRule="auto"/>
        <w:ind w:left="0" w:right="0" w:firstLine="560" w:firstLineChars="200"/>
        <w:jc w:val="both"/>
        <w:rPr>
          <w:rFonts w:hint="eastAsia" w:ascii="仿宋_GB2312" w:hAnsi="仿宋_GB2312" w:eastAsia="宋体" w:cs="仿宋_GB2312"/>
          <w:color w:val="auto"/>
          <w:kern w:val="2"/>
          <w:sz w:val="28"/>
          <w:szCs w:val="28"/>
        </w:rPr>
      </w:pPr>
      <w:r>
        <w:rPr>
          <w:rFonts w:hint="eastAsia" w:ascii="宋体" w:hAnsi="宋体" w:eastAsia="宋体" w:cs="宋体"/>
          <w:color w:val="auto"/>
          <w:kern w:val="2"/>
          <w:sz w:val="28"/>
          <w:szCs w:val="28"/>
          <w:lang w:val="en-US" w:eastAsia="zh-CN" w:bidi="ar"/>
        </w:rPr>
        <w:t>该项目预算资金总额为</w:t>
      </w:r>
      <w:r>
        <w:rPr>
          <w:rFonts w:hint="eastAsia" w:ascii="宋体" w:hAnsi="宋体" w:eastAsia="宋体" w:cs="宋体"/>
          <w:b/>
          <w:color w:val="auto"/>
          <w:kern w:val="2"/>
          <w:sz w:val="28"/>
          <w:szCs w:val="28"/>
          <w:lang w:val="en-US" w:eastAsia="zh-CN" w:bidi="ar"/>
        </w:rPr>
        <w:t>4.22</w:t>
      </w:r>
      <w:r>
        <w:rPr>
          <w:rFonts w:hint="eastAsia" w:ascii="宋体" w:hAnsi="宋体" w:eastAsia="宋体" w:cs="宋体"/>
          <w:color w:val="auto"/>
          <w:kern w:val="2"/>
          <w:sz w:val="28"/>
          <w:szCs w:val="28"/>
          <w:lang w:val="en-US" w:eastAsia="zh-CN" w:bidi="ar"/>
        </w:rPr>
        <w:t>万元，全年执行数为</w:t>
      </w:r>
      <w:r>
        <w:rPr>
          <w:rFonts w:hint="eastAsia" w:ascii="宋体" w:hAnsi="宋体" w:eastAsia="宋体" w:cs="宋体"/>
          <w:b/>
          <w:color w:val="auto"/>
          <w:kern w:val="2"/>
          <w:sz w:val="28"/>
          <w:szCs w:val="28"/>
          <w:lang w:val="en-US" w:eastAsia="zh-CN" w:bidi="ar"/>
        </w:rPr>
        <w:t>4.22</w:t>
      </w:r>
      <w:r>
        <w:rPr>
          <w:rFonts w:hint="eastAsia" w:ascii="宋体" w:hAnsi="宋体" w:eastAsia="宋体" w:cs="宋体"/>
          <w:color w:val="auto"/>
          <w:kern w:val="2"/>
          <w:sz w:val="28"/>
          <w:szCs w:val="28"/>
          <w:lang w:val="en-US" w:eastAsia="zh-CN" w:bidi="ar"/>
        </w:rPr>
        <w:t>万元，预算执行率为</w:t>
      </w:r>
      <w:r>
        <w:rPr>
          <w:rFonts w:hint="eastAsia" w:ascii="宋体" w:hAnsi="宋体" w:eastAsia="宋体" w:cs="宋体"/>
          <w:b/>
          <w:color w:val="auto"/>
          <w:kern w:val="2"/>
          <w:sz w:val="28"/>
          <w:szCs w:val="28"/>
          <w:lang w:val="en-US" w:eastAsia="zh-CN" w:bidi="ar"/>
        </w:rPr>
        <w:t>100</w:t>
      </w:r>
      <w:r>
        <w:rPr>
          <w:rFonts w:hint="eastAsia" w:ascii="宋体" w:hAnsi="宋体" w:eastAsia="宋体" w:cs="宋体"/>
          <w:color w:val="auto"/>
          <w:kern w:val="2"/>
          <w:sz w:val="28"/>
          <w:szCs w:val="28"/>
          <w:lang w:val="en-US" w:eastAsia="zh-CN" w:bidi="ar"/>
        </w:rPr>
        <w:t>%，总体完成率为</w:t>
      </w:r>
      <w:r>
        <w:rPr>
          <w:rFonts w:hint="eastAsia" w:ascii="宋体" w:hAnsi="宋体" w:eastAsia="宋体" w:cs="宋体"/>
          <w:b/>
          <w:color w:val="auto"/>
          <w:kern w:val="2"/>
          <w:sz w:val="28"/>
          <w:szCs w:val="28"/>
          <w:lang w:val="en-US" w:eastAsia="zh-CN" w:bidi="ar"/>
        </w:rPr>
        <w:t>100</w:t>
      </w:r>
      <w:r>
        <w:rPr>
          <w:rFonts w:hint="eastAsia" w:ascii="宋体" w:hAnsi="宋体" w:eastAsia="宋体" w:cs="宋体"/>
          <w:color w:val="auto"/>
          <w:kern w:val="2"/>
          <w:sz w:val="28"/>
          <w:szCs w:val="28"/>
          <w:lang w:val="en-US" w:eastAsia="zh-CN" w:bidi="ar"/>
        </w:rPr>
        <w:t>%。预算执行率与总体完成率之间的偏差为</w:t>
      </w:r>
      <w:r>
        <w:rPr>
          <w:rFonts w:hint="eastAsia" w:ascii="宋体" w:hAnsi="宋体" w:eastAsia="宋体" w:cs="宋体"/>
          <w:b/>
          <w:color w:val="auto"/>
          <w:kern w:val="2"/>
          <w:sz w:val="28"/>
          <w:szCs w:val="28"/>
          <w:lang w:val="en-US" w:eastAsia="zh-CN" w:bidi="ar"/>
        </w:rPr>
        <w:t>0</w:t>
      </w:r>
      <w:r>
        <w:rPr>
          <w:rFonts w:hint="eastAsia" w:ascii="宋体" w:hAnsi="宋体" w:eastAsia="宋体" w:cs="宋体"/>
          <w:color w:val="auto"/>
          <w:kern w:val="2"/>
          <w:sz w:val="28"/>
          <w:szCs w:val="28"/>
          <w:lang w:val="en-US" w:eastAsia="zh-CN" w:bidi="ar"/>
        </w:rPr>
        <w:t>%，无偏差。</w:t>
      </w:r>
    </w:p>
    <w:p w14:paraId="36ADB900">
      <w:pPr>
        <w:pStyle w:val="2"/>
        <w:widowControl/>
        <w:autoSpaceDE w:val="0"/>
        <w:autoSpaceDN/>
        <w:spacing w:beforeLines="0" w:beforeAutospacing="0" w:afterLines="0" w:afterAutospacing="0" w:line="360" w:lineRule="auto"/>
        <w:rPr>
          <w:rFonts w:hint="eastAsia" w:ascii="宋体" w:hAnsi="宋体" w:eastAsia="宋体" w:cs="宋体"/>
          <w:b/>
          <w:color w:val="auto"/>
          <w:kern w:val="44"/>
          <w:sz w:val="32"/>
          <w:szCs w:val="32"/>
        </w:rPr>
      </w:pPr>
      <w:bookmarkStart w:id="75" w:name="_Toc29934"/>
      <w:r>
        <w:rPr>
          <w:rFonts w:hint="eastAsia" w:ascii="宋体" w:hAnsi="宋体" w:eastAsia="宋体" w:cs="宋体"/>
          <w:b/>
          <w:color w:val="auto"/>
          <w:kern w:val="44"/>
          <w:sz w:val="32"/>
          <w:szCs w:val="32"/>
        </w:rPr>
        <w:t>六、主要经验及做法、存在的问题及原因分析</w:t>
      </w:r>
      <w:bookmarkEnd w:id="75"/>
    </w:p>
    <w:p w14:paraId="7350C36B">
      <w:pPr>
        <w:keepNext w:val="0"/>
        <w:keepLines w:val="0"/>
        <w:widowControl w:val="0"/>
        <w:suppressLineNumbers w:val="0"/>
        <w:spacing w:before="0" w:beforeAutospacing="0" w:after="0" w:afterAutospacing="0" w:line="360" w:lineRule="auto"/>
        <w:ind w:left="560" w:leftChars="0" w:right="0" w:firstLine="562" w:firstLineChars="200"/>
        <w:jc w:val="both"/>
        <w:outlineLvl w:val="1"/>
        <w:rPr>
          <w:rFonts w:hint="eastAsia" w:ascii="宋体" w:hAnsi="宋体" w:eastAsia="宋体" w:cs="宋体"/>
          <w:b/>
          <w:kern w:val="2"/>
          <w:sz w:val="28"/>
          <w:szCs w:val="28"/>
        </w:rPr>
      </w:pPr>
      <w:bookmarkStart w:id="76" w:name="_Toc28290"/>
      <w:bookmarkEnd w:id="76"/>
      <w:bookmarkStart w:id="77" w:name="_Toc13160"/>
      <w:bookmarkStart w:id="78" w:name="_Toc1921"/>
      <w:r>
        <w:rPr>
          <w:rFonts w:hint="eastAsia" w:ascii="宋体" w:hAnsi="宋体" w:eastAsia="宋体" w:cs="宋体"/>
          <w:b/>
          <w:kern w:val="2"/>
          <w:sz w:val="28"/>
          <w:szCs w:val="28"/>
          <w:lang w:val="en-US" w:eastAsia="zh-CN" w:bidi="ar"/>
        </w:rPr>
        <w:t>（</w:t>
      </w:r>
      <w:bookmarkEnd w:id="77"/>
      <w:bookmarkEnd w:id="78"/>
      <w:r>
        <w:rPr>
          <w:rFonts w:hint="eastAsia" w:ascii="宋体" w:hAnsi="宋体" w:eastAsia="宋体" w:cs="宋体"/>
          <w:b/>
          <w:kern w:val="2"/>
          <w:sz w:val="28"/>
          <w:szCs w:val="28"/>
          <w:lang w:val="en-US" w:eastAsia="zh-CN" w:bidi="ar"/>
        </w:rPr>
        <w:t>一）主要经验及做法</w:t>
      </w:r>
    </w:p>
    <w:p w14:paraId="34F02E72">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rPr>
      </w:pPr>
      <w:r>
        <w:rPr>
          <w:rFonts w:hint="eastAsia" w:ascii="宋体" w:hAnsi="宋体" w:eastAsia="宋体" w:cs="宋体"/>
          <w:color w:val="auto"/>
          <w:kern w:val="2"/>
          <w:sz w:val="28"/>
          <w:szCs w:val="28"/>
          <w:lang w:val="en-US" w:eastAsia="zh-CN" w:bidi="ar"/>
        </w:rPr>
        <w:t>阜康市管网延伸工程项目（一期）2023年预算数为4.22万元，截至2023年12月31日共支出4.22万元，预算执行率为100%。</w:t>
      </w:r>
    </w:p>
    <w:p w14:paraId="656EE766">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color w:val="auto"/>
          <w:kern w:val="2"/>
          <w:sz w:val="28"/>
          <w:szCs w:val="28"/>
          <w:lang w:val="en-US" w:eastAsia="zh-CN" w:bidi="ar"/>
        </w:rPr>
        <w:t>阜康市农村安全饮水管理站建立健全了预算管理规章制度，各部</w:t>
      </w:r>
      <w:r>
        <w:rPr>
          <w:rFonts w:hint="eastAsia" w:ascii="宋体" w:hAnsi="宋体" w:eastAsia="宋体" w:cs="宋体"/>
          <w:kern w:val="2"/>
          <w:sz w:val="28"/>
          <w:szCs w:val="28"/>
          <w:lang w:val="en-US" w:eastAsia="zh-CN" w:bidi="ar"/>
        </w:rPr>
        <w:t>门严格按照预算编制的原则和要求做好当年预算编制工作，在预算绩效管理工作中，做到合理安排各项资金，重点保障基本支出，按轻重缓急顺序原则，优先</w:t>
      </w:r>
      <w:r>
        <w:rPr>
          <w:rFonts w:hint="eastAsia" w:ascii="宋体" w:hAnsi="宋体" w:eastAsia="宋体" w:cs="宋体"/>
          <w:color w:val="auto"/>
          <w:kern w:val="2"/>
          <w:sz w:val="28"/>
          <w:szCs w:val="28"/>
          <w:lang w:val="en-US" w:eastAsia="zh-CN" w:bidi="ar"/>
        </w:rPr>
        <w:t>安排了阜康市农村安全饮水管理站事业发展中关系民生与稳定的项目，切实优化资源配置，提高了资金使用</w:t>
      </w:r>
      <w:r>
        <w:rPr>
          <w:rFonts w:hint="eastAsia" w:ascii="宋体" w:hAnsi="宋体" w:eastAsia="宋体" w:cs="宋体"/>
          <w:kern w:val="2"/>
          <w:sz w:val="28"/>
          <w:szCs w:val="28"/>
          <w:lang w:val="en-US" w:eastAsia="zh-CN" w:bidi="ar"/>
        </w:rPr>
        <w:t>的效率和效果。</w:t>
      </w:r>
    </w:p>
    <w:p w14:paraId="34C45E3B">
      <w:pPr>
        <w:keepNext w:val="0"/>
        <w:keepLines w:val="0"/>
        <w:widowControl w:val="0"/>
        <w:suppressLineNumbers w:val="0"/>
        <w:spacing w:before="0" w:beforeAutospacing="0" w:after="0" w:afterAutospacing="0" w:line="360" w:lineRule="auto"/>
        <w:ind w:left="0" w:right="0" w:firstLine="562" w:firstLineChars="200"/>
        <w:jc w:val="both"/>
        <w:outlineLvl w:val="1"/>
        <w:rPr>
          <w:rFonts w:hint="eastAsia" w:ascii="宋体" w:hAnsi="宋体" w:eastAsia="宋体" w:cs="宋体"/>
          <w:b/>
          <w:kern w:val="2"/>
          <w:sz w:val="28"/>
          <w:szCs w:val="28"/>
        </w:rPr>
      </w:pPr>
      <w:bookmarkStart w:id="79" w:name="_Toc9582"/>
      <w:bookmarkEnd w:id="79"/>
      <w:r>
        <w:rPr>
          <w:rFonts w:hint="eastAsia" w:ascii="宋体" w:hAnsi="宋体" w:eastAsia="宋体" w:cs="宋体"/>
          <w:b/>
          <w:kern w:val="2"/>
          <w:sz w:val="28"/>
          <w:szCs w:val="28"/>
          <w:lang w:val="en-US" w:eastAsia="zh-CN" w:bidi="ar"/>
        </w:rPr>
        <w:t>（二）存在的问题及原因分析</w:t>
      </w:r>
    </w:p>
    <w:p w14:paraId="3F005E09">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1.因对项目立项程序不清晰，该项目前期立项程序不规范，事前经过必要的可行性研究、专家论证、集体决策，未经过风险评估、绩效评估。</w:t>
      </w:r>
    </w:p>
    <w:p w14:paraId="4DF72A87">
      <w:pPr>
        <w:keepNext w:val="0"/>
        <w:keepLines w:val="0"/>
        <w:widowControl w:val="0"/>
        <w:suppressLineNumbers w:val="0"/>
        <w:spacing w:before="0" w:beforeAutospacing="0" w:after="0" w:afterAutospacing="0" w:line="360" w:lineRule="auto"/>
        <w:ind w:left="0" w:right="0" w:firstLine="560" w:firstLineChars="200"/>
        <w:jc w:val="both"/>
        <w:rPr>
          <w:rFonts w:hint="default" w:ascii="宋体" w:hAnsi="宋体" w:eastAsia="宋体" w:cs="宋体"/>
          <w:color w:val="auto"/>
          <w:kern w:val="2"/>
          <w:sz w:val="28"/>
          <w:szCs w:val="28"/>
          <w:lang w:val="en-US" w:eastAsia="zh-CN" w:bidi="ar"/>
        </w:rPr>
      </w:pPr>
      <w:r>
        <w:rPr>
          <w:rFonts w:hint="eastAsia" w:ascii="宋体" w:hAnsi="宋体" w:eastAsia="宋体" w:cs="宋体"/>
          <w:kern w:val="2"/>
          <w:sz w:val="28"/>
          <w:szCs w:val="28"/>
          <w:lang w:val="en-US" w:eastAsia="zh-CN" w:bidi="ar"/>
        </w:rPr>
        <w:t>2.项目人员在项目档案管理方面有所欠缺，管理制度不够完善，</w:t>
      </w:r>
      <w:r>
        <w:rPr>
          <w:rFonts w:hint="eastAsia" w:ascii="宋体" w:hAnsi="宋体" w:eastAsia="宋体" w:cs="宋体"/>
          <w:color w:val="auto"/>
          <w:kern w:val="2"/>
          <w:sz w:val="28"/>
          <w:szCs w:val="28"/>
          <w:lang w:val="en-US" w:eastAsia="zh-CN" w:bidi="ar"/>
        </w:rPr>
        <w:t>原因是项目人员专业不对口。</w:t>
      </w:r>
    </w:p>
    <w:p w14:paraId="5DAA0277">
      <w:pPr>
        <w:pStyle w:val="2"/>
        <w:widowControl/>
        <w:autoSpaceDE w:val="0"/>
        <w:autoSpaceDN/>
        <w:spacing w:beforeLines="0" w:beforeAutospacing="0" w:afterLines="0" w:afterAutospacing="0" w:line="360" w:lineRule="auto"/>
        <w:rPr>
          <w:rFonts w:hint="eastAsia" w:ascii="宋体" w:hAnsi="宋体" w:eastAsia="宋体" w:cs="宋体"/>
          <w:b/>
          <w:color w:val="auto"/>
          <w:kern w:val="44"/>
          <w:sz w:val="32"/>
          <w:szCs w:val="32"/>
        </w:rPr>
      </w:pPr>
      <w:bookmarkStart w:id="80" w:name="_Toc5230"/>
      <w:r>
        <w:rPr>
          <w:rFonts w:hint="eastAsia" w:ascii="宋体" w:hAnsi="宋体" w:eastAsia="宋体" w:cs="宋体"/>
          <w:b/>
          <w:color w:val="auto"/>
          <w:kern w:val="44"/>
          <w:sz w:val="32"/>
          <w:szCs w:val="32"/>
        </w:rPr>
        <w:t>七、有关建议</w:t>
      </w:r>
      <w:bookmarkEnd w:id="80"/>
    </w:p>
    <w:p w14:paraId="22B23BB5">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1.建议加强项目建设程序相关业务学习，依法依规完成项目建设。</w:t>
      </w:r>
    </w:p>
    <w:p w14:paraId="1232B5A1">
      <w:pPr>
        <w:keepNext w:val="0"/>
        <w:keepLines w:val="0"/>
        <w:widowControl w:val="0"/>
        <w:suppressLineNumbers w:val="0"/>
        <w:spacing w:before="0" w:beforeAutospacing="0" w:after="0" w:afterAutospacing="0" w:line="360" w:lineRule="auto"/>
        <w:ind w:left="0" w:right="0" w:firstLine="560" w:firstLineChars="200"/>
        <w:jc w:val="both"/>
        <w:rPr>
          <w:rFonts w:hint="default"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2.加强项目档案管理，确保项目实施全过程留痕，所有合同及检查都应留有相应资料，便于后续检查。</w:t>
      </w:r>
    </w:p>
    <w:p w14:paraId="098B915F">
      <w:pPr>
        <w:pStyle w:val="2"/>
        <w:widowControl/>
        <w:autoSpaceDE w:val="0"/>
        <w:autoSpaceDN/>
        <w:spacing w:beforeLines="0" w:beforeAutospacing="0" w:afterLines="0" w:afterAutospacing="0" w:line="360" w:lineRule="auto"/>
        <w:rPr>
          <w:rFonts w:hint="eastAsia" w:ascii="宋体" w:hAnsi="宋体" w:eastAsia="宋体" w:cs="宋体"/>
          <w:b/>
          <w:color w:val="000000"/>
          <w:kern w:val="44"/>
          <w:sz w:val="32"/>
          <w:szCs w:val="32"/>
        </w:rPr>
      </w:pPr>
      <w:bookmarkStart w:id="81" w:name="_Toc15618"/>
      <w:r>
        <w:rPr>
          <w:rFonts w:hint="eastAsia" w:ascii="宋体" w:hAnsi="宋体" w:eastAsia="宋体" w:cs="宋体"/>
          <w:b/>
          <w:color w:val="000000"/>
          <w:kern w:val="44"/>
          <w:sz w:val="32"/>
          <w:szCs w:val="32"/>
        </w:rPr>
        <w:t>八、其他需要说明的问题</w:t>
      </w:r>
      <w:bookmarkEnd w:id="81"/>
    </w:p>
    <w:p w14:paraId="7E84CB91">
      <w:pPr>
        <w:keepNext w:val="0"/>
        <w:keepLines w:val="0"/>
        <w:widowControl w:val="0"/>
        <w:suppressLineNumbers w:val="0"/>
        <w:spacing w:before="0" w:beforeAutospacing="0" w:after="0" w:afterAutospacing="0" w:line="360" w:lineRule="auto"/>
        <w:ind w:left="0" w:right="0" w:firstLine="560" w:firstLineChars="200"/>
        <w:jc w:val="both"/>
        <w:rPr>
          <w:rFonts w:hint="eastAsia" w:ascii="宋体" w:hAnsi="宋体" w:eastAsia="宋体" w:cs="宋体"/>
          <w:kern w:val="2"/>
          <w:sz w:val="28"/>
          <w:szCs w:val="28"/>
        </w:rPr>
      </w:pPr>
      <w:r>
        <w:rPr>
          <w:rFonts w:hint="eastAsia" w:ascii="宋体" w:hAnsi="宋体" w:eastAsia="宋体" w:cs="宋体"/>
          <w:kern w:val="2"/>
          <w:sz w:val="28"/>
          <w:szCs w:val="28"/>
          <w:lang w:val="en-US" w:eastAsia="zh-CN" w:bidi="ar"/>
        </w:rPr>
        <w:t>无其他需要说明的问题。</w:t>
      </w:r>
    </w:p>
    <w:p w14:paraId="6A6B56DA">
      <w:pPr>
        <w:keepNext w:val="0"/>
        <w:keepLines w:val="0"/>
        <w:widowControl w:val="0"/>
        <w:suppressLineNumbers w:val="0"/>
        <w:autoSpaceDE w:val="0"/>
        <w:autoSpaceDN/>
        <w:spacing w:before="0" w:beforeAutospacing="0" w:after="0" w:afterAutospacing="0" w:line="360" w:lineRule="auto"/>
        <w:ind w:left="0" w:right="0" w:firstLine="560" w:firstLineChars="200"/>
        <w:jc w:val="both"/>
        <w:rPr>
          <w:rFonts w:hint="eastAsia" w:ascii="宋体" w:hAnsi="宋体" w:eastAsia="宋体" w:cs="宋体"/>
          <w:color w:val="000000"/>
          <w:kern w:val="2"/>
          <w:sz w:val="28"/>
          <w:szCs w:val="28"/>
        </w:rPr>
      </w:pPr>
      <w:r>
        <w:rPr>
          <w:rFonts w:hint="eastAsia" w:ascii="宋体" w:hAnsi="宋体" w:eastAsia="宋体" w:cs="宋体"/>
          <w:color w:val="000000"/>
          <w:kern w:val="2"/>
          <w:sz w:val="28"/>
          <w:szCs w:val="28"/>
          <w:lang w:val="en-US" w:eastAsia="zh-CN" w:bidi="ar"/>
        </w:rPr>
        <w:t xml:space="preserve"> </w:t>
      </w:r>
    </w:p>
    <w:p w14:paraId="075B5648">
      <w:pPr>
        <w:keepNext w:val="0"/>
        <w:keepLines w:val="0"/>
        <w:widowControl w:val="0"/>
        <w:suppressLineNumbers w:val="0"/>
        <w:spacing w:before="0" w:beforeAutospacing="0" w:after="0" w:afterAutospacing="0" w:line="360" w:lineRule="auto"/>
        <w:ind w:right="0"/>
        <w:jc w:val="both"/>
        <w:rPr>
          <w:rFonts w:hint="eastAsia" w:ascii="宋体" w:hAnsi="宋体" w:eastAsia="宋体" w:cs="宋体"/>
          <w:b/>
          <w:color w:val="000000"/>
          <w:kern w:val="44"/>
          <w:sz w:val="32"/>
          <w:szCs w:val="32"/>
        </w:rPr>
        <w:sectPr>
          <w:pgSz w:w="11906" w:h="16838"/>
          <w:pgMar w:top="1440" w:right="1800" w:bottom="1440" w:left="1800" w:header="737" w:footer="851" w:gutter="0"/>
          <w:pgBorders>
            <w:top w:val="none" w:sz="0" w:space="0"/>
            <w:left w:val="none" w:sz="0" w:space="0"/>
            <w:bottom w:val="none" w:sz="0" w:space="0"/>
            <w:right w:val="none" w:sz="0" w:space="0"/>
          </w:pgBorders>
          <w:cols w:space="425" w:num="1"/>
          <w:docGrid w:type="lines" w:linePitch="408" w:charSpace="0"/>
        </w:sectPr>
      </w:pPr>
      <w:bookmarkStart w:id="82" w:name="_Toc11349"/>
    </w:p>
    <w:p w14:paraId="5845C1F6">
      <w:pPr>
        <w:keepNext w:val="0"/>
        <w:keepLines w:val="0"/>
        <w:widowControl w:val="0"/>
        <w:suppressLineNumbers w:val="0"/>
        <w:spacing w:before="0" w:beforeAutospacing="0" w:after="0" w:afterAutospacing="0" w:line="360" w:lineRule="auto"/>
        <w:ind w:right="0"/>
        <w:jc w:val="both"/>
        <w:rPr>
          <w:rFonts w:hint="eastAsia" w:ascii="宋体" w:hAnsi="宋体" w:eastAsia="宋体" w:cs="宋体"/>
          <w:b/>
          <w:color w:val="000000"/>
          <w:kern w:val="44"/>
          <w:sz w:val="32"/>
          <w:szCs w:val="32"/>
        </w:rPr>
      </w:pPr>
      <w:r>
        <w:rPr>
          <w:rFonts w:hint="eastAsia" w:ascii="宋体" w:hAnsi="宋体" w:eastAsia="宋体" w:cs="宋体"/>
          <w:b/>
          <w:color w:val="000000"/>
          <w:kern w:val="44"/>
          <w:sz w:val="32"/>
          <w:szCs w:val="32"/>
        </w:rPr>
        <w:t>附件一、项目支出绩效自评表</w:t>
      </w:r>
      <w:bookmarkEnd w:id="82"/>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769"/>
        <w:gridCol w:w="769"/>
        <w:gridCol w:w="999"/>
        <w:gridCol w:w="1432"/>
        <w:gridCol w:w="1021"/>
        <w:gridCol w:w="684"/>
        <w:gridCol w:w="660"/>
        <w:gridCol w:w="709"/>
        <w:gridCol w:w="848"/>
        <w:gridCol w:w="1224"/>
        <w:gridCol w:w="1173"/>
        <w:gridCol w:w="1298"/>
        <w:gridCol w:w="1464"/>
        <w:gridCol w:w="1124"/>
      </w:tblGrid>
      <w:tr w14:paraId="0DCCC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36CF50FE">
            <w:pPr>
              <w:keepNext w:val="0"/>
              <w:keepLines w:val="0"/>
              <w:widowControl/>
              <w:suppressLineNumbers w:val="0"/>
              <w:jc w:val="center"/>
              <w:textAlignment w:val="center"/>
              <w:rPr>
                <w:rFonts w:hint="default"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1DEFFA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5D23E20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66971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38" w:type="dxa"/>
            <w:gridSpan w:val="2"/>
            <w:tcBorders>
              <w:top w:val="single" w:color="auto" w:sz="4" w:space="0"/>
              <w:tl2br w:val="nil"/>
              <w:tr2bl w:val="nil"/>
            </w:tcBorders>
            <w:shd w:val="clear" w:color="auto" w:fill="auto"/>
            <w:vAlign w:val="center"/>
          </w:tcPr>
          <w:p w14:paraId="626C26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36" w:type="dxa"/>
            <w:gridSpan w:val="12"/>
            <w:tcBorders>
              <w:top w:val="single" w:color="auto" w:sz="4" w:space="0"/>
              <w:tl2br w:val="nil"/>
              <w:tr2bl w:val="nil"/>
            </w:tcBorders>
            <w:shd w:val="clear" w:color="auto" w:fill="auto"/>
            <w:vAlign w:val="center"/>
          </w:tcPr>
          <w:p w14:paraId="169B8F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阜康市管网延伸工程项目（一期）</w:t>
            </w:r>
          </w:p>
        </w:tc>
      </w:tr>
      <w:tr w14:paraId="4F4E0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38" w:type="dxa"/>
            <w:gridSpan w:val="2"/>
            <w:tcBorders>
              <w:tl2br w:val="nil"/>
              <w:tr2bl w:val="nil"/>
            </w:tcBorders>
            <w:shd w:val="clear" w:color="auto" w:fill="auto"/>
            <w:vAlign w:val="center"/>
          </w:tcPr>
          <w:p w14:paraId="6D2579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796" w:type="dxa"/>
            <w:gridSpan w:val="5"/>
            <w:tcBorders>
              <w:tl2br w:val="nil"/>
              <w:tr2bl w:val="nil"/>
            </w:tcBorders>
            <w:shd w:val="clear" w:color="auto" w:fill="auto"/>
            <w:vAlign w:val="center"/>
          </w:tcPr>
          <w:p w14:paraId="430BB5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阜康市水利局</w:t>
            </w:r>
          </w:p>
        </w:tc>
        <w:tc>
          <w:tcPr>
            <w:tcW w:w="1557" w:type="dxa"/>
            <w:gridSpan w:val="2"/>
            <w:tcBorders>
              <w:tl2br w:val="nil"/>
              <w:tr2bl w:val="nil"/>
            </w:tcBorders>
            <w:shd w:val="clear" w:color="auto" w:fill="auto"/>
            <w:vAlign w:val="center"/>
          </w:tcPr>
          <w:p w14:paraId="469DFD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283" w:type="dxa"/>
            <w:gridSpan w:val="5"/>
            <w:tcBorders>
              <w:tl2br w:val="nil"/>
              <w:tr2bl w:val="nil"/>
            </w:tcBorders>
            <w:shd w:val="clear" w:color="auto" w:fill="auto"/>
            <w:vAlign w:val="center"/>
          </w:tcPr>
          <w:p w14:paraId="25D5F0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阜康市农村安全饮水管理站</w:t>
            </w:r>
          </w:p>
        </w:tc>
      </w:tr>
      <w:tr w14:paraId="222C6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38" w:type="dxa"/>
            <w:gridSpan w:val="2"/>
            <w:vMerge w:val="restart"/>
            <w:tcBorders>
              <w:tl2br w:val="nil"/>
              <w:tr2bl w:val="nil"/>
            </w:tcBorders>
            <w:shd w:val="clear" w:color="auto" w:fill="auto"/>
            <w:vAlign w:val="center"/>
          </w:tcPr>
          <w:p w14:paraId="43646D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31" w:type="dxa"/>
            <w:gridSpan w:val="2"/>
            <w:tcBorders>
              <w:tl2br w:val="nil"/>
              <w:tr2bl w:val="nil"/>
            </w:tcBorders>
            <w:shd w:val="clear" w:color="auto" w:fill="auto"/>
            <w:vAlign w:val="center"/>
          </w:tcPr>
          <w:p w14:paraId="0A500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21" w:type="dxa"/>
            <w:tcBorders>
              <w:tl2br w:val="nil"/>
              <w:tr2bl w:val="nil"/>
            </w:tcBorders>
            <w:shd w:val="clear" w:color="auto" w:fill="auto"/>
            <w:vAlign w:val="center"/>
          </w:tcPr>
          <w:p w14:paraId="438737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44" w:type="dxa"/>
            <w:gridSpan w:val="2"/>
            <w:tcBorders>
              <w:tl2br w:val="nil"/>
              <w:tr2bl w:val="nil"/>
            </w:tcBorders>
            <w:shd w:val="clear" w:color="auto" w:fill="auto"/>
            <w:vAlign w:val="center"/>
          </w:tcPr>
          <w:p w14:paraId="79C0D1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557" w:type="dxa"/>
            <w:gridSpan w:val="2"/>
            <w:tcBorders>
              <w:tl2br w:val="nil"/>
              <w:tr2bl w:val="nil"/>
            </w:tcBorders>
            <w:shd w:val="clear" w:color="auto" w:fill="auto"/>
            <w:vAlign w:val="center"/>
          </w:tcPr>
          <w:p w14:paraId="2EFF8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397" w:type="dxa"/>
            <w:gridSpan w:val="2"/>
            <w:tcBorders>
              <w:tl2br w:val="nil"/>
              <w:tr2bl w:val="nil"/>
            </w:tcBorders>
            <w:shd w:val="clear" w:color="auto" w:fill="auto"/>
            <w:vAlign w:val="center"/>
          </w:tcPr>
          <w:p w14:paraId="751103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762" w:type="dxa"/>
            <w:gridSpan w:val="2"/>
            <w:tcBorders>
              <w:tl2br w:val="nil"/>
              <w:tr2bl w:val="nil"/>
            </w:tcBorders>
            <w:shd w:val="clear" w:color="auto" w:fill="auto"/>
            <w:vAlign w:val="center"/>
          </w:tcPr>
          <w:p w14:paraId="1A8F6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124" w:type="dxa"/>
            <w:tcBorders>
              <w:tl2br w:val="nil"/>
              <w:tr2bl w:val="nil"/>
            </w:tcBorders>
            <w:shd w:val="clear" w:color="auto" w:fill="auto"/>
            <w:vAlign w:val="center"/>
          </w:tcPr>
          <w:p w14:paraId="672759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11160B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38" w:type="dxa"/>
            <w:gridSpan w:val="2"/>
            <w:vMerge w:val="continue"/>
            <w:tcBorders>
              <w:tl2br w:val="nil"/>
              <w:tr2bl w:val="nil"/>
            </w:tcBorders>
            <w:shd w:val="clear" w:color="auto" w:fill="auto"/>
            <w:vAlign w:val="center"/>
          </w:tcPr>
          <w:p w14:paraId="64F2B57E">
            <w:pPr>
              <w:jc w:val="center"/>
              <w:rPr>
                <w:rFonts w:hint="eastAsia" w:ascii="宋体" w:hAnsi="宋体" w:eastAsia="宋体" w:cs="宋体"/>
                <w:i w:val="0"/>
                <w:iCs w:val="0"/>
                <w:color w:val="000000"/>
                <w:sz w:val="20"/>
                <w:szCs w:val="20"/>
                <w:u w:val="none"/>
              </w:rPr>
            </w:pPr>
          </w:p>
        </w:tc>
        <w:tc>
          <w:tcPr>
            <w:tcW w:w="2431" w:type="dxa"/>
            <w:gridSpan w:val="2"/>
            <w:tcBorders>
              <w:tl2br w:val="nil"/>
              <w:tr2bl w:val="nil"/>
            </w:tcBorders>
            <w:shd w:val="clear" w:color="auto" w:fill="auto"/>
            <w:vAlign w:val="center"/>
          </w:tcPr>
          <w:p w14:paraId="6D30E0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21" w:type="dxa"/>
            <w:tcBorders>
              <w:tl2br w:val="nil"/>
              <w:tr2bl w:val="nil"/>
            </w:tcBorders>
            <w:shd w:val="clear" w:color="auto" w:fill="auto"/>
            <w:vAlign w:val="center"/>
          </w:tcPr>
          <w:p w14:paraId="142ED0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4.22 </w:t>
            </w:r>
          </w:p>
        </w:tc>
        <w:tc>
          <w:tcPr>
            <w:tcW w:w="1344" w:type="dxa"/>
            <w:gridSpan w:val="2"/>
            <w:tcBorders>
              <w:tl2br w:val="nil"/>
              <w:tr2bl w:val="nil"/>
            </w:tcBorders>
            <w:shd w:val="clear" w:color="auto" w:fill="auto"/>
            <w:vAlign w:val="center"/>
          </w:tcPr>
          <w:p w14:paraId="131BB1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4.22 </w:t>
            </w:r>
          </w:p>
        </w:tc>
        <w:tc>
          <w:tcPr>
            <w:tcW w:w="1557" w:type="dxa"/>
            <w:gridSpan w:val="2"/>
            <w:tcBorders>
              <w:tl2br w:val="nil"/>
              <w:tr2bl w:val="nil"/>
            </w:tcBorders>
            <w:shd w:val="clear" w:color="auto" w:fill="auto"/>
            <w:vAlign w:val="center"/>
          </w:tcPr>
          <w:p w14:paraId="100D7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4.22 </w:t>
            </w:r>
          </w:p>
        </w:tc>
        <w:tc>
          <w:tcPr>
            <w:tcW w:w="2397" w:type="dxa"/>
            <w:gridSpan w:val="2"/>
            <w:tcBorders>
              <w:tl2br w:val="nil"/>
              <w:tr2bl w:val="nil"/>
            </w:tcBorders>
            <w:shd w:val="clear" w:color="auto" w:fill="auto"/>
            <w:vAlign w:val="center"/>
          </w:tcPr>
          <w:p w14:paraId="4F3AB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762" w:type="dxa"/>
            <w:gridSpan w:val="2"/>
            <w:tcBorders>
              <w:tl2br w:val="nil"/>
              <w:tr2bl w:val="nil"/>
            </w:tcBorders>
            <w:shd w:val="clear" w:color="auto" w:fill="auto"/>
            <w:vAlign w:val="center"/>
          </w:tcPr>
          <w:p w14:paraId="37A19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24" w:type="dxa"/>
            <w:tcBorders>
              <w:tl2br w:val="nil"/>
              <w:tr2bl w:val="nil"/>
            </w:tcBorders>
            <w:shd w:val="clear" w:color="auto" w:fill="auto"/>
            <w:vAlign w:val="center"/>
          </w:tcPr>
          <w:p w14:paraId="1479DA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2823D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38" w:type="dxa"/>
            <w:gridSpan w:val="2"/>
            <w:vMerge w:val="continue"/>
            <w:tcBorders>
              <w:tl2br w:val="nil"/>
              <w:tr2bl w:val="nil"/>
            </w:tcBorders>
            <w:shd w:val="clear" w:color="auto" w:fill="auto"/>
            <w:vAlign w:val="center"/>
          </w:tcPr>
          <w:p w14:paraId="2FC71AFD">
            <w:pPr>
              <w:jc w:val="center"/>
              <w:rPr>
                <w:rFonts w:hint="eastAsia" w:ascii="宋体" w:hAnsi="宋体" w:eastAsia="宋体" w:cs="宋体"/>
                <w:i w:val="0"/>
                <w:iCs w:val="0"/>
                <w:color w:val="000000"/>
                <w:sz w:val="20"/>
                <w:szCs w:val="20"/>
                <w:u w:val="none"/>
              </w:rPr>
            </w:pPr>
          </w:p>
        </w:tc>
        <w:tc>
          <w:tcPr>
            <w:tcW w:w="2431" w:type="dxa"/>
            <w:gridSpan w:val="2"/>
            <w:tcBorders>
              <w:tl2br w:val="nil"/>
              <w:tr2bl w:val="nil"/>
            </w:tcBorders>
            <w:shd w:val="clear" w:color="auto" w:fill="auto"/>
            <w:vAlign w:val="center"/>
          </w:tcPr>
          <w:p w14:paraId="7E25AB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21" w:type="dxa"/>
            <w:tcBorders>
              <w:tl2br w:val="nil"/>
              <w:tr2bl w:val="nil"/>
            </w:tcBorders>
            <w:shd w:val="clear" w:color="auto" w:fill="auto"/>
            <w:vAlign w:val="center"/>
          </w:tcPr>
          <w:p w14:paraId="526C60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4.22 </w:t>
            </w:r>
          </w:p>
        </w:tc>
        <w:tc>
          <w:tcPr>
            <w:tcW w:w="1344" w:type="dxa"/>
            <w:gridSpan w:val="2"/>
            <w:tcBorders>
              <w:tl2br w:val="nil"/>
              <w:tr2bl w:val="nil"/>
            </w:tcBorders>
            <w:shd w:val="clear" w:color="auto" w:fill="auto"/>
            <w:vAlign w:val="center"/>
          </w:tcPr>
          <w:p w14:paraId="0CA8CD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4.22 </w:t>
            </w:r>
          </w:p>
        </w:tc>
        <w:tc>
          <w:tcPr>
            <w:tcW w:w="1557" w:type="dxa"/>
            <w:gridSpan w:val="2"/>
            <w:tcBorders>
              <w:tl2br w:val="nil"/>
              <w:tr2bl w:val="nil"/>
            </w:tcBorders>
            <w:shd w:val="clear" w:color="auto" w:fill="auto"/>
            <w:vAlign w:val="center"/>
          </w:tcPr>
          <w:p w14:paraId="4B2ACC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4.22 </w:t>
            </w:r>
          </w:p>
        </w:tc>
        <w:tc>
          <w:tcPr>
            <w:tcW w:w="2397" w:type="dxa"/>
            <w:gridSpan w:val="2"/>
            <w:tcBorders>
              <w:tl2br w:val="nil"/>
              <w:tr2bl w:val="nil"/>
            </w:tcBorders>
            <w:shd w:val="clear" w:color="auto" w:fill="auto"/>
            <w:vAlign w:val="center"/>
          </w:tcPr>
          <w:p w14:paraId="5A8D95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62" w:type="dxa"/>
            <w:gridSpan w:val="2"/>
            <w:tcBorders>
              <w:tl2br w:val="nil"/>
              <w:tr2bl w:val="nil"/>
            </w:tcBorders>
            <w:shd w:val="clear" w:color="auto" w:fill="auto"/>
            <w:vAlign w:val="center"/>
          </w:tcPr>
          <w:p w14:paraId="2DAE9B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tcBorders>
              <w:tl2br w:val="nil"/>
              <w:tr2bl w:val="nil"/>
            </w:tcBorders>
            <w:shd w:val="clear" w:color="auto" w:fill="auto"/>
            <w:vAlign w:val="center"/>
          </w:tcPr>
          <w:p w14:paraId="4F87C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282E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38" w:type="dxa"/>
            <w:gridSpan w:val="2"/>
            <w:vMerge w:val="continue"/>
            <w:tcBorders>
              <w:tl2br w:val="nil"/>
              <w:tr2bl w:val="nil"/>
            </w:tcBorders>
            <w:shd w:val="clear" w:color="auto" w:fill="auto"/>
            <w:vAlign w:val="center"/>
          </w:tcPr>
          <w:p w14:paraId="661E8B8F">
            <w:pPr>
              <w:jc w:val="center"/>
              <w:rPr>
                <w:rFonts w:hint="eastAsia" w:ascii="宋体" w:hAnsi="宋体" w:eastAsia="宋体" w:cs="宋体"/>
                <w:i w:val="0"/>
                <w:iCs w:val="0"/>
                <w:color w:val="000000"/>
                <w:sz w:val="20"/>
                <w:szCs w:val="20"/>
                <w:u w:val="none"/>
              </w:rPr>
            </w:pPr>
          </w:p>
        </w:tc>
        <w:tc>
          <w:tcPr>
            <w:tcW w:w="2431" w:type="dxa"/>
            <w:gridSpan w:val="2"/>
            <w:tcBorders>
              <w:tl2br w:val="nil"/>
              <w:tr2bl w:val="nil"/>
            </w:tcBorders>
            <w:shd w:val="clear" w:color="auto" w:fill="auto"/>
            <w:vAlign w:val="center"/>
          </w:tcPr>
          <w:p w14:paraId="346778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21" w:type="dxa"/>
            <w:tcBorders>
              <w:tl2br w:val="nil"/>
              <w:tr2bl w:val="nil"/>
            </w:tcBorders>
            <w:shd w:val="clear" w:color="auto" w:fill="auto"/>
            <w:vAlign w:val="center"/>
          </w:tcPr>
          <w:p w14:paraId="2585DA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344" w:type="dxa"/>
            <w:gridSpan w:val="2"/>
            <w:tcBorders>
              <w:tl2br w:val="nil"/>
              <w:tr2bl w:val="nil"/>
            </w:tcBorders>
            <w:shd w:val="clear" w:color="auto" w:fill="auto"/>
            <w:vAlign w:val="center"/>
          </w:tcPr>
          <w:p w14:paraId="10FED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57" w:type="dxa"/>
            <w:gridSpan w:val="2"/>
            <w:tcBorders>
              <w:tl2br w:val="nil"/>
              <w:tr2bl w:val="nil"/>
            </w:tcBorders>
            <w:shd w:val="clear" w:color="auto" w:fill="auto"/>
            <w:vAlign w:val="center"/>
          </w:tcPr>
          <w:p w14:paraId="78D4A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397" w:type="dxa"/>
            <w:gridSpan w:val="2"/>
            <w:tcBorders>
              <w:tl2br w:val="nil"/>
              <w:tr2bl w:val="nil"/>
            </w:tcBorders>
            <w:shd w:val="clear" w:color="auto" w:fill="auto"/>
            <w:vAlign w:val="center"/>
          </w:tcPr>
          <w:p w14:paraId="17455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62" w:type="dxa"/>
            <w:gridSpan w:val="2"/>
            <w:tcBorders>
              <w:tl2br w:val="nil"/>
              <w:tr2bl w:val="nil"/>
            </w:tcBorders>
            <w:shd w:val="clear" w:color="auto" w:fill="auto"/>
            <w:vAlign w:val="center"/>
          </w:tcPr>
          <w:p w14:paraId="186DF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tcBorders>
              <w:tl2br w:val="nil"/>
              <w:tr2bl w:val="nil"/>
            </w:tcBorders>
            <w:shd w:val="clear" w:color="auto" w:fill="auto"/>
            <w:vAlign w:val="center"/>
          </w:tcPr>
          <w:p w14:paraId="0F16AC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E8B4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769" w:type="dxa"/>
            <w:vMerge w:val="restart"/>
            <w:tcBorders>
              <w:tl2br w:val="nil"/>
              <w:tr2bl w:val="nil"/>
            </w:tcBorders>
            <w:shd w:val="clear" w:color="auto" w:fill="auto"/>
            <w:vAlign w:val="center"/>
          </w:tcPr>
          <w:p w14:paraId="07455F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122" w:type="dxa"/>
            <w:gridSpan w:val="8"/>
            <w:tcBorders>
              <w:tl2br w:val="nil"/>
              <w:tr2bl w:val="nil"/>
            </w:tcBorders>
            <w:shd w:val="clear" w:color="auto" w:fill="auto"/>
            <w:vAlign w:val="center"/>
          </w:tcPr>
          <w:p w14:paraId="69AB76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283" w:type="dxa"/>
            <w:gridSpan w:val="5"/>
            <w:tcBorders>
              <w:tl2br w:val="nil"/>
              <w:tr2bl w:val="nil"/>
            </w:tcBorders>
            <w:shd w:val="clear" w:color="auto" w:fill="auto"/>
            <w:vAlign w:val="center"/>
          </w:tcPr>
          <w:p w14:paraId="4800E3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1CCF34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769" w:type="dxa"/>
            <w:vMerge w:val="continue"/>
            <w:tcBorders>
              <w:tl2br w:val="nil"/>
              <w:tr2bl w:val="nil"/>
            </w:tcBorders>
            <w:shd w:val="clear" w:color="auto" w:fill="auto"/>
            <w:vAlign w:val="center"/>
          </w:tcPr>
          <w:p w14:paraId="784F9462">
            <w:pPr>
              <w:jc w:val="center"/>
              <w:rPr>
                <w:rFonts w:hint="eastAsia" w:ascii="宋体" w:hAnsi="宋体" w:eastAsia="宋体" w:cs="宋体"/>
                <w:i w:val="0"/>
                <w:iCs w:val="0"/>
                <w:color w:val="000000"/>
                <w:sz w:val="20"/>
                <w:szCs w:val="20"/>
                <w:u w:val="none"/>
              </w:rPr>
            </w:pPr>
          </w:p>
        </w:tc>
        <w:tc>
          <w:tcPr>
            <w:tcW w:w="7122" w:type="dxa"/>
            <w:gridSpan w:val="8"/>
            <w:tcBorders>
              <w:tl2br w:val="nil"/>
              <w:tr2bl w:val="nil"/>
            </w:tcBorders>
            <w:shd w:val="clear" w:color="auto" w:fill="auto"/>
            <w:vAlign w:val="center"/>
          </w:tcPr>
          <w:p w14:paraId="62D544BD">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通过新建3.25km饮水管道及其配套附属建筑物从兵团已建截潜流水源引水，分期实施给白杨河水厂补给水源，解决白杨河水厂季节性供水不足等问题，确保长期安全有效的供水。</w:t>
            </w:r>
          </w:p>
        </w:tc>
        <w:tc>
          <w:tcPr>
            <w:tcW w:w="6283" w:type="dxa"/>
            <w:gridSpan w:val="5"/>
            <w:tcBorders>
              <w:tl2br w:val="nil"/>
              <w:tr2bl w:val="nil"/>
            </w:tcBorders>
            <w:shd w:val="clear" w:color="auto" w:fill="auto"/>
            <w:vAlign w:val="center"/>
          </w:tcPr>
          <w:p w14:paraId="076E4B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截至2023年12月31日，本项目完成新建3.4km管道及其14座配套建筑物,达到项目区1794人安全饮水需求，满意度达95%。</w:t>
            </w:r>
          </w:p>
        </w:tc>
      </w:tr>
      <w:tr w14:paraId="58B6E3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769" w:type="dxa"/>
            <w:tcBorders>
              <w:tl2br w:val="nil"/>
              <w:tr2bl w:val="nil"/>
            </w:tcBorders>
            <w:shd w:val="clear" w:color="auto" w:fill="auto"/>
            <w:vAlign w:val="center"/>
          </w:tcPr>
          <w:p w14:paraId="5212B07B">
            <w:pPr>
              <w:jc w:val="center"/>
              <w:rPr>
                <w:rFonts w:hint="eastAsia" w:ascii="宋体" w:hAnsi="宋体" w:eastAsia="宋体" w:cs="宋体"/>
                <w:i w:val="0"/>
                <w:iCs w:val="0"/>
                <w:color w:val="000000"/>
                <w:sz w:val="20"/>
                <w:szCs w:val="20"/>
                <w:u w:val="none"/>
              </w:rPr>
            </w:pPr>
          </w:p>
        </w:tc>
        <w:tc>
          <w:tcPr>
            <w:tcW w:w="769" w:type="dxa"/>
            <w:tcBorders>
              <w:tl2br w:val="nil"/>
              <w:tr2bl w:val="nil"/>
            </w:tcBorders>
            <w:shd w:val="clear" w:color="auto" w:fill="auto"/>
            <w:vAlign w:val="center"/>
          </w:tcPr>
          <w:p w14:paraId="1EF51C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99" w:type="dxa"/>
            <w:tcBorders>
              <w:tl2br w:val="nil"/>
              <w:tr2bl w:val="nil"/>
            </w:tcBorders>
            <w:shd w:val="clear" w:color="auto" w:fill="auto"/>
            <w:vAlign w:val="center"/>
          </w:tcPr>
          <w:p w14:paraId="5D21EB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32" w:type="dxa"/>
            <w:tcBorders>
              <w:tl2br w:val="nil"/>
              <w:tr2bl w:val="nil"/>
            </w:tcBorders>
            <w:shd w:val="clear" w:color="auto" w:fill="auto"/>
            <w:vAlign w:val="center"/>
          </w:tcPr>
          <w:p w14:paraId="12816E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21" w:type="dxa"/>
            <w:tcBorders>
              <w:tl2br w:val="nil"/>
              <w:tr2bl w:val="nil"/>
            </w:tcBorders>
            <w:shd w:val="clear" w:color="auto" w:fill="auto"/>
            <w:vAlign w:val="center"/>
          </w:tcPr>
          <w:p w14:paraId="31F94F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684" w:type="dxa"/>
            <w:tcBorders>
              <w:tl2br w:val="nil"/>
              <w:tr2bl w:val="nil"/>
            </w:tcBorders>
            <w:shd w:val="clear" w:color="auto" w:fill="auto"/>
            <w:vAlign w:val="center"/>
          </w:tcPr>
          <w:p w14:paraId="4E7C7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660" w:type="dxa"/>
            <w:tcBorders>
              <w:tl2br w:val="nil"/>
              <w:tr2bl w:val="nil"/>
            </w:tcBorders>
            <w:shd w:val="clear" w:color="auto" w:fill="auto"/>
            <w:vAlign w:val="center"/>
          </w:tcPr>
          <w:p w14:paraId="4E4A5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09" w:type="dxa"/>
            <w:tcBorders>
              <w:tl2br w:val="nil"/>
              <w:tr2bl w:val="nil"/>
            </w:tcBorders>
            <w:shd w:val="clear" w:color="auto" w:fill="auto"/>
            <w:vAlign w:val="center"/>
          </w:tcPr>
          <w:p w14:paraId="452653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848" w:type="dxa"/>
            <w:tcBorders>
              <w:tl2br w:val="nil"/>
              <w:tr2bl w:val="nil"/>
            </w:tcBorders>
            <w:shd w:val="clear" w:color="auto" w:fill="auto"/>
            <w:vAlign w:val="center"/>
          </w:tcPr>
          <w:p w14:paraId="3647B6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224" w:type="dxa"/>
            <w:tcBorders>
              <w:tl2br w:val="nil"/>
              <w:tr2bl w:val="nil"/>
            </w:tcBorders>
            <w:shd w:val="clear" w:color="auto" w:fill="auto"/>
            <w:vAlign w:val="center"/>
          </w:tcPr>
          <w:p w14:paraId="71263A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73" w:type="dxa"/>
            <w:tcBorders>
              <w:tl2br w:val="nil"/>
              <w:tr2bl w:val="nil"/>
            </w:tcBorders>
            <w:shd w:val="clear" w:color="auto" w:fill="auto"/>
            <w:vAlign w:val="center"/>
          </w:tcPr>
          <w:p w14:paraId="135DCF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298" w:type="dxa"/>
            <w:tcBorders>
              <w:tl2br w:val="nil"/>
              <w:tr2bl w:val="nil"/>
            </w:tcBorders>
            <w:shd w:val="clear" w:color="auto" w:fill="auto"/>
            <w:vAlign w:val="center"/>
          </w:tcPr>
          <w:p w14:paraId="5EC9DA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464" w:type="dxa"/>
            <w:tcBorders>
              <w:tl2br w:val="nil"/>
              <w:tr2bl w:val="nil"/>
            </w:tcBorders>
            <w:shd w:val="clear" w:color="auto" w:fill="auto"/>
            <w:vAlign w:val="center"/>
          </w:tcPr>
          <w:p w14:paraId="2273D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124" w:type="dxa"/>
            <w:tcBorders>
              <w:tl2br w:val="nil"/>
              <w:tr2bl w:val="nil"/>
            </w:tcBorders>
            <w:shd w:val="clear" w:color="auto" w:fill="auto"/>
            <w:vAlign w:val="center"/>
          </w:tcPr>
          <w:p w14:paraId="3CCBD4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5E8D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769" w:type="dxa"/>
            <w:vMerge w:val="restart"/>
            <w:tcBorders>
              <w:tl2br w:val="nil"/>
              <w:tr2bl w:val="nil"/>
            </w:tcBorders>
            <w:shd w:val="clear" w:color="auto" w:fill="auto"/>
            <w:vAlign w:val="center"/>
          </w:tcPr>
          <w:p w14:paraId="4CB67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69" w:type="dxa"/>
            <w:vMerge w:val="restart"/>
            <w:tcBorders>
              <w:tl2br w:val="nil"/>
              <w:tr2bl w:val="nil"/>
            </w:tcBorders>
            <w:shd w:val="clear" w:color="auto" w:fill="auto"/>
            <w:vAlign w:val="center"/>
          </w:tcPr>
          <w:p w14:paraId="4942E6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99" w:type="dxa"/>
            <w:vMerge w:val="restart"/>
            <w:tcBorders>
              <w:tl2br w:val="nil"/>
              <w:tr2bl w:val="nil"/>
            </w:tcBorders>
            <w:shd w:val="clear" w:color="auto" w:fill="auto"/>
            <w:vAlign w:val="center"/>
          </w:tcPr>
          <w:p w14:paraId="495DBE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32" w:type="dxa"/>
            <w:tcBorders>
              <w:tl2br w:val="nil"/>
              <w:tr2bl w:val="nil"/>
            </w:tcBorders>
            <w:shd w:val="clear" w:color="auto" w:fill="auto"/>
            <w:vAlign w:val="center"/>
          </w:tcPr>
          <w:p w14:paraId="319338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新建饮水管道（公里）</w:t>
            </w:r>
          </w:p>
        </w:tc>
        <w:tc>
          <w:tcPr>
            <w:tcW w:w="1021" w:type="dxa"/>
            <w:tcBorders>
              <w:tl2br w:val="nil"/>
              <w:tr2bl w:val="nil"/>
            </w:tcBorders>
            <w:shd w:val="clear" w:color="auto" w:fill="auto"/>
            <w:vAlign w:val="center"/>
          </w:tcPr>
          <w:p w14:paraId="216C94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≥3.25km</w:t>
            </w:r>
          </w:p>
        </w:tc>
        <w:tc>
          <w:tcPr>
            <w:tcW w:w="684" w:type="dxa"/>
            <w:tcBorders>
              <w:tl2br w:val="nil"/>
              <w:tr2bl w:val="nil"/>
            </w:tcBorders>
            <w:shd w:val="clear" w:color="auto" w:fill="auto"/>
            <w:vAlign w:val="center"/>
          </w:tcPr>
          <w:p w14:paraId="2C38B4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l2br w:val="nil"/>
              <w:tr2bl w:val="nil"/>
            </w:tcBorders>
            <w:shd w:val="clear" w:color="auto" w:fill="auto"/>
            <w:vAlign w:val="center"/>
          </w:tcPr>
          <w:p w14:paraId="0A353B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4EF85B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48" w:type="dxa"/>
            <w:tcBorders>
              <w:tl2br w:val="nil"/>
              <w:tr2bl w:val="nil"/>
            </w:tcBorders>
            <w:shd w:val="clear" w:color="auto" w:fill="auto"/>
            <w:vAlign w:val="center"/>
          </w:tcPr>
          <w:p w14:paraId="0E0F39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4" w:type="dxa"/>
            <w:tcBorders>
              <w:tl2br w:val="nil"/>
              <w:tr2bl w:val="nil"/>
            </w:tcBorders>
            <w:shd w:val="clear" w:color="auto" w:fill="auto"/>
            <w:vAlign w:val="center"/>
          </w:tcPr>
          <w:p w14:paraId="71BE76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3" w:type="dxa"/>
            <w:tcBorders>
              <w:tl2br w:val="nil"/>
              <w:tr2bl w:val="nil"/>
            </w:tcBorders>
            <w:shd w:val="clear" w:color="auto" w:fill="auto"/>
            <w:vAlign w:val="center"/>
          </w:tcPr>
          <w:p w14:paraId="546951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3.4km</w:t>
            </w:r>
          </w:p>
        </w:tc>
        <w:tc>
          <w:tcPr>
            <w:tcW w:w="1298" w:type="dxa"/>
            <w:tcBorders>
              <w:tl2br w:val="nil"/>
              <w:tr2bl w:val="nil"/>
            </w:tcBorders>
            <w:shd w:val="clear" w:color="auto" w:fill="auto"/>
            <w:vAlign w:val="center"/>
          </w:tcPr>
          <w:p w14:paraId="543F5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4" w:type="dxa"/>
            <w:tcBorders>
              <w:tl2br w:val="nil"/>
              <w:tr2bl w:val="nil"/>
            </w:tcBorders>
            <w:shd w:val="clear" w:color="auto" w:fill="auto"/>
            <w:vAlign w:val="center"/>
          </w:tcPr>
          <w:p w14:paraId="45A37A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4" w:type="dxa"/>
            <w:tcBorders>
              <w:tl2br w:val="nil"/>
              <w:tr2bl w:val="nil"/>
            </w:tcBorders>
            <w:shd w:val="clear" w:color="auto" w:fill="auto"/>
            <w:vAlign w:val="center"/>
          </w:tcPr>
          <w:p w14:paraId="5A2E7C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6E485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0" w:hRule="atLeast"/>
        </w:trPr>
        <w:tc>
          <w:tcPr>
            <w:tcW w:w="769" w:type="dxa"/>
            <w:vMerge w:val="continue"/>
            <w:tcBorders>
              <w:tl2br w:val="nil"/>
              <w:tr2bl w:val="nil"/>
            </w:tcBorders>
            <w:shd w:val="clear" w:color="auto" w:fill="auto"/>
            <w:vAlign w:val="center"/>
          </w:tcPr>
          <w:p w14:paraId="68D4C8C8">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14:paraId="3D53A15E">
            <w:pPr>
              <w:jc w:val="center"/>
              <w:rPr>
                <w:rFonts w:hint="eastAsia" w:ascii="宋体" w:hAnsi="宋体" w:eastAsia="宋体" w:cs="宋体"/>
                <w:i w:val="0"/>
                <w:iCs w:val="0"/>
                <w:color w:val="000000"/>
                <w:sz w:val="20"/>
                <w:szCs w:val="20"/>
                <w:u w:val="none"/>
              </w:rPr>
            </w:pPr>
          </w:p>
        </w:tc>
        <w:tc>
          <w:tcPr>
            <w:tcW w:w="999" w:type="dxa"/>
            <w:vMerge w:val="continue"/>
            <w:tcBorders>
              <w:tl2br w:val="nil"/>
              <w:tr2bl w:val="nil"/>
            </w:tcBorders>
            <w:shd w:val="clear" w:color="auto" w:fill="auto"/>
            <w:vAlign w:val="center"/>
          </w:tcPr>
          <w:p w14:paraId="34322F13">
            <w:pPr>
              <w:jc w:val="center"/>
              <w:rPr>
                <w:rFonts w:hint="eastAsia" w:ascii="宋体" w:hAnsi="宋体" w:eastAsia="宋体" w:cs="宋体"/>
                <w:i w:val="0"/>
                <w:iCs w:val="0"/>
                <w:color w:val="000000"/>
                <w:sz w:val="20"/>
                <w:szCs w:val="20"/>
                <w:u w:val="none"/>
              </w:rPr>
            </w:pPr>
          </w:p>
        </w:tc>
        <w:tc>
          <w:tcPr>
            <w:tcW w:w="1432" w:type="dxa"/>
            <w:tcBorders>
              <w:tl2br w:val="nil"/>
              <w:tr2bl w:val="nil"/>
            </w:tcBorders>
            <w:shd w:val="clear" w:color="auto" w:fill="auto"/>
            <w:vAlign w:val="center"/>
          </w:tcPr>
          <w:p w14:paraId="3564CD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配套附属建筑物（座）</w:t>
            </w:r>
          </w:p>
        </w:tc>
        <w:tc>
          <w:tcPr>
            <w:tcW w:w="1021" w:type="dxa"/>
            <w:tcBorders>
              <w:tl2br w:val="nil"/>
              <w:tr2bl w:val="nil"/>
            </w:tcBorders>
            <w:shd w:val="clear" w:color="auto" w:fill="auto"/>
            <w:vAlign w:val="center"/>
          </w:tcPr>
          <w:p w14:paraId="62839D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≥14座</w:t>
            </w:r>
          </w:p>
        </w:tc>
        <w:tc>
          <w:tcPr>
            <w:tcW w:w="684" w:type="dxa"/>
            <w:tcBorders>
              <w:tl2br w:val="nil"/>
              <w:tr2bl w:val="nil"/>
            </w:tcBorders>
            <w:shd w:val="clear" w:color="auto" w:fill="auto"/>
            <w:vAlign w:val="center"/>
          </w:tcPr>
          <w:p w14:paraId="4CCE73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l2br w:val="nil"/>
              <w:tr2bl w:val="nil"/>
            </w:tcBorders>
            <w:shd w:val="clear" w:color="auto" w:fill="auto"/>
            <w:vAlign w:val="center"/>
          </w:tcPr>
          <w:p w14:paraId="67F83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2487A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48" w:type="dxa"/>
            <w:tcBorders>
              <w:tl2br w:val="nil"/>
              <w:tr2bl w:val="nil"/>
            </w:tcBorders>
            <w:shd w:val="clear" w:color="auto" w:fill="auto"/>
            <w:vAlign w:val="center"/>
          </w:tcPr>
          <w:p w14:paraId="55E43F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4" w:type="dxa"/>
            <w:tcBorders>
              <w:tl2br w:val="nil"/>
              <w:tr2bl w:val="nil"/>
            </w:tcBorders>
            <w:shd w:val="clear" w:color="auto" w:fill="auto"/>
            <w:vAlign w:val="center"/>
          </w:tcPr>
          <w:p w14:paraId="614E7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3" w:type="dxa"/>
            <w:tcBorders>
              <w:tl2br w:val="nil"/>
              <w:tr2bl w:val="nil"/>
            </w:tcBorders>
            <w:shd w:val="clear" w:color="auto" w:fill="auto"/>
            <w:vAlign w:val="center"/>
          </w:tcPr>
          <w:p w14:paraId="6C478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14座</w:t>
            </w:r>
          </w:p>
        </w:tc>
        <w:tc>
          <w:tcPr>
            <w:tcW w:w="1298" w:type="dxa"/>
            <w:tcBorders>
              <w:tl2br w:val="nil"/>
              <w:tr2bl w:val="nil"/>
            </w:tcBorders>
            <w:shd w:val="clear" w:color="auto" w:fill="auto"/>
            <w:vAlign w:val="center"/>
          </w:tcPr>
          <w:p w14:paraId="760F28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4" w:type="dxa"/>
            <w:tcBorders>
              <w:tl2br w:val="nil"/>
              <w:tr2bl w:val="nil"/>
            </w:tcBorders>
            <w:shd w:val="clear" w:color="auto" w:fill="auto"/>
            <w:vAlign w:val="center"/>
          </w:tcPr>
          <w:p w14:paraId="63FE2F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4" w:type="dxa"/>
            <w:tcBorders>
              <w:tl2br w:val="nil"/>
              <w:tr2bl w:val="nil"/>
            </w:tcBorders>
            <w:shd w:val="clear" w:color="auto" w:fill="auto"/>
            <w:vAlign w:val="center"/>
          </w:tcPr>
          <w:p w14:paraId="34EF2E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CB03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769" w:type="dxa"/>
            <w:vMerge w:val="continue"/>
            <w:tcBorders>
              <w:tl2br w:val="nil"/>
              <w:tr2bl w:val="nil"/>
            </w:tcBorders>
            <w:shd w:val="clear" w:color="auto" w:fill="auto"/>
            <w:vAlign w:val="center"/>
          </w:tcPr>
          <w:p w14:paraId="1A5E44FF">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14:paraId="739F5471">
            <w:pPr>
              <w:jc w:val="center"/>
              <w:rPr>
                <w:rFonts w:hint="eastAsia" w:ascii="宋体" w:hAnsi="宋体" w:eastAsia="宋体" w:cs="宋体"/>
                <w:i w:val="0"/>
                <w:iCs w:val="0"/>
                <w:color w:val="000000"/>
                <w:sz w:val="20"/>
                <w:szCs w:val="20"/>
                <w:u w:val="none"/>
              </w:rPr>
            </w:pPr>
          </w:p>
        </w:tc>
        <w:tc>
          <w:tcPr>
            <w:tcW w:w="999" w:type="dxa"/>
            <w:tcBorders>
              <w:tl2br w:val="nil"/>
              <w:tr2bl w:val="nil"/>
            </w:tcBorders>
            <w:shd w:val="clear" w:color="auto" w:fill="auto"/>
            <w:vAlign w:val="center"/>
          </w:tcPr>
          <w:p w14:paraId="7B6DA2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32" w:type="dxa"/>
            <w:tcBorders>
              <w:tl2br w:val="nil"/>
              <w:tr2bl w:val="nil"/>
            </w:tcBorders>
            <w:shd w:val="clear" w:color="auto" w:fill="auto"/>
            <w:vAlign w:val="center"/>
          </w:tcPr>
          <w:p w14:paraId="472E2D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w:t>
            </w:r>
          </w:p>
        </w:tc>
        <w:tc>
          <w:tcPr>
            <w:tcW w:w="1021" w:type="dxa"/>
            <w:tcBorders>
              <w:tl2br w:val="nil"/>
              <w:tr2bl w:val="nil"/>
            </w:tcBorders>
            <w:shd w:val="clear" w:color="auto" w:fill="auto"/>
            <w:vAlign w:val="center"/>
          </w:tcPr>
          <w:p w14:paraId="09E3E8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84" w:type="dxa"/>
            <w:tcBorders>
              <w:tl2br w:val="nil"/>
              <w:tr2bl w:val="nil"/>
            </w:tcBorders>
            <w:shd w:val="clear" w:color="auto" w:fill="auto"/>
            <w:vAlign w:val="center"/>
          </w:tcPr>
          <w:p w14:paraId="6DB22C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l2br w:val="nil"/>
              <w:tr2bl w:val="nil"/>
            </w:tcBorders>
            <w:shd w:val="clear" w:color="auto" w:fill="auto"/>
            <w:vAlign w:val="center"/>
          </w:tcPr>
          <w:p w14:paraId="75D528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1B051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48" w:type="dxa"/>
            <w:tcBorders>
              <w:tl2br w:val="nil"/>
              <w:tr2bl w:val="nil"/>
            </w:tcBorders>
            <w:shd w:val="clear" w:color="auto" w:fill="auto"/>
            <w:vAlign w:val="center"/>
          </w:tcPr>
          <w:p w14:paraId="3148B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4" w:type="dxa"/>
            <w:tcBorders>
              <w:tl2br w:val="nil"/>
              <w:tr2bl w:val="nil"/>
            </w:tcBorders>
            <w:shd w:val="clear" w:color="auto" w:fill="auto"/>
            <w:vAlign w:val="center"/>
          </w:tcPr>
          <w:p w14:paraId="34426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3" w:type="dxa"/>
            <w:tcBorders>
              <w:tl2br w:val="nil"/>
              <w:tr2bl w:val="nil"/>
            </w:tcBorders>
            <w:shd w:val="clear" w:color="auto" w:fill="auto"/>
            <w:vAlign w:val="center"/>
          </w:tcPr>
          <w:p w14:paraId="2BC442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98" w:type="dxa"/>
            <w:tcBorders>
              <w:tl2br w:val="nil"/>
              <w:tr2bl w:val="nil"/>
            </w:tcBorders>
            <w:shd w:val="clear" w:color="auto" w:fill="auto"/>
            <w:vAlign w:val="center"/>
          </w:tcPr>
          <w:p w14:paraId="13F797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4" w:type="dxa"/>
            <w:tcBorders>
              <w:tl2br w:val="nil"/>
              <w:tr2bl w:val="nil"/>
            </w:tcBorders>
            <w:shd w:val="clear" w:color="auto" w:fill="auto"/>
            <w:vAlign w:val="center"/>
          </w:tcPr>
          <w:p w14:paraId="30636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4" w:type="dxa"/>
            <w:tcBorders>
              <w:tl2br w:val="nil"/>
              <w:tr2bl w:val="nil"/>
            </w:tcBorders>
            <w:shd w:val="clear" w:color="auto" w:fill="auto"/>
            <w:vAlign w:val="center"/>
          </w:tcPr>
          <w:p w14:paraId="235D2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B3C4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769" w:type="dxa"/>
            <w:vMerge w:val="continue"/>
            <w:tcBorders>
              <w:tl2br w:val="nil"/>
              <w:tr2bl w:val="nil"/>
            </w:tcBorders>
            <w:shd w:val="clear" w:color="auto" w:fill="auto"/>
            <w:vAlign w:val="center"/>
          </w:tcPr>
          <w:p w14:paraId="6C0B7C3F">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14:paraId="141153BD">
            <w:pPr>
              <w:jc w:val="center"/>
              <w:rPr>
                <w:rFonts w:hint="eastAsia" w:ascii="宋体" w:hAnsi="宋体" w:eastAsia="宋体" w:cs="宋体"/>
                <w:i w:val="0"/>
                <w:iCs w:val="0"/>
                <w:color w:val="000000"/>
                <w:sz w:val="20"/>
                <w:szCs w:val="20"/>
                <w:u w:val="none"/>
              </w:rPr>
            </w:pPr>
          </w:p>
        </w:tc>
        <w:tc>
          <w:tcPr>
            <w:tcW w:w="999" w:type="dxa"/>
            <w:vMerge w:val="restart"/>
            <w:tcBorders>
              <w:tl2br w:val="nil"/>
              <w:tr2bl w:val="nil"/>
            </w:tcBorders>
            <w:shd w:val="clear" w:color="auto" w:fill="auto"/>
            <w:vAlign w:val="center"/>
          </w:tcPr>
          <w:p w14:paraId="6E7855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32" w:type="dxa"/>
            <w:tcBorders>
              <w:tl2br w:val="nil"/>
              <w:tr2bl w:val="nil"/>
            </w:tcBorders>
            <w:shd w:val="clear" w:color="auto" w:fill="auto"/>
            <w:vAlign w:val="center"/>
          </w:tcPr>
          <w:p w14:paraId="65A2D9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完工时间</w:t>
            </w:r>
          </w:p>
        </w:tc>
        <w:tc>
          <w:tcPr>
            <w:tcW w:w="1021" w:type="dxa"/>
            <w:tcBorders>
              <w:tl2br w:val="nil"/>
              <w:tr2bl w:val="nil"/>
            </w:tcBorders>
            <w:shd w:val="clear" w:color="auto" w:fill="auto"/>
            <w:vAlign w:val="center"/>
          </w:tcPr>
          <w:p w14:paraId="7BE8BA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2023年5月30日前</w:t>
            </w:r>
          </w:p>
        </w:tc>
        <w:tc>
          <w:tcPr>
            <w:tcW w:w="684" w:type="dxa"/>
            <w:tcBorders>
              <w:tl2br w:val="nil"/>
              <w:tr2bl w:val="nil"/>
            </w:tcBorders>
            <w:shd w:val="clear" w:color="auto" w:fill="auto"/>
            <w:vAlign w:val="center"/>
          </w:tcPr>
          <w:p w14:paraId="7420CF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l2br w:val="nil"/>
              <w:tr2bl w:val="nil"/>
            </w:tcBorders>
            <w:shd w:val="clear" w:color="auto" w:fill="auto"/>
            <w:vAlign w:val="center"/>
          </w:tcPr>
          <w:p w14:paraId="17FDAA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7F76B3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48" w:type="dxa"/>
            <w:tcBorders>
              <w:tl2br w:val="nil"/>
              <w:tr2bl w:val="nil"/>
            </w:tcBorders>
            <w:shd w:val="clear" w:color="auto" w:fill="auto"/>
            <w:vAlign w:val="center"/>
          </w:tcPr>
          <w:p w14:paraId="18B84C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4" w:type="dxa"/>
            <w:tcBorders>
              <w:tl2br w:val="nil"/>
              <w:tr2bl w:val="nil"/>
            </w:tcBorders>
            <w:shd w:val="clear" w:color="auto" w:fill="auto"/>
            <w:vAlign w:val="center"/>
          </w:tcPr>
          <w:p w14:paraId="2C620E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3" w:type="dxa"/>
            <w:tcBorders>
              <w:tl2br w:val="nil"/>
              <w:tr2bl w:val="nil"/>
            </w:tcBorders>
            <w:shd w:val="clear" w:color="auto" w:fill="auto"/>
            <w:vAlign w:val="center"/>
          </w:tcPr>
          <w:p w14:paraId="439CA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2023年5月28日</w:t>
            </w:r>
          </w:p>
        </w:tc>
        <w:tc>
          <w:tcPr>
            <w:tcW w:w="1298" w:type="dxa"/>
            <w:tcBorders>
              <w:tl2br w:val="nil"/>
              <w:tr2bl w:val="nil"/>
            </w:tcBorders>
            <w:shd w:val="clear" w:color="auto" w:fill="auto"/>
            <w:vAlign w:val="center"/>
          </w:tcPr>
          <w:p w14:paraId="0B457C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4" w:type="dxa"/>
            <w:tcBorders>
              <w:tl2br w:val="nil"/>
              <w:tr2bl w:val="nil"/>
            </w:tcBorders>
            <w:shd w:val="clear" w:color="auto" w:fill="auto"/>
            <w:vAlign w:val="center"/>
          </w:tcPr>
          <w:p w14:paraId="098DD5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24" w:type="dxa"/>
            <w:tcBorders>
              <w:tl2br w:val="nil"/>
              <w:tr2bl w:val="nil"/>
            </w:tcBorders>
            <w:shd w:val="clear" w:color="auto" w:fill="auto"/>
            <w:vAlign w:val="center"/>
          </w:tcPr>
          <w:p w14:paraId="2261BE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3DE30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atLeast"/>
        </w:trPr>
        <w:tc>
          <w:tcPr>
            <w:tcW w:w="769" w:type="dxa"/>
            <w:vMerge w:val="continue"/>
            <w:tcBorders>
              <w:tl2br w:val="nil"/>
              <w:tr2bl w:val="nil"/>
            </w:tcBorders>
            <w:shd w:val="clear" w:color="auto" w:fill="auto"/>
            <w:vAlign w:val="center"/>
          </w:tcPr>
          <w:p w14:paraId="777B3A3E">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14:paraId="23F27026">
            <w:pPr>
              <w:jc w:val="center"/>
              <w:rPr>
                <w:rFonts w:hint="eastAsia" w:ascii="宋体" w:hAnsi="宋体" w:eastAsia="宋体" w:cs="宋体"/>
                <w:i w:val="0"/>
                <w:iCs w:val="0"/>
                <w:color w:val="000000"/>
                <w:sz w:val="20"/>
                <w:szCs w:val="20"/>
                <w:u w:val="none"/>
              </w:rPr>
            </w:pPr>
          </w:p>
        </w:tc>
        <w:tc>
          <w:tcPr>
            <w:tcW w:w="999" w:type="dxa"/>
            <w:vMerge w:val="continue"/>
            <w:tcBorders>
              <w:tl2br w:val="nil"/>
              <w:tr2bl w:val="nil"/>
            </w:tcBorders>
            <w:shd w:val="clear" w:color="auto" w:fill="auto"/>
            <w:vAlign w:val="center"/>
          </w:tcPr>
          <w:p w14:paraId="3F653DA3">
            <w:pPr>
              <w:jc w:val="center"/>
              <w:rPr>
                <w:rFonts w:hint="eastAsia" w:ascii="宋体" w:hAnsi="宋体" w:eastAsia="宋体" w:cs="宋体"/>
                <w:i w:val="0"/>
                <w:iCs w:val="0"/>
                <w:color w:val="000000"/>
                <w:sz w:val="20"/>
                <w:szCs w:val="20"/>
                <w:u w:val="none"/>
              </w:rPr>
            </w:pPr>
          </w:p>
        </w:tc>
        <w:tc>
          <w:tcPr>
            <w:tcW w:w="1432" w:type="dxa"/>
            <w:tcBorders>
              <w:tl2br w:val="nil"/>
              <w:tr2bl w:val="nil"/>
            </w:tcBorders>
            <w:shd w:val="clear" w:color="auto" w:fill="auto"/>
            <w:vAlign w:val="center"/>
          </w:tcPr>
          <w:p w14:paraId="0E30BF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截止2023年底，投资完成比例（%）</w:t>
            </w:r>
          </w:p>
        </w:tc>
        <w:tc>
          <w:tcPr>
            <w:tcW w:w="1021" w:type="dxa"/>
            <w:tcBorders>
              <w:tl2br w:val="nil"/>
              <w:tr2bl w:val="nil"/>
            </w:tcBorders>
            <w:shd w:val="clear" w:color="auto" w:fill="auto"/>
            <w:vAlign w:val="center"/>
          </w:tcPr>
          <w:p w14:paraId="029B51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684" w:type="dxa"/>
            <w:tcBorders>
              <w:tl2br w:val="nil"/>
              <w:tr2bl w:val="nil"/>
            </w:tcBorders>
            <w:shd w:val="clear" w:color="auto" w:fill="auto"/>
            <w:vAlign w:val="center"/>
          </w:tcPr>
          <w:p w14:paraId="5815C0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l2br w:val="nil"/>
              <w:tr2bl w:val="nil"/>
            </w:tcBorders>
            <w:shd w:val="clear" w:color="auto" w:fill="auto"/>
            <w:vAlign w:val="center"/>
          </w:tcPr>
          <w:p w14:paraId="76FB5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18EAAD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48" w:type="dxa"/>
            <w:tcBorders>
              <w:tl2br w:val="nil"/>
              <w:tr2bl w:val="nil"/>
            </w:tcBorders>
            <w:shd w:val="clear" w:color="auto" w:fill="auto"/>
            <w:vAlign w:val="center"/>
          </w:tcPr>
          <w:p w14:paraId="02381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4" w:type="dxa"/>
            <w:tcBorders>
              <w:tl2br w:val="nil"/>
              <w:tr2bl w:val="nil"/>
            </w:tcBorders>
            <w:shd w:val="clear" w:color="auto" w:fill="auto"/>
            <w:vAlign w:val="center"/>
          </w:tcPr>
          <w:p w14:paraId="08B8A7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3" w:type="dxa"/>
            <w:tcBorders>
              <w:tl2br w:val="nil"/>
              <w:tr2bl w:val="nil"/>
            </w:tcBorders>
            <w:shd w:val="clear" w:color="auto" w:fill="auto"/>
            <w:vAlign w:val="center"/>
          </w:tcPr>
          <w:p w14:paraId="602DB4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298" w:type="dxa"/>
            <w:tcBorders>
              <w:tl2br w:val="nil"/>
              <w:tr2bl w:val="nil"/>
            </w:tcBorders>
            <w:shd w:val="clear" w:color="auto" w:fill="auto"/>
            <w:vAlign w:val="center"/>
          </w:tcPr>
          <w:p w14:paraId="5C48C8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4" w:type="dxa"/>
            <w:tcBorders>
              <w:tl2br w:val="nil"/>
              <w:tr2bl w:val="nil"/>
            </w:tcBorders>
            <w:shd w:val="clear" w:color="auto" w:fill="auto"/>
            <w:vAlign w:val="center"/>
          </w:tcPr>
          <w:p w14:paraId="4EEBD8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24" w:type="dxa"/>
            <w:tcBorders>
              <w:tl2br w:val="nil"/>
              <w:tr2bl w:val="nil"/>
            </w:tcBorders>
            <w:shd w:val="clear" w:color="auto" w:fill="auto"/>
            <w:vAlign w:val="center"/>
          </w:tcPr>
          <w:p w14:paraId="12C2E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CE011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atLeast"/>
        </w:trPr>
        <w:tc>
          <w:tcPr>
            <w:tcW w:w="769" w:type="dxa"/>
            <w:vMerge w:val="continue"/>
            <w:tcBorders>
              <w:tl2br w:val="nil"/>
              <w:tr2bl w:val="nil"/>
            </w:tcBorders>
            <w:shd w:val="clear" w:color="auto" w:fill="auto"/>
            <w:vAlign w:val="center"/>
          </w:tcPr>
          <w:p w14:paraId="4066AC1A">
            <w:pPr>
              <w:jc w:val="center"/>
              <w:rPr>
                <w:rFonts w:hint="eastAsia" w:ascii="宋体" w:hAnsi="宋体" w:eastAsia="宋体" w:cs="宋体"/>
                <w:i w:val="0"/>
                <w:iCs w:val="0"/>
                <w:color w:val="000000"/>
                <w:sz w:val="20"/>
                <w:szCs w:val="20"/>
                <w:u w:val="none"/>
              </w:rPr>
            </w:pPr>
          </w:p>
        </w:tc>
        <w:tc>
          <w:tcPr>
            <w:tcW w:w="769" w:type="dxa"/>
            <w:vMerge w:val="restart"/>
            <w:tcBorders>
              <w:tl2br w:val="nil"/>
              <w:tr2bl w:val="nil"/>
            </w:tcBorders>
            <w:shd w:val="clear" w:color="auto" w:fill="auto"/>
            <w:vAlign w:val="center"/>
          </w:tcPr>
          <w:p w14:paraId="6B7CBD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99" w:type="dxa"/>
            <w:vMerge w:val="restart"/>
            <w:tcBorders>
              <w:tl2br w:val="nil"/>
              <w:tr2bl w:val="nil"/>
            </w:tcBorders>
            <w:shd w:val="clear" w:color="auto" w:fill="auto"/>
            <w:vAlign w:val="center"/>
          </w:tcPr>
          <w:p w14:paraId="58AD8C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432" w:type="dxa"/>
            <w:tcBorders>
              <w:tl2br w:val="nil"/>
              <w:tr2bl w:val="nil"/>
            </w:tcBorders>
            <w:shd w:val="clear" w:color="auto" w:fill="auto"/>
            <w:vAlign w:val="center"/>
          </w:tcPr>
          <w:p w14:paraId="635C8C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设计投资（万元）</w:t>
            </w:r>
          </w:p>
        </w:tc>
        <w:tc>
          <w:tcPr>
            <w:tcW w:w="1021" w:type="dxa"/>
            <w:tcBorders>
              <w:tl2br w:val="nil"/>
              <w:tr2bl w:val="nil"/>
            </w:tcBorders>
            <w:shd w:val="clear" w:color="auto" w:fill="auto"/>
            <w:vAlign w:val="center"/>
          </w:tcPr>
          <w:p w14:paraId="179465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≤3万元</w:t>
            </w:r>
          </w:p>
        </w:tc>
        <w:tc>
          <w:tcPr>
            <w:tcW w:w="684" w:type="dxa"/>
            <w:tcBorders>
              <w:tl2br w:val="nil"/>
              <w:tr2bl w:val="nil"/>
            </w:tcBorders>
            <w:shd w:val="clear" w:color="auto" w:fill="auto"/>
            <w:vAlign w:val="center"/>
          </w:tcPr>
          <w:p w14:paraId="1D11A9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l2br w:val="nil"/>
              <w:tr2bl w:val="nil"/>
            </w:tcBorders>
            <w:shd w:val="clear" w:color="auto" w:fill="auto"/>
            <w:vAlign w:val="center"/>
          </w:tcPr>
          <w:p w14:paraId="4F9AC3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7A507C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48" w:type="dxa"/>
            <w:tcBorders>
              <w:tl2br w:val="nil"/>
              <w:tr2bl w:val="nil"/>
            </w:tcBorders>
            <w:shd w:val="clear" w:color="auto" w:fill="auto"/>
            <w:vAlign w:val="center"/>
          </w:tcPr>
          <w:p w14:paraId="01EDBB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4" w:type="dxa"/>
            <w:tcBorders>
              <w:tl2br w:val="nil"/>
              <w:tr2bl w:val="nil"/>
            </w:tcBorders>
            <w:shd w:val="clear" w:color="auto" w:fill="auto"/>
            <w:vAlign w:val="center"/>
          </w:tcPr>
          <w:p w14:paraId="7F0506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3" w:type="dxa"/>
            <w:tcBorders>
              <w:tl2br w:val="nil"/>
              <w:tr2bl w:val="nil"/>
            </w:tcBorders>
            <w:shd w:val="clear" w:color="auto" w:fill="auto"/>
            <w:vAlign w:val="center"/>
          </w:tcPr>
          <w:p w14:paraId="4A560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3万元</w:t>
            </w:r>
          </w:p>
        </w:tc>
        <w:tc>
          <w:tcPr>
            <w:tcW w:w="1298" w:type="dxa"/>
            <w:tcBorders>
              <w:tl2br w:val="nil"/>
              <w:tr2bl w:val="nil"/>
            </w:tcBorders>
            <w:shd w:val="clear" w:color="auto" w:fill="auto"/>
            <w:vAlign w:val="center"/>
          </w:tcPr>
          <w:p w14:paraId="727CF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4" w:type="dxa"/>
            <w:tcBorders>
              <w:tl2br w:val="nil"/>
              <w:tr2bl w:val="nil"/>
            </w:tcBorders>
            <w:shd w:val="clear" w:color="auto" w:fill="auto"/>
            <w:vAlign w:val="center"/>
          </w:tcPr>
          <w:p w14:paraId="38F70A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4" w:type="dxa"/>
            <w:tcBorders>
              <w:tl2br w:val="nil"/>
              <w:tr2bl w:val="nil"/>
            </w:tcBorders>
            <w:shd w:val="clear" w:color="auto" w:fill="auto"/>
            <w:vAlign w:val="center"/>
          </w:tcPr>
          <w:p w14:paraId="30E322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6675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769" w:type="dxa"/>
            <w:vMerge w:val="continue"/>
            <w:tcBorders>
              <w:tl2br w:val="nil"/>
              <w:tr2bl w:val="nil"/>
            </w:tcBorders>
            <w:shd w:val="clear" w:color="auto" w:fill="auto"/>
            <w:vAlign w:val="center"/>
          </w:tcPr>
          <w:p w14:paraId="553B11F2">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14:paraId="5E053D09">
            <w:pPr>
              <w:jc w:val="center"/>
              <w:rPr>
                <w:rFonts w:hint="eastAsia" w:ascii="宋体" w:hAnsi="宋体" w:eastAsia="宋体" w:cs="宋体"/>
                <w:i w:val="0"/>
                <w:iCs w:val="0"/>
                <w:color w:val="000000"/>
                <w:sz w:val="20"/>
                <w:szCs w:val="20"/>
                <w:u w:val="none"/>
              </w:rPr>
            </w:pPr>
          </w:p>
        </w:tc>
        <w:tc>
          <w:tcPr>
            <w:tcW w:w="999" w:type="dxa"/>
            <w:vMerge w:val="continue"/>
            <w:tcBorders>
              <w:tl2br w:val="nil"/>
              <w:tr2bl w:val="nil"/>
            </w:tcBorders>
            <w:shd w:val="clear" w:color="auto" w:fill="auto"/>
            <w:vAlign w:val="center"/>
          </w:tcPr>
          <w:p w14:paraId="1C767234">
            <w:pPr>
              <w:jc w:val="center"/>
              <w:rPr>
                <w:rFonts w:hint="eastAsia" w:ascii="宋体" w:hAnsi="宋体" w:eastAsia="宋体" w:cs="宋体"/>
                <w:i w:val="0"/>
                <w:iCs w:val="0"/>
                <w:color w:val="000000"/>
                <w:sz w:val="20"/>
                <w:szCs w:val="20"/>
                <w:u w:val="none"/>
              </w:rPr>
            </w:pPr>
          </w:p>
        </w:tc>
        <w:tc>
          <w:tcPr>
            <w:tcW w:w="1432" w:type="dxa"/>
            <w:tcBorders>
              <w:tl2br w:val="nil"/>
              <w:tr2bl w:val="nil"/>
            </w:tcBorders>
            <w:shd w:val="clear" w:color="auto" w:fill="auto"/>
            <w:vAlign w:val="center"/>
          </w:tcPr>
          <w:p w14:paraId="268685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草地征占投资（万元）</w:t>
            </w:r>
          </w:p>
        </w:tc>
        <w:tc>
          <w:tcPr>
            <w:tcW w:w="1021" w:type="dxa"/>
            <w:tcBorders>
              <w:tl2br w:val="nil"/>
              <w:tr2bl w:val="nil"/>
            </w:tcBorders>
            <w:shd w:val="clear" w:color="auto" w:fill="auto"/>
            <w:vAlign w:val="center"/>
          </w:tcPr>
          <w:p w14:paraId="5B56EA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≤1.222万元</w:t>
            </w:r>
          </w:p>
        </w:tc>
        <w:tc>
          <w:tcPr>
            <w:tcW w:w="684" w:type="dxa"/>
            <w:tcBorders>
              <w:tl2br w:val="nil"/>
              <w:tr2bl w:val="nil"/>
            </w:tcBorders>
            <w:shd w:val="clear" w:color="auto" w:fill="auto"/>
            <w:vAlign w:val="center"/>
          </w:tcPr>
          <w:p w14:paraId="33F17F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l2br w:val="nil"/>
              <w:tr2bl w:val="nil"/>
            </w:tcBorders>
            <w:shd w:val="clear" w:color="auto" w:fill="auto"/>
            <w:vAlign w:val="center"/>
          </w:tcPr>
          <w:p w14:paraId="11C016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2FC784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48" w:type="dxa"/>
            <w:tcBorders>
              <w:tl2br w:val="nil"/>
              <w:tr2bl w:val="nil"/>
            </w:tcBorders>
            <w:shd w:val="clear" w:color="auto" w:fill="auto"/>
            <w:vAlign w:val="center"/>
          </w:tcPr>
          <w:p w14:paraId="4E2588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4" w:type="dxa"/>
            <w:tcBorders>
              <w:tl2br w:val="nil"/>
              <w:tr2bl w:val="nil"/>
            </w:tcBorders>
            <w:shd w:val="clear" w:color="auto" w:fill="auto"/>
            <w:vAlign w:val="center"/>
          </w:tcPr>
          <w:p w14:paraId="48EE0C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3" w:type="dxa"/>
            <w:tcBorders>
              <w:tl2br w:val="nil"/>
              <w:tr2bl w:val="nil"/>
            </w:tcBorders>
            <w:shd w:val="clear" w:color="auto" w:fill="auto"/>
            <w:vAlign w:val="center"/>
          </w:tcPr>
          <w:p w14:paraId="20607D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1.22万元</w:t>
            </w:r>
          </w:p>
        </w:tc>
        <w:tc>
          <w:tcPr>
            <w:tcW w:w="1298" w:type="dxa"/>
            <w:tcBorders>
              <w:tl2br w:val="nil"/>
              <w:tr2bl w:val="nil"/>
            </w:tcBorders>
            <w:shd w:val="clear" w:color="auto" w:fill="auto"/>
            <w:vAlign w:val="center"/>
          </w:tcPr>
          <w:p w14:paraId="5BE02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4" w:type="dxa"/>
            <w:tcBorders>
              <w:tl2br w:val="nil"/>
              <w:tr2bl w:val="nil"/>
            </w:tcBorders>
            <w:shd w:val="clear" w:color="auto" w:fill="auto"/>
            <w:vAlign w:val="center"/>
          </w:tcPr>
          <w:p w14:paraId="741FAD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4" w:type="dxa"/>
            <w:tcBorders>
              <w:tl2br w:val="nil"/>
              <w:tr2bl w:val="nil"/>
            </w:tcBorders>
            <w:shd w:val="clear" w:color="auto" w:fill="auto"/>
            <w:vAlign w:val="center"/>
          </w:tcPr>
          <w:p w14:paraId="42F600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14F2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769" w:type="dxa"/>
            <w:vMerge w:val="continue"/>
            <w:tcBorders>
              <w:tl2br w:val="nil"/>
              <w:tr2bl w:val="nil"/>
            </w:tcBorders>
            <w:shd w:val="clear" w:color="auto" w:fill="auto"/>
            <w:vAlign w:val="center"/>
          </w:tcPr>
          <w:p w14:paraId="66AEFAD0">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14:paraId="05A44760">
            <w:pPr>
              <w:jc w:val="center"/>
              <w:rPr>
                <w:rFonts w:hint="eastAsia" w:ascii="宋体" w:hAnsi="宋体" w:eastAsia="宋体" w:cs="宋体"/>
                <w:i w:val="0"/>
                <w:iCs w:val="0"/>
                <w:color w:val="000000"/>
                <w:sz w:val="20"/>
                <w:szCs w:val="20"/>
                <w:u w:val="none"/>
              </w:rPr>
            </w:pPr>
          </w:p>
        </w:tc>
        <w:tc>
          <w:tcPr>
            <w:tcW w:w="999" w:type="dxa"/>
            <w:tcBorders>
              <w:tl2br w:val="nil"/>
              <w:tr2bl w:val="nil"/>
            </w:tcBorders>
            <w:shd w:val="clear" w:color="auto" w:fill="auto"/>
            <w:vAlign w:val="center"/>
          </w:tcPr>
          <w:p w14:paraId="79B3B5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432" w:type="dxa"/>
            <w:tcBorders>
              <w:tl2br w:val="nil"/>
              <w:tr2bl w:val="nil"/>
            </w:tcBorders>
            <w:shd w:val="clear" w:color="auto" w:fill="auto"/>
            <w:vAlign w:val="center"/>
          </w:tcPr>
          <w:p w14:paraId="327893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tcBorders>
              <w:tl2br w:val="nil"/>
              <w:tr2bl w:val="nil"/>
            </w:tcBorders>
            <w:shd w:val="clear" w:color="auto" w:fill="auto"/>
            <w:vAlign w:val="center"/>
          </w:tcPr>
          <w:p w14:paraId="6FEF70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54048B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l2br w:val="nil"/>
              <w:tr2bl w:val="nil"/>
            </w:tcBorders>
            <w:shd w:val="clear" w:color="auto" w:fill="auto"/>
            <w:vAlign w:val="center"/>
          </w:tcPr>
          <w:p w14:paraId="4561C8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452904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8" w:type="dxa"/>
            <w:tcBorders>
              <w:tl2br w:val="nil"/>
              <w:tr2bl w:val="nil"/>
            </w:tcBorders>
            <w:shd w:val="clear" w:color="auto" w:fill="auto"/>
            <w:vAlign w:val="center"/>
          </w:tcPr>
          <w:p w14:paraId="2E5157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0"/>
                <w:szCs w:val="20"/>
                <w:u w:val="none"/>
                <w:lang w:val="en-US" w:eastAsia="zh-CN" w:bidi="ar"/>
              </w:rPr>
              <w:t>/</w:t>
            </w:r>
          </w:p>
        </w:tc>
        <w:tc>
          <w:tcPr>
            <w:tcW w:w="1224" w:type="dxa"/>
            <w:tcBorders>
              <w:tl2br w:val="nil"/>
              <w:tr2bl w:val="nil"/>
            </w:tcBorders>
            <w:shd w:val="clear" w:color="auto" w:fill="auto"/>
            <w:vAlign w:val="center"/>
          </w:tcPr>
          <w:p w14:paraId="23B87C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0"/>
                <w:szCs w:val="20"/>
                <w:u w:val="none"/>
                <w:lang w:val="en-US" w:eastAsia="zh-CN" w:bidi="ar"/>
              </w:rPr>
              <w:t>/</w:t>
            </w:r>
          </w:p>
        </w:tc>
        <w:tc>
          <w:tcPr>
            <w:tcW w:w="1173" w:type="dxa"/>
            <w:tcBorders>
              <w:tl2br w:val="nil"/>
              <w:tr2bl w:val="nil"/>
            </w:tcBorders>
            <w:shd w:val="clear" w:color="auto" w:fill="auto"/>
            <w:vAlign w:val="center"/>
          </w:tcPr>
          <w:p w14:paraId="45F1E4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98" w:type="dxa"/>
            <w:tcBorders>
              <w:tl2br w:val="nil"/>
              <w:tr2bl w:val="nil"/>
            </w:tcBorders>
            <w:shd w:val="clear" w:color="auto" w:fill="auto"/>
            <w:vAlign w:val="center"/>
          </w:tcPr>
          <w:p w14:paraId="6238F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4" w:type="dxa"/>
            <w:tcBorders>
              <w:tl2br w:val="nil"/>
              <w:tr2bl w:val="nil"/>
            </w:tcBorders>
            <w:shd w:val="clear" w:color="auto" w:fill="auto"/>
            <w:vAlign w:val="center"/>
          </w:tcPr>
          <w:p w14:paraId="58107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tcBorders>
              <w:tl2br w:val="nil"/>
              <w:tr2bl w:val="nil"/>
            </w:tcBorders>
            <w:shd w:val="clear" w:color="auto" w:fill="auto"/>
            <w:vAlign w:val="center"/>
          </w:tcPr>
          <w:p w14:paraId="68B4B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3DE6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769" w:type="dxa"/>
            <w:vMerge w:val="continue"/>
            <w:tcBorders>
              <w:tl2br w:val="nil"/>
              <w:tr2bl w:val="nil"/>
            </w:tcBorders>
            <w:shd w:val="clear" w:color="auto" w:fill="auto"/>
            <w:vAlign w:val="center"/>
          </w:tcPr>
          <w:p w14:paraId="2AF8C33A">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14:paraId="5FE440E3">
            <w:pPr>
              <w:jc w:val="center"/>
              <w:rPr>
                <w:rFonts w:hint="eastAsia" w:ascii="宋体" w:hAnsi="宋体" w:eastAsia="宋体" w:cs="宋体"/>
                <w:i w:val="0"/>
                <w:iCs w:val="0"/>
                <w:color w:val="000000"/>
                <w:sz w:val="20"/>
                <w:szCs w:val="20"/>
                <w:u w:val="none"/>
              </w:rPr>
            </w:pPr>
          </w:p>
        </w:tc>
        <w:tc>
          <w:tcPr>
            <w:tcW w:w="999" w:type="dxa"/>
            <w:tcBorders>
              <w:tl2br w:val="nil"/>
              <w:tr2bl w:val="nil"/>
            </w:tcBorders>
            <w:shd w:val="clear" w:color="auto" w:fill="auto"/>
            <w:vAlign w:val="center"/>
          </w:tcPr>
          <w:p w14:paraId="2F5D20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432" w:type="dxa"/>
            <w:tcBorders>
              <w:tl2br w:val="nil"/>
              <w:tr2bl w:val="nil"/>
            </w:tcBorders>
            <w:shd w:val="clear" w:color="auto" w:fill="auto"/>
            <w:vAlign w:val="center"/>
          </w:tcPr>
          <w:p w14:paraId="3B15A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tcBorders>
              <w:tl2br w:val="nil"/>
              <w:tr2bl w:val="nil"/>
            </w:tcBorders>
            <w:shd w:val="clear" w:color="auto" w:fill="auto"/>
            <w:vAlign w:val="center"/>
          </w:tcPr>
          <w:p w14:paraId="6AD778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401898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l2br w:val="nil"/>
              <w:tr2bl w:val="nil"/>
            </w:tcBorders>
            <w:shd w:val="clear" w:color="auto" w:fill="auto"/>
            <w:vAlign w:val="center"/>
          </w:tcPr>
          <w:p w14:paraId="2AC4CE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0DDAEB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8" w:type="dxa"/>
            <w:tcBorders>
              <w:tl2br w:val="nil"/>
              <w:tr2bl w:val="nil"/>
            </w:tcBorders>
            <w:shd w:val="clear" w:color="auto" w:fill="auto"/>
            <w:vAlign w:val="center"/>
          </w:tcPr>
          <w:p w14:paraId="26DAD9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24" w:type="dxa"/>
            <w:tcBorders>
              <w:tl2br w:val="nil"/>
              <w:tr2bl w:val="nil"/>
            </w:tcBorders>
            <w:shd w:val="clear" w:color="auto" w:fill="auto"/>
            <w:vAlign w:val="center"/>
          </w:tcPr>
          <w:p w14:paraId="545E4A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3" w:type="dxa"/>
            <w:tcBorders>
              <w:tl2br w:val="nil"/>
              <w:tr2bl w:val="nil"/>
            </w:tcBorders>
            <w:shd w:val="clear" w:color="auto" w:fill="auto"/>
            <w:vAlign w:val="center"/>
          </w:tcPr>
          <w:p w14:paraId="30B3F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98" w:type="dxa"/>
            <w:tcBorders>
              <w:tl2br w:val="nil"/>
              <w:tr2bl w:val="nil"/>
            </w:tcBorders>
            <w:shd w:val="clear" w:color="auto" w:fill="auto"/>
            <w:vAlign w:val="center"/>
          </w:tcPr>
          <w:p w14:paraId="6F4257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4" w:type="dxa"/>
            <w:tcBorders>
              <w:tl2br w:val="nil"/>
              <w:tr2bl w:val="nil"/>
            </w:tcBorders>
            <w:shd w:val="clear" w:color="auto" w:fill="auto"/>
            <w:vAlign w:val="center"/>
          </w:tcPr>
          <w:p w14:paraId="3256C5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tcBorders>
              <w:tl2br w:val="nil"/>
              <w:tr2bl w:val="nil"/>
            </w:tcBorders>
            <w:shd w:val="clear" w:color="auto" w:fill="auto"/>
            <w:vAlign w:val="center"/>
          </w:tcPr>
          <w:p w14:paraId="57FE88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15E5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769" w:type="dxa"/>
            <w:vMerge w:val="continue"/>
            <w:tcBorders>
              <w:tl2br w:val="nil"/>
              <w:tr2bl w:val="nil"/>
            </w:tcBorders>
            <w:shd w:val="clear" w:color="auto" w:fill="auto"/>
            <w:vAlign w:val="center"/>
          </w:tcPr>
          <w:p w14:paraId="79D032C9">
            <w:pPr>
              <w:jc w:val="center"/>
              <w:rPr>
                <w:rFonts w:hint="eastAsia" w:ascii="宋体" w:hAnsi="宋体" w:eastAsia="宋体" w:cs="宋体"/>
                <w:i w:val="0"/>
                <w:iCs w:val="0"/>
                <w:color w:val="000000"/>
                <w:sz w:val="20"/>
                <w:szCs w:val="20"/>
                <w:u w:val="none"/>
              </w:rPr>
            </w:pPr>
          </w:p>
        </w:tc>
        <w:tc>
          <w:tcPr>
            <w:tcW w:w="769" w:type="dxa"/>
            <w:vMerge w:val="restart"/>
            <w:tcBorders>
              <w:tl2br w:val="nil"/>
              <w:tr2bl w:val="nil"/>
            </w:tcBorders>
            <w:shd w:val="clear" w:color="auto" w:fill="auto"/>
            <w:vAlign w:val="center"/>
          </w:tcPr>
          <w:p w14:paraId="3E47C1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99" w:type="dxa"/>
            <w:tcBorders>
              <w:tl2br w:val="nil"/>
              <w:tr2bl w:val="nil"/>
            </w:tcBorders>
            <w:shd w:val="clear" w:color="auto" w:fill="auto"/>
            <w:vAlign w:val="center"/>
          </w:tcPr>
          <w:p w14:paraId="5146CD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432" w:type="dxa"/>
            <w:tcBorders>
              <w:tl2br w:val="nil"/>
              <w:tr2bl w:val="nil"/>
            </w:tcBorders>
            <w:shd w:val="clear" w:color="auto" w:fill="auto"/>
            <w:vAlign w:val="center"/>
          </w:tcPr>
          <w:p w14:paraId="257F3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tcBorders>
              <w:tl2br w:val="nil"/>
              <w:tr2bl w:val="nil"/>
            </w:tcBorders>
            <w:shd w:val="clear" w:color="auto" w:fill="auto"/>
            <w:vAlign w:val="center"/>
          </w:tcPr>
          <w:p w14:paraId="6AC58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25274D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l2br w:val="nil"/>
              <w:tr2bl w:val="nil"/>
            </w:tcBorders>
            <w:shd w:val="clear" w:color="auto" w:fill="auto"/>
            <w:vAlign w:val="center"/>
          </w:tcPr>
          <w:p w14:paraId="01ABD2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7CE48E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8" w:type="dxa"/>
            <w:tcBorders>
              <w:tl2br w:val="nil"/>
              <w:tr2bl w:val="nil"/>
            </w:tcBorders>
            <w:shd w:val="clear" w:color="auto" w:fill="auto"/>
            <w:vAlign w:val="center"/>
          </w:tcPr>
          <w:p w14:paraId="5BF6B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24" w:type="dxa"/>
            <w:tcBorders>
              <w:tl2br w:val="nil"/>
              <w:tr2bl w:val="nil"/>
            </w:tcBorders>
            <w:shd w:val="clear" w:color="auto" w:fill="auto"/>
            <w:vAlign w:val="center"/>
          </w:tcPr>
          <w:p w14:paraId="28CB1B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3" w:type="dxa"/>
            <w:tcBorders>
              <w:tl2br w:val="nil"/>
              <w:tr2bl w:val="nil"/>
            </w:tcBorders>
            <w:shd w:val="clear" w:color="auto" w:fill="auto"/>
            <w:vAlign w:val="center"/>
          </w:tcPr>
          <w:p w14:paraId="285BC4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98" w:type="dxa"/>
            <w:tcBorders>
              <w:tl2br w:val="nil"/>
              <w:tr2bl w:val="nil"/>
            </w:tcBorders>
            <w:shd w:val="clear" w:color="auto" w:fill="auto"/>
            <w:vAlign w:val="center"/>
          </w:tcPr>
          <w:p w14:paraId="0D87B4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4" w:type="dxa"/>
            <w:tcBorders>
              <w:tl2br w:val="nil"/>
              <w:tr2bl w:val="nil"/>
            </w:tcBorders>
            <w:shd w:val="clear" w:color="auto" w:fill="auto"/>
            <w:vAlign w:val="center"/>
          </w:tcPr>
          <w:p w14:paraId="35835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tcBorders>
              <w:tl2br w:val="nil"/>
              <w:tr2bl w:val="nil"/>
            </w:tcBorders>
            <w:shd w:val="clear" w:color="auto" w:fill="auto"/>
            <w:vAlign w:val="center"/>
          </w:tcPr>
          <w:p w14:paraId="1867A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D3A8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0" w:hRule="atLeast"/>
        </w:trPr>
        <w:tc>
          <w:tcPr>
            <w:tcW w:w="769" w:type="dxa"/>
            <w:vMerge w:val="continue"/>
            <w:tcBorders>
              <w:tl2br w:val="nil"/>
              <w:tr2bl w:val="nil"/>
            </w:tcBorders>
            <w:shd w:val="clear" w:color="auto" w:fill="auto"/>
            <w:vAlign w:val="center"/>
          </w:tcPr>
          <w:p w14:paraId="3B811B98">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14:paraId="0BF13A60">
            <w:pPr>
              <w:jc w:val="center"/>
              <w:rPr>
                <w:rFonts w:hint="eastAsia" w:ascii="宋体" w:hAnsi="宋体" w:eastAsia="宋体" w:cs="宋体"/>
                <w:i w:val="0"/>
                <w:iCs w:val="0"/>
                <w:color w:val="000000"/>
                <w:sz w:val="20"/>
                <w:szCs w:val="20"/>
                <w:u w:val="none"/>
              </w:rPr>
            </w:pPr>
          </w:p>
        </w:tc>
        <w:tc>
          <w:tcPr>
            <w:tcW w:w="999" w:type="dxa"/>
            <w:tcBorders>
              <w:tl2br w:val="nil"/>
              <w:tr2bl w:val="nil"/>
            </w:tcBorders>
            <w:shd w:val="clear" w:color="auto" w:fill="auto"/>
            <w:vAlign w:val="center"/>
          </w:tcPr>
          <w:p w14:paraId="79DB9F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32" w:type="dxa"/>
            <w:tcBorders>
              <w:tl2br w:val="nil"/>
              <w:tr2bl w:val="nil"/>
            </w:tcBorders>
            <w:shd w:val="clear" w:color="auto" w:fill="auto"/>
            <w:vAlign w:val="center"/>
          </w:tcPr>
          <w:p w14:paraId="13722B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人畜安全饮水</w:t>
            </w:r>
          </w:p>
        </w:tc>
        <w:tc>
          <w:tcPr>
            <w:tcW w:w="1021" w:type="dxa"/>
            <w:tcBorders>
              <w:tl2br w:val="nil"/>
              <w:tr2bl w:val="nil"/>
            </w:tcBorders>
            <w:shd w:val="clear" w:color="auto" w:fill="auto"/>
            <w:vAlign w:val="center"/>
          </w:tcPr>
          <w:p w14:paraId="62851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≥1794人</w:t>
            </w:r>
          </w:p>
        </w:tc>
        <w:tc>
          <w:tcPr>
            <w:tcW w:w="684" w:type="dxa"/>
            <w:tcBorders>
              <w:tl2br w:val="nil"/>
              <w:tr2bl w:val="nil"/>
            </w:tcBorders>
            <w:shd w:val="clear" w:color="auto" w:fill="auto"/>
            <w:vAlign w:val="center"/>
          </w:tcPr>
          <w:p w14:paraId="69221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l2br w:val="nil"/>
              <w:tr2bl w:val="nil"/>
            </w:tcBorders>
            <w:shd w:val="clear" w:color="auto" w:fill="auto"/>
            <w:vAlign w:val="center"/>
          </w:tcPr>
          <w:p w14:paraId="7F2E29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045092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48" w:type="dxa"/>
            <w:tcBorders>
              <w:tl2br w:val="nil"/>
              <w:tr2bl w:val="nil"/>
            </w:tcBorders>
            <w:shd w:val="clear" w:color="auto" w:fill="auto"/>
            <w:vAlign w:val="center"/>
          </w:tcPr>
          <w:p w14:paraId="2A97A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224" w:type="dxa"/>
            <w:tcBorders>
              <w:tl2br w:val="nil"/>
              <w:tr2bl w:val="nil"/>
            </w:tcBorders>
            <w:shd w:val="clear" w:color="auto" w:fill="auto"/>
            <w:vAlign w:val="center"/>
          </w:tcPr>
          <w:p w14:paraId="67D4E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3" w:type="dxa"/>
            <w:tcBorders>
              <w:tl2br w:val="nil"/>
              <w:tr2bl w:val="nil"/>
            </w:tcBorders>
            <w:shd w:val="clear" w:color="auto" w:fill="auto"/>
            <w:vAlign w:val="center"/>
          </w:tcPr>
          <w:p w14:paraId="6D5997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1794人</w:t>
            </w:r>
          </w:p>
        </w:tc>
        <w:tc>
          <w:tcPr>
            <w:tcW w:w="1298" w:type="dxa"/>
            <w:tcBorders>
              <w:tl2br w:val="nil"/>
              <w:tr2bl w:val="nil"/>
            </w:tcBorders>
            <w:shd w:val="clear" w:color="auto" w:fill="auto"/>
            <w:vAlign w:val="center"/>
          </w:tcPr>
          <w:p w14:paraId="46F47B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4" w:type="dxa"/>
            <w:tcBorders>
              <w:tl2br w:val="nil"/>
              <w:tr2bl w:val="nil"/>
            </w:tcBorders>
            <w:shd w:val="clear" w:color="auto" w:fill="auto"/>
            <w:vAlign w:val="center"/>
          </w:tcPr>
          <w:p w14:paraId="10C93E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24" w:type="dxa"/>
            <w:tcBorders>
              <w:tl2br w:val="nil"/>
              <w:tr2bl w:val="nil"/>
            </w:tcBorders>
            <w:shd w:val="clear" w:color="auto" w:fill="auto"/>
            <w:vAlign w:val="center"/>
          </w:tcPr>
          <w:p w14:paraId="45DD78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5E2E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769" w:type="dxa"/>
            <w:vMerge w:val="continue"/>
            <w:tcBorders>
              <w:tl2br w:val="nil"/>
              <w:tr2bl w:val="nil"/>
            </w:tcBorders>
            <w:shd w:val="clear" w:color="auto" w:fill="auto"/>
            <w:vAlign w:val="center"/>
          </w:tcPr>
          <w:p w14:paraId="267FF53C">
            <w:pPr>
              <w:jc w:val="center"/>
              <w:rPr>
                <w:rFonts w:hint="eastAsia" w:ascii="宋体" w:hAnsi="宋体" w:eastAsia="宋体" w:cs="宋体"/>
                <w:i w:val="0"/>
                <w:iCs w:val="0"/>
                <w:color w:val="000000"/>
                <w:sz w:val="20"/>
                <w:szCs w:val="20"/>
                <w:u w:val="none"/>
              </w:rPr>
            </w:pPr>
          </w:p>
        </w:tc>
        <w:tc>
          <w:tcPr>
            <w:tcW w:w="769" w:type="dxa"/>
            <w:vMerge w:val="continue"/>
            <w:tcBorders>
              <w:tl2br w:val="nil"/>
              <w:tr2bl w:val="nil"/>
            </w:tcBorders>
            <w:shd w:val="clear" w:color="auto" w:fill="auto"/>
            <w:vAlign w:val="center"/>
          </w:tcPr>
          <w:p w14:paraId="36D5ABCC">
            <w:pPr>
              <w:jc w:val="center"/>
              <w:rPr>
                <w:rFonts w:hint="eastAsia" w:ascii="宋体" w:hAnsi="宋体" w:eastAsia="宋体" w:cs="宋体"/>
                <w:i w:val="0"/>
                <w:iCs w:val="0"/>
                <w:color w:val="000000"/>
                <w:sz w:val="20"/>
                <w:szCs w:val="20"/>
                <w:u w:val="none"/>
              </w:rPr>
            </w:pPr>
          </w:p>
        </w:tc>
        <w:tc>
          <w:tcPr>
            <w:tcW w:w="999" w:type="dxa"/>
            <w:tcBorders>
              <w:tl2br w:val="nil"/>
              <w:tr2bl w:val="nil"/>
            </w:tcBorders>
            <w:shd w:val="clear" w:color="auto" w:fill="auto"/>
            <w:vAlign w:val="center"/>
          </w:tcPr>
          <w:p w14:paraId="077E6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432" w:type="dxa"/>
            <w:tcBorders>
              <w:tl2br w:val="nil"/>
              <w:tr2bl w:val="nil"/>
            </w:tcBorders>
            <w:shd w:val="clear" w:color="auto" w:fill="auto"/>
            <w:vAlign w:val="center"/>
          </w:tcPr>
          <w:p w14:paraId="2897FC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tcBorders>
              <w:tl2br w:val="nil"/>
              <w:tr2bl w:val="nil"/>
            </w:tcBorders>
            <w:shd w:val="clear" w:color="auto" w:fill="auto"/>
            <w:vAlign w:val="center"/>
          </w:tcPr>
          <w:p w14:paraId="794A4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84" w:type="dxa"/>
            <w:tcBorders>
              <w:tl2br w:val="nil"/>
              <w:tr2bl w:val="nil"/>
            </w:tcBorders>
            <w:shd w:val="clear" w:color="auto" w:fill="auto"/>
            <w:vAlign w:val="center"/>
          </w:tcPr>
          <w:p w14:paraId="54072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l2br w:val="nil"/>
              <w:tr2bl w:val="nil"/>
            </w:tcBorders>
            <w:shd w:val="clear" w:color="auto" w:fill="auto"/>
            <w:vAlign w:val="center"/>
          </w:tcPr>
          <w:p w14:paraId="1E0A02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685424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8" w:type="dxa"/>
            <w:tcBorders>
              <w:tl2br w:val="nil"/>
              <w:tr2bl w:val="nil"/>
            </w:tcBorders>
            <w:shd w:val="clear" w:color="auto" w:fill="auto"/>
            <w:vAlign w:val="center"/>
          </w:tcPr>
          <w:p w14:paraId="477174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24" w:type="dxa"/>
            <w:tcBorders>
              <w:tl2br w:val="nil"/>
              <w:tr2bl w:val="nil"/>
            </w:tcBorders>
            <w:shd w:val="clear" w:color="auto" w:fill="auto"/>
            <w:vAlign w:val="center"/>
          </w:tcPr>
          <w:p w14:paraId="021F9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3" w:type="dxa"/>
            <w:tcBorders>
              <w:tl2br w:val="nil"/>
              <w:tr2bl w:val="nil"/>
            </w:tcBorders>
            <w:shd w:val="clear" w:color="auto" w:fill="auto"/>
            <w:vAlign w:val="center"/>
          </w:tcPr>
          <w:p w14:paraId="277B7A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98" w:type="dxa"/>
            <w:tcBorders>
              <w:tl2br w:val="nil"/>
              <w:tr2bl w:val="nil"/>
            </w:tcBorders>
            <w:shd w:val="clear" w:color="auto" w:fill="auto"/>
            <w:vAlign w:val="center"/>
          </w:tcPr>
          <w:p w14:paraId="26EBB8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4" w:type="dxa"/>
            <w:tcBorders>
              <w:tl2br w:val="nil"/>
              <w:tr2bl w:val="nil"/>
            </w:tcBorders>
            <w:shd w:val="clear" w:color="auto" w:fill="auto"/>
            <w:vAlign w:val="center"/>
          </w:tcPr>
          <w:p w14:paraId="0BCEE2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4" w:type="dxa"/>
            <w:tcBorders>
              <w:tl2br w:val="nil"/>
              <w:tr2bl w:val="nil"/>
            </w:tcBorders>
            <w:shd w:val="clear" w:color="auto" w:fill="auto"/>
            <w:vAlign w:val="center"/>
          </w:tcPr>
          <w:p w14:paraId="0F4658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99584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769" w:type="dxa"/>
            <w:vMerge w:val="continue"/>
            <w:tcBorders>
              <w:tl2br w:val="nil"/>
              <w:tr2bl w:val="nil"/>
            </w:tcBorders>
            <w:shd w:val="clear" w:color="auto" w:fill="auto"/>
            <w:vAlign w:val="center"/>
          </w:tcPr>
          <w:p w14:paraId="0C384736">
            <w:pPr>
              <w:jc w:val="center"/>
              <w:rPr>
                <w:rFonts w:hint="eastAsia" w:ascii="宋体" w:hAnsi="宋体" w:eastAsia="宋体" w:cs="宋体"/>
                <w:i w:val="0"/>
                <w:iCs w:val="0"/>
                <w:color w:val="000000"/>
                <w:sz w:val="20"/>
                <w:szCs w:val="20"/>
                <w:u w:val="none"/>
              </w:rPr>
            </w:pPr>
          </w:p>
        </w:tc>
        <w:tc>
          <w:tcPr>
            <w:tcW w:w="769" w:type="dxa"/>
            <w:tcBorders>
              <w:tl2br w:val="nil"/>
              <w:tr2bl w:val="nil"/>
            </w:tcBorders>
            <w:shd w:val="clear" w:color="auto" w:fill="auto"/>
            <w:vAlign w:val="center"/>
          </w:tcPr>
          <w:p w14:paraId="1D067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99" w:type="dxa"/>
            <w:tcBorders>
              <w:tl2br w:val="nil"/>
              <w:tr2bl w:val="nil"/>
            </w:tcBorders>
            <w:shd w:val="clear" w:color="auto" w:fill="auto"/>
            <w:vAlign w:val="center"/>
          </w:tcPr>
          <w:p w14:paraId="61F26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32" w:type="dxa"/>
            <w:tcBorders>
              <w:tl2br w:val="nil"/>
              <w:tr2bl w:val="nil"/>
            </w:tcBorders>
            <w:shd w:val="clear" w:color="auto" w:fill="auto"/>
            <w:vAlign w:val="center"/>
          </w:tcPr>
          <w:p w14:paraId="3277B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1021" w:type="dxa"/>
            <w:tcBorders>
              <w:tl2br w:val="nil"/>
              <w:tr2bl w:val="nil"/>
            </w:tcBorders>
            <w:shd w:val="clear" w:color="auto" w:fill="auto"/>
            <w:vAlign w:val="center"/>
          </w:tcPr>
          <w:p w14:paraId="29D5C4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684" w:type="dxa"/>
            <w:tcBorders>
              <w:tl2br w:val="nil"/>
              <w:tr2bl w:val="nil"/>
            </w:tcBorders>
            <w:shd w:val="clear" w:color="auto" w:fill="auto"/>
            <w:vAlign w:val="center"/>
          </w:tcPr>
          <w:p w14:paraId="376456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l2br w:val="nil"/>
              <w:tr2bl w:val="nil"/>
            </w:tcBorders>
            <w:shd w:val="clear" w:color="auto" w:fill="auto"/>
            <w:vAlign w:val="center"/>
          </w:tcPr>
          <w:p w14:paraId="2C0F3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9" w:type="dxa"/>
            <w:tcBorders>
              <w:tl2br w:val="nil"/>
              <w:tr2bl w:val="nil"/>
            </w:tcBorders>
            <w:shd w:val="clear" w:color="auto" w:fill="auto"/>
            <w:vAlign w:val="center"/>
          </w:tcPr>
          <w:p w14:paraId="117E08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48" w:type="dxa"/>
            <w:tcBorders>
              <w:tl2br w:val="nil"/>
              <w:tr2bl w:val="nil"/>
            </w:tcBorders>
            <w:shd w:val="clear" w:color="auto" w:fill="auto"/>
            <w:vAlign w:val="center"/>
          </w:tcPr>
          <w:p w14:paraId="3A42A4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224" w:type="dxa"/>
            <w:tcBorders>
              <w:tl2br w:val="nil"/>
              <w:tr2bl w:val="nil"/>
            </w:tcBorders>
            <w:shd w:val="clear" w:color="auto" w:fill="auto"/>
            <w:vAlign w:val="center"/>
          </w:tcPr>
          <w:p w14:paraId="52253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73" w:type="dxa"/>
            <w:tcBorders>
              <w:tl2br w:val="nil"/>
              <w:tr2bl w:val="nil"/>
            </w:tcBorders>
            <w:shd w:val="clear" w:color="auto" w:fill="auto"/>
            <w:vAlign w:val="center"/>
          </w:tcPr>
          <w:p w14:paraId="3AD1BC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98" w:type="dxa"/>
            <w:tcBorders>
              <w:tl2br w:val="nil"/>
              <w:tr2bl w:val="nil"/>
            </w:tcBorders>
            <w:shd w:val="clear" w:color="auto" w:fill="auto"/>
            <w:vAlign w:val="center"/>
          </w:tcPr>
          <w:p w14:paraId="2CE387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4" w:type="dxa"/>
            <w:tcBorders>
              <w:tl2br w:val="nil"/>
              <w:tr2bl w:val="nil"/>
            </w:tcBorders>
            <w:shd w:val="clear" w:color="auto" w:fill="auto"/>
            <w:vAlign w:val="center"/>
          </w:tcPr>
          <w:p w14:paraId="79588C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4" w:type="dxa"/>
            <w:tcBorders>
              <w:tl2br w:val="nil"/>
              <w:tr2bl w:val="nil"/>
            </w:tcBorders>
            <w:shd w:val="clear" w:color="auto" w:fill="auto"/>
            <w:vAlign w:val="center"/>
          </w:tcPr>
          <w:p w14:paraId="0598AE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82DC2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3969" w:type="dxa"/>
            <w:gridSpan w:val="4"/>
            <w:tcBorders>
              <w:tl2br w:val="nil"/>
              <w:tr2bl w:val="nil"/>
            </w:tcBorders>
            <w:shd w:val="clear" w:color="auto" w:fill="auto"/>
            <w:vAlign w:val="center"/>
          </w:tcPr>
          <w:p w14:paraId="6866BA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21" w:type="dxa"/>
            <w:tcBorders>
              <w:tl2br w:val="nil"/>
              <w:tr2bl w:val="nil"/>
            </w:tcBorders>
            <w:shd w:val="clear" w:color="auto" w:fill="auto"/>
            <w:vAlign w:val="center"/>
          </w:tcPr>
          <w:p w14:paraId="52BF8558">
            <w:pPr>
              <w:jc w:val="center"/>
              <w:rPr>
                <w:rFonts w:hint="eastAsia" w:ascii="宋体" w:hAnsi="宋体" w:eastAsia="宋体" w:cs="宋体"/>
                <w:i w:val="0"/>
                <w:iCs w:val="0"/>
                <w:color w:val="000000"/>
                <w:sz w:val="20"/>
                <w:szCs w:val="20"/>
                <w:u w:val="none"/>
              </w:rPr>
            </w:pPr>
          </w:p>
        </w:tc>
        <w:tc>
          <w:tcPr>
            <w:tcW w:w="684" w:type="dxa"/>
            <w:tcBorders>
              <w:tl2br w:val="nil"/>
              <w:tr2bl w:val="nil"/>
            </w:tcBorders>
            <w:shd w:val="clear" w:color="auto" w:fill="auto"/>
            <w:vAlign w:val="center"/>
          </w:tcPr>
          <w:p w14:paraId="17A809A8">
            <w:pPr>
              <w:rPr>
                <w:rFonts w:hint="eastAsia" w:ascii="宋体" w:hAnsi="宋体" w:eastAsia="宋体" w:cs="宋体"/>
                <w:b/>
                <w:bCs/>
                <w:i w:val="0"/>
                <w:iCs w:val="0"/>
                <w:color w:val="000000"/>
                <w:sz w:val="20"/>
                <w:szCs w:val="20"/>
                <w:u w:val="none"/>
              </w:rPr>
            </w:pPr>
          </w:p>
        </w:tc>
        <w:tc>
          <w:tcPr>
            <w:tcW w:w="660" w:type="dxa"/>
            <w:tcBorders>
              <w:tl2br w:val="nil"/>
              <w:tr2bl w:val="nil"/>
            </w:tcBorders>
            <w:shd w:val="clear" w:color="auto" w:fill="auto"/>
            <w:vAlign w:val="center"/>
          </w:tcPr>
          <w:p w14:paraId="001945A2">
            <w:pPr>
              <w:jc w:val="center"/>
              <w:rPr>
                <w:rFonts w:hint="eastAsia" w:ascii="宋体" w:hAnsi="宋体" w:eastAsia="宋体" w:cs="宋体"/>
                <w:i w:val="0"/>
                <w:iCs w:val="0"/>
                <w:color w:val="000000"/>
                <w:sz w:val="20"/>
                <w:szCs w:val="20"/>
                <w:u w:val="none"/>
              </w:rPr>
            </w:pPr>
          </w:p>
        </w:tc>
        <w:tc>
          <w:tcPr>
            <w:tcW w:w="709" w:type="dxa"/>
            <w:tcBorders>
              <w:tl2br w:val="nil"/>
              <w:tr2bl w:val="nil"/>
            </w:tcBorders>
            <w:shd w:val="clear" w:color="auto" w:fill="auto"/>
            <w:vAlign w:val="center"/>
          </w:tcPr>
          <w:p w14:paraId="2CB7BF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848" w:type="dxa"/>
            <w:tcBorders>
              <w:tl2br w:val="nil"/>
              <w:tr2bl w:val="nil"/>
            </w:tcBorders>
            <w:shd w:val="clear" w:color="auto" w:fill="auto"/>
            <w:vAlign w:val="center"/>
          </w:tcPr>
          <w:p w14:paraId="6B7FC953">
            <w:pPr>
              <w:jc w:val="center"/>
              <w:rPr>
                <w:rFonts w:hint="eastAsia" w:ascii="宋体" w:hAnsi="宋体" w:eastAsia="宋体" w:cs="宋体"/>
                <w:i w:val="0"/>
                <w:iCs w:val="0"/>
                <w:color w:val="000000"/>
                <w:sz w:val="20"/>
                <w:szCs w:val="20"/>
                <w:u w:val="none"/>
              </w:rPr>
            </w:pPr>
          </w:p>
        </w:tc>
        <w:tc>
          <w:tcPr>
            <w:tcW w:w="1224" w:type="dxa"/>
            <w:tcBorders>
              <w:tl2br w:val="nil"/>
              <w:tr2bl w:val="nil"/>
            </w:tcBorders>
            <w:shd w:val="clear" w:color="auto" w:fill="auto"/>
            <w:vAlign w:val="center"/>
          </w:tcPr>
          <w:p w14:paraId="3C09D6B8">
            <w:pPr>
              <w:rPr>
                <w:rFonts w:hint="eastAsia" w:ascii="宋体" w:hAnsi="宋体" w:eastAsia="宋体" w:cs="宋体"/>
                <w:i w:val="0"/>
                <w:iCs w:val="0"/>
                <w:color w:val="000000"/>
                <w:sz w:val="20"/>
                <w:szCs w:val="20"/>
                <w:u w:val="none"/>
              </w:rPr>
            </w:pPr>
          </w:p>
        </w:tc>
        <w:tc>
          <w:tcPr>
            <w:tcW w:w="1173" w:type="dxa"/>
            <w:tcBorders>
              <w:tl2br w:val="nil"/>
              <w:tr2bl w:val="nil"/>
            </w:tcBorders>
            <w:shd w:val="clear" w:color="auto" w:fill="auto"/>
            <w:vAlign w:val="center"/>
          </w:tcPr>
          <w:p w14:paraId="4229F568">
            <w:pPr>
              <w:rPr>
                <w:rFonts w:hint="eastAsia" w:ascii="宋体" w:hAnsi="宋体" w:eastAsia="宋体" w:cs="宋体"/>
                <w:i w:val="0"/>
                <w:iCs w:val="0"/>
                <w:color w:val="000000"/>
                <w:sz w:val="20"/>
                <w:szCs w:val="20"/>
                <w:u w:val="none"/>
              </w:rPr>
            </w:pPr>
          </w:p>
        </w:tc>
        <w:tc>
          <w:tcPr>
            <w:tcW w:w="1298" w:type="dxa"/>
            <w:tcBorders>
              <w:tl2br w:val="nil"/>
              <w:tr2bl w:val="nil"/>
            </w:tcBorders>
            <w:shd w:val="clear" w:color="auto" w:fill="auto"/>
            <w:vAlign w:val="center"/>
          </w:tcPr>
          <w:p w14:paraId="63D6C210">
            <w:pPr>
              <w:rPr>
                <w:rFonts w:hint="eastAsia" w:ascii="宋体" w:hAnsi="宋体" w:eastAsia="宋体" w:cs="宋体"/>
                <w:i w:val="0"/>
                <w:iCs w:val="0"/>
                <w:color w:val="000000"/>
                <w:sz w:val="20"/>
                <w:szCs w:val="20"/>
                <w:u w:val="none"/>
              </w:rPr>
            </w:pPr>
          </w:p>
        </w:tc>
        <w:tc>
          <w:tcPr>
            <w:tcW w:w="1464" w:type="dxa"/>
            <w:tcBorders>
              <w:tl2br w:val="nil"/>
              <w:tr2bl w:val="nil"/>
            </w:tcBorders>
            <w:shd w:val="clear" w:color="auto" w:fill="auto"/>
            <w:vAlign w:val="center"/>
          </w:tcPr>
          <w:p w14:paraId="67E6F3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4" w:type="dxa"/>
            <w:tcBorders>
              <w:tl2br w:val="nil"/>
              <w:tr2bl w:val="nil"/>
            </w:tcBorders>
            <w:shd w:val="clear" w:color="auto" w:fill="auto"/>
            <w:vAlign w:val="center"/>
          </w:tcPr>
          <w:p w14:paraId="1D1C02D4">
            <w:pPr>
              <w:rPr>
                <w:rFonts w:hint="eastAsia" w:ascii="宋体" w:hAnsi="宋体" w:eastAsia="宋体" w:cs="宋体"/>
                <w:i w:val="0"/>
                <w:iCs w:val="0"/>
                <w:color w:val="000000"/>
                <w:sz w:val="20"/>
                <w:szCs w:val="20"/>
                <w:u w:val="none"/>
              </w:rPr>
            </w:pPr>
          </w:p>
        </w:tc>
      </w:tr>
    </w:tbl>
    <w:p w14:paraId="4D8A18C2">
      <w:pPr>
        <w:keepNext w:val="0"/>
        <w:keepLines w:val="0"/>
        <w:widowControl w:val="0"/>
        <w:suppressLineNumbers w:val="0"/>
        <w:spacing w:before="0" w:beforeAutospacing="0" w:after="0" w:afterAutospacing="0" w:line="360" w:lineRule="auto"/>
        <w:ind w:right="0"/>
        <w:jc w:val="both"/>
        <w:rPr>
          <w:rFonts w:hint="eastAsia" w:ascii="宋体" w:hAnsi="宋体" w:eastAsia="宋体" w:cs="宋体"/>
          <w:b/>
          <w:color w:val="000000"/>
          <w:kern w:val="44"/>
          <w:sz w:val="32"/>
          <w:szCs w:val="32"/>
        </w:rPr>
        <w:sectPr>
          <w:pgSz w:w="16838" w:h="11906" w:orient="landscape"/>
          <w:pgMar w:top="1800" w:right="1440" w:bottom="1800" w:left="1440" w:header="737" w:footer="851" w:gutter="0"/>
          <w:pgBorders>
            <w:top w:val="none" w:sz="0" w:space="0"/>
            <w:left w:val="none" w:sz="0" w:space="0"/>
            <w:bottom w:val="none" w:sz="0" w:space="0"/>
            <w:right w:val="none" w:sz="0" w:space="0"/>
          </w:pgBorders>
          <w:cols w:space="425" w:num="1"/>
          <w:docGrid w:type="lines" w:linePitch="408" w:charSpace="0"/>
        </w:sectPr>
      </w:pPr>
      <w:r>
        <w:rPr>
          <w:rFonts w:hint="eastAsia" w:ascii="宋体" w:hAnsi="宋体" w:eastAsia="宋体" w:cs="宋体"/>
          <w:b/>
          <w:color w:val="000000"/>
          <w:kern w:val="44"/>
          <w:sz w:val="32"/>
          <w:szCs w:val="32"/>
        </w:rPr>
        <w:br w:type="page"/>
      </w:r>
    </w:p>
    <w:p w14:paraId="0CDE344D">
      <w:pPr>
        <w:pStyle w:val="2"/>
        <w:widowControl/>
        <w:autoSpaceDE w:val="0"/>
        <w:autoSpaceDN/>
        <w:spacing w:beforeLines="0" w:beforeAutospacing="0" w:afterLines="0" w:afterAutospacing="0" w:line="360" w:lineRule="auto"/>
        <w:rPr>
          <w:rFonts w:hint="eastAsia" w:ascii="宋体" w:hAnsi="宋体" w:eastAsia="宋体" w:cs="宋体"/>
          <w:b/>
          <w:color w:val="000000"/>
          <w:kern w:val="44"/>
          <w:sz w:val="32"/>
          <w:szCs w:val="32"/>
        </w:rPr>
      </w:pPr>
      <w:bookmarkStart w:id="83" w:name="_Toc15067"/>
      <w:r>
        <w:rPr>
          <w:rFonts w:hint="eastAsia" w:ascii="宋体" w:hAnsi="宋体" w:eastAsia="宋体" w:cs="宋体"/>
          <w:b/>
          <w:color w:val="000000"/>
          <w:kern w:val="44"/>
          <w:sz w:val="32"/>
          <w:szCs w:val="32"/>
        </w:rPr>
        <w:t>附件二、项目支出绩效评价指标体系打分表</w:t>
      </w:r>
      <w:bookmarkEnd w:id="83"/>
    </w:p>
    <w:tbl>
      <w:tblPr>
        <w:tblStyle w:val="8"/>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5F634D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jc w:val="center"/>
        </w:trPr>
        <w:tc>
          <w:tcPr>
            <w:tcW w:w="861" w:type="dxa"/>
            <w:tcBorders>
              <w:tl2br w:val="nil"/>
              <w:tr2bl w:val="nil"/>
            </w:tcBorders>
            <w:shd w:val="clear" w:color="auto" w:fill="auto"/>
            <w:vAlign w:val="center"/>
          </w:tcPr>
          <w:p w14:paraId="2466338D">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b/>
                <w:color w:val="auto"/>
                <w:kern w:val="0"/>
                <w:sz w:val="22"/>
                <w:szCs w:val="22"/>
                <w:highlight w:val="none"/>
              </w:rPr>
            </w:pPr>
            <w:r>
              <w:rPr>
                <w:rFonts w:hint="eastAsia" w:ascii="宋体" w:hAnsi="宋体" w:eastAsia="宋体" w:cs="宋体"/>
                <w:b/>
                <w:color w:val="auto"/>
                <w:kern w:val="0"/>
                <w:sz w:val="22"/>
                <w:szCs w:val="22"/>
                <w:highlight w:val="none"/>
                <w:lang w:val="en-US" w:eastAsia="zh-CN" w:bidi="ar"/>
              </w:rPr>
              <w:t>一级指标</w:t>
            </w:r>
          </w:p>
        </w:tc>
        <w:tc>
          <w:tcPr>
            <w:tcW w:w="727" w:type="dxa"/>
            <w:tcBorders>
              <w:tl2br w:val="nil"/>
              <w:tr2bl w:val="nil"/>
            </w:tcBorders>
            <w:shd w:val="clear" w:color="auto" w:fill="auto"/>
            <w:vAlign w:val="center"/>
          </w:tcPr>
          <w:p w14:paraId="7D0A4492">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b/>
                <w:color w:val="auto"/>
                <w:kern w:val="0"/>
                <w:sz w:val="22"/>
                <w:szCs w:val="22"/>
                <w:highlight w:val="none"/>
              </w:rPr>
            </w:pPr>
            <w:r>
              <w:rPr>
                <w:rFonts w:hint="eastAsia" w:ascii="宋体" w:hAnsi="宋体" w:eastAsia="宋体" w:cs="宋体"/>
                <w:b/>
                <w:color w:val="auto"/>
                <w:kern w:val="0"/>
                <w:sz w:val="22"/>
                <w:szCs w:val="22"/>
                <w:highlight w:val="none"/>
                <w:lang w:val="en-US" w:eastAsia="zh-CN" w:bidi="ar"/>
              </w:rPr>
              <w:t>二级指标</w:t>
            </w:r>
          </w:p>
        </w:tc>
        <w:tc>
          <w:tcPr>
            <w:tcW w:w="820" w:type="dxa"/>
            <w:tcBorders>
              <w:tl2br w:val="nil"/>
              <w:tr2bl w:val="nil"/>
            </w:tcBorders>
            <w:shd w:val="clear" w:color="auto" w:fill="auto"/>
            <w:vAlign w:val="center"/>
          </w:tcPr>
          <w:p w14:paraId="7DE3D57A">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b/>
                <w:color w:val="auto"/>
                <w:kern w:val="0"/>
                <w:sz w:val="22"/>
                <w:szCs w:val="22"/>
                <w:highlight w:val="none"/>
              </w:rPr>
            </w:pPr>
            <w:r>
              <w:rPr>
                <w:rFonts w:hint="eastAsia" w:ascii="宋体" w:hAnsi="宋体" w:eastAsia="宋体" w:cs="宋体"/>
                <w:b/>
                <w:color w:val="auto"/>
                <w:kern w:val="0"/>
                <w:sz w:val="22"/>
                <w:szCs w:val="22"/>
                <w:highlight w:val="none"/>
                <w:lang w:val="en-US" w:eastAsia="zh-CN" w:bidi="ar"/>
              </w:rPr>
              <w:t>三级指标</w:t>
            </w:r>
          </w:p>
        </w:tc>
        <w:tc>
          <w:tcPr>
            <w:tcW w:w="2141" w:type="dxa"/>
            <w:tcBorders>
              <w:tl2br w:val="nil"/>
              <w:tr2bl w:val="nil"/>
            </w:tcBorders>
            <w:shd w:val="clear" w:color="auto" w:fill="auto"/>
            <w:vAlign w:val="center"/>
          </w:tcPr>
          <w:p w14:paraId="6722A95C">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b/>
                <w:color w:val="auto"/>
                <w:kern w:val="0"/>
                <w:sz w:val="22"/>
                <w:szCs w:val="22"/>
                <w:highlight w:val="none"/>
              </w:rPr>
            </w:pPr>
            <w:r>
              <w:rPr>
                <w:rFonts w:hint="eastAsia" w:ascii="宋体" w:hAnsi="宋体" w:eastAsia="宋体" w:cs="宋体"/>
                <w:b/>
                <w:color w:val="auto"/>
                <w:kern w:val="0"/>
                <w:sz w:val="22"/>
                <w:szCs w:val="22"/>
                <w:highlight w:val="none"/>
                <w:lang w:val="en-US" w:eastAsia="zh-CN" w:bidi="ar"/>
              </w:rPr>
              <w:t>指标解释</w:t>
            </w:r>
          </w:p>
        </w:tc>
        <w:tc>
          <w:tcPr>
            <w:tcW w:w="7821" w:type="dxa"/>
            <w:tcBorders>
              <w:tl2br w:val="nil"/>
              <w:tr2bl w:val="nil"/>
            </w:tcBorders>
            <w:shd w:val="clear" w:color="auto" w:fill="auto"/>
            <w:vAlign w:val="center"/>
          </w:tcPr>
          <w:p w14:paraId="58B3B20C">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b/>
                <w:color w:val="auto"/>
                <w:kern w:val="0"/>
                <w:sz w:val="22"/>
                <w:szCs w:val="22"/>
                <w:highlight w:val="none"/>
              </w:rPr>
            </w:pPr>
            <w:r>
              <w:rPr>
                <w:rFonts w:hint="eastAsia" w:ascii="宋体" w:hAnsi="宋体" w:eastAsia="宋体" w:cs="宋体"/>
                <w:b/>
                <w:color w:val="auto"/>
                <w:kern w:val="0"/>
                <w:sz w:val="22"/>
                <w:szCs w:val="22"/>
                <w:highlight w:val="none"/>
                <w:lang w:val="en-US" w:eastAsia="zh-CN" w:bidi="ar"/>
              </w:rPr>
              <w:t>指标说明</w:t>
            </w:r>
          </w:p>
        </w:tc>
        <w:tc>
          <w:tcPr>
            <w:tcW w:w="785" w:type="dxa"/>
            <w:tcBorders>
              <w:tl2br w:val="nil"/>
              <w:tr2bl w:val="nil"/>
            </w:tcBorders>
            <w:shd w:val="clear" w:color="auto" w:fill="auto"/>
            <w:vAlign w:val="center"/>
          </w:tcPr>
          <w:p w14:paraId="7814A084">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b/>
                <w:color w:val="auto"/>
                <w:kern w:val="0"/>
                <w:sz w:val="22"/>
                <w:szCs w:val="22"/>
                <w:highlight w:val="none"/>
              </w:rPr>
            </w:pPr>
            <w:r>
              <w:rPr>
                <w:rFonts w:hint="eastAsia" w:ascii="宋体" w:hAnsi="宋体" w:eastAsia="宋体" w:cs="宋体"/>
                <w:b/>
                <w:color w:val="auto"/>
                <w:kern w:val="0"/>
                <w:sz w:val="22"/>
                <w:szCs w:val="22"/>
                <w:highlight w:val="none"/>
                <w:lang w:val="en-US" w:eastAsia="zh-CN" w:bidi="ar"/>
              </w:rPr>
              <w:t>分值</w:t>
            </w:r>
          </w:p>
        </w:tc>
        <w:tc>
          <w:tcPr>
            <w:tcW w:w="769" w:type="dxa"/>
            <w:tcBorders>
              <w:tl2br w:val="nil"/>
              <w:tr2bl w:val="nil"/>
            </w:tcBorders>
            <w:shd w:val="clear" w:color="auto" w:fill="auto"/>
            <w:vAlign w:val="center"/>
          </w:tcPr>
          <w:p w14:paraId="0CF740A7">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b/>
                <w:color w:val="auto"/>
                <w:kern w:val="0"/>
                <w:sz w:val="22"/>
                <w:szCs w:val="22"/>
                <w:highlight w:val="none"/>
              </w:rPr>
            </w:pPr>
            <w:r>
              <w:rPr>
                <w:rFonts w:hint="eastAsia" w:ascii="宋体" w:hAnsi="宋体" w:eastAsia="宋体" w:cs="宋体"/>
                <w:b/>
                <w:color w:val="auto"/>
                <w:kern w:val="0"/>
                <w:sz w:val="22"/>
                <w:szCs w:val="22"/>
                <w:highlight w:val="none"/>
                <w:lang w:val="en-US" w:eastAsia="zh-CN" w:bidi="ar"/>
              </w:rPr>
              <w:t>得分</w:t>
            </w:r>
          </w:p>
        </w:tc>
      </w:tr>
      <w:tr w14:paraId="7F63D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878" w:hRule="atLeast"/>
          <w:jc w:val="center"/>
        </w:trPr>
        <w:tc>
          <w:tcPr>
            <w:tcW w:w="861" w:type="dxa"/>
            <w:vMerge w:val="restart"/>
            <w:tcBorders>
              <w:tl2br w:val="nil"/>
              <w:tr2bl w:val="nil"/>
            </w:tcBorders>
            <w:shd w:val="clear" w:color="auto" w:fill="auto"/>
            <w:vAlign w:val="center"/>
          </w:tcPr>
          <w:p w14:paraId="499ED278">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决策　</w:t>
            </w:r>
          </w:p>
          <w:p w14:paraId="2E7E6A7C">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　</w:t>
            </w:r>
          </w:p>
          <w:p w14:paraId="13085933">
            <w:pPr>
              <w:keepNext w:val="0"/>
              <w:keepLines w:val="0"/>
              <w:widowControl w:val="0"/>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　</w:t>
            </w:r>
          </w:p>
        </w:tc>
        <w:tc>
          <w:tcPr>
            <w:tcW w:w="727" w:type="dxa"/>
            <w:vMerge w:val="restart"/>
            <w:tcBorders>
              <w:tl2br w:val="nil"/>
              <w:tr2bl w:val="nil"/>
            </w:tcBorders>
            <w:shd w:val="clear" w:color="auto" w:fill="auto"/>
            <w:vAlign w:val="center"/>
          </w:tcPr>
          <w:p w14:paraId="1D37ED83">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项目立项　</w:t>
            </w:r>
          </w:p>
        </w:tc>
        <w:tc>
          <w:tcPr>
            <w:tcW w:w="820" w:type="dxa"/>
            <w:tcBorders>
              <w:tl2br w:val="nil"/>
              <w:tr2bl w:val="nil"/>
            </w:tcBorders>
            <w:shd w:val="clear" w:color="auto" w:fill="auto"/>
            <w:vAlign w:val="center"/>
          </w:tcPr>
          <w:p w14:paraId="3334BD71">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立项依据</w:t>
            </w:r>
          </w:p>
          <w:p w14:paraId="0EDCBF36">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充分性</w:t>
            </w:r>
          </w:p>
        </w:tc>
        <w:tc>
          <w:tcPr>
            <w:tcW w:w="2141" w:type="dxa"/>
            <w:tcBorders>
              <w:tl2br w:val="nil"/>
              <w:tr2bl w:val="nil"/>
            </w:tcBorders>
            <w:shd w:val="clear" w:color="auto" w:fill="auto"/>
            <w:vAlign w:val="center"/>
          </w:tcPr>
          <w:p w14:paraId="74B3F7F9">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项目立项是否符合法律法规、相关政策、发展规划以及部门职责，用以反映和考核项目立项依据情况。</w:t>
            </w:r>
          </w:p>
        </w:tc>
        <w:tc>
          <w:tcPr>
            <w:tcW w:w="7821" w:type="dxa"/>
            <w:tcBorders>
              <w:tl2br w:val="nil"/>
              <w:tr2bl w:val="nil"/>
            </w:tcBorders>
            <w:shd w:val="clear" w:color="auto" w:fill="auto"/>
            <w:vAlign w:val="center"/>
          </w:tcPr>
          <w:p w14:paraId="4A9BE9E4">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评价要点：</w:t>
            </w:r>
          </w:p>
          <w:p w14:paraId="15389011">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①项目立项是否符合国家法律法规、国民经济发展规划和相关政策；</w:t>
            </w:r>
          </w:p>
          <w:p w14:paraId="4ECD48A4">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②项目立项是否符合行业发展规划和政策要求；</w:t>
            </w:r>
          </w:p>
          <w:p w14:paraId="2557CD4B">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③项目立项是否与部门职责范围相符，属于部门履职所需；</w:t>
            </w:r>
          </w:p>
          <w:p w14:paraId="5ECEC989">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④项目是否属于公共财政支持范围，是否符合中央、地方事权支出责任划分原则；</w:t>
            </w:r>
          </w:p>
          <w:p w14:paraId="5C703EC1">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⑤项目是否与相关部门同类项目或部门内部相关项目重复。</w:t>
            </w:r>
          </w:p>
        </w:tc>
        <w:tc>
          <w:tcPr>
            <w:tcW w:w="785" w:type="dxa"/>
            <w:tcBorders>
              <w:tl2br w:val="nil"/>
              <w:tr2bl w:val="nil"/>
            </w:tcBorders>
            <w:shd w:val="clear" w:color="auto" w:fill="auto"/>
            <w:vAlign w:val="center"/>
          </w:tcPr>
          <w:p w14:paraId="0768B0A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2</w:t>
            </w:r>
          </w:p>
        </w:tc>
        <w:tc>
          <w:tcPr>
            <w:tcW w:w="769" w:type="dxa"/>
            <w:tcBorders>
              <w:tl2br w:val="nil"/>
              <w:tr2bl w:val="nil"/>
            </w:tcBorders>
            <w:shd w:val="clear" w:color="auto" w:fill="auto"/>
            <w:vAlign w:val="center"/>
          </w:tcPr>
          <w:p w14:paraId="7C9A282C">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w:t>
            </w:r>
          </w:p>
        </w:tc>
      </w:tr>
      <w:tr w14:paraId="34FA92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20" w:hRule="atLeast"/>
          <w:jc w:val="center"/>
        </w:trPr>
        <w:tc>
          <w:tcPr>
            <w:tcW w:w="861" w:type="dxa"/>
            <w:vMerge w:val="continue"/>
            <w:tcBorders>
              <w:tl2br w:val="nil"/>
              <w:tr2bl w:val="nil"/>
            </w:tcBorders>
            <w:shd w:val="clear" w:color="auto" w:fill="FFFFFF"/>
            <w:vAlign w:val="center"/>
          </w:tcPr>
          <w:p w14:paraId="4967AEF8">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vMerge w:val="continue"/>
            <w:tcBorders>
              <w:tl2br w:val="nil"/>
              <w:tr2bl w:val="nil"/>
            </w:tcBorders>
            <w:shd w:val="clear" w:color="auto" w:fill="FFFFFF"/>
            <w:vAlign w:val="center"/>
          </w:tcPr>
          <w:p w14:paraId="645ED947">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820" w:type="dxa"/>
            <w:tcBorders>
              <w:tl2br w:val="nil"/>
              <w:tr2bl w:val="nil"/>
            </w:tcBorders>
            <w:shd w:val="clear" w:color="auto" w:fill="auto"/>
            <w:vAlign w:val="center"/>
          </w:tcPr>
          <w:p w14:paraId="08FCE570">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立项程序</w:t>
            </w:r>
          </w:p>
          <w:p w14:paraId="4E55AFE6">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规范性</w:t>
            </w:r>
          </w:p>
        </w:tc>
        <w:tc>
          <w:tcPr>
            <w:tcW w:w="2141" w:type="dxa"/>
            <w:tcBorders>
              <w:tl2br w:val="nil"/>
              <w:tr2bl w:val="nil"/>
            </w:tcBorders>
            <w:shd w:val="clear" w:color="auto" w:fill="auto"/>
            <w:vAlign w:val="center"/>
          </w:tcPr>
          <w:p w14:paraId="66FA6792">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项目申请、设立过程是否符合相关要求，用以反映和考核项目立项的规范情况。</w:t>
            </w:r>
          </w:p>
        </w:tc>
        <w:tc>
          <w:tcPr>
            <w:tcW w:w="7821" w:type="dxa"/>
            <w:tcBorders>
              <w:tl2br w:val="nil"/>
              <w:tr2bl w:val="nil"/>
            </w:tcBorders>
            <w:shd w:val="clear" w:color="auto" w:fill="auto"/>
            <w:vAlign w:val="center"/>
          </w:tcPr>
          <w:p w14:paraId="776597C4">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评价要点：</w:t>
            </w:r>
          </w:p>
          <w:p w14:paraId="359CE6D9">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①项目是否按照规定的程序申请设立；</w:t>
            </w:r>
          </w:p>
          <w:p w14:paraId="2D54B2C3">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②审批文件、材料是否符合相关要求；</w:t>
            </w:r>
          </w:p>
          <w:p w14:paraId="1BA6BA36">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③事前是否已经过必要的可行性研究、专家论证、风险评估、绩效评估、集体决策。</w:t>
            </w:r>
          </w:p>
        </w:tc>
        <w:tc>
          <w:tcPr>
            <w:tcW w:w="785" w:type="dxa"/>
            <w:tcBorders>
              <w:tl2br w:val="nil"/>
              <w:tr2bl w:val="nil"/>
            </w:tcBorders>
            <w:shd w:val="clear" w:color="auto" w:fill="auto"/>
            <w:vAlign w:val="center"/>
          </w:tcPr>
          <w:p w14:paraId="7466EE80">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3</w:t>
            </w:r>
          </w:p>
        </w:tc>
        <w:tc>
          <w:tcPr>
            <w:tcW w:w="769" w:type="dxa"/>
            <w:tcBorders>
              <w:tl2br w:val="nil"/>
              <w:tr2bl w:val="nil"/>
            </w:tcBorders>
            <w:shd w:val="clear" w:color="auto" w:fill="auto"/>
            <w:vAlign w:val="center"/>
          </w:tcPr>
          <w:p w14:paraId="2D068134">
            <w:pPr>
              <w:keepNext w:val="0"/>
              <w:keepLines w:val="0"/>
              <w:widowControl/>
              <w:suppressLineNumbers w:val="0"/>
              <w:spacing w:before="0" w:beforeAutospacing="0" w:after="0" w:afterAutospacing="0" w:line="0" w:lineRule="atLeast"/>
              <w:ind w:left="0" w:right="0"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2.6</w:t>
            </w:r>
          </w:p>
        </w:tc>
      </w:tr>
      <w:tr w14:paraId="3189E5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tcBorders>
              <w:tl2br w:val="nil"/>
              <w:tr2bl w:val="nil"/>
            </w:tcBorders>
            <w:shd w:val="clear" w:color="auto" w:fill="auto"/>
            <w:vAlign w:val="center"/>
          </w:tcPr>
          <w:p w14:paraId="2AA328A4">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tcBorders>
              <w:tl2br w:val="nil"/>
              <w:tr2bl w:val="nil"/>
            </w:tcBorders>
            <w:shd w:val="clear" w:color="auto" w:fill="auto"/>
            <w:vAlign w:val="center"/>
          </w:tcPr>
          <w:p w14:paraId="7F0355C5">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绩效目标　</w:t>
            </w:r>
          </w:p>
        </w:tc>
        <w:tc>
          <w:tcPr>
            <w:tcW w:w="820" w:type="dxa"/>
            <w:tcBorders>
              <w:tl2br w:val="nil"/>
              <w:tr2bl w:val="nil"/>
            </w:tcBorders>
            <w:shd w:val="clear" w:color="auto" w:fill="auto"/>
            <w:vAlign w:val="center"/>
          </w:tcPr>
          <w:p w14:paraId="6E8C0873">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绩效目标</w:t>
            </w:r>
          </w:p>
          <w:p w14:paraId="36217407">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合理性</w:t>
            </w:r>
          </w:p>
        </w:tc>
        <w:tc>
          <w:tcPr>
            <w:tcW w:w="2141" w:type="dxa"/>
            <w:tcBorders>
              <w:tl2br w:val="nil"/>
              <w:tr2bl w:val="nil"/>
            </w:tcBorders>
            <w:shd w:val="clear" w:color="auto" w:fill="auto"/>
            <w:vAlign w:val="center"/>
          </w:tcPr>
          <w:p w14:paraId="6998580A">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项目所设定的绩效目标是否依据充分，是否符合客观实际，用以反映和考核项目绩效目标与项目实施的相符情况。</w:t>
            </w:r>
          </w:p>
        </w:tc>
        <w:tc>
          <w:tcPr>
            <w:tcW w:w="7821" w:type="dxa"/>
            <w:tcBorders>
              <w:tl2br w:val="nil"/>
              <w:tr2bl w:val="nil"/>
            </w:tcBorders>
            <w:shd w:val="clear" w:color="auto" w:fill="auto"/>
            <w:vAlign w:val="center"/>
          </w:tcPr>
          <w:p w14:paraId="6B74045F">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评价要点：</w:t>
            </w:r>
          </w:p>
          <w:p w14:paraId="572EA674">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（如未设定预算绩效目标，也可考核其他工作任务目标）</w:t>
            </w:r>
          </w:p>
          <w:p w14:paraId="1EC06BF0">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①项目是否有绩效目标；</w:t>
            </w:r>
          </w:p>
          <w:p w14:paraId="3284A249">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②项目绩效目标与实际工作内容是否具有相关性；</w:t>
            </w:r>
          </w:p>
          <w:p w14:paraId="7207A811">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③项目预期产出效益和效果是否符合正常的业绩水平；</w:t>
            </w:r>
          </w:p>
          <w:p w14:paraId="76A7EE82">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④是否与预算确定的项目投资额或资金量相匹配。</w:t>
            </w:r>
          </w:p>
        </w:tc>
        <w:tc>
          <w:tcPr>
            <w:tcW w:w="785" w:type="dxa"/>
            <w:tcBorders>
              <w:tl2br w:val="nil"/>
              <w:tr2bl w:val="nil"/>
            </w:tcBorders>
            <w:shd w:val="clear" w:color="auto" w:fill="auto"/>
            <w:vAlign w:val="center"/>
          </w:tcPr>
          <w:p w14:paraId="3F2CC2D3">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5</w:t>
            </w:r>
          </w:p>
        </w:tc>
        <w:tc>
          <w:tcPr>
            <w:tcW w:w="769" w:type="dxa"/>
            <w:tcBorders>
              <w:tl2br w:val="nil"/>
              <w:tr2bl w:val="nil"/>
            </w:tcBorders>
            <w:shd w:val="clear" w:color="auto" w:fill="auto"/>
            <w:vAlign w:val="center"/>
          </w:tcPr>
          <w:p w14:paraId="7AC554CD">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46685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4" w:hRule="atLeast"/>
          <w:jc w:val="center"/>
        </w:trPr>
        <w:tc>
          <w:tcPr>
            <w:tcW w:w="861" w:type="dxa"/>
            <w:vMerge w:val="restart"/>
            <w:tcBorders>
              <w:tl2br w:val="nil"/>
              <w:tr2bl w:val="nil"/>
            </w:tcBorders>
            <w:shd w:val="clear" w:color="auto" w:fill="auto"/>
            <w:vAlign w:val="center"/>
          </w:tcPr>
          <w:p w14:paraId="40C39844">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决策　</w:t>
            </w:r>
          </w:p>
        </w:tc>
        <w:tc>
          <w:tcPr>
            <w:tcW w:w="727" w:type="dxa"/>
            <w:tcBorders>
              <w:tl2br w:val="nil"/>
              <w:tr2bl w:val="nil"/>
            </w:tcBorders>
            <w:shd w:val="clear" w:color="auto" w:fill="auto"/>
            <w:vAlign w:val="center"/>
          </w:tcPr>
          <w:p w14:paraId="194F92CE">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绩效目标</w:t>
            </w:r>
          </w:p>
        </w:tc>
        <w:tc>
          <w:tcPr>
            <w:tcW w:w="820" w:type="dxa"/>
            <w:tcBorders>
              <w:tl2br w:val="nil"/>
              <w:tr2bl w:val="nil"/>
            </w:tcBorders>
            <w:shd w:val="clear" w:color="auto" w:fill="auto"/>
            <w:vAlign w:val="center"/>
          </w:tcPr>
          <w:p w14:paraId="359F1F57">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绩效指标</w:t>
            </w:r>
          </w:p>
          <w:p w14:paraId="7165DB7E">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明确性</w:t>
            </w:r>
          </w:p>
        </w:tc>
        <w:tc>
          <w:tcPr>
            <w:tcW w:w="2141" w:type="dxa"/>
            <w:tcBorders>
              <w:tl2br w:val="nil"/>
              <w:tr2bl w:val="nil"/>
            </w:tcBorders>
            <w:shd w:val="clear" w:color="auto" w:fill="auto"/>
            <w:vAlign w:val="center"/>
          </w:tcPr>
          <w:p w14:paraId="19659420">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依据绩效目标设定的绩效指标是否清晰、细化、可衡量等，用以反映和考核项目绩效目标的明细化情况。</w:t>
            </w:r>
          </w:p>
        </w:tc>
        <w:tc>
          <w:tcPr>
            <w:tcW w:w="7821" w:type="dxa"/>
            <w:tcBorders>
              <w:tl2br w:val="nil"/>
              <w:tr2bl w:val="nil"/>
            </w:tcBorders>
            <w:shd w:val="clear" w:color="auto" w:fill="auto"/>
            <w:vAlign w:val="center"/>
          </w:tcPr>
          <w:p w14:paraId="18783D94">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评价要点：</w:t>
            </w:r>
          </w:p>
          <w:p w14:paraId="04AAF289">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①是否将项目绩效目标细化分解为具体的绩效指标；</w:t>
            </w:r>
          </w:p>
          <w:p w14:paraId="316D11D8">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②是否通过清晰、可衡量的指标值予以体现；</w:t>
            </w:r>
          </w:p>
          <w:p w14:paraId="605DAFD1">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③是否与项目目标任务数或计划数相对应。</w:t>
            </w:r>
          </w:p>
          <w:p w14:paraId="09BAAFE3">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p>
        </w:tc>
        <w:tc>
          <w:tcPr>
            <w:tcW w:w="785" w:type="dxa"/>
            <w:tcBorders>
              <w:tl2br w:val="nil"/>
              <w:tr2bl w:val="nil"/>
            </w:tcBorders>
            <w:shd w:val="clear" w:color="auto" w:fill="auto"/>
            <w:vAlign w:val="center"/>
          </w:tcPr>
          <w:p w14:paraId="626C560B">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5</w:t>
            </w:r>
          </w:p>
        </w:tc>
        <w:tc>
          <w:tcPr>
            <w:tcW w:w="769" w:type="dxa"/>
            <w:tcBorders>
              <w:tl2br w:val="nil"/>
              <w:tr2bl w:val="nil"/>
            </w:tcBorders>
            <w:shd w:val="clear" w:color="auto" w:fill="auto"/>
            <w:vAlign w:val="center"/>
          </w:tcPr>
          <w:p w14:paraId="04076AE6">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w:t>
            </w:r>
          </w:p>
        </w:tc>
      </w:tr>
      <w:tr w14:paraId="6008D9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tcBorders>
              <w:tl2br w:val="nil"/>
              <w:tr2bl w:val="nil"/>
            </w:tcBorders>
            <w:shd w:val="clear" w:color="auto" w:fill="FFFFFF"/>
            <w:vAlign w:val="center"/>
          </w:tcPr>
          <w:p w14:paraId="0E9D6C94">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vMerge w:val="restart"/>
            <w:tcBorders>
              <w:tl2br w:val="nil"/>
              <w:tr2bl w:val="nil"/>
            </w:tcBorders>
            <w:shd w:val="clear" w:color="auto" w:fill="auto"/>
            <w:vAlign w:val="center"/>
          </w:tcPr>
          <w:p w14:paraId="2E3321F8">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资金投入</w:t>
            </w:r>
          </w:p>
          <w:p w14:paraId="4E93D572">
            <w:pPr>
              <w:keepNext w:val="0"/>
              <w:keepLines w:val="0"/>
              <w:widowControl w:val="0"/>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　</w:t>
            </w:r>
          </w:p>
        </w:tc>
        <w:tc>
          <w:tcPr>
            <w:tcW w:w="820" w:type="dxa"/>
            <w:tcBorders>
              <w:tl2br w:val="nil"/>
              <w:tr2bl w:val="nil"/>
            </w:tcBorders>
            <w:shd w:val="clear" w:color="auto" w:fill="auto"/>
            <w:vAlign w:val="center"/>
          </w:tcPr>
          <w:p w14:paraId="3F3B4377">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预算编制</w:t>
            </w:r>
          </w:p>
          <w:p w14:paraId="7CF67F34">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科学性</w:t>
            </w:r>
          </w:p>
        </w:tc>
        <w:tc>
          <w:tcPr>
            <w:tcW w:w="2141" w:type="dxa"/>
            <w:tcBorders>
              <w:tl2br w:val="nil"/>
              <w:tr2bl w:val="nil"/>
            </w:tcBorders>
            <w:shd w:val="clear" w:color="auto" w:fill="auto"/>
            <w:vAlign w:val="center"/>
          </w:tcPr>
          <w:p w14:paraId="73E88CCF">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项目预算编制是否经过科学论证、有明确标准，资金额度与年度目标是否相适应，用以反映和考核项目预算编制的科学性、合理性情况。</w:t>
            </w:r>
          </w:p>
        </w:tc>
        <w:tc>
          <w:tcPr>
            <w:tcW w:w="7821" w:type="dxa"/>
            <w:tcBorders>
              <w:tl2br w:val="nil"/>
              <w:tr2bl w:val="nil"/>
            </w:tcBorders>
            <w:shd w:val="clear" w:color="auto" w:fill="auto"/>
            <w:vAlign w:val="center"/>
          </w:tcPr>
          <w:p w14:paraId="40AB5F81">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评价要点：</w:t>
            </w:r>
          </w:p>
          <w:p w14:paraId="4FE4C21E">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①预算编制是否经过科学论证；</w:t>
            </w:r>
          </w:p>
          <w:p w14:paraId="0B25D7B5">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②预算内容与项目内容是否匹配；</w:t>
            </w:r>
          </w:p>
          <w:p w14:paraId="454B1D0E">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③预算额度测算依据是否充分，是否按照标准编制；</w:t>
            </w:r>
          </w:p>
          <w:p w14:paraId="21C7D2E0">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④预算确定的项目投资额或资金量是否与工作任务相匹配。</w:t>
            </w:r>
          </w:p>
        </w:tc>
        <w:tc>
          <w:tcPr>
            <w:tcW w:w="785" w:type="dxa"/>
            <w:tcBorders>
              <w:tl2br w:val="nil"/>
              <w:tr2bl w:val="nil"/>
            </w:tcBorders>
            <w:shd w:val="clear" w:color="auto" w:fill="auto"/>
            <w:vAlign w:val="center"/>
          </w:tcPr>
          <w:p w14:paraId="5195E46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2</w:t>
            </w:r>
          </w:p>
        </w:tc>
        <w:tc>
          <w:tcPr>
            <w:tcW w:w="769" w:type="dxa"/>
            <w:tcBorders>
              <w:tl2br w:val="nil"/>
              <w:tr2bl w:val="nil"/>
            </w:tcBorders>
            <w:shd w:val="clear" w:color="auto" w:fill="auto"/>
            <w:vAlign w:val="center"/>
          </w:tcPr>
          <w:p w14:paraId="6ED4E0B0">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w:t>
            </w:r>
          </w:p>
        </w:tc>
      </w:tr>
      <w:tr w14:paraId="7411BE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tcBorders>
              <w:tl2br w:val="nil"/>
              <w:tr2bl w:val="nil"/>
            </w:tcBorders>
            <w:shd w:val="clear" w:color="auto" w:fill="FFFFFF"/>
            <w:vAlign w:val="center"/>
          </w:tcPr>
          <w:p w14:paraId="277B66A8">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vMerge w:val="continue"/>
            <w:tcBorders>
              <w:tl2br w:val="nil"/>
              <w:tr2bl w:val="nil"/>
            </w:tcBorders>
            <w:shd w:val="clear" w:color="auto" w:fill="auto"/>
            <w:vAlign w:val="center"/>
          </w:tcPr>
          <w:p w14:paraId="6E58F63D">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820" w:type="dxa"/>
            <w:tcBorders>
              <w:tl2br w:val="nil"/>
              <w:tr2bl w:val="nil"/>
            </w:tcBorders>
            <w:shd w:val="clear" w:color="auto" w:fill="auto"/>
            <w:vAlign w:val="center"/>
          </w:tcPr>
          <w:p w14:paraId="41A8379B">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资金分配</w:t>
            </w:r>
          </w:p>
          <w:p w14:paraId="2C3DF1E6">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合理性</w:t>
            </w:r>
          </w:p>
        </w:tc>
        <w:tc>
          <w:tcPr>
            <w:tcW w:w="2141" w:type="dxa"/>
            <w:tcBorders>
              <w:tl2br w:val="nil"/>
              <w:tr2bl w:val="nil"/>
            </w:tcBorders>
            <w:shd w:val="clear" w:color="auto" w:fill="auto"/>
            <w:vAlign w:val="center"/>
          </w:tcPr>
          <w:p w14:paraId="7C5293E6">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项目预算资金分配是否有测算依据，与补助单位或地方实际是否相适应，用以反映和考核项目预算资金分配的科学性、合理性情况。</w:t>
            </w:r>
          </w:p>
        </w:tc>
        <w:tc>
          <w:tcPr>
            <w:tcW w:w="7821" w:type="dxa"/>
            <w:tcBorders>
              <w:tl2br w:val="nil"/>
              <w:tr2bl w:val="nil"/>
            </w:tcBorders>
            <w:shd w:val="clear" w:color="auto" w:fill="auto"/>
            <w:vAlign w:val="center"/>
          </w:tcPr>
          <w:p w14:paraId="1DBAF27F">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评价要点：</w:t>
            </w:r>
          </w:p>
          <w:p w14:paraId="32BC745E">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①预算资金分配依据是否充分；</w:t>
            </w:r>
          </w:p>
          <w:p w14:paraId="09B2E576">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②资金分配额度是否合理，与项目单位或地方实际是否相适应。</w:t>
            </w:r>
          </w:p>
        </w:tc>
        <w:tc>
          <w:tcPr>
            <w:tcW w:w="785" w:type="dxa"/>
            <w:tcBorders>
              <w:tl2br w:val="nil"/>
              <w:tr2bl w:val="nil"/>
            </w:tcBorders>
            <w:shd w:val="clear" w:color="auto" w:fill="auto"/>
            <w:vAlign w:val="center"/>
          </w:tcPr>
          <w:p w14:paraId="2A429CB2">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3</w:t>
            </w:r>
          </w:p>
        </w:tc>
        <w:tc>
          <w:tcPr>
            <w:tcW w:w="769" w:type="dxa"/>
            <w:tcBorders>
              <w:tl2br w:val="nil"/>
              <w:tr2bl w:val="nil"/>
            </w:tcBorders>
            <w:shd w:val="clear" w:color="auto" w:fill="auto"/>
            <w:vAlign w:val="center"/>
          </w:tcPr>
          <w:p w14:paraId="2AA3E383">
            <w:pPr>
              <w:keepNext w:val="0"/>
              <w:keepLines w:val="0"/>
              <w:widowControl/>
              <w:suppressLineNumbers w:val="0"/>
              <w:spacing w:before="0" w:beforeAutospacing="0" w:after="0" w:afterAutospacing="0" w:line="0" w:lineRule="atLeast"/>
              <w:ind w:left="0" w:right="0"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3</w:t>
            </w:r>
          </w:p>
        </w:tc>
      </w:tr>
      <w:tr w14:paraId="381AFE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tcBorders>
              <w:tl2br w:val="nil"/>
              <w:tr2bl w:val="nil"/>
            </w:tcBorders>
            <w:shd w:val="clear" w:color="auto" w:fill="auto"/>
            <w:vAlign w:val="center"/>
          </w:tcPr>
          <w:p w14:paraId="1793B31B">
            <w:pPr>
              <w:keepNext w:val="0"/>
              <w:keepLines w:val="0"/>
              <w:widowControl w:val="0"/>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过程</w:t>
            </w:r>
          </w:p>
        </w:tc>
        <w:tc>
          <w:tcPr>
            <w:tcW w:w="727" w:type="dxa"/>
            <w:vMerge w:val="restart"/>
            <w:tcBorders>
              <w:tl2br w:val="nil"/>
              <w:tr2bl w:val="nil"/>
            </w:tcBorders>
            <w:shd w:val="clear" w:color="auto" w:fill="auto"/>
            <w:vAlign w:val="center"/>
          </w:tcPr>
          <w:p w14:paraId="3D2F7EA3">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资金管理</w:t>
            </w:r>
          </w:p>
        </w:tc>
        <w:tc>
          <w:tcPr>
            <w:tcW w:w="820" w:type="dxa"/>
            <w:tcBorders>
              <w:tl2br w:val="nil"/>
              <w:tr2bl w:val="nil"/>
            </w:tcBorders>
            <w:shd w:val="clear" w:color="auto" w:fill="auto"/>
            <w:vAlign w:val="center"/>
          </w:tcPr>
          <w:p w14:paraId="3F171A1A">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资金到位率</w:t>
            </w:r>
          </w:p>
        </w:tc>
        <w:tc>
          <w:tcPr>
            <w:tcW w:w="2141" w:type="dxa"/>
            <w:tcBorders>
              <w:tl2br w:val="nil"/>
              <w:tr2bl w:val="nil"/>
            </w:tcBorders>
            <w:shd w:val="clear" w:color="auto" w:fill="auto"/>
            <w:vAlign w:val="center"/>
          </w:tcPr>
          <w:p w14:paraId="7AEA2865">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实际到位资金与预算资金的比率，用以反映和考核资金落实情况对项目实施的总体保障程度。</w:t>
            </w:r>
          </w:p>
        </w:tc>
        <w:tc>
          <w:tcPr>
            <w:tcW w:w="7821" w:type="dxa"/>
            <w:tcBorders>
              <w:tl2br w:val="nil"/>
              <w:tr2bl w:val="nil"/>
            </w:tcBorders>
            <w:shd w:val="clear" w:color="auto" w:fill="auto"/>
            <w:vAlign w:val="center"/>
          </w:tcPr>
          <w:p w14:paraId="340BC275">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资金到位率=（实际到位资金/预算资金）×100%。</w:t>
            </w:r>
          </w:p>
          <w:p w14:paraId="394C9565">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实际到位资金：一定时期（本年度或项目期）内落实到具体项目的资金。</w:t>
            </w:r>
          </w:p>
          <w:p w14:paraId="07BC0D26">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预算资金：一定时期（本年度或项目期）内预算安排到具体项目的资金。</w:t>
            </w:r>
          </w:p>
        </w:tc>
        <w:tc>
          <w:tcPr>
            <w:tcW w:w="785" w:type="dxa"/>
            <w:tcBorders>
              <w:tl2br w:val="nil"/>
              <w:tr2bl w:val="nil"/>
            </w:tcBorders>
            <w:shd w:val="clear" w:color="auto" w:fill="auto"/>
            <w:vAlign w:val="center"/>
          </w:tcPr>
          <w:p w14:paraId="08DE7339">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4</w:t>
            </w:r>
          </w:p>
        </w:tc>
        <w:tc>
          <w:tcPr>
            <w:tcW w:w="769" w:type="dxa"/>
            <w:tcBorders>
              <w:tl2br w:val="nil"/>
              <w:tr2bl w:val="nil"/>
            </w:tcBorders>
            <w:shd w:val="clear" w:color="auto" w:fill="auto"/>
            <w:vAlign w:val="center"/>
          </w:tcPr>
          <w:p w14:paraId="4C9A36F7">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79D6C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tcBorders>
              <w:tl2br w:val="nil"/>
              <w:tr2bl w:val="nil"/>
            </w:tcBorders>
            <w:shd w:val="clear" w:color="auto" w:fill="auto"/>
            <w:vAlign w:val="center"/>
          </w:tcPr>
          <w:p w14:paraId="324D9EF2">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vMerge w:val="continue"/>
            <w:tcBorders>
              <w:tl2br w:val="nil"/>
              <w:tr2bl w:val="nil"/>
            </w:tcBorders>
            <w:shd w:val="clear" w:color="auto" w:fill="auto"/>
            <w:vAlign w:val="center"/>
          </w:tcPr>
          <w:p w14:paraId="32380942">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820" w:type="dxa"/>
            <w:tcBorders>
              <w:tl2br w:val="nil"/>
              <w:tr2bl w:val="nil"/>
            </w:tcBorders>
            <w:shd w:val="clear" w:color="auto" w:fill="auto"/>
            <w:vAlign w:val="center"/>
          </w:tcPr>
          <w:p w14:paraId="7E5EB9F3">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预算执行率</w:t>
            </w:r>
          </w:p>
        </w:tc>
        <w:tc>
          <w:tcPr>
            <w:tcW w:w="2141" w:type="dxa"/>
            <w:tcBorders>
              <w:tl2br w:val="nil"/>
              <w:tr2bl w:val="nil"/>
            </w:tcBorders>
            <w:shd w:val="clear" w:color="auto" w:fill="auto"/>
            <w:vAlign w:val="center"/>
          </w:tcPr>
          <w:p w14:paraId="31794C1D">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项目预算资金是否按照计划执行，用以反映或考核项目预算执行情况。</w:t>
            </w:r>
          </w:p>
        </w:tc>
        <w:tc>
          <w:tcPr>
            <w:tcW w:w="7821" w:type="dxa"/>
            <w:tcBorders>
              <w:tl2br w:val="nil"/>
              <w:tr2bl w:val="nil"/>
            </w:tcBorders>
            <w:shd w:val="clear" w:color="auto" w:fill="auto"/>
            <w:vAlign w:val="center"/>
          </w:tcPr>
          <w:p w14:paraId="1364BF2B">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预算执行率=（实际支出资金/实际到位资金）×100%。</w:t>
            </w:r>
          </w:p>
          <w:p w14:paraId="1671C8BB">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实际支出资金：一定时期（本年度或项目期）内项目实际拨付的资金。</w:t>
            </w:r>
          </w:p>
        </w:tc>
        <w:tc>
          <w:tcPr>
            <w:tcW w:w="785" w:type="dxa"/>
            <w:tcBorders>
              <w:tl2br w:val="nil"/>
              <w:tr2bl w:val="nil"/>
            </w:tcBorders>
            <w:shd w:val="clear" w:color="auto" w:fill="auto"/>
            <w:vAlign w:val="center"/>
          </w:tcPr>
          <w:p w14:paraId="4BC507CF">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4</w:t>
            </w:r>
          </w:p>
        </w:tc>
        <w:tc>
          <w:tcPr>
            <w:tcW w:w="769" w:type="dxa"/>
            <w:tcBorders>
              <w:tl2br w:val="nil"/>
              <w:tr2bl w:val="nil"/>
            </w:tcBorders>
            <w:shd w:val="clear" w:color="auto" w:fill="auto"/>
            <w:vAlign w:val="center"/>
          </w:tcPr>
          <w:p w14:paraId="5B5FFD16">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2C7C54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tcBorders>
              <w:tl2br w:val="nil"/>
              <w:tr2bl w:val="nil"/>
            </w:tcBorders>
            <w:shd w:val="clear" w:color="auto" w:fill="auto"/>
            <w:vAlign w:val="center"/>
          </w:tcPr>
          <w:p w14:paraId="19701083">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bookmarkStart w:id="84" w:name="_GoBack" w:colFirst="5" w:colLast="6"/>
            <w:r>
              <w:rPr>
                <w:rFonts w:hint="eastAsia" w:ascii="宋体" w:hAnsi="宋体" w:eastAsia="宋体" w:cs="宋体"/>
                <w:color w:val="auto"/>
                <w:kern w:val="0"/>
                <w:sz w:val="22"/>
                <w:szCs w:val="22"/>
                <w:highlight w:val="none"/>
                <w:lang w:val="en-US" w:eastAsia="zh-CN" w:bidi="ar"/>
              </w:rPr>
              <w:t>　</w:t>
            </w:r>
          </w:p>
          <w:p w14:paraId="12E368C2">
            <w:pPr>
              <w:keepNext w:val="0"/>
              <w:keepLines w:val="0"/>
              <w:widowControl w:val="0"/>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过程　</w:t>
            </w:r>
          </w:p>
        </w:tc>
        <w:tc>
          <w:tcPr>
            <w:tcW w:w="727" w:type="dxa"/>
            <w:tcBorders>
              <w:tl2br w:val="nil"/>
              <w:tr2bl w:val="nil"/>
            </w:tcBorders>
            <w:shd w:val="clear" w:color="auto" w:fill="auto"/>
            <w:vAlign w:val="center"/>
          </w:tcPr>
          <w:p w14:paraId="1A79E3A8">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资金管理</w:t>
            </w:r>
          </w:p>
        </w:tc>
        <w:tc>
          <w:tcPr>
            <w:tcW w:w="820" w:type="dxa"/>
            <w:tcBorders>
              <w:tl2br w:val="nil"/>
              <w:tr2bl w:val="nil"/>
            </w:tcBorders>
            <w:shd w:val="clear" w:color="auto" w:fill="auto"/>
            <w:vAlign w:val="center"/>
          </w:tcPr>
          <w:p w14:paraId="3B0635FD">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资金使用</w:t>
            </w:r>
          </w:p>
          <w:p w14:paraId="6C70F292">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合规性</w:t>
            </w:r>
          </w:p>
        </w:tc>
        <w:tc>
          <w:tcPr>
            <w:tcW w:w="2141" w:type="dxa"/>
            <w:tcBorders>
              <w:tl2br w:val="nil"/>
              <w:tr2bl w:val="nil"/>
            </w:tcBorders>
            <w:shd w:val="clear" w:color="auto" w:fill="auto"/>
            <w:vAlign w:val="center"/>
          </w:tcPr>
          <w:p w14:paraId="4251AE8C">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项目资金使用是否符合相关的财务管理制度规定，用以反映和考核项目资金的规范运行情况。</w:t>
            </w:r>
          </w:p>
        </w:tc>
        <w:tc>
          <w:tcPr>
            <w:tcW w:w="7821" w:type="dxa"/>
            <w:tcBorders>
              <w:tl2br w:val="nil"/>
              <w:tr2bl w:val="nil"/>
            </w:tcBorders>
            <w:shd w:val="clear" w:color="auto" w:fill="auto"/>
            <w:vAlign w:val="center"/>
          </w:tcPr>
          <w:p w14:paraId="4CC13900">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评价要点：</w:t>
            </w:r>
          </w:p>
          <w:p w14:paraId="7BCF2C1D">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①是否符合国家财经法规和财务管理制度以及有关专项资金管理办法的规定；</w:t>
            </w:r>
          </w:p>
          <w:p w14:paraId="54A96023">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②资金的拨付是否有完整的审批程序和手续；</w:t>
            </w:r>
          </w:p>
          <w:p w14:paraId="1412E6CE">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③是否符合项目预算批复或合同规定的用途；</w:t>
            </w:r>
          </w:p>
          <w:p w14:paraId="686B8B6F">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④是否存在截留、挤占、挪用、虚列支出等情况。</w:t>
            </w:r>
          </w:p>
        </w:tc>
        <w:tc>
          <w:tcPr>
            <w:tcW w:w="785" w:type="dxa"/>
            <w:tcBorders>
              <w:tl2br w:val="nil"/>
              <w:tr2bl w:val="nil"/>
            </w:tcBorders>
            <w:shd w:val="clear" w:color="auto" w:fill="auto"/>
            <w:vAlign w:val="center"/>
          </w:tcPr>
          <w:p w14:paraId="364691F6">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4</w:t>
            </w:r>
          </w:p>
        </w:tc>
        <w:tc>
          <w:tcPr>
            <w:tcW w:w="769" w:type="dxa"/>
            <w:tcBorders>
              <w:tl2br w:val="nil"/>
              <w:tr2bl w:val="nil"/>
            </w:tcBorders>
            <w:shd w:val="clear" w:color="auto" w:fill="auto"/>
            <w:vAlign w:val="center"/>
          </w:tcPr>
          <w:p w14:paraId="518F8653">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3E139B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tcBorders>
              <w:tl2br w:val="nil"/>
              <w:tr2bl w:val="nil"/>
            </w:tcBorders>
            <w:shd w:val="clear" w:color="auto" w:fill="auto"/>
            <w:vAlign w:val="center"/>
          </w:tcPr>
          <w:p w14:paraId="4EDAE4C9">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vMerge w:val="restart"/>
            <w:tcBorders>
              <w:tl2br w:val="nil"/>
              <w:tr2bl w:val="nil"/>
            </w:tcBorders>
            <w:shd w:val="clear" w:color="auto" w:fill="auto"/>
            <w:vAlign w:val="center"/>
          </w:tcPr>
          <w:p w14:paraId="1121396A">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组织实施</w:t>
            </w:r>
          </w:p>
          <w:p w14:paraId="3B05BD0C">
            <w:pPr>
              <w:keepNext w:val="0"/>
              <w:keepLines w:val="0"/>
              <w:widowControl w:val="0"/>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　</w:t>
            </w:r>
          </w:p>
        </w:tc>
        <w:tc>
          <w:tcPr>
            <w:tcW w:w="820" w:type="dxa"/>
            <w:tcBorders>
              <w:tl2br w:val="nil"/>
              <w:tr2bl w:val="nil"/>
            </w:tcBorders>
            <w:shd w:val="clear" w:color="auto" w:fill="auto"/>
            <w:vAlign w:val="center"/>
          </w:tcPr>
          <w:p w14:paraId="7A1DBFC1">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管理制度</w:t>
            </w:r>
          </w:p>
          <w:p w14:paraId="18E71F66">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健全性</w:t>
            </w:r>
          </w:p>
        </w:tc>
        <w:tc>
          <w:tcPr>
            <w:tcW w:w="2141" w:type="dxa"/>
            <w:tcBorders>
              <w:tl2br w:val="nil"/>
              <w:tr2bl w:val="nil"/>
            </w:tcBorders>
            <w:shd w:val="clear" w:color="auto" w:fill="auto"/>
            <w:vAlign w:val="center"/>
          </w:tcPr>
          <w:p w14:paraId="321559AB">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项目实施单位的财务和业务管理制度是否健全，用以反映和考核财务和业务管理制度对项目顺利实施的保障情况。</w:t>
            </w:r>
          </w:p>
        </w:tc>
        <w:tc>
          <w:tcPr>
            <w:tcW w:w="7821" w:type="dxa"/>
            <w:tcBorders>
              <w:tl2br w:val="nil"/>
              <w:tr2bl w:val="nil"/>
            </w:tcBorders>
            <w:shd w:val="clear" w:color="auto" w:fill="auto"/>
            <w:vAlign w:val="center"/>
          </w:tcPr>
          <w:p w14:paraId="6A461EC4">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评价要点：</w:t>
            </w:r>
          </w:p>
          <w:p w14:paraId="1528D140">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①是否已制定或具有相应的财务和业务管理制度；</w:t>
            </w:r>
          </w:p>
          <w:p w14:paraId="5ED19E6B">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②财务和业务管理制度是否合法、合规、完整。</w:t>
            </w:r>
          </w:p>
        </w:tc>
        <w:tc>
          <w:tcPr>
            <w:tcW w:w="785" w:type="dxa"/>
            <w:tcBorders>
              <w:tl2br w:val="nil"/>
              <w:tr2bl w:val="nil"/>
            </w:tcBorders>
            <w:shd w:val="clear" w:color="auto" w:fill="auto"/>
            <w:vAlign w:val="center"/>
          </w:tcPr>
          <w:p w14:paraId="5E4D8238">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4</w:t>
            </w:r>
          </w:p>
        </w:tc>
        <w:tc>
          <w:tcPr>
            <w:tcW w:w="769" w:type="dxa"/>
            <w:tcBorders>
              <w:tl2br w:val="nil"/>
              <w:tr2bl w:val="nil"/>
            </w:tcBorders>
            <w:shd w:val="clear" w:color="auto" w:fill="auto"/>
            <w:vAlign w:val="center"/>
          </w:tcPr>
          <w:p w14:paraId="1E8AC374">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57528B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tcBorders>
              <w:tl2br w:val="nil"/>
              <w:tr2bl w:val="nil"/>
            </w:tcBorders>
            <w:shd w:val="clear" w:color="auto" w:fill="auto"/>
            <w:vAlign w:val="center"/>
          </w:tcPr>
          <w:p w14:paraId="03600707">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vMerge w:val="continue"/>
            <w:tcBorders>
              <w:tl2br w:val="nil"/>
              <w:tr2bl w:val="nil"/>
            </w:tcBorders>
            <w:shd w:val="clear" w:color="auto" w:fill="auto"/>
            <w:vAlign w:val="center"/>
          </w:tcPr>
          <w:p w14:paraId="2FC2C0FE">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820" w:type="dxa"/>
            <w:tcBorders>
              <w:tl2br w:val="nil"/>
              <w:tr2bl w:val="nil"/>
            </w:tcBorders>
            <w:shd w:val="clear" w:color="auto" w:fill="auto"/>
            <w:vAlign w:val="center"/>
          </w:tcPr>
          <w:p w14:paraId="00D8BAF2">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制度执行</w:t>
            </w:r>
          </w:p>
          <w:p w14:paraId="59A1D07E">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有效性</w:t>
            </w:r>
          </w:p>
        </w:tc>
        <w:tc>
          <w:tcPr>
            <w:tcW w:w="2141" w:type="dxa"/>
            <w:tcBorders>
              <w:tl2br w:val="nil"/>
              <w:tr2bl w:val="nil"/>
            </w:tcBorders>
            <w:shd w:val="clear" w:color="auto" w:fill="auto"/>
            <w:vAlign w:val="center"/>
          </w:tcPr>
          <w:p w14:paraId="671D34C1">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项目实施是否符合相关管理规定，用以反映和考核相关管理制度的有效执行情况。</w:t>
            </w:r>
          </w:p>
        </w:tc>
        <w:tc>
          <w:tcPr>
            <w:tcW w:w="7821" w:type="dxa"/>
            <w:tcBorders>
              <w:tl2br w:val="nil"/>
              <w:tr2bl w:val="nil"/>
            </w:tcBorders>
            <w:shd w:val="clear" w:color="auto" w:fill="auto"/>
            <w:vAlign w:val="center"/>
          </w:tcPr>
          <w:p w14:paraId="3334FFC4">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评价要点：</w:t>
            </w:r>
          </w:p>
          <w:p w14:paraId="78A99CC1">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①是否遵守相关法律法规和相关管理规定；</w:t>
            </w:r>
          </w:p>
          <w:p w14:paraId="3AA4805C">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②项目调整及支出调整手续是否完备；</w:t>
            </w:r>
          </w:p>
          <w:p w14:paraId="1FAFCE10">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③项目合同书、验收报告、技术鉴定等资料是否齐全并及时归档；</w:t>
            </w:r>
          </w:p>
          <w:p w14:paraId="3D493539">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④项目实施的人员条件、场地设备、信息支撑等是否落实到位。</w:t>
            </w:r>
          </w:p>
        </w:tc>
        <w:tc>
          <w:tcPr>
            <w:tcW w:w="785" w:type="dxa"/>
            <w:tcBorders>
              <w:tl2br w:val="nil"/>
              <w:tr2bl w:val="nil"/>
            </w:tcBorders>
            <w:shd w:val="clear" w:color="auto" w:fill="auto"/>
            <w:vAlign w:val="center"/>
          </w:tcPr>
          <w:p w14:paraId="119416CA">
            <w:pPr>
              <w:keepNext w:val="0"/>
              <w:keepLines w:val="0"/>
              <w:widowControl/>
              <w:suppressLineNumbers w:val="0"/>
              <w:autoSpaceDE w:val="0"/>
              <w:autoSpaceDN/>
              <w:snapToGrid w:val="0"/>
              <w:spacing w:before="0" w:beforeAutospacing="0" w:after="0" w:afterAutospacing="0" w:line="360" w:lineRule="auto"/>
              <w:ind w:left="0" w:right="0" w:firstLine="0" w:firstLineChars="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lang w:val="en-US" w:eastAsia="zh-CN" w:bidi="ar"/>
              </w:rPr>
              <w:t>4</w:t>
            </w:r>
          </w:p>
        </w:tc>
        <w:tc>
          <w:tcPr>
            <w:tcW w:w="769" w:type="dxa"/>
            <w:tcBorders>
              <w:tl2br w:val="nil"/>
              <w:tr2bl w:val="nil"/>
            </w:tcBorders>
            <w:shd w:val="clear" w:color="auto" w:fill="auto"/>
            <w:vAlign w:val="center"/>
          </w:tcPr>
          <w:p w14:paraId="3981456C">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r>
      <w:tr w14:paraId="2C9CCA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tcBorders>
              <w:tl2br w:val="nil"/>
              <w:tr2bl w:val="nil"/>
            </w:tcBorders>
            <w:shd w:val="clear" w:color="auto" w:fill="auto"/>
            <w:vAlign w:val="center"/>
          </w:tcPr>
          <w:p w14:paraId="54C1C9A9">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产出</w:t>
            </w:r>
          </w:p>
        </w:tc>
        <w:tc>
          <w:tcPr>
            <w:tcW w:w="727" w:type="dxa"/>
            <w:tcBorders>
              <w:tl2br w:val="nil"/>
              <w:tr2bl w:val="nil"/>
            </w:tcBorders>
            <w:shd w:val="clear" w:color="auto" w:fill="auto"/>
            <w:vAlign w:val="center"/>
          </w:tcPr>
          <w:p w14:paraId="13D78A06">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产出数量</w:t>
            </w:r>
          </w:p>
        </w:tc>
        <w:tc>
          <w:tcPr>
            <w:tcW w:w="820" w:type="dxa"/>
            <w:tcBorders>
              <w:tl2br w:val="nil"/>
              <w:tr2bl w:val="nil"/>
            </w:tcBorders>
            <w:shd w:val="clear" w:color="auto" w:fill="auto"/>
            <w:vAlign w:val="center"/>
          </w:tcPr>
          <w:p w14:paraId="744E223B">
            <w:pPr>
              <w:keepNext w:val="0"/>
              <w:keepLines w:val="0"/>
              <w:widowControl/>
              <w:suppressLineNumbers w:val="0"/>
              <w:spacing w:before="0" w:beforeAutospacing="0" w:after="0" w:afterAutospacing="0" w:line="0" w:lineRule="atLeast"/>
              <w:ind w:left="0" w:right="0"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新建饮水管道（公里）</w:t>
            </w:r>
          </w:p>
        </w:tc>
        <w:tc>
          <w:tcPr>
            <w:tcW w:w="2141" w:type="dxa"/>
            <w:tcBorders>
              <w:tl2br w:val="nil"/>
              <w:tr2bl w:val="nil"/>
            </w:tcBorders>
            <w:shd w:val="clear" w:color="auto" w:fill="auto"/>
            <w:vAlign w:val="center"/>
          </w:tcPr>
          <w:p w14:paraId="1EC621C0">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项目实施的实际产出数与计划产出数的比率，用以反映和考核项目产出数量目标的实现程度。</w:t>
            </w:r>
          </w:p>
        </w:tc>
        <w:tc>
          <w:tcPr>
            <w:tcW w:w="7821" w:type="dxa"/>
            <w:tcBorders>
              <w:tl2br w:val="nil"/>
              <w:tr2bl w:val="nil"/>
            </w:tcBorders>
            <w:shd w:val="clear" w:color="auto" w:fill="auto"/>
            <w:vAlign w:val="center"/>
          </w:tcPr>
          <w:p w14:paraId="18A47F93">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实际完成率=（实际产出数/计划产出数）×100%。</w:t>
            </w:r>
          </w:p>
          <w:p w14:paraId="511CEC72">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实际产出数：一定时期（本年度或项目期）内项目实际产出的产品或提供的服务数量。</w:t>
            </w:r>
          </w:p>
          <w:p w14:paraId="091FC5FF">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计划产出数：项目绩效目标确定的在一定时期（本年度或项目期）内计划产出的产品或提供的服务数量。</w:t>
            </w:r>
          </w:p>
        </w:tc>
        <w:tc>
          <w:tcPr>
            <w:tcW w:w="785" w:type="dxa"/>
            <w:tcBorders>
              <w:tl2br w:val="nil"/>
              <w:tr2bl w:val="nil"/>
            </w:tcBorders>
            <w:shd w:val="clear" w:color="auto" w:fill="auto"/>
            <w:vAlign w:val="center"/>
          </w:tcPr>
          <w:p w14:paraId="07116361">
            <w:pPr>
              <w:keepNext w:val="0"/>
              <w:keepLines w:val="0"/>
              <w:widowControl/>
              <w:suppressLineNumbers w:val="0"/>
              <w:spacing w:before="0" w:beforeAutospacing="0" w:after="0" w:afterAutospacing="0" w:line="0" w:lineRule="atLeast"/>
              <w:ind w:left="0" w:right="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2.5</w:t>
            </w:r>
          </w:p>
        </w:tc>
        <w:tc>
          <w:tcPr>
            <w:tcW w:w="769" w:type="dxa"/>
            <w:tcBorders>
              <w:tl2br w:val="nil"/>
              <w:tr2bl w:val="nil"/>
            </w:tcBorders>
            <w:shd w:val="clear" w:color="auto" w:fill="auto"/>
            <w:vAlign w:val="center"/>
          </w:tcPr>
          <w:p w14:paraId="185C7CB8">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rPr>
            </w:pPr>
            <w:r>
              <w:rPr>
                <w:rFonts w:hint="eastAsia" w:ascii="宋体" w:hAnsi="宋体" w:eastAsia="宋体" w:cs="宋体"/>
                <w:color w:val="auto"/>
                <w:kern w:val="0"/>
                <w:sz w:val="22"/>
                <w:szCs w:val="22"/>
                <w:highlight w:val="none"/>
                <w:lang w:val="en-US" w:eastAsia="zh-CN"/>
              </w:rPr>
              <w:t>2.5</w:t>
            </w:r>
          </w:p>
        </w:tc>
      </w:tr>
      <w:bookmarkEnd w:id="84"/>
      <w:tr w14:paraId="02950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tcBorders>
              <w:tl2br w:val="nil"/>
              <w:tr2bl w:val="nil"/>
            </w:tcBorders>
            <w:shd w:val="clear" w:color="auto" w:fill="auto"/>
            <w:vAlign w:val="center"/>
          </w:tcPr>
          <w:p w14:paraId="0AA26052">
            <w:pPr>
              <w:keepNext w:val="0"/>
              <w:keepLines w:val="0"/>
              <w:widowControl/>
              <w:suppressLineNumbers w:val="0"/>
              <w:spacing w:before="0" w:beforeAutospacing="0" w:after="0" w:afterAutospacing="0" w:line="0" w:lineRule="atLeast"/>
              <w:ind w:left="0" w:leftChars="0" w:right="0" w:rightChars="0" w:firstLine="0" w:firstLineChars="0"/>
              <w:jc w:val="center"/>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产出</w:t>
            </w:r>
          </w:p>
        </w:tc>
        <w:tc>
          <w:tcPr>
            <w:tcW w:w="727" w:type="dxa"/>
            <w:tcBorders>
              <w:tl2br w:val="nil"/>
              <w:tr2bl w:val="nil"/>
            </w:tcBorders>
            <w:shd w:val="clear" w:color="auto" w:fill="auto"/>
            <w:vAlign w:val="center"/>
          </w:tcPr>
          <w:p w14:paraId="79CA032F">
            <w:pPr>
              <w:keepNext w:val="0"/>
              <w:keepLines w:val="0"/>
              <w:widowControl/>
              <w:suppressLineNumbers w:val="0"/>
              <w:spacing w:before="0" w:beforeAutospacing="0" w:after="0" w:afterAutospacing="0" w:line="0" w:lineRule="atLeast"/>
              <w:ind w:left="0" w:leftChars="0" w:right="0" w:rightChars="0" w:firstLine="0" w:firstLineChars="0"/>
              <w:jc w:val="center"/>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产出数量</w:t>
            </w:r>
          </w:p>
        </w:tc>
        <w:tc>
          <w:tcPr>
            <w:tcW w:w="820" w:type="dxa"/>
            <w:tcBorders>
              <w:tl2br w:val="nil"/>
              <w:tr2bl w:val="nil"/>
            </w:tcBorders>
            <w:shd w:val="clear" w:color="auto" w:fill="auto"/>
            <w:vAlign w:val="center"/>
          </w:tcPr>
          <w:p w14:paraId="4B845F19">
            <w:pPr>
              <w:keepNext w:val="0"/>
              <w:keepLines w:val="0"/>
              <w:widowControl/>
              <w:suppressLineNumbers w:val="0"/>
              <w:spacing w:before="0" w:beforeAutospacing="0" w:after="0" w:afterAutospacing="0" w:line="0" w:lineRule="atLeast"/>
              <w:ind w:left="0" w:right="0" w:firstLine="0" w:firstLineChars="0"/>
              <w:jc w:val="center"/>
              <w:rPr>
                <w:rFonts w:hint="default"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配套附属建筑物（座）</w:t>
            </w:r>
          </w:p>
        </w:tc>
        <w:tc>
          <w:tcPr>
            <w:tcW w:w="2141" w:type="dxa"/>
            <w:tcBorders>
              <w:tl2br w:val="nil"/>
              <w:tr2bl w:val="nil"/>
            </w:tcBorders>
            <w:shd w:val="clear" w:color="auto" w:fill="auto"/>
            <w:vAlign w:val="center"/>
          </w:tcPr>
          <w:p w14:paraId="511E2554">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项目实施的实际产出数与计划产出数的比率，用以反映和考核项目产出数量目标的实现程度。</w:t>
            </w:r>
          </w:p>
        </w:tc>
        <w:tc>
          <w:tcPr>
            <w:tcW w:w="7821" w:type="dxa"/>
            <w:tcBorders>
              <w:tl2br w:val="nil"/>
              <w:tr2bl w:val="nil"/>
            </w:tcBorders>
            <w:shd w:val="clear" w:color="auto" w:fill="auto"/>
            <w:vAlign w:val="center"/>
          </w:tcPr>
          <w:p w14:paraId="074AF9B2">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实际完成率=（实际产出数/计划产出数）×100%。</w:t>
            </w:r>
          </w:p>
          <w:p w14:paraId="2DE7B1E2">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实际产出数：一定时期（本年度或项目期）内项目实际产出的产品或提供的服务数量。</w:t>
            </w:r>
          </w:p>
          <w:p w14:paraId="2DDA98E9">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计划产出数：项目绩效目标确定的在一定时期（本年度或项目期）内计划产出的产品或提供的服务数量。</w:t>
            </w:r>
          </w:p>
        </w:tc>
        <w:tc>
          <w:tcPr>
            <w:tcW w:w="785" w:type="dxa"/>
            <w:tcBorders>
              <w:tl2br w:val="nil"/>
              <w:tr2bl w:val="nil"/>
            </w:tcBorders>
            <w:shd w:val="clear" w:color="auto" w:fill="auto"/>
            <w:vAlign w:val="center"/>
          </w:tcPr>
          <w:p w14:paraId="58F0096C">
            <w:pPr>
              <w:keepNext w:val="0"/>
              <w:keepLines w:val="0"/>
              <w:widowControl/>
              <w:suppressLineNumbers w:val="0"/>
              <w:spacing w:before="0" w:beforeAutospacing="0" w:after="0" w:afterAutospacing="0" w:line="0" w:lineRule="atLeast"/>
              <w:ind w:left="0" w:right="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2.5</w:t>
            </w:r>
          </w:p>
        </w:tc>
        <w:tc>
          <w:tcPr>
            <w:tcW w:w="769" w:type="dxa"/>
            <w:tcBorders>
              <w:tl2br w:val="nil"/>
              <w:tr2bl w:val="nil"/>
            </w:tcBorders>
            <w:shd w:val="clear" w:color="auto" w:fill="auto"/>
            <w:vAlign w:val="center"/>
          </w:tcPr>
          <w:p w14:paraId="619AB24E">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2.5</w:t>
            </w:r>
          </w:p>
        </w:tc>
      </w:tr>
      <w:tr w14:paraId="7B05A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tcBorders>
              <w:tl2br w:val="nil"/>
              <w:tr2bl w:val="nil"/>
            </w:tcBorders>
            <w:shd w:val="clear" w:color="auto" w:fill="auto"/>
            <w:vAlign w:val="center"/>
          </w:tcPr>
          <w:p w14:paraId="7FE0D8EA">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产出</w:t>
            </w:r>
          </w:p>
        </w:tc>
        <w:tc>
          <w:tcPr>
            <w:tcW w:w="727" w:type="dxa"/>
            <w:tcBorders>
              <w:tl2br w:val="nil"/>
              <w:tr2bl w:val="nil"/>
            </w:tcBorders>
            <w:shd w:val="clear" w:color="auto" w:fill="auto"/>
            <w:vAlign w:val="center"/>
          </w:tcPr>
          <w:p w14:paraId="20CC80A3">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产出质量</w:t>
            </w:r>
          </w:p>
        </w:tc>
        <w:tc>
          <w:tcPr>
            <w:tcW w:w="820" w:type="dxa"/>
            <w:tcBorders>
              <w:tl2br w:val="nil"/>
              <w:tr2bl w:val="nil"/>
            </w:tcBorders>
            <w:shd w:val="clear" w:color="auto" w:fill="auto"/>
            <w:vAlign w:val="center"/>
          </w:tcPr>
          <w:p w14:paraId="5C32698C">
            <w:pPr>
              <w:keepNext w:val="0"/>
              <w:keepLines w:val="0"/>
              <w:widowControl/>
              <w:suppressLineNumbers w:val="0"/>
              <w:spacing w:before="0" w:beforeAutospacing="0" w:after="0" w:afterAutospacing="0" w:line="0" w:lineRule="atLeast"/>
              <w:ind w:left="0" w:right="0" w:firstLine="0" w:firstLineChars="0"/>
              <w:jc w:val="center"/>
              <w:rPr>
                <w:rFonts w:hint="default" w:ascii="宋体" w:hAnsi="宋体" w:eastAsia="宋体" w:cs="宋体"/>
                <w:color w:val="auto"/>
                <w:kern w:val="0"/>
                <w:sz w:val="22"/>
                <w:szCs w:val="22"/>
                <w:highlight w:val="none"/>
                <w:lang w:val="en-US"/>
              </w:rPr>
            </w:pPr>
            <w:r>
              <w:rPr>
                <w:rFonts w:hint="eastAsia" w:ascii="宋体" w:hAnsi="宋体" w:eastAsia="宋体" w:cs="宋体"/>
                <w:color w:val="auto"/>
                <w:kern w:val="0"/>
                <w:sz w:val="22"/>
                <w:szCs w:val="22"/>
                <w:highlight w:val="none"/>
                <w:lang w:val="en-US" w:eastAsia="zh-CN" w:bidi="ar"/>
              </w:rPr>
              <w:t>工程验收合格率（%）</w:t>
            </w:r>
          </w:p>
        </w:tc>
        <w:tc>
          <w:tcPr>
            <w:tcW w:w="2141" w:type="dxa"/>
            <w:tcBorders>
              <w:tl2br w:val="nil"/>
              <w:tr2bl w:val="nil"/>
            </w:tcBorders>
            <w:shd w:val="clear" w:color="auto" w:fill="auto"/>
            <w:vAlign w:val="center"/>
          </w:tcPr>
          <w:p w14:paraId="1D8CFE6A">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项目完成的质量达标产出数与实际产出数的比率，用以反映和考核项目产出质量目标的实现程度。</w:t>
            </w:r>
          </w:p>
        </w:tc>
        <w:tc>
          <w:tcPr>
            <w:tcW w:w="7821" w:type="dxa"/>
            <w:tcBorders>
              <w:tl2br w:val="nil"/>
              <w:tr2bl w:val="nil"/>
            </w:tcBorders>
            <w:shd w:val="clear" w:color="auto" w:fill="auto"/>
            <w:vAlign w:val="center"/>
          </w:tcPr>
          <w:p w14:paraId="479EC5FD">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质量达标率=（质量达标产出数/实际产出数）×100%。</w:t>
            </w:r>
          </w:p>
          <w:p w14:paraId="1D138133">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vAlign w:val="center"/>
          </w:tcPr>
          <w:p w14:paraId="5301AA91">
            <w:pPr>
              <w:keepNext w:val="0"/>
              <w:keepLines w:val="0"/>
              <w:widowControl/>
              <w:suppressLineNumbers w:val="0"/>
              <w:spacing w:before="0" w:beforeAutospacing="0" w:after="0" w:afterAutospacing="0" w:line="0" w:lineRule="atLeast"/>
              <w:ind w:left="0" w:right="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2.5</w:t>
            </w:r>
          </w:p>
        </w:tc>
        <w:tc>
          <w:tcPr>
            <w:tcW w:w="769" w:type="dxa"/>
            <w:tcBorders>
              <w:tl2br w:val="nil"/>
              <w:tr2bl w:val="nil"/>
            </w:tcBorders>
            <w:shd w:val="clear" w:color="auto" w:fill="auto"/>
            <w:vAlign w:val="center"/>
          </w:tcPr>
          <w:p w14:paraId="3ADD4AE3">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2.5</w:t>
            </w:r>
          </w:p>
        </w:tc>
      </w:tr>
      <w:tr w14:paraId="65FB57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vAlign w:val="center"/>
          </w:tcPr>
          <w:p w14:paraId="0374B70C">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tcBorders>
              <w:tl2br w:val="nil"/>
              <w:tr2bl w:val="nil"/>
            </w:tcBorders>
            <w:shd w:val="clear" w:color="auto" w:fill="auto"/>
            <w:vAlign w:val="center"/>
          </w:tcPr>
          <w:p w14:paraId="2CDA6B44">
            <w:pPr>
              <w:keepNext w:val="0"/>
              <w:keepLines w:val="0"/>
              <w:widowControl w:val="0"/>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产出时效</w:t>
            </w:r>
          </w:p>
        </w:tc>
        <w:tc>
          <w:tcPr>
            <w:tcW w:w="820" w:type="dxa"/>
            <w:tcBorders>
              <w:tl2br w:val="nil"/>
              <w:tr2bl w:val="nil"/>
            </w:tcBorders>
            <w:shd w:val="clear" w:color="auto" w:fill="auto"/>
            <w:vAlign w:val="center"/>
          </w:tcPr>
          <w:p w14:paraId="0861C941">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lang w:val="en-US" w:eastAsia="zh-CN" w:bidi="ar"/>
              </w:rPr>
            </w:pPr>
            <w:r>
              <w:rPr>
                <w:rFonts w:hint="eastAsia" w:asciiTheme="minorEastAsia" w:hAnsiTheme="minorEastAsia" w:eastAsiaTheme="minorEastAsia" w:cstheme="minorEastAsia"/>
                <w:b w:val="0"/>
                <w:bCs w:val="0"/>
                <w:color w:val="auto"/>
                <w:kern w:val="0"/>
                <w:sz w:val="20"/>
                <w:szCs w:val="20"/>
                <w:highlight w:val="none"/>
              </w:rPr>
              <w:t>截止2023年底，投资完成比例（%）</w:t>
            </w:r>
          </w:p>
        </w:tc>
        <w:tc>
          <w:tcPr>
            <w:tcW w:w="2141" w:type="dxa"/>
            <w:tcBorders>
              <w:tl2br w:val="nil"/>
              <w:tr2bl w:val="nil"/>
            </w:tcBorders>
            <w:shd w:val="clear" w:color="auto" w:fill="auto"/>
            <w:vAlign w:val="center"/>
          </w:tcPr>
          <w:p w14:paraId="18FE2C71">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项目实际完成时间与计划完成时间的比较，用以反映和考核项目产出时效目标的实现程度。</w:t>
            </w:r>
          </w:p>
        </w:tc>
        <w:tc>
          <w:tcPr>
            <w:tcW w:w="7821" w:type="dxa"/>
            <w:tcBorders>
              <w:tl2br w:val="nil"/>
              <w:tr2bl w:val="nil"/>
            </w:tcBorders>
            <w:shd w:val="clear" w:color="auto" w:fill="auto"/>
            <w:vAlign w:val="center"/>
          </w:tcPr>
          <w:p w14:paraId="6473D1B9">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实际完成时间：项目实施单位完成该项目实际所耗用的时间。</w:t>
            </w:r>
          </w:p>
          <w:p w14:paraId="3DE38AB9">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计划完成时间：按照项目实施计划或相关规定完成该项目所需的时间。</w:t>
            </w:r>
          </w:p>
        </w:tc>
        <w:tc>
          <w:tcPr>
            <w:tcW w:w="785" w:type="dxa"/>
            <w:tcBorders>
              <w:tl2br w:val="nil"/>
              <w:tr2bl w:val="nil"/>
            </w:tcBorders>
            <w:shd w:val="clear" w:color="auto" w:fill="auto"/>
            <w:vAlign w:val="center"/>
          </w:tcPr>
          <w:p w14:paraId="28F38723">
            <w:pPr>
              <w:keepNext w:val="0"/>
              <w:keepLines w:val="0"/>
              <w:widowControl/>
              <w:suppressLineNumbers w:val="0"/>
              <w:spacing w:before="0" w:beforeAutospacing="0" w:after="0" w:afterAutospacing="0" w:line="0" w:lineRule="atLeast"/>
              <w:ind w:left="0" w:right="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7.5</w:t>
            </w:r>
          </w:p>
        </w:tc>
        <w:tc>
          <w:tcPr>
            <w:tcW w:w="769" w:type="dxa"/>
            <w:tcBorders>
              <w:tl2br w:val="nil"/>
              <w:tr2bl w:val="nil"/>
            </w:tcBorders>
            <w:shd w:val="clear" w:color="auto" w:fill="auto"/>
            <w:vAlign w:val="center"/>
          </w:tcPr>
          <w:p w14:paraId="61673931">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7.5</w:t>
            </w:r>
          </w:p>
        </w:tc>
      </w:tr>
      <w:tr w14:paraId="33A38F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tcBorders>
              <w:tl2br w:val="nil"/>
              <w:tr2bl w:val="nil"/>
            </w:tcBorders>
            <w:shd w:val="clear" w:color="auto" w:fill="auto"/>
            <w:vAlign w:val="center"/>
          </w:tcPr>
          <w:p w14:paraId="2B3801E8">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tcBorders>
              <w:tl2br w:val="nil"/>
              <w:tr2bl w:val="nil"/>
            </w:tcBorders>
            <w:shd w:val="clear" w:color="auto" w:fill="auto"/>
            <w:vAlign w:val="center"/>
          </w:tcPr>
          <w:p w14:paraId="2BAD3C48">
            <w:pPr>
              <w:keepNext w:val="0"/>
              <w:keepLines w:val="0"/>
              <w:widowControl w:val="0"/>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产出时效</w:t>
            </w:r>
          </w:p>
        </w:tc>
        <w:tc>
          <w:tcPr>
            <w:tcW w:w="820" w:type="dxa"/>
            <w:tcBorders>
              <w:tl2br w:val="nil"/>
              <w:tr2bl w:val="nil"/>
            </w:tcBorders>
            <w:shd w:val="clear" w:color="auto" w:fill="auto"/>
            <w:vAlign w:val="center"/>
          </w:tcPr>
          <w:p w14:paraId="13627D24">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Theme="minorEastAsia" w:hAnsiTheme="minorEastAsia" w:eastAsiaTheme="minorEastAsia" w:cstheme="minorEastAsia"/>
                <w:b w:val="0"/>
                <w:bCs w:val="0"/>
                <w:color w:val="auto"/>
                <w:kern w:val="0"/>
                <w:sz w:val="20"/>
                <w:szCs w:val="20"/>
                <w:highlight w:val="none"/>
              </w:rPr>
              <w:t>完工时间</w:t>
            </w:r>
          </w:p>
        </w:tc>
        <w:tc>
          <w:tcPr>
            <w:tcW w:w="2141" w:type="dxa"/>
            <w:tcBorders>
              <w:tl2br w:val="nil"/>
              <w:tr2bl w:val="nil"/>
            </w:tcBorders>
            <w:shd w:val="clear" w:color="auto" w:fill="auto"/>
            <w:vAlign w:val="center"/>
          </w:tcPr>
          <w:p w14:paraId="1BC6FC60">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项目实际完成时间与计划完成时间的比较，用以反映和考核项目产出时效目标的实现程度。</w:t>
            </w:r>
          </w:p>
        </w:tc>
        <w:tc>
          <w:tcPr>
            <w:tcW w:w="7821" w:type="dxa"/>
            <w:tcBorders>
              <w:tl2br w:val="nil"/>
              <w:tr2bl w:val="nil"/>
            </w:tcBorders>
            <w:shd w:val="clear" w:color="auto" w:fill="auto"/>
            <w:vAlign w:val="center"/>
          </w:tcPr>
          <w:p w14:paraId="7976DC6C">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实际完成时间：项目实施单位完成该项目实际所耗用的时间。</w:t>
            </w:r>
          </w:p>
          <w:p w14:paraId="5EEE5C6B">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计划完成时间：按照项目实施计划或相关规定完成该项目所需的时间。</w:t>
            </w:r>
          </w:p>
        </w:tc>
        <w:tc>
          <w:tcPr>
            <w:tcW w:w="785" w:type="dxa"/>
            <w:tcBorders>
              <w:tl2br w:val="nil"/>
              <w:tr2bl w:val="nil"/>
            </w:tcBorders>
            <w:shd w:val="clear" w:color="auto" w:fill="auto"/>
            <w:vAlign w:val="center"/>
          </w:tcPr>
          <w:p w14:paraId="322E3DF0">
            <w:pPr>
              <w:keepNext w:val="0"/>
              <w:keepLines w:val="0"/>
              <w:widowControl/>
              <w:suppressLineNumbers w:val="0"/>
              <w:spacing w:before="0" w:beforeAutospacing="0" w:after="0" w:afterAutospacing="0" w:line="0" w:lineRule="atLeast"/>
              <w:ind w:left="0" w:right="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w:t>
            </w:r>
          </w:p>
        </w:tc>
        <w:tc>
          <w:tcPr>
            <w:tcW w:w="769" w:type="dxa"/>
            <w:tcBorders>
              <w:tl2br w:val="nil"/>
              <w:tr2bl w:val="nil"/>
            </w:tcBorders>
            <w:shd w:val="clear" w:color="auto" w:fill="auto"/>
            <w:vAlign w:val="center"/>
          </w:tcPr>
          <w:p w14:paraId="67357152">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4</w:t>
            </w:r>
          </w:p>
        </w:tc>
      </w:tr>
      <w:tr w14:paraId="0D182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tcBorders>
              <w:tl2br w:val="nil"/>
              <w:tr2bl w:val="nil"/>
            </w:tcBorders>
            <w:shd w:val="clear" w:color="auto" w:fill="FFFFFF"/>
            <w:vAlign w:val="center"/>
          </w:tcPr>
          <w:p w14:paraId="4B9E864B">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tcBorders>
              <w:tl2br w:val="nil"/>
              <w:tr2bl w:val="nil"/>
            </w:tcBorders>
            <w:shd w:val="clear" w:color="auto" w:fill="auto"/>
            <w:vAlign w:val="center"/>
          </w:tcPr>
          <w:p w14:paraId="6C44CAA5">
            <w:pPr>
              <w:keepNext w:val="0"/>
              <w:keepLines w:val="0"/>
              <w:widowControl/>
              <w:suppressLineNumbers w:val="0"/>
              <w:spacing w:before="0" w:beforeAutospacing="0" w:after="0" w:afterAutospacing="0" w:line="0" w:lineRule="atLeast"/>
              <w:ind w:left="0" w:leftChars="0" w:right="0" w:righ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产出成本</w:t>
            </w:r>
          </w:p>
        </w:tc>
        <w:tc>
          <w:tcPr>
            <w:tcW w:w="820" w:type="dxa"/>
            <w:tcBorders>
              <w:tl2br w:val="nil"/>
              <w:tr2bl w:val="nil"/>
            </w:tcBorders>
            <w:shd w:val="clear" w:color="auto" w:fill="auto"/>
            <w:vAlign w:val="center"/>
          </w:tcPr>
          <w:p w14:paraId="3FE6BED2">
            <w:pPr>
              <w:keepNext w:val="0"/>
              <w:keepLines w:val="0"/>
              <w:widowControl/>
              <w:suppressLineNumbers w:val="0"/>
              <w:spacing w:before="0" w:beforeAutospacing="0" w:after="0" w:afterAutospacing="0" w:line="0" w:lineRule="atLeast"/>
              <w:ind w:left="0" w:leftChars="0" w:right="0" w:rightChars="0" w:firstLine="0" w:firstLineChars="0"/>
              <w:jc w:val="center"/>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SA"/>
              </w:rPr>
              <w:t>设计投资（万元）</w:t>
            </w:r>
          </w:p>
        </w:tc>
        <w:tc>
          <w:tcPr>
            <w:tcW w:w="2141" w:type="dxa"/>
            <w:tcBorders>
              <w:tl2br w:val="nil"/>
              <w:tr2bl w:val="nil"/>
            </w:tcBorders>
            <w:shd w:val="clear" w:color="auto" w:fill="auto"/>
            <w:vAlign w:val="center"/>
          </w:tcPr>
          <w:p w14:paraId="184C31A4">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完成项目计划工作目标的实际节约成本与计划成本的比率，用以反映和考核项目的成本节约程度。</w:t>
            </w:r>
          </w:p>
        </w:tc>
        <w:tc>
          <w:tcPr>
            <w:tcW w:w="7821" w:type="dxa"/>
            <w:tcBorders>
              <w:tl2br w:val="nil"/>
              <w:tr2bl w:val="nil"/>
            </w:tcBorders>
            <w:shd w:val="clear" w:color="auto" w:fill="auto"/>
            <w:vAlign w:val="center"/>
          </w:tcPr>
          <w:p w14:paraId="21A7D170">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p>
          <w:p w14:paraId="66A3D3E3">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成本节约率=[（计划成本-实际成本）/计划成本]×100%。</w:t>
            </w:r>
          </w:p>
          <w:p w14:paraId="12B2638F">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实际成本：项目实施单位如期、保质、保量完成既定工作目标实际所耗费的支出。</w:t>
            </w:r>
          </w:p>
          <w:p w14:paraId="3FE4BE80">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计划成本：项目实施单位为完成工作目标计划安排的支出，一般以项目预算为参考。</w:t>
            </w:r>
          </w:p>
        </w:tc>
        <w:tc>
          <w:tcPr>
            <w:tcW w:w="785" w:type="dxa"/>
            <w:tcBorders>
              <w:tl2br w:val="nil"/>
              <w:tr2bl w:val="nil"/>
            </w:tcBorders>
            <w:shd w:val="clear" w:color="auto" w:fill="auto"/>
            <w:vAlign w:val="center"/>
          </w:tcPr>
          <w:p w14:paraId="11834083">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SA"/>
              </w:rPr>
              <w:t>4.5</w:t>
            </w:r>
          </w:p>
        </w:tc>
        <w:tc>
          <w:tcPr>
            <w:tcW w:w="769" w:type="dxa"/>
            <w:tcBorders>
              <w:tl2br w:val="nil"/>
              <w:tr2bl w:val="nil"/>
            </w:tcBorders>
            <w:shd w:val="clear" w:color="auto" w:fill="auto"/>
            <w:vAlign w:val="center"/>
          </w:tcPr>
          <w:p w14:paraId="585CF2E5">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SA"/>
              </w:rPr>
              <w:t>4.5</w:t>
            </w:r>
          </w:p>
        </w:tc>
      </w:tr>
      <w:tr w14:paraId="743585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tcBorders>
              <w:tl2br w:val="nil"/>
              <w:tr2bl w:val="nil"/>
            </w:tcBorders>
            <w:shd w:val="clear" w:color="auto" w:fill="FFFFFF"/>
            <w:vAlign w:val="center"/>
          </w:tcPr>
          <w:p w14:paraId="606153D5">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highlight w:val="none"/>
              </w:rPr>
            </w:pPr>
          </w:p>
        </w:tc>
        <w:tc>
          <w:tcPr>
            <w:tcW w:w="727" w:type="dxa"/>
            <w:tcBorders>
              <w:tl2br w:val="nil"/>
              <w:tr2bl w:val="nil"/>
            </w:tcBorders>
            <w:shd w:val="clear" w:color="auto" w:fill="auto"/>
            <w:vAlign w:val="center"/>
          </w:tcPr>
          <w:p w14:paraId="3CD0FE3C">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产出成本</w:t>
            </w:r>
          </w:p>
        </w:tc>
        <w:tc>
          <w:tcPr>
            <w:tcW w:w="820" w:type="dxa"/>
            <w:tcBorders>
              <w:tl2br w:val="nil"/>
              <w:tr2bl w:val="nil"/>
            </w:tcBorders>
            <w:shd w:val="clear" w:color="auto" w:fill="auto"/>
            <w:vAlign w:val="center"/>
          </w:tcPr>
          <w:p w14:paraId="46BF4984">
            <w:pPr>
              <w:keepNext w:val="0"/>
              <w:keepLines w:val="0"/>
              <w:widowControl/>
              <w:suppressLineNumbers w:val="0"/>
              <w:spacing w:before="0" w:beforeAutospacing="0" w:after="0" w:afterAutospacing="0" w:line="0" w:lineRule="atLeast"/>
              <w:ind w:left="0" w:right="0" w:firstLine="0" w:firstLineChars="0"/>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草地征战投资（万元）</w:t>
            </w:r>
          </w:p>
        </w:tc>
        <w:tc>
          <w:tcPr>
            <w:tcW w:w="2141" w:type="dxa"/>
            <w:tcBorders>
              <w:tl2br w:val="nil"/>
              <w:tr2bl w:val="nil"/>
            </w:tcBorders>
            <w:shd w:val="clear" w:color="auto" w:fill="auto"/>
            <w:vAlign w:val="center"/>
          </w:tcPr>
          <w:p w14:paraId="085AF86C">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完成项目计划工作目标的实际节约成本与计划成本的比率，用以反映和考核项目的成本节约程度。</w:t>
            </w:r>
          </w:p>
        </w:tc>
        <w:tc>
          <w:tcPr>
            <w:tcW w:w="7821" w:type="dxa"/>
            <w:tcBorders>
              <w:tl2br w:val="nil"/>
              <w:tr2bl w:val="nil"/>
            </w:tcBorders>
            <w:shd w:val="clear" w:color="auto" w:fill="auto"/>
            <w:vAlign w:val="center"/>
          </w:tcPr>
          <w:p w14:paraId="6984F18F">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p>
          <w:p w14:paraId="69BF4012">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成本节约率=[（计划成本-实际成本）/计划成本]×100%。</w:t>
            </w:r>
          </w:p>
          <w:p w14:paraId="75B990EC">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实际成本：项目实施单位如期、保质、保量完成既定工作目标实际所耗费的支出。</w:t>
            </w:r>
          </w:p>
          <w:p w14:paraId="01FDE44D">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计划成本：项目实施单位为完成工作目标计划安排的支出，一般以项目预算为参考。</w:t>
            </w:r>
          </w:p>
        </w:tc>
        <w:tc>
          <w:tcPr>
            <w:tcW w:w="785" w:type="dxa"/>
            <w:tcBorders>
              <w:tl2br w:val="nil"/>
              <w:tr2bl w:val="nil"/>
            </w:tcBorders>
            <w:shd w:val="clear" w:color="auto" w:fill="auto"/>
            <w:vAlign w:val="center"/>
          </w:tcPr>
          <w:p w14:paraId="13171907">
            <w:pPr>
              <w:keepNext w:val="0"/>
              <w:keepLines w:val="0"/>
              <w:widowControl/>
              <w:suppressLineNumbers w:val="0"/>
              <w:spacing w:before="0" w:beforeAutospacing="0" w:after="0" w:afterAutospacing="0" w:line="0" w:lineRule="atLeast"/>
              <w:ind w:left="0" w:right="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5.5</w:t>
            </w:r>
          </w:p>
        </w:tc>
        <w:tc>
          <w:tcPr>
            <w:tcW w:w="769" w:type="dxa"/>
            <w:tcBorders>
              <w:tl2br w:val="nil"/>
              <w:tr2bl w:val="nil"/>
            </w:tcBorders>
            <w:shd w:val="clear" w:color="auto" w:fill="auto"/>
            <w:vAlign w:val="center"/>
          </w:tcPr>
          <w:p w14:paraId="2296BB45">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5.5</w:t>
            </w:r>
          </w:p>
        </w:tc>
      </w:tr>
      <w:tr w14:paraId="3B411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tcBorders>
              <w:tl2br w:val="nil"/>
              <w:tr2bl w:val="nil"/>
            </w:tcBorders>
            <w:shd w:val="clear" w:color="auto" w:fill="auto"/>
            <w:vAlign w:val="center"/>
          </w:tcPr>
          <w:p w14:paraId="08946011">
            <w:pPr>
              <w:keepNext w:val="0"/>
              <w:keepLines w:val="0"/>
              <w:widowControl/>
              <w:suppressLineNumbers w:val="0"/>
              <w:spacing w:before="0" w:beforeAutospacing="0" w:after="0" w:afterAutospacing="0" w:line="0" w:lineRule="atLeast"/>
              <w:ind w:left="0" w:leftChars="0" w:right="0" w:righ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效益　</w:t>
            </w:r>
          </w:p>
        </w:tc>
        <w:tc>
          <w:tcPr>
            <w:tcW w:w="727" w:type="dxa"/>
            <w:tcBorders>
              <w:tl2br w:val="nil"/>
              <w:tr2bl w:val="nil"/>
            </w:tcBorders>
            <w:shd w:val="clear" w:color="auto" w:fill="auto"/>
            <w:vAlign w:val="center"/>
          </w:tcPr>
          <w:p w14:paraId="1DF11187">
            <w:pPr>
              <w:keepNext w:val="0"/>
              <w:keepLines w:val="0"/>
              <w:widowControl/>
              <w:suppressLineNumbers w:val="0"/>
              <w:spacing w:before="0" w:beforeAutospacing="0" w:after="0" w:afterAutospacing="0" w:line="0" w:lineRule="atLeast"/>
              <w:ind w:left="0" w:leftChars="0" w:right="0" w:rightChars="0"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项目效益　</w:t>
            </w:r>
          </w:p>
        </w:tc>
        <w:tc>
          <w:tcPr>
            <w:tcW w:w="820" w:type="dxa"/>
            <w:tcBorders>
              <w:tl2br w:val="nil"/>
              <w:tr2bl w:val="nil"/>
            </w:tcBorders>
            <w:shd w:val="clear" w:color="auto" w:fill="auto"/>
            <w:vAlign w:val="center"/>
          </w:tcPr>
          <w:p w14:paraId="6BA7A874">
            <w:pPr>
              <w:keepNext w:val="0"/>
              <w:keepLines w:val="0"/>
              <w:widowControl/>
              <w:suppressLineNumbers w:val="0"/>
              <w:spacing w:before="0" w:beforeAutospacing="0" w:after="0" w:afterAutospacing="0" w:line="0" w:lineRule="atLeast"/>
              <w:ind w:left="0" w:leftChars="0" w:right="0" w:rightChars="0" w:firstLine="0" w:firstLineChars="0"/>
              <w:jc w:val="center"/>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人畜安全饮水</w:t>
            </w:r>
          </w:p>
        </w:tc>
        <w:tc>
          <w:tcPr>
            <w:tcW w:w="2141" w:type="dxa"/>
            <w:tcBorders>
              <w:tl2br w:val="nil"/>
              <w:tr2bl w:val="nil"/>
            </w:tcBorders>
            <w:shd w:val="clear" w:color="auto" w:fill="auto"/>
            <w:vAlign w:val="center"/>
          </w:tcPr>
          <w:p w14:paraId="5A0B7FEF">
            <w:pPr>
              <w:keepNext w:val="0"/>
              <w:keepLines w:val="0"/>
              <w:widowControl/>
              <w:suppressLineNumbers w:val="0"/>
              <w:spacing w:before="0" w:beforeAutospacing="0" w:after="0" w:afterAutospacing="0" w:line="0" w:lineRule="atLeast"/>
              <w:ind w:left="0" w:leftChars="0" w:right="0" w:rightChars="0"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项目实施所产生的效益。</w:t>
            </w:r>
          </w:p>
        </w:tc>
        <w:tc>
          <w:tcPr>
            <w:tcW w:w="7821" w:type="dxa"/>
            <w:tcBorders>
              <w:tl2br w:val="nil"/>
              <w:tr2bl w:val="nil"/>
            </w:tcBorders>
            <w:shd w:val="clear" w:color="auto" w:fill="auto"/>
            <w:vAlign w:val="center"/>
          </w:tcPr>
          <w:p w14:paraId="0AF7AD35">
            <w:pPr>
              <w:keepNext w:val="0"/>
              <w:keepLines w:val="0"/>
              <w:widowControl/>
              <w:suppressLineNumbers w:val="0"/>
              <w:spacing w:before="0" w:beforeAutospacing="0" w:after="0" w:afterAutospacing="0" w:line="0" w:lineRule="atLeast"/>
              <w:ind w:left="0" w:leftChars="0" w:right="0" w:rightChars="0" w:firstLine="0" w:firstLineChars="0"/>
              <w:jc w:val="both"/>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bidi="ar"/>
              </w:rPr>
              <w:t>项目实施所产生的社会效益、经济效益、生态效益、可持续影响等。可根据项目实际情况有选择地设置和细化。</w:t>
            </w:r>
          </w:p>
        </w:tc>
        <w:tc>
          <w:tcPr>
            <w:tcW w:w="785" w:type="dxa"/>
            <w:tcBorders>
              <w:tl2br w:val="nil"/>
              <w:tr2bl w:val="nil"/>
            </w:tcBorders>
            <w:shd w:val="clear" w:color="auto" w:fill="auto"/>
            <w:vAlign w:val="center"/>
          </w:tcPr>
          <w:p w14:paraId="64F17885">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15</w:t>
            </w:r>
          </w:p>
        </w:tc>
        <w:tc>
          <w:tcPr>
            <w:tcW w:w="769" w:type="dxa"/>
            <w:tcBorders>
              <w:tl2br w:val="nil"/>
              <w:tr2bl w:val="nil"/>
            </w:tcBorders>
            <w:shd w:val="clear" w:color="auto" w:fill="auto"/>
            <w:vAlign w:val="center"/>
          </w:tcPr>
          <w:p w14:paraId="2C74D9F5">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15</w:t>
            </w:r>
          </w:p>
        </w:tc>
      </w:tr>
      <w:tr w14:paraId="14DFBA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tcBorders>
              <w:tl2br w:val="nil"/>
              <w:tr2bl w:val="nil"/>
            </w:tcBorders>
            <w:shd w:val="clear" w:color="auto" w:fill="auto"/>
            <w:vAlign w:val="center"/>
          </w:tcPr>
          <w:p w14:paraId="62B14728">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效益　</w:t>
            </w:r>
          </w:p>
        </w:tc>
        <w:tc>
          <w:tcPr>
            <w:tcW w:w="727" w:type="dxa"/>
            <w:tcBorders>
              <w:tl2br w:val="nil"/>
              <w:tr2bl w:val="nil"/>
            </w:tcBorders>
            <w:shd w:val="clear" w:color="auto" w:fill="auto"/>
            <w:vAlign w:val="center"/>
          </w:tcPr>
          <w:p w14:paraId="5CCE0FA1">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项目效益　</w:t>
            </w:r>
          </w:p>
        </w:tc>
        <w:tc>
          <w:tcPr>
            <w:tcW w:w="820" w:type="dxa"/>
            <w:tcBorders>
              <w:tl2br w:val="nil"/>
              <w:tr2bl w:val="nil"/>
            </w:tcBorders>
            <w:shd w:val="clear" w:color="auto" w:fill="auto"/>
            <w:vAlign w:val="center"/>
          </w:tcPr>
          <w:p w14:paraId="33217951">
            <w:pPr>
              <w:keepNext w:val="0"/>
              <w:keepLines w:val="0"/>
              <w:widowControl/>
              <w:suppressLineNumbers w:val="0"/>
              <w:spacing w:before="0" w:beforeAutospacing="0" w:after="0" w:afterAutospacing="0" w:line="0" w:lineRule="atLeast"/>
              <w:ind w:left="0" w:right="0" w:firstLine="0" w:firstLineChars="0"/>
              <w:jc w:val="center"/>
              <w:rPr>
                <w:rFonts w:hint="default" w:ascii="宋体" w:hAnsi="宋体" w:eastAsia="宋体" w:cs="宋体"/>
                <w:color w:val="auto"/>
                <w:kern w:val="0"/>
                <w:sz w:val="22"/>
                <w:szCs w:val="22"/>
                <w:highlight w:val="none"/>
                <w:lang w:val="en-US"/>
              </w:rPr>
            </w:pPr>
            <w:r>
              <w:rPr>
                <w:rFonts w:hint="eastAsia" w:ascii="宋体" w:hAnsi="宋体" w:eastAsia="宋体" w:cs="宋体"/>
                <w:color w:val="auto"/>
                <w:kern w:val="0"/>
                <w:sz w:val="22"/>
                <w:szCs w:val="22"/>
                <w:highlight w:val="none"/>
                <w:lang w:val="en-US" w:eastAsia="zh-CN" w:bidi="ar"/>
              </w:rPr>
              <w:t>使用人员满意度</w:t>
            </w:r>
          </w:p>
        </w:tc>
        <w:tc>
          <w:tcPr>
            <w:tcW w:w="2141" w:type="dxa"/>
            <w:tcBorders>
              <w:tl2br w:val="nil"/>
              <w:tr2bl w:val="nil"/>
            </w:tcBorders>
            <w:shd w:val="clear" w:color="auto" w:fill="auto"/>
            <w:vAlign w:val="center"/>
          </w:tcPr>
          <w:p w14:paraId="0133978A">
            <w:pPr>
              <w:keepNext w:val="0"/>
              <w:keepLines w:val="0"/>
              <w:widowControl/>
              <w:suppressLineNumbers w:val="0"/>
              <w:spacing w:before="0" w:beforeAutospacing="0" w:after="0" w:afterAutospacing="0" w:line="0" w:lineRule="atLeast"/>
              <w:ind w:left="0" w:right="0"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项目实施所产生的效益。</w:t>
            </w:r>
          </w:p>
        </w:tc>
        <w:tc>
          <w:tcPr>
            <w:tcW w:w="7821" w:type="dxa"/>
            <w:tcBorders>
              <w:tl2br w:val="nil"/>
              <w:tr2bl w:val="nil"/>
            </w:tcBorders>
            <w:shd w:val="clear" w:color="auto" w:fill="auto"/>
            <w:vAlign w:val="center"/>
          </w:tcPr>
          <w:p w14:paraId="206A0444">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项目实施所产生的社会效益、经济效益、生态效益、可持续影响等。可根据项目实际情况有选择地设置和细化。</w:t>
            </w:r>
          </w:p>
        </w:tc>
        <w:tc>
          <w:tcPr>
            <w:tcW w:w="785" w:type="dxa"/>
            <w:tcBorders>
              <w:tl2br w:val="nil"/>
              <w:tr2bl w:val="nil"/>
            </w:tcBorders>
            <w:shd w:val="clear" w:color="auto" w:fill="auto"/>
            <w:vAlign w:val="center"/>
          </w:tcPr>
          <w:p w14:paraId="6C8FCDCC">
            <w:pPr>
              <w:keepNext w:val="0"/>
              <w:keepLines w:val="0"/>
              <w:widowControl/>
              <w:suppressLineNumbers w:val="0"/>
              <w:spacing w:before="0" w:beforeAutospacing="0" w:after="0" w:afterAutospacing="0" w:line="0" w:lineRule="atLeast"/>
              <w:ind w:left="0" w:right="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15</w:t>
            </w:r>
          </w:p>
        </w:tc>
        <w:tc>
          <w:tcPr>
            <w:tcW w:w="769" w:type="dxa"/>
            <w:tcBorders>
              <w:tl2br w:val="nil"/>
              <w:tr2bl w:val="nil"/>
            </w:tcBorders>
            <w:shd w:val="clear" w:color="auto" w:fill="auto"/>
            <w:vAlign w:val="center"/>
          </w:tcPr>
          <w:p w14:paraId="25901F58">
            <w:pPr>
              <w:keepNext w:val="0"/>
              <w:keepLines w:val="0"/>
              <w:widowControl/>
              <w:suppressLineNumbers w:val="0"/>
              <w:spacing w:before="0" w:beforeAutospacing="0" w:after="0" w:afterAutospacing="0" w:line="0" w:lineRule="atLeast"/>
              <w:ind w:left="0" w:leftChars="0" w:right="0" w:rightChars="0" w:firstLine="0" w:firstLineChars="0"/>
              <w:jc w:val="both"/>
              <w:rPr>
                <w:rFonts w:hint="default" w:ascii="宋体" w:hAnsi="宋体" w:eastAsia="宋体" w:cs="宋体"/>
                <w:color w:val="auto"/>
                <w:kern w:val="0"/>
                <w:sz w:val="22"/>
                <w:szCs w:val="22"/>
                <w:highlight w:val="none"/>
                <w:lang w:val="en-US"/>
              </w:rPr>
            </w:pPr>
            <w:r>
              <w:rPr>
                <w:rFonts w:hint="eastAsia" w:ascii="宋体" w:hAnsi="宋体" w:eastAsia="宋体" w:cs="宋体"/>
                <w:color w:val="auto"/>
                <w:kern w:val="0"/>
                <w:sz w:val="22"/>
                <w:szCs w:val="22"/>
                <w:highlight w:val="none"/>
                <w:lang w:val="en-US" w:eastAsia="zh-CN"/>
              </w:rPr>
              <w:t>15</w:t>
            </w:r>
          </w:p>
        </w:tc>
      </w:tr>
      <w:tr w14:paraId="7030A1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tcBorders>
              <w:tl2br w:val="nil"/>
              <w:tr2bl w:val="nil"/>
            </w:tcBorders>
            <w:shd w:val="clear" w:color="auto" w:fill="auto"/>
            <w:vAlign w:val="center"/>
          </w:tcPr>
          <w:p w14:paraId="7F362DC8">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合计</w:t>
            </w:r>
          </w:p>
        </w:tc>
        <w:tc>
          <w:tcPr>
            <w:tcW w:w="7821" w:type="dxa"/>
            <w:tcBorders>
              <w:tl2br w:val="nil"/>
              <w:tr2bl w:val="nil"/>
            </w:tcBorders>
            <w:shd w:val="clear" w:color="auto" w:fill="auto"/>
            <w:vAlign w:val="center"/>
          </w:tcPr>
          <w:p w14:paraId="66699B98">
            <w:pPr>
              <w:keepNext w:val="0"/>
              <w:keepLines w:val="0"/>
              <w:widowControl/>
              <w:suppressLineNumbers w:val="0"/>
              <w:spacing w:before="0" w:beforeAutospacing="0" w:after="0" w:afterAutospacing="0" w:line="0" w:lineRule="atLeast"/>
              <w:ind w:left="0" w:right="0" w:firstLine="0" w:firstLineChars="0"/>
              <w:jc w:val="both"/>
              <w:rPr>
                <w:rFonts w:hint="eastAsia" w:ascii="宋体" w:hAnsi="宋体" w:eastAsia="宋体" w:cs="宋体"/>
                <w:color w:val="auto"/>
                <w:kern w:val="0"/>
                <w:sz w:val="22"/>
                <w:szCs w:val="22"/>
                <w:highlight w:val="none"/>
              </w:rPr>
            </w:pPr>
          </w:p>
        </w:tc>
        <w:tc>
          <w:tcPr>
            <w:tcW w:w="785" w:type="dxa"/>
            <w:tcBorders>
              <w:tl2br w:val="nil"/>
              <w:tr2bl w:val="nil"/>
            </w:tcBorders>
            <w:shd w:val="clear" w:color="auto" w:fill="auto"/>
            <w:vAlign w:val="center"/>
          </w:tcPr>
          <w:p w14:paraId="352AC9F0">
            <w:pPr>
              <w:keepNext w:val="0"/>
              <w:keepLines w:val="0"/>
              <w:widowControl/>
              <w:suppressLineNumbers w:val="0"/>
              <w:spacing w:before="0" w:beforeAutospacing="0" w:after="0" w:afterAutospacing="0" w:line="0" w:lineRule="atLeast"/>
              <w:ind w:left="0" w:right="0"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bidi="ar"/>
              </w:rPr>
              <w:t>100</w:t>
            </w:r>
          </w:p>
        </w:tc>
        <w:tc>
          <w:tcPr>
            <w:tcW w:w="769" w:type="dxa"/>
            <w:tcBorders>
              <w:tl2br w:val="nil"/>
              <w:tr2bl w:val="nil"/>
            </w:tcBorders>
            <w:shd w:val="clear" w:color="auto" w:fill="auto"/>
            <w:vAlign w:val="center"/>
          </w:tcPr>
          <w:p w14:paraId="6C2945FF">
            <w:pPr>
              <w:keepNext w:val="0"/>
              <w:keepLines w:val="0"/>
              <w:widowControl/>
              <w:suppressLineNumbers w:val="0"/>
              <w:spacing w:before="0" w:beforeAutospacing="0" w:after="0" w:afterAutospacing="0" w:line="0" w:lineRule="atLeast"/>
              <w:ind w:left="0" w:right="0" w:firstLine="0" w:firstLineChars="0"/>
              <w:jc w:val="both"/>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99.6</w:t>
            </w:r>
          </w:p>
        </w:tc>
      </w:tr>
    </w:tbl>
    <w:p w14:paraId="06D941D9">
      <w:pPr>
        <w:keepNext w:val="0"/>
        <w:keepLines w:val="0"/>
        <w:widowControl w:val="0"/>
        <w:suppressLineNumbers w:val="0"/>
        <w:spacing w:before="0" w:beforeAutospacing="0" w:after="0" w:afterAutospacing="0" w:line="360" w:lineRule="auto"/>
        <w:ind w:left="0" w:right="0" w:firstLine="0" w:firstLineChars="0"/>
        <w:jc w:val="both"/>
        <w:rPr>
          <w:rFonts w:hint="eastAsia" w:ascii="宋体" w:hAnsi="宋体" w:eastAsia="宋体" w:cs="宋体"/>
          <w:kern w:val="2"/>
          <w:sz w:val="28"/>
          <w:szCs w:val="28"/>
        </w:rPr>
      </w:pPr>
    </w:p>
    <w:p w14:paraId="4F8BA7ED"/>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33BEC1"/>
    <w:multiLevelType w:val="multilevel"/>
    <w:tmpl w:val="9933BEC1"/>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000000"/>
    <w:rsid w:val="06DA4BFF"/>
    <w:rsid w:val="07271E48"/>
    <w:rsid w:val="0732481F"/>
    <w:rsid w:val="07FF538C"/>
    <w:rsid w:val="08326375"/>
    <w:rsid w:val="0D605732"/>
    <w:rsid w:val="0F494099"/>
    <w:rsid w:val="1006602F"/>
    <w:rsid w:val="123F78A3"/>
    <w:rsid w:val="13BD1989"/>
    <w:rsid w:val="1C303687"/>
    <w:rsid w:val="1DB768D9"/>
    <w:rsid w:val="1F6D3CAF"/>
    <w:rsid w:val="205253AE"/>
    <w:rsid w:val="22B85EED"/>
    <w:rsid w:val="24973CD7"/>
    <w:rsid w:val="26BA2002"/>
    <w:rsid w:val="286F2FA1"/>
    <w:rsid w:val="2D3C2DC7"/>
    <w:rsid w:val="31D12794"/>
    <w:rsid w:val="35915709"/>
    <w:rsid w:val="378B15C0"/>
    <w:rsid w:val="3B584917"/>
    <w:rsid w:val="3DB77C7F"/>
    <w:rsid w:val="3DBF3C2B"/>
    <w:rsid w:val="3DDF607B"/>
    <w:rsid w:val="40D12D69"/>
    <w:rsid w:val="45C4765C"/>
    <w:rsid w:val="46F95CAE"/>
    <w:rsid w:val="47C33781"/>
    <w:rsid w:val="54041F40"/>
    <w:rsid w:val="54EE5048"/>
    <w:rsid w:val="5C1727BD"/>
    <w:rsid w:val="5C1B1279"/>
    <w:rsid w:val="5DBE75CC"/>
    <w:rsid w:val="5E9F4950"/>
    <w:rsid w:val="5FA34D03"/>
    <w:rsid w:val="63E42BAD"/>
    <w:rsid w:val="669B4986"/>
    <w:rsid w:val="67702A35"/>
    <w:rsid w:val="6905548C"/>
    <w:rsid w:val="6BA8544F"/>
    <w:rsid w:val="6C24348D"/>
    <w:rsid w:val="71A870B5"/>
    <w:rsid w:val="734D4114"/>
    <w:rsid w:val="760B6D06"/>
    <w:rsid w:val="7C4456DF"/>
    <w:rsid w:val="7CBC398B"/>
    <w:rsid w:val="7D76010D"/>
    <w:rsid w:val="7FB80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val="0"/>
      <w:suppressLineNumbers w:val="0"/>
      <w:spacing w:before="0" w:beforeLines="0" w:beforeAutospacing="0" w:after="0" w:afterLines="0" w:afterAutospacing="0" w:line="560" w:lineRule="exact"/>
      <w:ind w:firstLine="964" w:firstLineChars="200"/>
      <w:jc w:val="both"/>
      <w:outlineLvl w:val="0"/>
    </w:pPr>
    <w:rPr>
      <w:rFonts w:hint="default" w:ascii="Times New Roman" w:hAnsi="Times New Roman" w:eastAsia="黑体" w:cs="宋体"/>
      <w:b/>
      <w:kern w:val="44"/>
      <w:sz w:val="32"/>
      <w:szCs w:val="32"/>
      <w:lang w:val="en-US" w:eastAsia="zh-CN" w:bidi="ar"/>
    </w:rPr>
  </w:style>
  <w:style w:type="paragraph" w:styleId="3">
    <w:name w:val="heading 2"/>
    <w:basedOn w:val="1"/>
    <w:next w:val="1"/>
    <w:autoRedefine/>
    <w:semiHidden/>
    <w:unhideWhenUsed/>
    <w:qFormat/>
    <w:uiPriority w:val="0"/>
    <w:pPr>
      <w:keepNext/>
      <w:keepLines/>
      <w:widowControl w:val="0"/>
      <w:suppressLineNumbers w:val="0"/>
      <w:spacing w:before="0" w:beforeLines="0" w:beforeAutospacing="0" w:after="0" w:afterLines="0" w:afterAutospacing="0" w:line="560" w:lineRule="exact"/>
      <w:ind w:firstLine="964" w:firstLineChars="200"/>
      <w:jc w:val="both"/>
      <w:outlineLvl w:val="1"/>
    </w:pPr>
    <w:rPr>
      <w:rFonts w:hint="default" w:ascii="Arial" w:hAnsi="Arial" w:eastAsia="楷体" w:cs="宋体"/>
      <w:b/>
      <w:kern w:val="2"/>
      <w:sz w:val="32"/>
      <w:szCs w:val="32"/>
      <w:lang w:val="en-US" w:eastAsia="zh-CN" w:bidi="ar"/>
    </w:rPr>
  </w:style>
  <w:style w:type="paragraph" w:styleId="4">
    <w:name w:val="heading 3"/>
    <w:basedOn w:val="1"/>
    <w:next w:val="1"/>
    <w:autoRedefine/>
    <w:semiHidden/>
    <w:unhideWhenUsed/>
    <w:qFormat/>
    <w:uiPriority w:val="0"/>
    <w:pPr>
      <w:keepNext/>
      <w:keepLines/>
      <w:widowControl w:val="0"/>
      <w:suppressLineNumbers w:val="0"/>
      <w:spacing w:before="0" w:beforeAutospacing="0" w:after="0" w:afterAutospacing="0" w:line="560" w:lineRule="exact"/>
      <w:ind w:left="0" w:right="0" w:firstLine="883" w:firstLineChars="200"/>
      <w:jc w:val="both"/>
      <w:outlineLvl w:val="2"/>
    </w:pPr>
    <w:rPr>
      <w:rFonts w:hint="eastAsia" w:ascii="仿宋_GB2312" w:hAnsi="宋体" w:eastAsia="仿宋_GB2312" w:cs="宋体"/>
      <w:b/>
      <w:kern w:val="0"/>
      <w:sz w:val="28"/>
      <w:szCs w:val="28"/>
      <w:lang w:val="en-US" w:eastAsia="zh-CN" w:bidi="ar"/>
    </w:rPr>
  </w:style>
  <w:style w:type="character" w:default="1" w:styleId="9">
    <w:name w:val="Default Paragraph Font"/>
    <w:semiHidden/>
    <w:qFormat/>
    <w:uiPriority w:val="0"/>
  </w:style>
  <w:style w:type="table" w:default="1" w:styleId="8">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annotation text"/>
    <w:basedOn w:val="1"/>
    <w:autoRedefine/>
    <w:qFormat/>
    <w:uiPriority w:val="0"/>
    <w:pPr>
      <w:keepNext w:val="0"/>
      <w:keepLines w:val="0"/>
      <w:widowControl w:val="0"/>
      <w:suppressLineNumbers w:val="0"/>
      <w:spacing w:before="0" w:beforeAutospacing="0" w:after="0" w:afterAutospacing="0" w:line="360" w:lineRule="auto"/>
      <w:ind w:left="0" w:right="0" w:firstLine="723" w:firstLineChars="200"/>
      <w:jc w:val="left"/>
    </w:pPr>
    <w:rPr>
      <w:rFonts w:hint="eastAsia" w:ascii="宋体" w:hAnsi="宋体" w:eastAsia="宋体" w:cs="宋体"/>
      <w:kern w:val="2"/>
      <w:sz w:val="28"/>
      <w:szCs w:val="28"/>
      <w:lang w:val="en-US" w:eastAsia="zh-CN" w:bidi="ar"/>
    </w:rPr>
  </w:style>
  <w:style w:type="paragraph" w:styleId="6">
    <w:name w:val="Normal (Web)"/>
    <w:basedOn w:val="1"/>
    <w:autoRedefine/>
    <w:qFormat/>
    <w:uiPriority w:val="0"/>
    <w:rPr>
      <w:sz w:val="24"/>
    </w:rPr>
  </w:style>
  <w:style w:type="paragraph" w:styleId="7">
    <w:name w:val="Title"/>
    <w:basedOn w:val="1"/>
    <w:autoRedefine/>
    <w:qFormat/>
    <w:uiPriority w:val="0"/>
    <w:pPr>
      <w:keepNext w:val="0"/>
      <w:keepLines w:val="0"/>
      <w:widowControl w:val="0"/>
      <w:suppressLineNumbers w:val="0"/>
      <w:spacing w:before="240" w:beforeLines="0" w:beforeAutospacing="0" w:after="60" w:afterLines="0" w:afterAutospacing="0" w:line="360" w:lineRule="auto"/>
      <w:ind w:firstLine="723" w:firstLineChars="200"/>
      <w:jc w:val="left"/>
      <w:outlineLvl w:val="0"/>
    </w:pPr>
    <w:rPr>
      <w:rFonts w:hint="default" w:ascii="MS Sans Serif" w:hAnsi="MS Sans Serif" w:eastAsia="宋体" w:cs="MS Sans Serif"/>
      <w:b/>
      <w:kern w:val="2"/>
      <w:sz w:val="24"/>
      <w:szCs w:val="24"/>
      <w:lang w:val="en-US" w:eastAsia="zh-CN" w:bidi="ar"/>
    </w:rPr>
  </w:style>
  <w:style w:type="character" w:styleId="10">
    <w:name w:val="Hyperlink"/>
    <w:basedOn w:val="9"/>
    <w:autoRedefine/>
    <w:qFormat/>
    <w:uiPriority w:val="0"/>
    <w:rPr>
      <w:color w:val="0000FF"/>
      <w:u w:val="single"/>
    </w:rPr>
  </w:style>
  <w:style w:type="paragraph" w:customStyle="1" w:styleId="11">
    <w:name w:val="WPSOffice手动目录 2"/>
    <w:basedOn w:val="1"/>
    <w:autoRedefine/>
    <w:qFormat/>
    <w:uiPriority w:val="0"/>
    <w:pPr>
      <w:widowControl/>
      <w:spacing w:line="240" w:lineRule="auto"/>
      <w:ind w:leftChars="200" w:firstLine="0" w:firstLineChars="0"/>
      <w:jc w:val="left"/>
    </w:pPr>
    <w:rPr>
      <w:rFonts w:hint="default" w:ascii="Times New Roman" w:hAnsi="Times New Roman" w:eastAsia="宋体" w:cs="Times New Roman"/>
      <w:kern w:val="0"/>
      <w:sz w:val="20"/>
      <w:szCs w:val="20"/>
      <w:lang w:val="en-US" w:eastAsia="zh-CN" w:bidi="ar"/>
    </w:rPr>
  </w:style>
  <w:style w:type="paragraph" w:customStyle="1" w:styleId="12">
    <w:name w:val="WPSOffice手动目录 3"/>
    <w:basedOn w:val="1"/>
    <w:autoRedefine/>
    <w:qFormat/>
    <w:uiPriority w:val="0"/>
    <w:pPr>
      <w:widowControl/>
      <w:spacing w:line="240" w:lineRule="auto"/>
      <w:ind w:leftChars="400" w:firstLine="0" w:firstLineChars="0"/>
      <w:jc w:val="left"/>
    </w:pPr>
    <w:rPr>
      <w:rFonts w:hint="default" w:ascii="Times New Roman" w:hAnsi="Times New Roman" w:eastAsia="宋体" w:cs="Times New Roman"/>
      <w:kern w:val="0"/>
      <w:sz w:val="20"/>
      <w:szCs w:val="20"/>
      <w:lang w:val="en-US" w:eastAsia="zh-CN" w:bidi="ar"/>
    </w:rPr>
  </w:style>
  <w:style w:type="paragraph" w:customStyle="1" w:styleId="13">
    <w:name w:val="WPSOffice手动目录 1"/>
    <w:basedOn w:val="1"/>
    <w:autoRedefine/>
    <w:qFormat/>
    <w:uiPriority w:val="0"/>
    <w:pPr>
      <w:widowControl/>
      <w:spacing w:line="240" w:lineRule="auto"/>
      <w:ind w:leftChars="0" w:firstLine="0" w:firstLineChars="0"/>
      <w:jc w:val="left"/>
    </w:pPr>
    <w:rPr>
      <w:rFonts w:hint="default" w:ascii="Times New Roman" w:hAnsi="Times New Roman" w:eastAsia="宋体" w:cs="Times New Roman"/>
      <w:kern w:val="0"/>
      <w:sz w:val="20"/>
      <w:szCs w:val="20"/>
      <w:lang w:val="en-US" w:eastAsia="zh-CN" w:bidi="ar"/>
    </w:rPr>
  </w:style>
  <w:style w:type="character" w:customStyle="1" w:styleId="14">
    <w:name w:val="font51"/>
    <w:basedOn w:val="9"/>
    <w:autoRedefine/>
    <w:qFormat/>
    <w:uiPriority w:val="0"/>
    <w:rPr>
      <w:rFonts w:hint="eastAsia" w:ascii="宋体" w:hAnsi="宋体" w:eastAsia="宋体" w:cs="宋体"/>
      <w:color w:val="FF0000"/>
      <w:sz w:val="20"/>
      <w:szCs w:val="20"/>
      <w:u w:val="none"/>
    </w:rPr>
  </w:style>
  <w:style w:type="character" w:customStyle="1" w:styleId="15">
    <w:name w:val="font41"/>
    <w:basedOn w:val="9"/>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9143</Words>
  <Characters>9718</Characters>
  <Lines>0</Lines>
  <Paragraphs>0</Paragraphs>
  <TotalTime>3</TotalTime>
  <ScaleCrop>false</ScaleCrop>
  <LinksUpToDate>false</LinksUpToDate>
  <CharactersWithSpaces>9786</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2024-04-26T09:51:00Z</dcterms:created>
  <dc:creator>admin</dc:creator>
  <cp:lastModifiedBy>想不到的瑞</cp:lastModifiedBy>
  <dcterms:modified xsi:type="dcterms:W3CDTF">2024-10-10T06:36:39Z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9046205BFC404158BD450DFF52DF6AC8_12</vt:lpwstr>
  </property>
</Properties>
</file>