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kinsoku/>
        <w:wordWrap/>
        <w:overflowPunct/>
        <w:topLinePunct w:val="0"/>
        <w:autoSpaceDE/>
        <w:autoSpaceDN/>
        <w:bidi w:val="0"/>
        <w:adjustRightInd/>
        <w:spacing w:line="360" w:lineRule="auto"/>
        <w:ind w:firstLine="1142" w:firstLineChars="316"/>
        <w:jc w:val="center"/>
        <w:textAlignment w:val="auto"/>
        <w:rPr>
          <w:rFonts w:hint="eastAsia" w:ascii="宋体" w:hAnsi="宋体" w:eastAsia="宋体" w:cs="宋体"/>
          <w:b/>
          <w:bCs/>
          <w:color w:val="000000" w:themeColor="text1"/>
          <w:sz w:val="36"/>
          <w:szCs w:val="36"/>
          <w:highlight w:val="none"/>
          <w:shd w:val="clear" w:color="auto" w:fill="auto"/>
          <w14:textFill>
            <w14:solidFill>
              <w14:schemeClr w14:val="tx1"/>
            </w14:solidFill>
          </w14:textFill>
        </w:rPr>
      </w:pPr>
      <w:bookmarkStart w:id="89" w:name="_GoBack"/>
      <w:bookmarkEnd w:id="89"/>
    </w:p>
    <w:p>
      <w:pPr>
        <w:pageBreakBefore w:val="0"/>
        <w:kinsoku/>
        <w:wordWrap/>
        <w:overflowPunct/>
        <w:topLinePunct w:val="0"/>
        <w:autoSpaceDE/>
        <w:autoSpaceDN/>
        <w:bidi w:val="0"/>
        <w:adjustRightInd/>
        <w:spacing w:line="360" w:lineRule="auto"/>
        <w:jc w:val="center"/>
        <w:textAlignment w:val="auto"/>
        <w:rPr>
          <w:rFonts w:hint="eastAsia" w:ascii="宋体" w:hAnsi="宋体" w:eastAsia="宋体" w:cs="宋体"/>
          <w:b/>
          <w:bCs/>
          <w:color w:val="000000" w:themeColor="text1"/>
          <w:sz w:val="36"/>
          <w:szCs w:val="36"/>
          <w:highlight w:val="none"/>
          <w:shd w:val="clear" w:color="auto" w:fill="auto"/>
          <w14:textFill>
            <w14:solidFill>
              <w14:schemeClr w14:val="tx1"/>
            </w14:solidFill>
          </w14:textFill>
        </w:rPr>
      </w:pPr>
    </w:p>
    <w:p>
      <w:pPr>
        <w:pageBreakBefore w:val="0"/>
        <w:kinsoku/>
        <w:wordWrap/>
        <w:overflowPunct/>
        <w:topLinePunct w:val="0"/>
        <w:autoSpaceDE/>
        <w:autoSpaceDN/>
        <w:bidi w:val="0"/>
        <w:adjustRightInd/>
        <w:spacing w:line="360" w:lineRule="auto"/>
        <w:jc w:val="center"/>
        <w:textAlignment w:val="auto"/>
        <w:rPr>
          <w:rFonts w:hint="eastAsia" w:ascii="宋体" w:hAnsi="宋体" w:eastAsia="宋体" w:cs="宋体"/>
          <w:b/>
          <w:bCs/>
          <w:color w:val="000000" w:themeColor="text1"/>
          <w:sz w:val="36"/>
          <w:szCs w:val="36"/>
          <w:highlight w:val="none"/>
          <w:shd w:val="clear" w:color="auto" w:fill="auto"/>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宋体" w:hAnsi="宋体" w:eastAsia="宋体" w:cs="宋体"/>
          <w:b/>
          <w:bCs/>
          <w:color w:val="000000" w:themeColor="text1"/>
          <w:sz w:val="40"/>
          <w:szCs w:val="40"/>
          <w:highlight w:val="none"/>
          <w:shd w:val="clear" w:color="auto" w:fill="auto"/>
          <w14:textFill>
            <w14:solidFill>
              <w14:schemeClr w14:val="tx1"/>
            </w14:solidFill>
          </w14:textFill>
        </w:rPr>
      </w:pPr>
      <w:bookmarkStart w:id="0" w:name="_Toc15679"/>
      <w:r>
        <w:rPr>
          <w:rFonts w:hint="eastAsia" w:ascii="宋体" w:hAnsi="宋体" w:eastAsia="宋体" w:cs="宋体"/>
          <w:b/>
          <w:bCs/>
          <w:color w:val="000000" w:themeColor="text1"/>
          <w:sz w:val="40"/>
          <w:szCs w:val="40"/>
          <w:highlight w:val="none"/>
          <w:shd w:val="clear" w:color="auto" w:fill="auto"/>
          <w:lang w:val="en-US" w:eastAsia="zh-CN"/>
          <w14:textFill>
            <w14:solidFill>
              <w14:schemeClr w14:val="tx1"/>
            </w14:solidFill>
          </w14:textFill>
        </w:rPr>
        <w:t>2023年高龄津贴及体检费项目</w:t>
      </w:r>
      <w:r>
        <w:rPr>
          <w:rFonts w:hint="eastAsia" w:ascii="宋体" w:hAnsi="宋体" w:eastAsia="宋体" w:cs="宋体"/>
          <w:b/>
          <w:bCs/>
          <w:color w:val="000000" w:themeColor="text1"/>
          <w:sz w:val="40"/>
          <w:szCs w:val="40"/>
          <w:highlight w:val="none"/>
          <w:shd w:val="clear" w:color="auto" w:fill="auto"/>
          <w14:textFill>
            <w14:solidFill>
              <w14:schemeClr w14:val="tx1"/>
            </w14:solidFill>
          </w14:textFill>
        </w:rPr>
        <w:t>支出绩效评价报告</w:t>
      </w:r>
      <w:bookmarkEnd w:id="0"/>
    </w:p>
    <w:p>
      <w:pPr>
        <w:keepNext w:val="0"/>
        <w:keepLines w:val="0"/>
        <w:pageBreakBefore w:val="0"/>
        <w:widowControl w:val="0"/>
        <w:kinsoku/>
        <w:wordWrap/>
        <w:overflowPunct/>
        <w:topLinePunct w:val="0"/>
        <w:autoSpaceDE/>
        <w:autoSpaceDN/>
        <w:bidi w:val="0"/>
        <w:adjustRightInd/>
        <w:snapToGrid/>
        <w:spacing w:line="360" w:lineRule="auto"/>
        <w:ind w:firstLine="723" w:firstLineChars="200"/>
        <w:jc w:val="center"/>
        <w:textAlignment w:val="auto"/>
        <w:rPr>
          <w:rFonts w:hint="eastAsia" w:ascii="宋体" w:hAnsi="宋体" w:eastAsia="宋体" w:cs="宋体"/>
          <w:b/>
          <w:bCs/>
          <w:color w:val="000000" w:themeColor="text1"/>
          <w:sz w:val="36"/>
          <w:szCs w:val="36"/>
          <w:highlight w:val="none"/>
          <w:shd w:val="clear" w:color="auto" w:fill="auto"/>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000000" w:themeColor="text1"/>
          <w:sz w:val="36"/>
          <w:szCs w:val="36"/>
          <w:highlight w:val="none"/>
          <w:shd w:val="clear" w:color="auto" w:fill="auto"/>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000000" w:themeColor="text1"/>
          <w:sz w:val="36"/>
          <w:szCs w:val="36"/>
          <w:highlight w:val="none"/>
          <w:shd w:val="clear" w:color="auto" w:fill="auto"/>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000000" w:themeColor="text1"/>
          <w:sz w:val="36"/>
          <w:szCs w:val="36"/>
          <w:highlight w:val="none"/>
          <w:shd w:val="clear" w:color="auto" w:fill="auto"/>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000000" w:themeColor="text1"/>
          <w:sz w:val="36"/>
          <w:szCs w:val="36"/>
          <w:highlight w:val="none"/>
          <w:shd w:val="clear" w:color="auto" w:fill="auto"/>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000000" w:themeColor="text1"/>
          <w:sz w:val="36"/>
          <w:szCs w:val="36"/>
          <w:highlight w:val="none"/>
          <w:shd w:val="clear" w:color="auto" w:fill="auto"/>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60" w:lineRule="auto"/>
        <w:ind w:firstLine="723" w:firstLineChars="200"/>
        <w:jc w:val="center"/>
        <w:textAlignment w:val="auto"/>
        <w:rPr>
          <w:rFonts w:hint="eastAsia" w:ascii="宋体" w:hAnsi="宋体" w:eastAsia="宋体" w:cs="宋体"/>
          <w:b/>
          <w:bCs/>
          <w:color w:val="000000" w:themeColor="text1"/>
          <w:sz w:val="36"/>
          <w:szCs w:val="36"/>
          <w:highlight w:val="none"/>
          <w:shd w:val="clear" w:color="auto" w:fill="auto"/>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eastAsia" w:ascii="宋体" w:hAnsi="宋体" w:eastAsia="宋体" w:cs="宋体"/>
          <w:b/>
          <w:color w:val="000000" w:themeColor="text1"/>
          <w:kern w:val="2"/>
          <w:sz w:val="28"/>
          <w:szCs w:val="28"/>
          <w:highlight w:val="none"/>
          <w:shd w:val="clear" w:color="auto" w:fill="auto"/>
          <w:lang w:val="en-US" w:eastAsia="zh-CN"/>
          <w14:textFill>
            <w14:solidFill>
              <w14:schemeClr w14:val="tx1"/>
            </w14:solidFill>
          </w14:textFill>
        </w:rPr>
      </w:pPr>
      <w:r>
        <w:rPr>
          <w:rFonts w:hint="eastAsia" w:ascii="宋体" w:hAnsi="宋体" w:eastAsia="宋体" w:cs="宋体"/>
          <w:b/>
          <w:color w:val="000000" w:themeColor="text1"/>
          <w:kern w:val="2"/>
          <w:sz w:val="28"/>
          <w:szCs w:val="28"/>
          <w:highlight w:val="none"/>
          <w:shd w:val="clear" w:color="auto" w:fill="auto"/>
          <w:lang w:val="en-US" w:eastAsia="zh-CN"/>
          <w14:textFill>
            <w14:solidFill>
              <w14:schemeClr w14:val="tx1"/>
            </w14:solidFill>
          </w14:textFill>
        </w:rPr>
        <w:t>项目名称：2023年高龄津贴及体检费</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eastAsia" w:ascii="宋体" w:hAnsi="宋体" w:eastAsia="宋体" w:cs="宋体"/>
          <w:b/>
          <w:color w:val="000000" w:themeColor="text1"/>
          <w:kern w:val="2"/>
          <w:sz w:val="28"/>
          <w:szCs w:val="28"/>
          <w:highlight w:val="none"/>
          <w:shd w:val="clear" w:color="auto" w:fill="auto"/>
          <w:lang w:val="en-US" w:eastAsia="zh-CN"/>
          <w14:textFill>
            <w14:solidFill>
              <w14:schemeClr w14:val="tx1"/>
            </w14:solidFill>
          </w14:textFill>
        </w:rPr>
      </w:pPr>
      <w:r>
        <w:rPr>
          <w:rFonts w:hint="eastAsia" w:ascii="宋体" w:hAnsi="宋体" w:eastAsia="宋体" w:cs="宋体"/>
          <w:b/>
          <w:color w:val="000000" w:themeColor="text1"/>
          <w:kern w:val="2"/>
          <w:sz w:val="28"/>
          <w:szCs w:val="28"/>
          <w:highlight w:val="none"/>
          <w:shd w:val="clear" w:color="auto" w:fill="auto"/>
          <w:lang w:val="en-US" w:eastAsia="zh-CN"/>
          <w14:textFill>
            <w14:solidFill>
              <w14:schemeClr w14:val="tx1"/>
            </w14:solidFill>
          </w14:textFill>
        </w:rPr>
        <w:t>实施单位：</w:t>
      </w:r>
      <w:r>
        <w:rPr>
          <w:rFonts w:hint="eastAsia" w:cs="宋体"/>
          <w:b/>
          <w:color w:val="000000" w:themeColor="text1"/>
          <w:kern w:val="2"/>
          <w:sz w:val="28"/>
          <w:szCs w:val="28"/>
          <w:highlight w:val="none"/>
          <w:shd w:val="clear" w:color="auto" w:fill="auto"/>
          <w:lang w:val="en-US" w:eastAsia="zh-CN"/>
          <w14:textFill>
            <w14:solidFill>
              <w14:schemeClr w14:val="tx1"/>
            </w14:solidFill>
          </w14:textFill>
        </w:rPr>
        <w:t>阜康市民政局</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eastAsia" w:ascii="宋体" w:hAnsi="宋体" w:eastAsia="宋体" w:cs="宋体"/>
          <w:b/>
          <w:color w:val="000000" w:themeColor="text1"/>
          <w:kern w:val="2"/>
          <w:sz w:val="28"/>
          <w:szCs w:val="28"/>
          <w:highlight w:val="none"/>
          <w:shd w:val="clear" w:color="auto" w:fill="auto"/>
          <w:lang w:val="en-US" w:eastAsia="zh-CN"/>
          <w14:textFill>
            <w14:solidFill>
              <w14:schemeClr w14:val="tx1"/>
            </w14:solidFill>
          </w14:textFill>
        </w:rPr>
      </w:pPr>
      <w:r>
        <w:rPr>
          <w:rFonts w:hint="eastAsia" w:ascii="宋体" w:hAnsi="宋体" w:eastAsia="宋体" w:cs="宋体"/>
          <w:b/>
          <w:color w:val="000000" w:themeColor="text1"/>
          <w:kern w:val="2"/>
          <w:sz w:val="28"/>
          <w:szCs w:val="28"/>
          <w:highlight w:val="none"/>
          <w:shd w:val="clear" w:color="auto" w:fill="auto"/>
          <w:lang w:val="en-US" w:eastAsia="zh-CN"/>
          <w14:textFill>
            <w14:solidFill>
              <w14:schemeClr w14:val="tx1"/>
            </w14:solidFill>
          </w14:textFill>
        </w:rPr>
        <w:t>主管部门：</w:t>
      </w:r>
      <w:r>
        <w:rPr>
          <w:rFonts w:hint="eastAsia" w:cs="宋体"/>
          <w:b/>
          <w:color w:val="000000" w:themeColor="text1"/>
          <w:kern w:val="2"/>
          <w:sz w:val="28"/>
          <w:szCs w:val="28"/>
          <w:highlight w:val="none"/>
          <w:shd w:val="clear" w:color="auto" w:fill="auto"/>
          <w:lang w:val="en-US" w:eastAsia="zh-CN"/>
          <w14:textFill>
            <w14:solidFill>
              <w14:schemeClr w14:val="tx1"/>
            </w14:solidFill>
          </w14:textFill>
        </w:rPr>
        <w:t>阜康市民政局</w:t>
      </w:r>
    </w:p>
    <w:p>
      <w:pPr>
        <w:pStyle w:val="10"/>
        <w:outlineLvl w:val="9"/>
        <w:rPr>
          <w:rFonts w:hint="eastAsia" w:ascii="宋体" w:hAnsi="宋体" w:eastAsia="宋体" w:cs="宋体"/>
          <w:b/>
          <w:color w:val="000000" w:themeColor="text1"/>
          <w:kern w:val="2"/>
          <w:sz w:val="28"/>
          <w:szCs w:val="28"/>
          <w:highlight w:val="none"/>
          <w:shd w:val="clear" w:color="auto" w:fill="auto"/>
          <w:lang w:val="en-US" w:eastAsia="zh-CN"/>
          <w14:textFill>
            <w14:solidFill>
              <w14:schemeClr w14:val="tx1"/>
            </w14:solidFill>
          </w14:textFill>
        </w:rPr>
      </w:pPr>
    </w:p>
    <w:p>
      <w:pPr>
        <w:rPr>
          <w:rFonts w:hint="eastAsia"/>
          <w:lang w:val="en-US" w:eastAsia="zh-CN"/>
        </w:rPr>
      </w:pPr>
      <w:r>
        <w:rPr>
          <w:rFonts w:hint="eastAsia"/>
          <w:lang w:val="en-US" w:eastAsia="zh-CN"/>
        </w:rPr>
        <w:br w:type="page"/>
      </w:r>
    </w:p>
    <w:p>
      <w:pPr>
        <w:rPr>
          <w:rFonts w:hint="eastAsia"/>
          <w:lang w:val="en-US" w:eastAsia="zh-CN"/>
        </w:rPr>
      </w:pPr>
    </w:p>
    <w:sdt>
      <w:sdtPr>
        <w:rPr>
          <w:rFonts w:ascii="宋体" w:hAnsi="宋体" w:eastAsia="宋体" w:cs="宋体"/>
          <w:b/>
          <w:bCs/>
          <w:kern w:val="2"/>
          <w:sz w:val="28"/>
          <w:szCs w:val="40"/>
          <w:lang w:val="en-US" w:eastAsia="zh-CN" w:bidi="ar-SA"/>
        </w:rPr>
        <w:id w:val="147474046"/>
        <w15:color w:val="DBDBDB"/>
        <w:docPartObj>
          <w:docPartGallery w:val="Table of Contents"/>
          <w:docPartUnique/>
        </w:docPartObj>
      </w:sdtPr>
      <w:sdtEndPr>
        <w:rPr>
          <w:rFonts w:hint="eastAsia" w:ascii="宋体" w:hAnsi="宋体" w:eastAsia="宋体" w:cs="宋体"/>
          <w:b/>
          <w:bCs/>
          <w:kern w:val="2"/>
          <w:sz w:val="28"/>
          <w:szCs w:val="28"/>
          <w:lang w:val="en-US" w:eastAsia="zh-CN" w:bidi="ar-SA"/>
        </w:rPr>
      </w:sdtEndPr>
      <w:sdtContent>
        <w:p>
          <w:pPr>
            <w:keepNext w:val="0"/>
            <w:keepLines w:val="0"/>
            <w:pageBreakBefore w:val="0"/>
            <w:shd w:val="clear"/>
            <w:kinsoku/>
            <w:wordWrap/>
            <w:overflowPunct/>
            <w:topLinePunct w:val="0"/>
            <w:autoSpaceDE/>
            <w:autoSpaceDN/>
            <w:bidi w:val="0"/>
            <w:adjustRightInd/>
            <w:snapToGrid/>
            <w:spacing w:before="0" w:beforeLines="0" w:after="0" w:afterLines="0" w:line="520" w:lineRule="exact"/>
            <w:ind w:left="0" w:leftChars="0" w:right="0" w:rightChars="0" w:firstLine="0" w:firstLineChars="0"/>
            <w:jc w:val="center"/>
            <w:textAlignment w:val="auto"/>
            <w:rPr>
              <w:b/>
              <w:bCs/>
              <w:sz w:val="40"/>
              <w:szCs w:val="40"/>
            </w:rPr>
          </w:pPr>
          <w:r>
            <w:rPr>
              <w:rFonts w:ascii="宋体" w:hAnsi="宋体" w:eastAsia="宋体"/>
              <w:b/>
              <w:bCs/>
              <w:sz w:val="40"/>
              <w:szCs w:val="40"/>
            </w:rPr>
            <w:t>目录</w:t>
          </w:r>
        </w:p>
        <w:p>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sz w:val="28"/>
              <w:szCs w:val="28"/>
            </w:rPr>
          </w:pPr>
          <w:r>
            <w:rPr>
              <w:rFonts w:hint="eastAsia"/>
              <w:sz w:val="28"/>
              <w:szCs w:val="28"/>
              <w:lang w:val="en-US" w:eastAsia="zh-CN"/>
            </w:rPr>
            <w:fldChar w:fldCharType="begin"/>
          </w:r>
          <w:r>
            <w:rPr>
              <w:rFonts w:hint="eastAsia"/>
              <w:sz w:val="28"/>
              <w:szCs w:val="28"/>
              <w:lang w:val="en-US" w:eastAsia="zh-CN"/>
            </w:rPr>
            <w:instrText xml:space="preserve">TOC \o "1-3" \h \u </w:instrText>
          </w:r>
          <w:r>
            <w:rPr>
              <w:rFonts w:hint="eastAsia"/>
              <w:sz w:val="28"/>
              <w:szCs w:val="28"/>
              <w:lang w:val="en-US" w:eastAsia="zh-CN"/>
            </w:rPr>
            <w:fldChar w:fldCharType="separate"/>
          </w:r>
        </w:p>
        <w:p>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sz w:val="28"/>
              <w:szCs w:val="28"/>
            </w:rPr>
          </w:pPr>
          <w:r>
            <w:rPr>
              <w:rFonts w:hint="eastAsia"/>
              <w:b/>
              <w:bCs/>
              <w:sz w:val="28"/>
              <w:szCs w:val="28"/>
              <w:lang w:val="en-US" w:eastAsia="zh-CN"/>
            </w:rPr>
            <w:fldChar w:fldCharType="begin"/>
          </w:r>
          <w:r>
            <w:rPr>
              <w:rFonts w:hint="eastAsia"/>
              <w:b/>
              <w:bCs/>
              <w:sz w:val="28"/>
              <w:szCs w:val="28"/>
              <w:lang w:val="en-US" w:eastAsia="zh-CN"/>
            </w:rPr>
            <w:instrText xml:space="preserve"> HYPERLINK \l _Toc17540 </w:instrText>
          </w:r>
          <w:r>
            <w:rPr>
              <w:rFonts w:hint="eastAsia"/>
              <w:b/>
              <w:bCs/>
              <w:sz w:val="28"/>
              <w:szCs w:val="28"/>
              <w:lang w:val="en-US" w:eastAsia="zh-CN"/>
            </w:rPr>
            <w:fldChar w:fldCharType="separate"/>
          </w:r>
          <w:r>
            <w:rPr>
              <w:rFonts w:hint="eastAsia" w:ascii="宋体" w:hAnsi="宋体" w:eastAsia="宋体" w:cs="宋体"/>
              <w:b/>
              <w:bCs/>
              <w:sz w:val="28"/>
              <w:szCs w:val="28"/>
              <w:highlight w:val="none"/>
              <w:shd w:val="clear" w:color="auto" w:fill="auto"/>
            </w:rPr>
            <w:t>一、基本情况</w:t>
          </w:r>
          <w:r>
            <w:rPr>
              <w:b/>
              <w:bCs/>
              <w:sz w:val="28"/>
              <w:szCs w:val="28"/>
            </w:rPr>
            <w:tab/>
          </w:r>
          <w:r>
            <w:rPr>
              <w:b/>
              <w:bCs/>
              <w:sz w:val="28"/>
              <w:szCs w:val="28"/>
            </w:rPr>
            <w:fldChar w:fldCharType="begin"/>
          </w:r>
          <w:r>
            <w:rPr>
              <w:b/>
              <w:bCs/>
              <w:sz w:val="28"/>
              <w:szCs w:val="28"/>
            </w:rPr>
            <w:instrText xml:space="preserve"> PAGEREF _Toc17540 \h </w:instrText>
          </w:r>
          <w:r>
            <w:rPr>
              <w:b/>
              <w:bCs/>
              <w:sz w:val="28"/>
              <w:szCs w:val="28"/>
            </w:rPr>
            <w:fldChar w:fldCharType="separate"/>
          </w:r>
          <w:r>
            <w:rPr>
              <w:b/>
              <w:bCs/>
              <w:sz w:val="28"/>
              <w:szCs w:val="28"/>
            </w:rPr>
            <w:t>1</w:t>
          </w:r>
          <w:r>
            <w:rPr>
              <w:b/>
              <w:bCs/>
              <w:sz w:val="28"/>
              <w:szCs w:val="28"/>
            </w:rPr>
            <w:fldChar w:fldCharType="end"/>
          </w:r>
          <w:r>
            <w:rPr>
              <w:rFonts w:hint="eastAsia"/>
              <w:b/>
              <w:bCs/>
              <w:sz w:val="28"/>
              <w:szCs w:val="28"/>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sz w:val="28"/>
              <w:szCs w:val="28"/>
            </w:rPr>
          </w:pPr>
          <w:r>
            <w:rPr>
              <w:rFonts w:hint="eastAsia"/>
              <w:sz w:val="28"/>
              <w:szCs w:val="28"/>
              <w:lang w:val="en-US" w:eastAsia="zh-CN"/>
            </w:rPr>
            <w:fldChar w:fldCharType="begin"/>
          </w:r>
          <w:r>
            <w:rPr>
              <w:rFonts w:hint="eastAsia"/>
              <w:sz w:val="28"/>
              <w:szCs w:val="28"/>
              <w:lang w:val="en-US" w:eastAsia="zh-CN"/>
            </w:rPr>
            <w:instrText xml:space="preserve"> HYPERLINK \l _Toc18966 </w:instrText>
          </w:r>
          <w:r>
            <w:rPr>
              <w:rFonts w:hint="eastAsia"/>
              <w:sz w:val="28"/>
              <w:szCs w:val="28"/>
              <w:lang w:val="en-US" w:eastAsia="zh-CN"/>
            </w:rPr>
            <w:fldChar w:fldCharType="separate"/>
          </w:r>
          <w:r>
            <w:rPr>
              <w:rFonts w:hint="eastAsia" w:ascii="宋体" w:hAnsi="宋体" w:eastAsia="宋体" w:cs="宋体"/>
              <w:sz w:val="28"/>
              <w:szCs w:val="28"/>
              <w:highlight w:val="none"/>
              <w:shd w:val="clear" w:color="auto" w:fill="auto"/>
            </w:rPr>
            <w:t>（一）项目概况</w:t>
          </w:r>
          <w:r>
            <w:rPr>
              <w:sz w:val="28"/>
              <w:szCs w:val="28"/>
            </w:rPr>
            <w:tab/>
          </w:r>
          <w:r>
            <w:rPr>
              <w:sz w:val="28"/>
              <w:szCs w:val="28"/>
            </w:rPr>
            <w:fldChar w:fldCharType="begin"/>
          </w:r>
          <w:r>
            <w:rPr>
              <w:sz w:val="28"/>
              <w:szCs w:val="28"/>
            </w:rPr>
            <w:instrText xml:space="preserve"> PAGEREF _Toc18966 \h </w:instrText>
          </w:r>
          <w:r>
            <w:rPr>
              <w:sz w:val="28"/>
              <w:szCs w:val="28"/>
            </w:rPr>
            <w:fldChar w:fldCharType="separate"/>
          </w:r>
          <w:r>
            <w:rPr>
              <w:sz w:val="28"/>
              <w:szCs w:val="28"/>
            </w:rPr>
            <w:t>1</w:t>
          </w:r>
          <w:r>
            <w:rPr>
              <w:sz w:val="28"/>
              <w:szCs w:val="28"/>
            </w:rPr>
            <w:fldChar w:fldCharType="end"/>
          </w:r>
          <w:r>
            <w:rPr>
              <w:rFonts w:hint="eastAsia"/>
              <w:sz w:val="28"/>
              <w:szCs w:val="28"/>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sz w:val="28"/>
              <w:szCs w:val="28"/>
            </w:rPr>
          </w:pPr>
          <w:r>
            <w:rPr>
              <w:rFonts w:hint="eastAsia"/>
              <w:sz w:val="28"/>
              <w:szCs w:val="28"/>
              <w:lang w:val="en-US" w:eastAsia="zh-CN"/>
            </w:rPr>
            <w:fldChar w:fldCharType="begin"/>
          </w:r>
          <w:r>
            <w:rPr>
              <w:rFonts w:hint="eastAsia"/>
              <w:sz w:val="28"/>
              <w:szCs w:val="28"/>
              <w:lang w:val="en-US" w:eastAsia="zh-CN"/>
            </w:rPr>
            <w:instrText xml:space="preserve"> HYPERLINK \l _Toc2879 </w:instrText>
          </w:r>
          <w:r>
            <w:rPr>
              <w:rFonts w:hint="eastAsia"/>
              <w:sz w:val="28"/>
              <w:szCs w:val="28"/>
              <w:lang w:val="en-US" w:eastAsia="zh-CN"/>
            </w:rPr>
            <w:fldChar w:fldCharType="separate"/>
          </w:r>
          <w:r>
            <w:rPr>
              <w:rFonts w:hint="eastAsia" w:ascii="宋体" w:hAnsi="宋体" w:eastAsia="宋体" w:cs="宋体"/>
              <w:sz w:val="28"/>
              <w:szCs w:val="28"/>
              <w:shd w:val="clear" w:fill="auto"/>
            </w:rPr>
            <w:t>（二）</w:t>
          </w:r>
          <w:r>
            <w:rPr>
              <w:rFonts w:hint="eastAsia" w:ascii="宋体" w:hAnsi="宋体" w:eastAsia="宋体" w:cs="宋体"/>
              <w:sz w:val="28"/>
              <w:szCs w:val="28"/>
              <w:highlight w:val="none"/>
              <w:shd w:val="clear" w:color="auto" w:fill="auto"/>
            </w:rPr>
            <w:t>项目绩效目标</w:t>
          </w:r>
          <w:r>
            <w:rPr>
              <w:sz w:val="28"/>
              <w:szCs w:val="28"/>
            </w:rPr>
            <w:tab/>
          </w:r>
          <w:r>
            <w:rPr>
              <w:sz w:val="28"/>
              <w:szCs w:val="28"/>
            </w:rPr>
            <w:fldChar w:fldCharType="begin"/>
          </w:r>
          <w:r>
            <w:rPr>
              <w:sz w:val="28"/>
              <w:szCs w:val="28"/>
            </w:rPr>
            <w:instrText xml:space="preserve"> PAGEREF _Toc2879 \h </w:instrText>
          </w:r>
          <w:r>
            <w:rPr>
              <w:sz w:val="28"/>
              <w:szCs w:val="28"/>
            </w:rPr>
            <w:fldChar w:fldCharType="separate"/>
          </w:r>
          <w:r>
            <w:rPr>
              <w:sz w:val="28"/>
              <w:szCs w:val="28"/>
            </w:rPr>
            <w:t>2</w:t>
          </w:r>
          <w:r>
            <w:rPr>
              <w:sz w:val="28"/>
              <w:szCs w:val="28"/>
            </w:rPr>
            <w:fldChar w:fldCharType="end"/>
          </w:r>
          <w:r>
            <w:rPr>
              <w:rFonts w:hint="eastAsia"/>
              <w:sz w:val="28"/>
              <w:szCs w:val="28"/>
              <w:lang w:val="en-US" w:eastAsia="zh-CN"/>
            </w:rPr>
            <w:fldChar w:fldCharType="end"/>
          </w:r>
        </w:p>
        <w:p>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sz w:val="28"/>
              <w:szCs w:val="28"/>
            </w:rPr>
          </w:pPr>
          <w:r>
            <w:rPr>
              <w:rFonts w:hint="eastAsia"/>
              <w:b/>
              <w:bCs/>
              <w:sz w:val="28"/>
              <w:szCs w:val="28"/>
              <w:lang w:val="en-US" w:eastAsia="zh-CN"/>
            </w:rPr>
            <w:fldChar w:fldCharType="begin"/>
          </w:r>
          <w:r>
            <w:rPr>
              <w:rFonts w:hint="eastAsia"/>
              <w:b/>
              <w:bCs/>
              <w:sz w:val="28"/>
              <w:szCs w:val="28"/>
              <w:lang w:val="en-US" w:eastAsia="zh-CN"/>
            </w:rPr>
            <w:instrText xml:space="preserve"> HYPERLINK \l _Toc2549 </w:instrText>
          </w:r>
          <w:r>
            <w:rPr>
              <w:rFonts w:hint="eastAsia"/>
              <w:b/>
              <w:bCs/>
              <w:sz w:val="28"/>
              <w:szCs w:val="28"/>
              <w:lang w:val="en-US" w:eastAsia="zh-CN"/>
            </w:rPr>
            <w:fldChar w:fldCharType="separate"/>
          </w:r>
          <w:r>
            <w:rPr>
              <w:rFonts w:hint="eastAsia" w:ascii="宋体" w:hAnsi="宋体" w:eastAsia="宋体" w:cs="宋体"/>
              <w:b/>
              <w:bCs/>
              <w:sz w:val="28"/>
              <w:szCs w:val="28"/>
              <w:highlight w:val="none"/>
              <w:shd w:val="clear" w:color="auto" w:fill="auto"/>
            </w:rPr>
            <w:t>二、绩效评价工作开展情况</w:t>
          </w:r>
          <w:r>
            <w:rPr>
              <w:b/>
              <w:bCs/>
              <w:sz w:val="28"/>
              <w:szCs w:val="28"/>
            </w:rPr>
            <w:tab/>
          </w:r>
          <w:r>
            <w:rPr>
              <w:b/>
              <w:bCs/>
              <w:sz w:val="28"/>
              <w:szCs w:val="28"/>
            </w:rPr>
            <w:fldChar w:fldCharType="begin"/>
          </w:r>
          <w:r>
            <w:rPr>
              <w:b/>
              <w:bCs/>
              <w:sz w:val="28"/>
              <w:szCs w:val="28"/>
            </w:rPr>
            <w:instrText xml:space="preserve"> PAGEREF _Toc2549 \h </w:instrText>
          </w:r>
          <w:r>
            <w:rPr>
              <w:b/>
              <w:bCs/>
              <w:sz w:val="28"/>
              <w:szCs w:val="28"/>
            </w:rPr>
            <w:fldChar w:fldCharType="separate"/>
          </w:r>
          <w:r>
            <w:rPr>
              <w:b/>
              <w:bCs/>
              <w:sz w:val="28"/>
              <w:szCs w:val="28"/>
            </w:rPr>
            <w:t>4</w:t>
          </w:r>
          <w:r>
            <w:rPr>
              <w:b/>
              <w:bCs/>
              <w:sz w:val="28"/>
              <w:szCs w:val="28"/>
            </w:rPr>
            <w:fldChar w:fldCharType="end"/>
          </w:r>
          <w:r>
            <w:rPr>
              <w:rFonts w:hint="eastAsia"/>
              <w:b/>
              <w:bCs/>
              <w:sz w:val="28"/>
              <w:szCs w:val="28"/>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sz w:val="28"/>
              <w:szCs w:val="28"/>
            </w:rPr>
          </w:pPr>
          <w:r>
            <w:rPr>
              <w:rFonts w:hint="eastAsia"/>
              <w:sz w:val="28"/>
              <w:szCs w:val="28"/>
              <w:lang w:val="en-US" w:eastAsia="zh-CN"/>
            </w:rPr>
            <w:fldChar w:fldCharType="begin"/>
          </w:r>
          <w:r>
            <w:rPr>
              <w:rFonts w:hint="eastAsia"/>
              <w:sz w:val="28"/>
              <w:szCs w:val="28"/>
              <w:lang w:val="en-US" w:eastAsia="zh-CN"/>
            </w:rPr>
            <w:instrText xml:space="preserve"> HYPERLINK \l _Toc21778 </w:instrText>
          </w:r>
          <w:r>
            <w:rPr>
              <w:rFonts w:hint="eastAsia"/>
              <w:sz w:val="28"/>
              <w:szCs w:val="28"/>
              <w:lang w:val="en-US" w:eastAsia="zh-CN"/>
            </w:rPr>
            <w:fldChar w:fldCharType="separate"/>
          </w:r>
          <w:r>
            <w:rPr>
              <w:rFonts w:hint="eastAsia" w:ascii="宋体" w:hAnsi="宋体" w:eastAsia="宋体" w:cs="宋体"/>
              <w:sz w:val="28"/>
              <w:szCs w:val="28"/>
              <w:shd w:val="clear" w:fill="auto"/>
              <w:lang w:eastAsia="zh-CN"/>
            </w:rPr>
            <w:t>（一）</w:t>
          </w:r>
          <w:r>
            <w:rPr>
              <w:rFonts w:hint="eastAsia" w:ascii="宋体" w:hAnsi="宋体" w:eastAsia="宋体" w:cs="宋体"/>
              <w:sz w:val="28"/>
              <w:szCs w:val="28"/>
              <w:highlight w:val="none"/>
              <w:shd w:val="clear" w:color="auto" w:fill="auto"/>
              <w:lang w:eastAsia="zh-CN"/>
            </w:rPr>
            <w:t>绩效评价的目的、对象和范围</w:t>
          </w:r>
          <w:r>
            <w:rPr>
              <w:sz w:val="28"/>
              <w:szCs w:val="28"/>
            </w:rPr>
            <w:tab/>
          </w:r>
          <w:r>
            <w:rPr>
              <w:sz w:val="28"/>
              <w:szCs w:val="28"/>
            </w:rPr>
            <w:fldChar w:fldCharType="begin"/>
          </w:r>
          <w:r>
            <w:rPr>
              <w:sz w:val="28"/>
              <w:szCs w:val="28"/>
            </w:rPr>
            <w:instrText xml:space="preserve"> PAGEREF _Toc21778 \h </w:instrText>
          </w:r>
          <w:r>
            <w:rPr>
              <w:sz w:val="28"/>
              <w:szCs w:val="28"/>
            </w:rPr>
            <w:fldChar w:fldCharType="separate"/>
          </w:r>
          <w:r>
            <w:rPr>
              <w:sz w:val="28"/>
              <w:szCs w:val="28"/>
            </w:rPr>
            <w:t>4</w:t>
          </w:r>
          <w:r>
            <w:rPr>
              <w:sz w:val="28"/>
              <w:szCs w:val="28"/>
            </w:rPr>
            <w:fldChar w:fldCharType="end"/>
          </w:r>
          <w:r>
            <w:rPr>
              <w:rFonts w:hint="eastAsia"/>
              <w:sz w:val="28"/>
              <w:szCs w:val="28"/>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sz w:val="28"/>
              <w:szCs w:val="28"/>
            </w:rPr>
          </w:pPr>
          <w:r>
            <w:rPr>
              <w:rFonts w:hint="eastAsia"/>
              <w:sz w:val="28"/>
              <w:szCs w:val="28"/>
              <w:lang w:val="en-US" w:eastAsia="zh-CN"/>
            </w:rPr>
            <w:fldChar w:fldCharType="begin"/>
          </w:r>
          <w:r>
            <w:rPr>
              <w:rFonts w:hint="eastAsia"/>
              <w:sz w:val="28"/>
              <w:szCs w:val="28"/>
              <w:lang w:val="en-US" w:eastAsia="zh-CN"/>
            </w:rPr>
            <w:instrText xml:space="preserve"> HYPERLINK \l _Toc15902 </w:instrText>
          </w:r>
          <w:r>
            <w:rPr>
              <w:rFonts w:hint="eastAsia"/>
              <w:sz w:val="28"/>
              <w:szCs w:val="28"/>
              <w:lang w:val="en-US" w:eastAsia="zh-CN"/>
            </w:rPr>
            <w:fldChar w:fldCharType="separate"/>
          </w:r>
          <w:r>
            <w:rPr>
              <w:rFonts w:hint="eastAsia" w:ascii="宋体" w:hAnsi="宋体" w:eastAsia="宋体" w:cs="宋体"/>
              <w:sz w:val="28"/>
              <w:szCs w:val="28"/>
              <w:shd w:val="clear" w:fill="auto"/>
              <w:lang w:val="en-US" w:eastAsia="zh-CN"/>
            </w:rPr>
            <w:t>（二）</w:t>
          </w:r>
          <w:r>
            <w:rPr>
              <w:rFonts w:hint="eastAsia" w:ascii="宋体" w:hAnsi="宋体" w:eastAsia="宋体" w:cs="宋体"/>
              <w:sz w:val="28"/>
              <w:szCs w:val="28"/>
              <w:highlight w:val="none"/>
              <w:shd w:val="clear" w:color="auto" w:fill="auto"/>
              <w:lang w:val="en-US" w:eastAsia="zh-CN"/>
            </w:rPr>
            <w:t>绩效评价原则、评价指标体系（附表说明）、评价方法、评价标准</w:t>
          </w:r>
          <w:r>
            <w:rPr>
              <w:sz w:val="28"/>
              <w:szCs w:val="28"/>
            </w:rPr>
            <w:tab/>
          </w:r>
          <w:r>
            <w:rPr>
              <w:sz w:val="28"/>
              <w:szCs w:val="28"/>
            </w:rPr>
            <w:fldChar w:fldCharType="begin"/>
          </w:r>
          <w:r>
            <w:rPr>
              <w:sz w:val="28"/>
              <w:szCs w:val="28"/>
            </w:rPr>
            <w:instrText xml:space="preserve"> PAGEREF _Toc15902 \h </w:instrText>
          </w:r>
          <w:r>
            <w:rPr>
              <w:sz w:val="28"/>
              <w:szCs w:val="28"/>
            </w:rPr>
            <w:fldChar w:fldCharType="separate"/>
          </w:r>
          <w:r>
            <w:rPr>
              <w:sz w:val="28"/>
              <w:szCs w:val="28"/>
            </w:rPr>
            <w:t>5</w:t>
          </w:r>
          <w:r>
            <w:rPr>
              <w:sz w:val="28"/>
              <w:szCs w:val="28"/>
            </w:rPr>
            <w:fldChar w:fldCharType="end"/>
          </w:r>
          <w:r>
            <w:rPr>
              <w:rFonts w:hint="eastAsia"/>
              <w:sz w:val="28"/>
              <w:szCs w:val="28"/>
              <w:lang w:val="en-US" w:eastAsia="zh-CN"/>
            </w:rPr>
            <w:fldChar w:fldCharType="end"/>
          </w:r>
        </w:p>
        <w:p>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ind w:left="0" w:leftChars="0" w:firstLine="560" w:firstLineChars="200"/>
            <w:textAlignment w:val="auto"/>
            <w:rPr>
              <w:sz w:val="28"/>
              <w:szCs w:val="28"/>
            </w:rPr>
          </w:pPr>
          <w:r>
            <w:rPr>
              <w:rFonts w:hint="eastAsia"/>
              <w:sz w:val="28"/>
              <w:szCs w:val="28"/>
              <w:lang w:val="en-US" w:eastAsia="zh-CN"/>
            </w:rPr>
            <w:fldChar w:fldCharType="begin"/>
          </w:r>
          <w:r>
            <w:rPr>
              <w:rFonts w:hint="eastAsia"/>
              <w:sz w:val="28"/>
              <w:szCs w:val="28"/>
              <w:lang w:val="en-US" w:eastAsia="zh-CN"/>
            </w:rPr>
            <w:instrText xml:space="preserve"> HYPERLINK \l _Toc1070 </w:instrText>
          </w:r>
          <w:r>
            <w:rPr>
              <w:rFonts w:hint="eastAsia"/>
              <w:sz w:val="28"/>
              <w:szCs w:val="28"/>
              <w:lang w:val="en-US" w:eastAsia="zh-CN"/>
            </w:rPr>
            <w:fldChar w:fldCharType="separate"/>
          </w:r>
          <w:r>
            <w:rPr>
              <w:rFonts w:hint="eastAsia" w:ascii="宋体" w:hAnsi="宋体" w:eastAsia="宋体" w:cs="宋体"/>
              <w:sz w:val="28"/>
              <w:szCs w:val="28"/>
              <w:highlight w:val="none"/>
              <w:shd w:val="clear" w:color="auto" w:fill="auto"/>
              <w:lang w:val="en-US" w:eastAsia="zh-CN"/>
            </w:rPr>
            <w:t>（三）绩效评价工作过程</w:t>
          </w:r>
          <w:r>
            <w:rPr>
              <w:sz w:val="28"/>
              <w:szCs w:val="28"/>
            </w:rPr>
            <w:tab/>
          </w:r>
          <w:r>
            <w:rPr>
              <w:sz w:val="28"/>
              <w:szCs w:val="28"/>
            </w:rPr>
            <w:fldChar w:fldCharType="begin"/>
          </w:r>
          <w:r>
            <w:rPr>
              <w:sz w:val="28"/>
              <w:szCs w:val="28"/>
            </w:rPr>
            <w:instrText xml:space="preserve"> PAGEREF _Toc1070 \h </w:instrText>
          </w:r>
          <w:r>
            <w:rPr>
              <w:sz w:val="28"/>
              <w:szCs w:val="28"/>
            </w:rPr>
            <w:fldChar w:fldCharType="separate"/>
          </w:r>
          <w:r>
            <w:rPr>
              <w:sz w:val="28"/>
              <w:szCs w:val="28"/>
            </w:rPr>
            <w:t>9</w:t>
          </w:r>
          <w:r>
            <w:rPr>
              <w:sz w:val="28"/>
              <w:szCs w:val="28"/>
            </w:rPr>
            <w:fldChar w:fldCharType="end"/>
          </w:r>
          <w:r>
            <w:rPr>
              <w:rFonts w:hint="eastAsia"/>
              <w:sz w:val="28"/>
              <w:szCs w:val="28"/>
              <w:lang w:val="en-US" w:eastAsia="zh-CN"/>
            </w:rPr>
            <w:fldChar w:fldCharType="end"/>
          </w:r>
        </w:p>
        <w:p>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sz w:val="28"/>
              <w:szCs w:val="28"/>
            </w:rPr>
          </w:pPr>
          <w:r>
            <w:rPr>
              <w:rFonts w:hint="eastAsia"/>
              <w:b/>
              <w:bCs/>
              <w:sz w:val="28"/>
              <w:szCs w:val="28"/>
              <w:lang w:val="en-US" w:eastAsia="zh-CN"/>
            </w:rPr>
            <w:fldChar w:fldCharType="begin"/>
          </w:r>
          <w:r>
            <w:rPr>
              <w:rFonts w:hint="eastAsia"/>
              <w:b/>
              <w:bCs/>
              <w:sz w:val="28"/>
              <w:szCs w:val="28"/>
              <w:lang w:val="en-US" w:eastAsia="zh-CN"/>
            </w:rPr>
            <w:instrText xml:space="preserve"> HYPERLINK \l _Toc1100 </w:instrText>
          </w:r>
          <w:r>
            <w:rPr>
              <w:rFonts w:hint="eastAsia"/>
              <w:b/>
              <w:bCs/>
              <w:sz w:val="28"/>
              <w:szCs w:val="28"/>
              <w:lang w:val="en-US" w:eastAsia="zh-CN"/>
            </w:rPr>
            <w:fldChar w:fldCharType="separate"/>
          </w:r>
          <w:r>
            <w:rPr>
              <w:rFonts w:hint="eastAsia" w:ascii="宋体" w:hAnsi="宋体" w:eastAsia="宋体" w:cs="宋体"/>
              <w:b/>
              <w:bCs/>
              <w:sz w:val="28"/>
              <w:szCs w:val="28"/>
              <w:highlight w:val="none"/>
              <w:shd w:val="clear" w:color="auto" w:fill="auto"/>
              <w:lang w:val="en-US" w:eastAsia="zh-CN"/>
            </w:rPr>
            <w:t>三、</w:t>
          </w:r>
          <w:r>
            <w:rPr>
              <w:rFonts w:hint="eastAsia" w:ascii="宋体" w:hAnsi="宋体" w:eastAsia="宋体" w:cs="宋体"/>
              <w:b/>
              <w:bCs/>
              <w:sz w:val="28"/>
              <w:szCs w:val="28"/>
              <w:highlight w:val="none"/>
              <w:shd w:val="clear" w:color="auto" w:fill="auto"/>
            </w:rPr>
            <w:t>综合评价情况及评价结论</w:t>
          </w:r>
          <w:r>
            <w:rPr>
              <w:b/>
              <w:bCs/>
              <w:sz w:val="28"/>
              <w:szCs w:val="28"/>
            </w:rPr>
            <w:tab/>
          </w:r>
          <w:r>
            <w:rPr>
              <w:b/>
              <w:bCs/>
              <w:sz w:val="28"/>
              <w:szCs w:val="28"/>
            </w:rPr>
            <w:fldChar w:fldCharType="begin"/>
          </w:r>
          <w:r>
            <w:rPr>
              <w:b/>
              <w:bCs/>
              <w:sz w:val="28"/>
              <w:szCs w:val="28"/>
            </w:rPr>
            <w:instrText xml:space="preserve"> PAGEREF _Toc1100 \h </w:instrText>
          </w:r>
          <w:r>
            <w:rPr>
              <w:b/>
              <w:bCs/>
              <w:sz w:val="28"/>
              <w:szCs w:val="28"/>
            </w:rPr>
            <w:fldChar w:fldCharType="separate"/>
          </w:r>
          <w:r>
            <w:rPr>
              <w:b/>
              <w:bCs/>
              <w:sz w:val="28"/>
              <w:szCs w:val="28"/>
            </w:rPr>
            <w:t>11</w:t>
          </w:r>
          <w:r>
            <w:rPr>
              <w:b/>
              <w:bCs/>
              <w:sz w:val="28"/>
              <w:szCs w:val="28"/>
            </w:rPr>
            <w:fldChar w:fldCharType="end"/>
          </w:r>
          <w:r>
            <w:rPr>
              <w:rFonts w:hint="eastAsia"/>
              <w:b/>
              <w:bCs/>
              <w:sz w:val="28"/>
              <w:szCs w:val="28"/>
              <w:lang w:val="en-US" w:eastAsia="zh-CN"/>
            </w:rPr>
            <w:fldChar w:fldCharType="end"/>
          </w:r>
        </w:p>
        <w:p>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sz w:val="28"/>
              <w:szCs w:val="28"/>
            </w:rPr>
          </w:pPr>
          <w:r>
            <w:rPr>
              <w:rFonts w:hint="eastAsia"/>
              <w:b/>
              <w:bCs/>
              <w:sz w:val="28"/>
              <w:szCs w:val="28"/>
              <w:lang w:val="en-US" w:eastAsia="zh-CN"/>
            </w:rPr>
            <w:fldChar w:fldCharType="begin"/>
          </w:r>
          <w:r>
            <w:rPr>
              <w:rFonts w:hint="eastAsia"/>
              <w:b/>
              <w:bCs/>
              <w:sz w:val="28"/>
              <w:szCs w:val="28"/>
              <w:lang w:val="en-US" w:eastAsia="zh-CN"/>
            </w:rPr>
            <w:instrText xml:space="preserve"> HYPERLINK \l _Toc9421 </w:instrText>
          </w:r>
          <w:r>
            <w:rPr>
              <w:rFonts w:hint="eastAsia"/>
              <w:b/>
              <w:bCs/>
              <w:sz w:val="28"/>
              <w:szCs w:val="28"/>
              <w:lang w:val="en-US" w:eastAsia="zh-CN"/>
            </w:rPr>
            <w:fldChar w:fldCharType="separate"/>
          </w:r>
          <w:r>
            <w:rPr>
              <w:rFonts w:hint="eastAsia" w:ascii="宋体" w:hAnsi="宋体" w:eastAsia="宋体" w:cs="宋体"/>
              <w:b/>
              <w:bCs/>
              <w:sz w:val="28"/>
              <w:szCs w:val="28"/>
              <w:highlight w:val="none"/>
              <w:shd w:val="clear" w:color="auto" w:fill="auto"/>
              <w:lang w:val="en-US" w:eastAsia="zh-CN"/>
            </w:rPr>
            <w:t>四、绩效评价指标分析</w:t>
          </w:r>
          <w:r>
            <w:rPr>
              <w:b/>
              <w:bCs/>
              <w:sz w:val="28"/>
              <w:szCs w:val="28"/>
            </w:rPr>
            <w:tab/>
          </w:r>
          <w:r>
            <w:rPr>
              <w:b/>
              <w:bCs/>
              <w:sz w:val="28"/>
              <w:szCs w:val="28"/>
            </w:rPr>
            <w:fldChar w:fldCharType="begin"/>
          </w:r>
          <w:r>
            <w:rPr>
              <w:b/>
              <w:bCs/>
              <w:sz w:val="28"/>
              <w:szCs w:val="28"/>
            </w:rPr>
            <w:instrText xml:space="preserve"> PAGEREF _Toc9421 \h </w:instrText>
          </w:r>
          <w:r>
            <w:rPr>
              <w:b/>
              <w:bCs/>
              <w:sz w:val="28"/>
              <w:szCs w:val="28"/>
            </w:rPr>
            <w:fldChar w:fldCharType="separate"/>
          </w:r>
          <w:r>
            <w:rPr>
              <w:b/>
              <w:bCs/>
              <w:sz w:val="28"/>
              <w:szCs w:val="28"/>
            </w:rPr>
            <w:t>12</w:t>
          </w:r>
          <w:r>
            <w:rPr>
              <w:b/>
              <w:bCs/>
              <w:sz w:val="28"/>
              <w:szCs w:val="28"/>
            </w:rPr>
            <w:fldChar w:fldCharType="end"/>
          </w:r>
          <w:r>
            <w:rPr>
              <w:rFonts w:hint="eastAsia"/>
              <w:b/>
              <w:bCs/>
              <w:sz w:val="28"/>
              <w:szCs w:val="28"/>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sz w:val="28"/>
              <w:szCs w:val="28"/>
            </w:rPr>
          </w:pPr>
          <w:r>
            <w:rPr>
              <w:rFonts w:hint="eastAsia"/>
              <w:sz w:val="28"/>
              <w:szCs w:val="28"/>
              <w:lang w:val="en-US" w:eastAsia="zh-CN"/>
            </w:rPr>
            <w:fldChar w:fldCharType="begin"/>
          </w:r>
          <w:r>
            <w:rPr>
              <w:rFonts w:hint="eastAsia"/>
              <w:sz w:val="28"/>
              <w:szCs w:val="28"/>
              <w:lang w:val="en-US" w:eastAsia="zh-CN"/>
            </w:rPr>
            <w:instrText xml:space="preserve"> HYPERLINK \l _Toc15355 </w:instrText>
          </w:r>
          <w:r>
            <w:rPr>
              <w:rFonts w:hint="eastAsia"/>
              <w:sz w:val="28"/>
              <w:szCs w:val="28"/>
              <w:lang w:val="en-US" w:eastAsia="zh-CN"/>
            </w:rPr>
            <w:fldChar w:fldCharType="separate"/>
          </w:r>
          <w:r>
            <w:rPr>
              <w:rFonts w:hint="eastAsia" w:ascii="宋体" w:hAnsi="宋体" w:eastAsia="宋体" w:cs="宋体"/>
              <w:sz w:val="28"/>
              <w:szCs w:val="28"/>
              <w:highlight w:val="none"/>
              <w:shd w:val="clear" w:color="auto" w:fill="auto"/>
            </w:rPr>
            <w:t>（一）项目决策情况</w:t>
          </w:r>
          <w:r>
            <w:rPr>
              <w:sz w:val="28"/>
              <w:szCs w:val="28"/>
            </w:rPr>
            <w:tab/>
          </w:r>
          <w:r>
            <w:rPr>
              <w:sz w:val="28"/>
              <w:szCs w:val="28"/>
            </w:rPr>
            <w:fldChar w:fldCharType="begin"/>
          </w:r>
          <w:r>
            <w:rPr>
              <w:sz w:val="28"/>
              <w:szCs w:val="28"/>
            </w:rPr>
            <w:instrText xml:space="preserve"> PAGEREF _Toc15355 \h </w:instrText>
          </w:r>
          <w:r>
            <w:rPr>
              <w:sz w:val="28"/>
              <w:szCs w:val="28"/>
            </w:rPr>
            <w:fldChar w:fldCharType="separate"/>
          </w:r>
          <w:r>
            <w:rPr>
              <w:sz w:val="28"/>
              <w:szCs w:val="28"/>
            </w:rPr>
            <w:t>12</w:t>
          </w:r>
          <w:r>
            <w:rPr>
              <w:sz w:val="28"/>
              <w:szCs w:val="28"/>
            </w:rPr>
            <w:fldChar w:fldCharType="end"/>
          </w:r>
          <w:r>
            <w:rPr>
              <w:rFonts w:hint="eastAsia"/>
              <w:sz w:val="28"/>
              <w:szCs w:val="28"/>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sz w:val="28"/>
              <w:szCs w:val="28"/>
            </w:rPr>
          </w:pPr>
          <w:r>
            <w:rPr>
              <w:rFonts w:hint="eastAsia"/>
              <w:sz w:val="28"/>
              <w:szCs w:val="28"/>
              <w:lang w:val="en-US" w:eastAsia="zh-CN"/>
            </w:rPr>
            <w:fldChar w:fldCharType="begin"/>
          </w:r>
          <w:r>
            <w:rPr>
              <w:rFonts w:hint="eastAsia"/>
              <w:sz w:val="28"/>
              <w:szCs w:val="28"/>
              <w:lang w:val="en-US" w:eastAsia="zh-CN"/>
            </w:rPr>
            <w:instrText xml:space="preserve"> HYPERLINK \l _Toc11361 </w:instrText>
          </w:r>
          <w:r>
            <w:rPr>
              <w:rFonts w:hint="eastAsia"/>
              <w:sz w:val="28"/>
              <w:szCs w:val="28"/>
              <w:lang w:val="en-US" w:eastAsia="zh-CN"/>
            </w:rPr>
            <w:fldChar w:fldCharType="separate"/>
          </w:r>
          <w:r>
            <w:rPr>
              <w:rFonts w:hint="eastAsia" w:ascii="宋体" w:hAnsi="宋体" w:eastAsia="宋体" w:cs="宋体"/>
              <w:sz w:val="28"/>
              <w:szCs w:val="28"/>
              <w:highlight w:val="none"/>
              <w:shd w:val="clear" w:color="auto" w:fill="auto"/>
              <w:lang w:eastAsia="zh-CN"/>
            </w:rPr>
            <w:t>（</w:t>
          </w:r>
          <w:r>
            <w:rPr>
              <w:rFonts w:hint="eastAsia" w:ascii="宋体" w:hAnsi="宋体" w:eastAsia="宋体" w:cs="宋体"/>
              <w:sz w:val="28"/>
              <w:szCs w:val="28"/>
              <w:highlight w:val="none"/>
              <w:shd w:val="clear" w:color="auto" w:fill="auto"/>
              <w:lang w:val="en-US" w:eastAsia="zh-CN"/>
            </w:rPr>
            <w:t>二</w:t>
          </w:r>
          <w:r>
            <w:rPr>
              <w:rFonts w:hint="eastAsia" w:ascii="宋体" w:hAnsi="宋体" w:eastAsia="宋体" w:cs="宋体"/>
              <w:sz w:val="28"/>
              <w:szCs w:val="28"/>
              <w:highlight w:val="none"/>
              <w:shd w:val="clear" w:color="auto" w:fill="auto"/>
              <w:lang w:eastAsia="zh-CN"/>
            </w:rPr>
            <w:t>）</w:t>
          </w:r>
          <w:r>
            <w:rPr>
              <w:rFonts w:hint="eastAsia" w:ascii="宋体" w:hAnsi="宋体" w:eastAsia="宋体" w:cs="宋体"/>
              <w:sz w:val="28"/>
              <w:szCs w:val="28"/>
              <w:highlight w:val="none"/>
              <w:shd w:val="clear" w:color="auto" w:fill="auto"/>
            </w:rPr>
            <w:t>项目过程情况</w:t>
          </w:r>
          <w:r>
            <w:rPr>
              <w:sz w:val="28"/>
              <w:szCs w:val="28"/>
            </w:rPr>
            <w:tab/>
          </w:r>
          <w:r>
            <w:rPr>
              <w:sz w:val="28"/>
              <w:szCs w:val="28"/>
            </w:rPr>
            <w:fldChar w:fldCharType="begin"/>
          </w:r>
          <w:r>
            <w:rPr>
              <w:sz w:val="28"/>
              <w:szCs w:val="28"/>
            </w:rPr>
            <w:instrText xml:space="preserve"> PAGEREF _Toc11361 \h </w:instrText>
          </w:r>
          <w:r>
            <w:rPr>
              <w:sz w:val="28"/>
              <w:szCs w:val="28"/>
            </w:rPr>
            <w:fldChar w:fldCharType="separate"/>
          </w:r>
          <w:r>
            <w:rPr>
              <w:sz w:val="28"/>
              <w:szCs w:val="28"/>
            </w:rPr>
            <w:t>15</w:t>
          </w:r>
          <w:r>
            <w:rPr>
              <w:sz w:val="28"/>
              <w:szCs w:val="28"/>
            </w:rPr>
            <w:fldChar w:fldCharType="end"/>
          </w:r>
          <w:r>
            <w:rPr>
              <w:rFonts w:hint="eastAsia"/>
              <w:sz w:val="28"/>
              <w:szCs w:val="28"/>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sz w:val="28"/>
              <w:szCs w:val="28"/>
            </w:rPr>
          </w:pPr>
          <w:r>
            <w:rPr>
              <w:rFonts w:hint="eastAsia"/>
              <w:sz w:val="28"/>
              <w:szCs w:val="28"/>
              <w:lang w:val="en-US" w:eastAsia="zh-CN"/>
            </w:rPr>
            <w:fldChar w:fldCharType="begin"/>
          </w:r>
          <w:r>
            <w:rPr>
              <w:rFonts w:hint="eastAsia"/>
              <w:sz w:val="28"/>
              <w:szCs w:val="28"/>
              <w:lang w:val="en-US" w:eastAsia="zh-CN"/>
            </w:rPr>
            <w:instrText xml:space="preserve"> HYPERLINK \l _Toc16268 </w:instrText>
          </w:r>
          <w:r>
            <w:rPr>
              <w:rFonts w:hint="eastAsia"/>
              <w:sz w:val="28"/>
              <w:szCs w:val="28"/>
              <w:lang w:val="en-US" w:eastAsia="zh-CN"/>
            </w:rPr>
            <w:fldChar w:fldCharType="separate"/>
          </w:r>
          <w:r>
            <w:rPr>
              <w:rFonts w:hint="eastAsia" w:ascii="宋体" w:hAnsi="宋体" w:eastAsia="宋体" w:cs="宋体"/>
              <w:sz w:val="28"/>
              <w:szCs w:val="28"/>
              <w:highlight w:val="none"/>
              <w:shd w:val="clear" w:color="auto" w:fill="auto"/>
              <w:lang w:eastAsia="zh-CN"/>
            </w:rPr>
            <w:t>（</w:t>
          </w:r>
          <w:r>
            <w:rPr>
              <w:rFonts w:hint="eastAsia" w:ascii="宋体" w:hAnsi="宋体" w:eastAsia="宋体" w:cs="宋体"/>
              <w:sz w:val="28"/>
              <w:szCs w:val="28"/>
              <w:highlight w:val="none"/>
              <w:shd w:val="clear" w:color="auto" w:fill="auto"/>
              <w:lang w:val="en-US" w:eastAsia="zh-CN"/>
            </w:rPr>
            <w:t>三</w:t>
          </w:r>
          <w:r>
            <w:rPr>
              <w:rFonts w:hint="eastAsia" w:ascii="宋体" w:hAnsi="宋体" w:eastAsia="宋体" w:cs="宋体"/>
              <w:sz w:val="28"/>
              <w:szCs w:val="28"/>
              <w:highlight w:val="none"/>
              <w:shd w:val="clear" w:color="auto" w:fill="auto"/>
              <w:lang w:eastAsia="zh-CN"/>
            </w:rPr>
            <w:t>）</w:t>
          </w:r>
          <w:r>
            <w:rPr>
              <w:rFonts w:hint="eastAsia" w:ascii="宋体" w:hAnsi="宋体" w:eastAsia="宋体" w:cs="宋体"/>
              <w:sz w:val="28"/>
              <w:szCs w:val="28"/>
              <w:highlight w:val="none"/>
              <w:shd w:val="clear" w:color="auto" w:fill="auto"/>
            </w:rPr>
            <w:t>项目产出情况</w:t>
          </w:r>
          <w:r>
            <w:rPr>
              <w:sz w:val="28"/>
              <w:szCs w:val="28"/>
            </w:rPr>
            <w:tab/>
          </w:r>
          <w:r>
            <w:rPr>
              <w:sz w:val="28"/>
              <w:szCs w:val="28"/>
            </w:rPr>
            <w:fldChar w:fldCharType="begin"/>
          </w:r>
          <w:r>
            <w:rPr>
              <w:sz w:val="28"/>
              <w:szCs w:val="28"/>
            </w:rPr>
            <w:instrText xml:space="preserve"> PAGEREF _Toc16268 \h </w:instrText>
          </w:r>
          <w:r>
            <w:rPr>
              <w:sz w:val="28"/>
              <w:szCs w:val="28"/>
            </w:rPr>
            <w:fldChar w:fldCharType="separate"/>
          </w:r>
          <w:r>
            <w:rPr>
              <w:sz w:val="28"/>
              <w:szCs w:val="28"/>
            </w:rPr>
            <w:t>16</w:t>
          </w:r>
          <w:r>
            <w:rPr>
              <w:sz w:val="28"/>
              <w:szCs w:val="28"/>
            </w:rPr>
            <w:fldChar w:fldCharType="end"/>
          </w:r>
          <w:r>
            <w:rPr>
              <w:rFonts w:hint="eastAsia"/>
              <w:sz w:val="28"/>
              <w:szCs w:val="28"/>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sz w:val="28"/>
              <w:szCs w:val="28"/>
            </w:rPr>
          </w:pPr>
          <w:r>
            <w:rPr>
              <w:rFonts w:hint="eastAsia"/>
              <w:sz w:val="28"/>
              <w:szCs w:val="28"/>
              <w:lang w:val="en-US" w:eastAsia="zh-CN"/>
            </w:rPr>
            <w:fldChar w:fldCharType="begin"/>
          </w:r>
          <w:r>
            <w:rPr>
              <w:rFonts w:hint="eastAsia"/>
              <w:sz w:val="28"/>
              <w:szCs w:val="28"/>
              <w:lang w:val="en-US" w:eastAsia="zh-CN"/>
            </w:rPr>
            <w:instrText xml:space="preserve"> HYPERLINK \l _Toc18446 </w:instrText>
          </w:r>
          <w:r>
            <w:rPr>
              <w:rFonts w:hint="eastAsia"/>
              <w:sz w:val="28"/>
              <w:szCs w:val="28"/>
              <w:lang w:val="en-US" w:eastAsia="zh-CN"/>
            </w:rPr>
            <w:fldChar w:fldCharType="separate"/>
          </w:r>
          <w:r>
            <w:rPr>
              <w:rFonts w:hint="eastAsia" w:ascii="宋体" w:hAnsi="宋体" w:eastAsia="宋体" w:cs="宋体"/>
              <w:sz w:val="28"/>
              <w:szCs w:val="28"/>
              <w:highlight w:val="none"/>
              <w:shd w:val="clear" w:color="auto" w:fill="auto"/>
              <w:lang w:eastAsia="zh-CN"/>
            </w:rPr>
            <w:t>（</w:t>
          </w:r>
          <w:r>
            <w:rPr>
              <w:rFonts w:hint="eastAsia" w:ascii="宋体" w:hAnsi="宋体" w:eastAsia="宋体" w:cs="宋体"/>
              <w:sz w:val="28"/>
              <w:szCs w:val="28"/>
              <w:highlight w:val="none"/>
              <w:shd w:val="clear" w:color="auto" w:fill="auto"/>
              <w:lang w:val="en-US" w:eastAsia="zh-CN"/>
            </w:rPr>
            <w:t>四</w:t>
          </w:r>
          <w:r>
            <w:rPr>
              <w:rFonts w:hint="eastAsia" w:ascii="宋体" w:hAnsi="宋体" w:eastAsia="宋体" w:cs="宋体"/>
              <w:sz w:val="28"/>
              <w:szCs w:val="28"/>
              <w:highlight w:val="none"/>
              <w:shd w:val="clear" w:color="auto" w:fill="auto"/>
              <w:lang w:eastAsia="zh-CN"/>
            </w:rPr>
            <w:t>）</w:t>
          </w:r>
          <w:r>
            <w:rPr>
              <w:rFonts w:hint="eastAsia" w:ascii="宋体" w:hAnsi="宋体" w:eastAsia="宋体" w:cs="宋体"/>
              <w:sz w:val="28"/>
              <w:szCs w:val="28"/>
              <w:highlight w:val="none"/>
              <w:shd w:val="clear" w:color="auto" w:fill="auto"/>
            </w:rPr>
            <w:t>项目效益情况</w:t>
          </w:r>
          <w:r>
            <w:rPr>
              <w:sz w:val="28"/>
              <w:szCs w:val="28"/>
            </w:rPr>
            <w:tab/>
          </w:r>
          <w:r>
            <w:rPr>
              <w:sz w:val="28"/>
              <w:szCs w:val="28"/>
            </w:rPr>
            <w:fldChar w:fldCharType="begin"/>
          </w:r>
          <w:r>
            <w:rPr>
              <w:sz w:val="28"/>
              <w:szCs w:val="28"/>
            </w:rPr>
            <w:instrText xml:space="preserve"> PAGEREF _Toc18446 \h </w:instrText>
          </w:r>
          <w:r>
            <w:rPr>
              <w:sz w:val="28"/>
              <w:szCs w:val="28"/>
            </w:rPr>
            <w:fldChar w:fldCharType="separate"/>
          </w:r>
          <w:r>
            <w:rPr>
              <w:sz w:val="28"/>
              <w:szCs w:val="28"/>
            </w:rPr>
            <w:t>18</w:t>
          </w:r>
          <w:r>
            <w:rPr>
              <w:sz w:val="28"/>
              <w:szCs w:val="28"/>
            </w:rPr>
            <w:fldChar w:fldCharType="end"/>
          </w:r>
          <w:r>
            <w:rPr>
              <w:rFonts w:hint="eastAsia"/>
              <w:sz w:val="28"/>
              <w:szCs w:val="28"/>
              <w:lang w:val="en-US" w:eastAsia="zh-CN"/>
            </w:rPr>
            <w:fldChar w:fldCharType="end"/>
          </w:r>
        </w:p>
        <w:p>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sz w:val="28"/>
              <w:szCs w:val="28"/>
            </w:rPr>
          </w:pPr>
          <w:r>
            <w:rPr>
              <w:rFonts w:hint="eastAsia"/>
              <w:b/>
              <w:bCs/>
              <w:sz w:val="28"/>
              <w:szCs w:val="28"/>
              <w:lang w:val="en-US" w:eastAsia="zh-CN"/>
            </w:rPr>
            <w:fldChar w:fldCharType="begin"/>
          </w:r>
          <w:r>
            <w:rPr>
              <w:rFonts w:hint="eastAsia"/>
              <w:b/>
              <w:bCs/>
              <w:sz w:val="28"/>
              <w:szCs w:val="28"/>
              <w:lang w:val="en-US" w:eastAsia="zh-CN"/>
            </w:rPr>
            <w:instrText xml:space="preserve"> HYPERLINK \l _Toc19962 </w:instrText>
          </w:r>
          <w:r>
            <w:rPr>
              <w:rFonts w:hint="eastAsia"/>
              <w:b/>
              <w:bCs/>
              <w:sz w:val="28"/>
              <w:szCs w:val="28"/>
              <w:lang w:val="en-US" w:eastAsia="zh-CN"/>
            </w:rPr>
            <w:fldChar w:fldCharType="separate"/>
          </w:r>
          <w:r>
            <w:rPr>
              <w:rFonts w:hint="eastAsia" w:ascii="宋体" w:hAnsi="宋体" w:eastAsia="宋体" w:cs="宋体"/>
              <w:b/>
              <w:bCs/>
              <w:sz w:val="28"/>
              <w:szCs w:val="28"/>
              <w:highlight w:val="none"/>
              <w:shd w:val="clear" w:color="auto" w:fill="auto"/>
              <w:lang w:val="en-US" w:eastAsia="zh-CN"/>
            </w:rPr>
            <w:t>五、预算执行进度与指标偏差</w:t>
          </w:r>
          <w:r>
            <w:rPr>
              <w:b/>
              <w:bCs/>
              <w:sz w:val="28"/>
              <w:szCs w:val="28"/>
            </w:rPr>
            <w:tab/>
          </w:r>
          <w:r>
            <w:rPr>
              <w:b/>
              <w:bCs/>
              <w:sz w:val="28"/>
              <w:szCs w:val="28"/>
            </w:rPr>
            <w:fldChar w:fldCharType="begin"/>
          </w:r>
          <w:r>
            <w:rPr>
              <w:b/>
              <w:bCs/>
              <w:sz w:val="28"/>
              <w:szCs w:val="28"/>
            </w:rPr>
            <w:instrText xml:space="preserve"> PAGEREF _Toc19962 \h </w:instrText>
          </w:r>
          <w:r>
            <w:rPr>
              <w:b/>
              <w:bCs/>
              <w:sz w:val="28"/>
              <w:szCs w:val="28"/>
            </w:rPr>
            <w:fldChar w:fldCharType="separate"/>
          </w:r>
          <w:r>
            <w:rPr>
              <w:b/>
              <w:bCs/>
              <w:sz w:val="28"/>
              <w:szCs w:val="28"/>
            </w:rPr>
            <w:t>19</w:t>
          </w:r>
          <w:r>
            <w:rPr>
              <w:b/>
              <w:bCs/>
              <w:sz w:val="28"/>
              <w:szCs w:val="28"/>
            </w:rPr>
            <w:fldChar w:fldCharType="end"/>
          </w:r>
          <w:r>
            <w:rPr>
              <w:rFonts w:hint="eastAsia"/>
              <w:b/>
              <w:bCs/>
              <w:sz w:val="28"/>
              <w:szCs w:val="28"/>
              <w:lang w:val="en-US" w:eastAsia="zh-CN"/>
            </w:rPr>
            <w:fldChar w:fldCharType="end"/>
          </w:r>
        </w:p>
        <w:p>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sz w:val="28"/>
              <w:szCs w:val="28"/>
            </w:rPr>
          </w:pPr>
          <w:r>
            <w:rPr>
              <w:rFonts w:hint="eastAsia"/>
              <w:b/>
              <w:bCs/>
              <w:sz w:val="28"/>
              <w:szCs w:val="28"/>
              <w:lang w:val="en-US" w:eastAsia="zh-CN"/>
            </w:rPr>
            <w:fldChar w:fldCharType="begin"/>
          </w:r>
          <w:r>
            <w:rPr>
              <w:rFonts w:hint="eastAsia"/>
              <w:b/>
              <w:bCs/>
              <w:sz w:val="28"/>
              <w:szCs w:val="28"/>
              <w:lang w:val="en-US" w:eastAsia="zh-CN"/>
            </w:rPr>
            <w:instrText xml:space="preserve"> HYPERLINK \l _Toc29934 </w:instrText>
          </w:r>
          <w:r>
            <w:rPr>
              <w:rFonts w:hint="eastAsia"/>
              <w:b/>
              <w:bCs/>
              <w:sz w:val="28"/>
              <w:szCs w:val="28"/>
              <w:lang w:val="en-US" w:eastAsia="zh-CN"/>
            </w:rPr>
            <w:fldChar w:fldCharType="separate"/>
          </w:r>
          <w:r>
            <w:rPr>
              <w:rFonts w:hint="eastAsia" w:ascii="宋体" w:hAnsi="宋体" w:eastAsia="宋体" w:cs="宋体"/>
              <w:b/>
              <w:bCs/>
              <w:sz w:val="28"/>
              <w:szCs w:val="28"/>
              <w:highlight w:val="none"/>
              <w:shd w:val="clear" w:color="auto" w:fill="auto"/>
              <w:lang w:val="en-US" w:eastAsia="zh-CN"/>
            </w:rPr>
            <w:t>六、主要经验及做法、存在的问题及原因分析</w:t>
          </w:r>
          <w:r>
            <w:rPr>
              <w:b/>
              <w:bCs/>
              <w:sz w:val="28"/>
              <w:szCs w:val="28"/>
            </w:rPr>
            <w:tab/>
          </w:r>
          <w:r>
            <w:rPr>
              <w:b/>
              <w:bCs/>
              <w:sz w:val="28"/>
              <w:szCs w:val="28"/>
            </w:rPr>
            <w:fldChar w:fldCharType="begin"/>
          </w:r>
          <w:r>
            <w:rPr>
              <w:b/>
              <w:bCs/>
              <w:sz w:val="28"/>
              <w:szCs w:val="28"/>
            </w:rPr>
            <w:instrText xml:space="preserve"> PAGEREF _Toc29934 \h </w:instrText>
          </w:r>
          <w:r>
            <w:rPr>
              <w:b/>
              <w:bCs/>
              <w:sz w:val="28"/>
              <w:szCs w:val="28"/>
            </w:rPr>
            <w:fldChar w:fldCharType="separate"/>
          </w:r>
          <w:r>
            <w:rPr>
              <w:b/>
              <w:bCs/>
              <w:sz w:val="28"/>
              <w:szCs w:val="28"/>
            </w:rPr>
            <w:t>20</w:t>
          </w:r>
          <w:r>
            <w:rPr>
              <w:b/>
              <w:bCs/>
              <w:sz w:val="28"/>
              <w:szCs w:val="28"/>
            </w:rPr>
            <w:fldChar w:fldCharType="end"/>
          </w:r>
          <w:r>
            <w:rPr>
              <w:rFonts w:hint="eastAsia"/>
              <w:b/>
              <w:bCs/>
              <w:sz w:val="28"/>
              <w:szCs w:val="28"/>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sz w:val="28"/>
              <w:szCs w:val="28"/>
            </w:rPr>
          </w:pPr>
          <w:r>
            <w:rPr>
              <w:rFonts w:hint="eastAsia"/>
              <w:sz w:val="28"/>
              <w:szCs w:val="28"/>
              <w:lang w:val="en-US" w:eastAsia="zh-CN"/>
            </w:rPr>
            <w:fldChar w:fldCharType="begin"/>
          </w:r>
          <w:r>
            <w:rPr>
              <w:rFonts w:hint="eastAsia"/>
              <w:sz w:val="28"/>
              <w:szCs w:val="28"/>
              <w:lang w:val="en-US" w:eastAsia="zh-CN"/>
            </w:rPr>
            <w:instrText xml:space="preserve"> HYPERLINK \l _Toc13160 </w:instrText>
          </w:r>
          <w:r>
            <w:rPr>
              <w:rFonts w:hint="eastAsia"/>
              <w:sz w:val="28"/>
              <w:szCs w:val="28"/>
              <w:lang w:val="en-US" w:eastAsia="zh-CN"/>
            </w:rPr>
            <w:fldChar w:fldCharType="separate"/>
          </w:r>
          <w:r>
            <w:rPr>
              <w:rFonts w:hint="eastAsia"/>
              <w:bCs/>
              <w:sz w:val="28"/>
              <w:szCs w:val="28"/>
              <w:lang w:eastAsia="zh-CN"/>
            </w:rPr>
            <w:t>（</w:t>
          </w:r>
          <w:r>
            <w:rPr>
              <w:rFonts w:hint="eastAsia"/>
              <w:bCs/>
              <w:sz w:val="28"/>
              <w:szCs w:val="28"/>
              <w:lang w:val="en-US" w:eastAsia="zh-CN"/>
            </w:rPr>
            <w:t>一</w:t>
          </w:r>
          <w:r>
            <w:rPr>
              <w:rFonts w:hint="eastAsia"/>
              <w:bCs/>
              <w:sz w:val="28"/>
              <w:szCs w:val="28"/>
              <w:lang w:eastAsia="zh-CN"/>
            </w:rPr>
            <w:t>）</w:t>
          </w:r>
          <w:r>
            <w:rPr>
              <w:rFonts w:hint="eastAsia"/>
              <w:bCs/>
              <w:sz w:val="28"/>
              <w:szCs w:val="28"/>
            </w:rPr>
            <w:t>主要经验及做法</w:t>
          </w:r>
          <w:r>
            <w:rPr>
              <w:sz w:val="28"/>
              <w:szCs w:val="28"/>
            </w:rPr>
            <w:tab/>
          </w:r>
          <w:r>
            <w:rPr>
              <w:sz w:val="28"/>
              <w:szCs w:val="28"/>
            </w:rPr>
            <w:fldChar w:fldCharType="begin"/>
          </w:r>
          <w:r>
            <w:rPr>
              <w:sz w:val="28"/>
              <w:szCs w:val="28"/>
            </w:rPr>
            <w:instrText xml:space="preserve"> PAGEREF _Toc13160 \h </w:instrText>
          </w:r>
          <w:r>
            <w:rPr>
              <w:sz w:val="28"/>
              <w:szCs w:val="28"/>
            </w:rPr>
            <w:fldChar w:fldCharType="separate"/>
          </w:r>
          <w:r>
            <w:rPr>
              <w:sz w:val="28"/>
              <w:szCs w:val="28"/>
            </w:rPr>
            <w:t>20</w:t>
          </w:r>
          <w:r>
            <w:rPr>
              <w:sz w:val="28"/>
              <w:szCs w:val="28"/>
            </w:rPr>
            <w:fldChar w:fldCharType="end"/>
          </w:r>
          <w:r>
            <w:rPr>
              <w:rFonts w:hint="eastAsia"/>
              <w:sz w:val="28"/>
              <w:szCs w:val="28"/>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sz w:val="28"/>
              <w:szCs w:val="28"/>
            </w:rPr>
          </w:pPr>
          <w:r>
            <w:rPr>
              <w:rFonts w:hint="eastAsia"/>
              <w:sz w:val="28"/>
              <w:szCs w:val="28"/>
              <w:lang w:val="en-US" w:eastAsia="zh-CN"/>
            </w:rPr>
            <w:fldChar w:fldCharType="begin"/>
          </w:r>
          <w:r>
            <w:rPr>
              <w:rFonts w:hint="eastAsia"/>
              <w:sz w:val="28"/>
              <w:szCs w:val="28"/>
              <w:lang w:val="en-US" w:eastAsia="zh-CN"/>
            </w:rPr>
            <w:instrText xml:space="preserve"> HYPERLINK \l _Toc9582 </w:instrText>
          </w:r>
          <w:r>
            <w:rPr>
              <w:rFonts w:hint="eastAsia"/>
              <w:sz w:val="28"/>
              <w:szCs w:val="28"/>
              <w:lang w:val="en-US" w:eastAsia="zh-CN"/>
            </w:rPr>
            <w:fldChar w:fldCharType="separate"/>
          </w:r>
          <w:r>
            <w:rPr>
              <w:rFonts w:hint="eastAsia"/>
              <w:bCs/>
              <w:sz w:val="28"/>
              <w:szCs w:val="28"/>
              <w:lang w:eastAsia="zh-CN"/>
            </w:rPr>
            <w:t>（</w:t>
          </w:r>
          <w:r>
            <w:rPr>
              <w:rFonts w:hint="eastAsia"/>
              <w:bCs/>
              <w:sz w:val="28"/>
              <w:szCs w:val="28"/>
              <w:lang w:val="en-US" w:eastAsia="zh-CN"/>
            </w:rPr>
            <w:t>二</w:t>
          </w:r>
          <w:r>
            <w:rPr>
              <w:rFonts w:hint="eastAsia"/>
              <w:bCs/>
              <w:sz w:val="28"/>
              <w:szCs w:val="28"/>
              <w:lang w:eastAsia="zh-CN"/>
            </w:rPr>
            <w:t>）</w:t>
          </w:r>
          <w:r>
            <w:rPr>
              <w:rFonts w:hint="eastAsia"/>
              <w:bCs/>
              <w:sz w:val="28"/>
              <w:szCs w:val="28"/>
            </w:rPr>
            <w:t>存在的问题及原因分析</w:t>
          </w:r>
          <w:r>
            <w:rPr>
              <w:sz w:val="28"/>
              <w:szCs w:val="28"/>
            </w:rPr>
            <w:tab/>
          </w:r>
          <w:r>
            <w:rPr>
              <w:sz w:val="28"/>
              <w:szCs w:val="28"/>
            </w:rPr>
            <w:fldChar w:fldCharType="begin"/>
          </w:r>
          <w:r>
            <w:rPr>
              <w:sz w:val="28"/>
              <w:szCs w:val="28"/>
            </w:rPr>
            <w:instrText xml:space="preserve"> PAGEREF _Toc9582 \h </w:instrText>
          </w:r>
          <w:r>
            <w:rPr>
              <w:sz w:val="28"/>
              <w:szCs w:val="28"/>
            </w:rPr>
            <w:fldChar w:fldCharType="separate"/>
          </w:r>
          <w:r>
            <w:rPr>
              <w:sz w:val="28"/>
              <w:szCs w:val="28"/>
            </w:rPr>
            <w:t>20</w:t>
          </w:r>
          <w:r>
            <w:rPr>
              <w:sz w:val="28"/>
              <w:szCs w:val="28"/>
            </w:rPr>
            <w:fldChar w:fldCharType="end"/>
          </w:r>
          <w:r>
            <w:rPr>
              <w:rFonts w:hint="eastAsia"/>
              <w:sz w:val="28"/>
              <w:szCs w:val="28"/>
              <w:lang w:val="en-US" w:eastAsia="zh-CN"/>
            </w:rPr>
            <w:fldChar w:fldCharType="end"/>
          </w:r>
        </w:p>
        <w:p>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sz w:val="28"/>
              <w:szCs w:val="28"/>
            </w:rPr>
          </w:pPr>
          <w:r>
            <w:rPr>
              <w:rFonts w:hint="eastAsia"/>
              <w:b/>
              <w:bCs/>
              <w:sz w:val="28"/>
              <w:szCs w:val="28"/>
              <w:lang w:val="en-US" w:eastAsia="zh-CN"/>
            </w:rPr>
            <w:fldChar w:fldCharType="begin"/>
          </w:r>
          <w:r>
            <w:rPr>
              <w:rFonts w:hint="eastAsia"/>
              <w:b/>
              <w:bCs/>
              <w:sz w:val="28"/>
              <w:szCs w:val="28"/>
              <w:lang w:val="en-US" w:eastAsia="zh-CN"/>
            </w:rPr>
            <w:instrText xml:space="preserve"> HYPERLINK \l _Toc5230 </w:instrText>
          </w:r>
          <w:r>
            <w:rPr>
              <w:rFonts w:hint="eastAsia"/>
              <w:b/>
              <w:bCs/>
              <w:sz w:val="28"/>
              <w:szCs w:val="28"/>
              <w:lang w:val="en-US" w:eastAsia="zh-CN"/>
            </w:rPr>
            <w:fldChar w:fldCharType="separate"/>
          </w:r>
          <w:r>
            <w:rPr>
              <w:rFonts w:hint="eastAsia" w:ascii="宋体" w:hAnsi="宋体" w:eastAsia="宋体" w:cs="宋体"/>
              <w:b/>
              <w:bCs/>
              <w:sz w:val="28"/>
              <w:szCs w:val="28"/>
              <w:highlight w:val="none"/>
              <w:shd w:val="clear" w:color="auto" w:fill="auto"/>
              <w:lang w:val="en-US" w:eastAsia="zh-CN"/>
            </w:rPr>
            <w:t>七、有关建议</w:t>
          </w:r>
          <w:r>
            <w:rPr>
              <w:b/>
              <w:bCs/>
              <w:sz w:val="28"/>
              <w:szCs w:val="28"/>
            </w:rPr>
            <w:tab/>
          </w:r>
          <w:r>
            <w:rPr>
              <w:b/>
              <w:bCs/>
              <w:sz w:val="28"/>
              <w:szCs w:val="28"/>
            </w:rPr>
            <w:fldChar w:fldCharType="begin"/>
          </w:r>
          <w:r>
            <w:rPr>
              <w:b/>
              <w:bCs/>
              <w:sz w:val="28"/>
              <w:szCs w:val="28"/>
            </w:rPr>
            <w:instrText xml:space="preserve"> PAGEREF _Toc5230 \h </w:instrText>
          </w:r>
          <w:r>
            <w:rPr>
              <w:b/>
              <w:bCs/>
              <w:sz w:val="28"/>
              <w:szCs w:val="28"/>
            </w:rPr>
            <w:fldChar w:fldCharType="separate"/>
          </w:r>
          <w:r>
            <w:rPr>
              <w:b/>
              <w:bCs/>
              <w:sz w:val="28"/>
              <w:szCs w:val="28"/>
            </w:rPr>
            <w:t>20</w:t>
          </w:r>
          <w:r>
            <w:rPr>
              <w:b/>
              <w:bCs/>
              <w:sz w:val="28"/>
              <w:szCs w:val="28"/>
            </w:rPr>
            <w:fldChar w:fldCharType="end"/>
          </w:r>
          <w:r>
            <w:rPr>
              <w:rFonts w:hint="eastAsia"/>
              <w:b/>
              <w:bCs/>
              <w:sz w:val="28"/>
              <w:szCs w:val="28"/>
              <w:lang w:val="en-US" w:eastAsia="zh-CN"/>
            </w:rPr>
            <w:fldChar w:fldCharType="end"/>
          </w:r>
        </w:p>
        <w:p>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sz w:val="28"/>
              <w:szCs w:val="28"/>
            </w:rPr>
          </w:pPr>
          <w:r>
            <w:rPr>
              <w:rFonts w:hint="eastAsia"/>
              <w:b/>
              <w:bCs/>
              <w:sz w:val="28"/>
              <w:szCs w:val="28"/>
              <w:lang w:val="en-US" w:eastAsia="zh-CN"/>
            </w:rPr>
            <w:fldChar w:fldCharType="begin"/>
          </w:r>
          <w:r>
            <w:rPr>
              <w:rFonts w:hint="eastAsia"/>
              <w:b/>
              <w:bCs/>
              <w:sz w:val="28"/>
              <w:szCs w:val="28"/>
              <w:lang w:val="en-US" w:eastAsia="zh-CN"/>
            </w:rPr>
            <w:instrText xml:space="preserve"> HYPERLINK \l _Toc15618 </w:instrText>
          </w:r>
          <w:r>
            <w:rPr>
              <w:rFonts w:hint="eastAsia"/>
              <w:b/>
              <w:bCs/>
              <w:sz w:val="28"/>
              <w:szCs w:val="28"/>
              <w:lang w:val="en-US" w:eastAsia="zh-CN"/>
            </w:rPr>
            <w:fldChar w:fldCharType="separate"/>
          </w:r>
          <w:r>
            <w:rPr>
              <w:rFonts w:hint="eastAsia" w:ascii="宋体" w:hAnsi="宋体" w:eastAsia="宋体" w:cs="宋体"/>
              <w:b/>
              <w:bCs/>
              <w:sz w:val="28"/>
              <w:szCs w:val="28"/>
              <w:highlight w:val="none"/>
              <w:shd w:val="clear" w:color="auto" w:fill="auto"/>
              <w:lang w:val="en-US" w:eastAsia="zh-CN"/>
            </w:rPr>
            <w:t>八、其他需要说明的问题</w:t>
          </w:r>
          <w:r>
            <w:rPr>
              <w:b/>
              <w:bCs/>
              <w:sz w:val="28"/>
              <w:szCs w:val="28"/>
            </w:rPr>
            <w:tab/>
          </w:r>
          <w:r>
            <w:rPr>
              <w:b/>
              <w:bCs/>
              <w:sz w:val="28"/>
              <w:szCs w:val="28"/>
            </w:rPr>
            <w:fldChar w:fldCharType="begin"/>
          </w:r>
          <w:r>
            <w:rPr>
              <w:b/>
              <w:bCs/>
              <w:sz w:val="28"/>
              <w:szCs w:val="28"/>
            </w:rPr>
            <w:instrText xml:space="preserve"> PAGEREF _Toc15618 \h </w:instrText>
          </w:r>
          <w:r>
            <w:rPr>
              <w:b/>
              <w:bCs/>
              <w:sz w:val="28"/>
              <w:szCs w:val="28"/>
            </w:rPr>
            <w:fldChar w:fldCharType="separate"/>
          </w:r>
          <w:r>
            <w:rPr>
              <w:b/>
              <w:bCs/>
              <w:sz w:val="28"/>
              <w:szCs w:val="28"/>
            </w:rPr>
            <w:t>21</w:t>
          </w:r>
          <w:r>
            <w:rPr>
              <w:b/>
              <w:bCs/>
              <w:sz w:val="28"/>
              <w:szCs w:val="28"/>
            </w:rPr>
            <w:fldChar w:fldCharType="end"/>
          </w:r>
          <w:r>
            <w:rPr>
              <w:rFonts w:hint="eastAsia"/>
              <w:b/>
              <w:bCs/>
              <w:sz w:val="28"/>
              <w:szCs w:val="28"/>
              <w:lang w:val="en-US" w:eastAsia="zh-CN"/>
            </w:rPr>
            <w:fldChar w:fldCharType="end"/>
          </w:r>
        </w:p>
        <w:p>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sz w:val="28"/>
              <w:szCs w:val="28"/>
            </w:rPr>
          </w:pPr>
        </w:p>
        <w:p>
          <w:pPr>
            <w:keepNext w:val="0"/>
            <w:keepLines w:val="0"/>
            <w:pageBreakBefore w:val="0"/>
            <w:shd w:val="clear"/>
            <w:kinsoku/>
            <w:wordWrap/>
            <w:overflowPunct/>
            <w:topLinePunct w:val="0"/>
            <w:autoSpaceDE/>
            <w:autoSpaceDN/>
            <w:bidi w:val="0"/>
            <w:adjustRightInd/>
            <w:snapToGrid/>
            <w:spacing w:line="520" w:lineRule="exact"/>
            <w:textAlignment w:val="auto"/>
            <w:rPr>
              <w:rFonts w:hint="eastAsia"/>
              <w:lang w:val="en-US" w:eastAsia="zh-CN"/>
            </w:rPr>
            <w:sectPr>
              <w:pgSz w:w="11906" w:h="16838"/>
              <w:pgMar w:top="1928" w:right="1531" w:bottom="1701" w:left="1531" w:header="737" w:footer="851" w:gutter="0"/>
              <w:cols w:space="720" w:num="1"/>
              <w:docGrid w:type="lines" w:linePitch="408" w:charSpace="0"/>
            </w:sectPr>
          </w:pPr>
          <w:r>
            <w:rPr>
              <w:rFonts w:hint="eastAsia"/>
              <w:sz w:val="28"/>
              <w:szCs w:val="28"/>
              <w:lang w:val="en-US" w:eastAsia="zh-CN"/>
            </w:rPr>
            <w:fldChar w:fldCharType="end"/>
          </w:r>
        </w:p>
      </w:sdtContent>
    </w:sdt>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宋体" w:hAnsi="宋体" w:eastAsia="宋体" w:cs="宋体"/>
          <w:b/>
          <w:bCs/>
          <w:color w:val="000000" w:themeColor="text1"/>
          <w:sz w:val="36"/>
          <w:szCs w:val="36"/>
          <w:highlight w:val="none"/>
          <w:shd w:val="clear" w:color="auto" w:fill="auto"/>
          <w14:textFill>
            <w14:solidFill>
              <w14:schemeClr w14:val="tx1"/>
            </w14:solidFill>
          </w14:textFill>
        </w:rPr>
      </w:pPr>
      <w:bookmarkStart w:id="1" w:name="_Toc1194"/>
      <w:r>
        <w:rPr>
          <w:rFonts w:hint="eastAsia" w:ascii="宋体" w:hAnsi="宋体" w:eastAsia="宋体" w:cs="宋体"/>
          <w:b/>
          <w:bCs/>
          <w:color w:val="auto"/>
          <w:sz w:val="36"/>
          <w:szCs w:val="36"/>
          <w:highlight w:val="none"/>
          <w:shd w:val="clear" w:color="auto" w:fill="auto"/>
          <w:lang w:val="en-US" w:eastAsia="zh-CN"/>
        </w:rPr>
        <w:t>2023年高龄津贴及体检费项目</w:t>
      </w:r>
      <w:r>
        <w:rPr>
          <w:rFonts w:hint="eastAsia" w:ascii="宋体" w:hAnsi="宋体" w:eastAsia="宋体" w:cs="宋体"/>
          <w:b/>
          <w:bCs/>
          <w:color w:val="000000" w:themeColor="text1"/>
          <w:sz w:val="36"/>
          <w:szCs w:val="36"/>
          <w:highlight w:val="none"/>
          <w:shd w:val="clear" w:color="auto" w:fill="auto"/>
          <w14:textFill>
            <w14:solidFill>
              <w14:schemeClr w14:val="tx1"/>
            </w14:solidFill>
          </w14:textFill>
        </w:rPr>
        <w:t>支出绩效评价</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宋体" w:hAnsi="宋体" w:eastAsia="宋体" w:cs="宋体"/>
          <w:b/>
          <w:bCs/>
          <w:color w:val="000000" w:themeColor="text1"/>
          <w:highlight w:val="none"/>
          <w:shd w:val="clear" w:color="auto" w:fill="auto"/>
          <w14:textFill>
            <w14:solidFill>
              <w14:schemeClr w14:val="tx1"/>
            </w14:solidFill>
          </w14:textFill>
        </w:rPr>
      </w:pPr>
      <w:r>
        <w:rPr>
          <w:rFonts w:hint="eastAsia" w:ascii="宋体" w:hAnsi="宋体" w:eastAsia="宋体" w:cs="宋体"/>
          <w:b/>
          <w:bCs/>
          <w:color w:val="000000" w:themeColor="text1"/>
          <w:sz w:val="36"/>
          <w:szCs w:val="36"/>
          <w:highlight w:val="none"/>
          <w:shd w:val="clear" w:color="auto" w:fill="auto"/>
          <w14:textFill>
            <w14:solidFill>
              <w14:schemeClr w14:val="tx1"/>
            </w14:solidFill>
          </w14:textFill>
        </w:rPr>
        <w:t>报告</w:t>
      </w:r>
      <w:bookmarkEnd w:id="1"/>
    </w:p>
    <w:p>
      <w:pPr>
        <w:pStyle w:val="2"/>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000000" w:themeColor="text1"/>
          <w:highlight w:val="none"/>
          <w:shd w:val="clear" w:color="auto" w:fill="auto"/>
          <w14:textFill>
            <w14:solidFill>
              <w14:schemeClr w14:val="tx1"/>
            </w14:solidFill>
          </w14:textFill>
        </w:rPr>
      </w:pPr>
      <w:bookmarkStart w:id="2" w:name="_Toc17540"/>
      <w:r>
        <w:rPr>
          <w:rFonts w:hint="eastAsia" w:ascii="宋体" w:hAnsi="宋体" w:eastAsia="宋体" w:cs="宋体"/>
          <w:b/>
          <w:bCs/>
          <w:color w:val="000000" w:themeColor="text1"/>
          <w:highlight w:val="none"/>
          <w:shd w:val="clear" w:color="auto" w:fill="auto"/>
          <w14:textFill>
            <w14:solidFill>
              <w14:schemeClr w14:val="tx1"/>
            </w14:solidFill>
          </w14:textFill>
        </w:rPr>
        <w:t>一、基本情况</w:t>
      </w:r>
      <w:bookmarkEnd w:id="2"/>
    </w:p>
    <w:p>
      <w:pPr>
        <w:pStyle w:val="3"/>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000000" w:themeColor="text1"/>
          <w:highlight w:val="none"/>
          <w:shd w:val="clear" w:color="auto" w:fill="auto"/>
          <w14:textFill>
            <w14:solidFill>
              <w14:schemeClr w14:val="tx1"/>
            </w14:solidFill>
          </w14:textFill>
        </w:rPr>
      </w:pPr>
      <w:bookmarkStart w:id="3" w:name="_Toc18966"/>
      <w:r>
        <w:rPr>
          <w:rFonts w:hint="eastAsia" w:ascii="宋体" w:hAnsi="宋体" w:eastAsia="宋体" w:cs="宋体"/>
          <w:color w:val="000000" w:themeColor="text1"/>
          <w:highlight w:val="none"/>
          <w:shd w:val="clear" w:color="auto" w:fill="auto"/>
          <w14:textFill>
            <w14:solidFill>
              <w14:schemeClr w14:val="tx1"/>
            </w14:solidFill>
          </w14:textFill>
        </w:rPr>
        <w:t>（一）项目概况</w:t>
      </w:r>
      <w:bookmarkEnd w:id="3"/>
    </w:p>
    <w:p>
      <w:pPr>
        <w:pStyle w:val="4"/>
        <w:pageBreakBefore w:val="0"/>
        <w:kinsoku/>
        <w:wordWrap/>
        <w:overflowPunct/>
        <w:topLinePunct w:val="0"/>
        <w:autoSpaceDE/>
        <w:autoSpaceDN/>
        <w:bidi w:val="0"/>
        <w:adjustRightInd/>
        <w:spacing w:line="360" w:lineRule="auto"/>
        <w:textAlignment w:val="auto"/>
        <w:rPr>
          <w:rFonts w:hint="eastAsia" w:ascii="宋体" w:hAnsi="宋体" w:eastAsia="宋体" w:cs="宋体"/>
          <w:color w:val="000000" w:themeColor="text1"/>
          <w:highlight w:val="none"/>
          <w:shd w:val="clear" w:color="auto" w:fill="auto"/>
          <w:lang w:eastAsia="zh-CN"/>
          <w14:textFill>
            <w14:solidFill>
              <w14:schemeClr w14:val="tx1"/>
            </w14:solidFill>
          </w14:textFill>
        </w:rPr>
      </w:pPr>
      <w:bookmarkStart w:id="4" w:name="_Toc5043"/>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1.</w:t>
      </w:r>
      <w:r>
        <w:rPr>
          <w:rFonts w:hint="eastAsia" w:ascii="宋体" w:hAnsi="宋体" w:eastAsia="宋体" w:cs="宋体"/>
          <w:color w:val="000000" w:themeColor="text1"/>
          <w:highlight w:val="none"/>
          <w:shd w:val="clear" w:color="auto" w:fill="auto"/>
          <w14:textFill>
            <w14:solidFill>
              <w14:schemeClr w14:val="tx1"/>
            </w14:solidFill>
          </w14:textFill>
        </w:rPr>
        <w:t>项目背景</w:t>
      </w:r>
      <w:bookmarkEnd w:id="4"/>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b w:val="0"/>
          <w:bCs w:val="0"/>
          <w:color w:val="auto"/>
          <w:kern w:val="2"/>
          <w:sz w:val="28"/>
          <w:szCs w:val="28"/>
          <w:highlight w:val="none"/>
          <w:shd w:val="clear" w:color="auto" w:fill="auto"/>
          <w:lang w:val="en-US" w:eastAsia="zh-CN" w:bidi="ar-SA"/>
        </w:rPr>
      </w:pPr>
      <w:r>
        <w:rPr>
          <w:rFonts w:hint="eastAsia" w:ascii="宋体" w:hAnsi="宋体" w:eastAsia="宋体" w:cs="宋体"/>
          <w:b w:val="0"/>
          <w:bCs w:val="0"/>
          <w:color w:val="auto"/>
          <w:kern w:val="2"/>
          <w:sz w:val="28"/>
          <w:szCs w:val="28"/>
          <w:highlight w:val="none"/>
          <w:shd w:val="clear" w:color="auto" w:fill="auto"/>
          <w:lang w:val="en-US" w:eastAsia="zh-CN" w:bidi="ar-SA"/>
        </w:rPr>
        <w:t>老年人口增长快、高龄老人比例高、家庭养老功能弱、老年人社会服务体系建设不健全，是当前我区养老服务体系建设工作面临的突出问题。建立80周岁以上老年人基本生活津贴和免费体检制度，是自治区2011年“民生建设年”确定的22项重点民生实事工程之一。实施这两项制度，解决80岁以上高龄老人的基本生活困难、提高他们的生活和生命质量，是弘扬中华民族敬老、爱老、养老传统美德的德政工程，是关心关怀为新疆建设和发展作出贡献的各族老年人的暖心工程和惠民工程，是“民生优先、群众第一、基层重要”执政理念的具体体现，更是党的十七大“老有所养、老有所医”战略目标的具体实践。</w:t>
      </w:r>
    </w:p>
    <w:p>
      <w:pPr>
        <w:pStyle w:val="4"/>
        <w:pageBreakBefore w:val="0"/>
        <w:kinsoku/>
        <w:wordWrap/>
        <w:overflowPunct/>
        <w:topLinePunct w:val="0"/>
        <w:autoSpaceDE/>
        <w:autoSpaceDN/>
        <w:bidi w:val="0"/>
        <w:adjustRightInd/>
        <w:spacing w:line="360" w:lineRule="auto"/>
        <w:ind w:left="0" w:leftChars="0" w:firstLine="562" w:firstLineChars="200"/>
        <w:jc w:val="left"/>
        <w:textAlignment w:val="auto"/>
        <w:rPr>
          <w:rFonts w:hint="eastAsia" w:ascii="宋体" w:hAnsi="宋体" w:eastAsia="宋体" w:cs="宋体"/>
          <w:color w:val="000000" w:themeColor="text1"/>
          <w:highlight w:val="none"/>
          <w:shd w:val="clear" w:color="auto" w:fill="auto"/>
          <w14:textFill>
            <w14:solidFill>
              <w14:schemeClr w14:val="tx1"/>
            </w14:solidFill>
          </w14:textFill>
        </w:rPr>
      </w:pPr>
      <w:bookmarkStart w:id="5" w:name="_Toc27343"/>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2.</w:t>
      </w:r>
      <w:r>
        <w:rPr>
          <w:rFonts w:hint="eastAsia" w:ascii="宋体" w:hAnsi="宋体" w:eastAsia="宋体" w:cs="宋体"/>
          <w:color w:val="000000" w:themeColor="text1"/>
          <w:highlight w:val="none"/>
          <w:shd w:val="clear" w:color="auto" w:fill="auto"/>
          <w14:textFill>
            <w14:solidFill>
              <w14:schemeClr w14:val="tx1"/>
            </w14:solidFill>
          </w14:textFill>
        </w:rPr>
        <w:t>主要内容及实施情况</w:t>
      </w:r>
      <w:bookmarkEnd w:id="5"/>
    </w:p>
    <w:p>
      <w:pPr>
        <w:pStyle w:val="4"/>
        <w:keepNext/>
        <w:keepLines/>
        <w:pageBreakBefore w:val="0"/>
        <w:widowControl w:val="0"/>
        <w:kinsoku/>
        <w:wordWrap/>
        <w:overflowPunct/>
        <w:topLinePunct w:val="0"/>
        <w:autoSpaceDE/>
        <w:autoSpaceDN/>
        <w:bidi w:val="0"/>
        <w:adjustRightInd/>
        <w:snapToGrid/>
        <w:spacing w:line="560" w:lineRule="exact"/>
        <w:jc w:val="left"/>
        <w:textAlignment w:val="auto"/>
        <w:rPr>
          <w:rFonts w:hint="eastAsia" w:ascii="宋体" w:hAnsi="宋体" w:eastAsia="宋体" w:cs="宋体"/>
          <w:b w:val="0"/>
          <w:bCs w:val="0"/>
          <w:color w:val="000000" w:themeColor="text1"/>
          <w:highlight w:val="none"/>
          <w:shd w:val="clear" w:color="auto" w:fill="auto"/>
          <w:lang w:eastAsia="zh-CN"/>
          <w14:textFill>
            <w14:solidFill>
              <w14:schemeClr w14:val="tx1"/>
            </w14:solidFill>
          </w14:textFill>
        </w:rPr>
      </w:pPr>
      <w:bookmarkStart w:id="6" w:name="_Toc16592"/>
      <w:r>
        <w:rPr>
          <w:rFonts w:hint="eastAsia" w:cs="宋体"/>
          <w:color w:val="auto"/>
          <w:highlight w:val="none"/>
          <w:shd w:val="clear" w:color="auto" w:fill="auto"/>
          <w:lang w:val="en-US" w:eastAsia="zh-CN"/>
        </w:rPr>
        <w:t>主要内容</w:t>
      </w:r>
      <w:r>
        <w:rPr>
          <w:rFonts w:hint="eastAsia" w:ascii="宋体" w:hAnsi="宋体" w:eastAsia="宋体" w:cs="宋体"/>
          <w:color w:val="auto"/>
          <w:highlight w:val="none"/>
          <w:shd w:val="clear" w:color="auto" w:fill="auto"/>
          <w:lang w:val="en-US" w:eastAsia="zh-CN"/>
        </w:rPr>
        <w:t>：</w:t>
      </w:r>
      <w:r>
        <w:rPr>
          <w:rFonts w:hint="eastAsia" w:ascii="宋体" w:hAnsi="宋体" w:eastAsia="宋体" w:cs="宋体"/>
          <w:b w:val="0"/>
          <w:bCs w:val="0"/>
          <w:color w:val="auto"/>
          <w:kern w:val="2"/>
          <w:sz w:val="28"/>
          <w:szCs w:val="28"/>
          <w:highlight w:val="none"/>
          <w:shd w:val="clear" w:color="auto" w:fill="auto"/>
          <w:lang w:val="en-US" w:eastAsia="zh-CN" w:bidi="ar-SA"/>
        </w:rPr>
        <w:t>解决80周岁以上老年人基本生活困难，不断提高生活和生命质量。</w:t>
      </w:r>
      <w:bookmarkEnd w:id="6"/>
      <w:r>
        <w:rPr>
          <w:rFonts w:hint="eastAsia" w:ascii="宋体" w:hAnsi="宋体" w:eastAsia="宋体" w:cs="宋体"/>
          <w:b w:val="0"/>
          <w:bCs w:val="0"/>
          <w:color w:val="auto"/>
          <w:kern w:val="2"/>
          <w:sz w:val="28"/>
          <w:szCs w:val="28"/>
          <w:highlight w:val="none"/>
          <w:shd w:val="clear" w:color="auto" w:fill="auto"/>
          <w:lang w:val="en-US" w:eastAsia="zh-CN" w:bidi="ar-SA"/>
        </w:rPr>
        <w:t>80周岁以上老年人免费体检次数1次，享受80周岁以上高龄津贴的10000人次，补助资金发放及时，补助资金到位，80周岁（含80周岁）89周岁的老年人补助标准100元每人每月，90周岁（含90周岁）89周岁的老年人补助标准200元每人每月，100周岁（含100周岁）89周岁的老年人补助标准300元每人每月。</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color w:val="auto"/>
          <w:highlight w:val="none"/>
          <w:shd w:val="clear" w:color="auto" w:fill="auto"/>
          <w:lang w:val="en-US" w:eastAsia="zh-CN"/>
        </w:rPr>
      </w:pPr>
      <w:r>
        <w:rPr>
          <w:rFonts w:hint="eastAsia" w:cs="宋体"/>
          <w:b/>
          <w:bCs/>
          <w:color w:val="auto"/>
          <w:highlight w:val="none"/>
          <w:shd w:val="clear" w:color="auto" w:fill="auto"/>
          <w:lang w:val="en-US" w:eastAsia="zh-CN"/>
        </w:rPr>
        <w:t>组织实施</w:t>
      </w:r>
      <w:r>
        <w:rPr>
          <w:rFonts w:hint="eastAsia" w:ascii="宋体" w:hAnsi="宋体" w:eastAsia="宋体" w:cs="宋体"/>
          <w:b/>
          <w:bCs/>
          <w:color w:val="auto"/>
          <w:highlight w:val="none"/>
          <w:shd w:val="clear" w:color="auto" w:fill="auto"/>
          <w:lang w:val="en-US" w:eastAsia="zh-CN"/>
        </w:rPr>
        <w:t>：</w:t>
      </w:r>
      <w:r>
        <w:rPr>
          <w:rFonts w:hint="eastAsia" w:cs="宋体"/>
          <w:color w:val="auto"/>
          <w:highlight w:val="none"/>
          <w:shd w:val="clear" w:color="auto" w:fill="auto"/>
          <w:lang w:val="en-US" w:eastAsia="zh-CN"/>
        </w:rPr>
        <w:t>《80周岁以上老年人基本生活津贴制度》、《80周岁以上老年人免费体检制度》经自治区党委第三十三次常委（扩大）会议审议通过，自2011年7月1日起实施。经民政局党组会议，确定了项目领导小组，明确了责任分工：组长为迟文诚，副组长为刘慧，项目负责人为苏萍,组员为来亚龙，其中：苏萍负责监管工作，来亚龙负责项目档案资料，来亚龙负责资金拨付工作。</w:t>
      </w:r>
    </w:p>
    <w:p>
      <w:pPr>
        <w:pStyle w:val="4"/>
        <w:pageBreakBefore w:val="0"/>
        <w:kinsoku/>
        <w:wordWrap/>
        <w:overflowPunct/>
        <w:topLinePunct w:val="0"/>
        <w:autoSpaceDE/>
        <w:autoSpaceDN/>
        <w:bidi w:val="0"/>
        <w:adjustRightIn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bookmarkStart w:id="7" w:name="_Toc1858"/>
      <w:r>
        <w:rPr>
          <w:rFonts w:hint="eastAsia" w:ascii="宋体" w:hAnsi="宋体" w:eastAsia="宋体" w:cs="宋体"/>
          <w:b w:val="0"/>
          <w:bCs w:val="0"/>
          <w:color w:val="000000" w:themeColor="text1"/>
          <w:highlight w:val="none"/>
          <w:shd w:val="clear" w:color="auto" w:fill="auto"/>
          <w:lang w:val="en-US" w:eastAsia="zh-CN"/>
          <w14:textFill>
            <w14:solidFill>
              <w14:schemeClr w14:val="tx1"/>
            </w14:solidFill>
          </w14:textFill>
        </w:rPr>
        <w:t>截至2023年12月31日，本项目完成80周岁以上老年人免费体检，享受80周岁以上高龄津贴的发放。</w:t>
      </w:r>
    </w:p>
    <w:p>
      <w:pPr>
        <w:pStyle w:val="4"/>
        <w:pageBreakBefore w:val="0"/>
        <w:kinsoku/>
        <w:wordWrap/>
        <w:overflowPunct/>
        <w:topLinePunct w:val="0"/>
        <w:autoSpaceDE/>
        <w:autoSpaceDN/>
        <w:bidi w:val="0"/>
        <w:adjustRightIn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3.资金投入和使用情况</w:t>
      </w:r>
      <w:bookmarkEnd w:id="7"/>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rPr>
      </w:pPr>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rPr>
        <w:t>项目资金安排落实、总投入等情况分析</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2023年高龄津贴及体检费项目预算安排总额为343.53万元，其中财政资</w:t>
      </w:r>
      <w:r>
        <w:rPr>
          <w:rFonts w:hint="eastAsia" w:cs="宋体"/>
          <w:color w:val="auto"/>
          <w:highlight w:val="none"/>
          <w:shd w:val="clear" w:color="auto" w:fill="auto"/>
          <w:lang w:val="en-US" w:eastAsia="zh-CN"/>
        </w:rPr>
        <w:t>金343.53</w:t>
      </w:r>
      <w:r>
        <w:rPr>
          <w:rFonts w:hint="eastAsia" w:ascii="宋体" w:hAnsi="宋体" w:eastAsia="宋体" w:cs="宋体"/>
          <w:color w:val="auto"/>
          <w:highlight w:val="none"/>
          <w:shd w:val="clear" w:color="auto" w:fill="auto"/>
          <w:lang w:val="en-US" w:eastAsia="zh-CN"/>
        </w:rPr>
        <w:t>万元，其他资金</w:t>
      </w:r>
      <w:r>
        <w:rPr>
          <w:rFonts w:hint="eastAsia" w:cs="宋体"/>
          <w:color w:val="auto"/>
          <w:highlight w:val="none"/>
          <w:shd w:val="clear" w:color="auto" w:fill="auto"/>
          <w:lang w:val="en-US" w:eastAsia="zh-CN"/>
        </w:rPr>
        <w:t>0</w:t>
      </w:r>
      <w:r>
        <w:rPr>
          <w:rFonts w:hint="eastAsia" w:ascii="宋体" w:hAnsi="宋体" w:eastAsia="宋体" w:cs="宋体"/>
          <w:color w:val="auto"/>
          <w:highlight w:val="none"/>
          <w:shd w:val="clear" w:color="auto" w:fill="auto"/>
          <w:lang w:val="en-US" w:eastAsia="zh-CN"/>
        </w:rPr>
        <w:t>万元，</w:t>
      </w:r>
      <w:r>
        <w:rPr>
          <w:rFonts w:hint="eastAsia" w:cs="宋体"/>
          <w:color w:val="auto"/>
          <w:highlight w:val="none"/>
          <w:shd w:val="clear" w:color="auto" w:fill="auto"/>
          <w:lang w:val="en-US" w:eastAsia="zh-CN"/>
        </w:rPr>
        <w:t>2023</w:t>
      </w:r>
      <w:r>
        <w:rPr>
          <w:rFonts w:hint="eastAsia" w:ascii="宋体" w:hAnsi="宋体" w:eastAsia="宋体" w:cs="宋体"/>
          <w:color w:val="auto"/>
          <w:highlight w:val="none"/>
          <w:shd w:val="clear" w:color="auto" w:fill="auto"/>
          <w:lang w:val="en-US" w:eastAsia="zh-CN"/>
        </w:rPr>
        <w:t>年实际收到预算资金343.53万元，预算资金到位率为</w:t>
      </w:r>
      <w:r>
        <w:rPr>
          <w:rFonts w:hint="eastAsia" w:cs="宋体"/>
          <w:color w:val="auto"/>
          <w:highlight w:val="none"/>
          <w:shd w:val="clear" w:color="auto" w:fill="auto"/>
          <w:lang w:val="en-US" w:eastAsia="zh-CN"/>
        </w:rPr>
        <w:t>100</w:t>
      </w:r>
      <w:r>
        <w:rPr>
          <w:rFonts w:hint="eastAsia" w:ascii="宋体" w:hAnsi="宋体" w:eastAsia="宋体" w:cs="宋体"/>
          <w:color w:val="auto"/>
          <w:highlight w:val="none"/>
          <w:shd w:val="clear" w:color="auto" w:fill="auto"/>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44" w:firstLineChars="200"/>
        <w:textAlignment w:val="auto"/>
        <w:rPr>
          <w:rFonts w:hint="eastAsia" w:ascii="宋体" w:hAnsi="宋体" w:eastAsia="宋体" w:cs="宋体"/>
          <w:bCs/>
          <w:color w:val="auto"/>
          <w:spacing w:val="-4"/>
          <w:highlight w:val="none"/>
          <w:shd w:val="clear" w:color="auto" w:fill="auto"/>
        </w:rPr>
      </w:pPr>
      <w:r>
        <w:rPr>
          <w:rFonts w:hint="eastAsia" w:ascii="宋体" w:hAnsi="宋体" w:eastAsia="宋体" w:cs="宋体"/>
          <w:bCs/>
          <w:color w:val="auto"/>
          <w:spacing w:val="-4"/>
          <w:highlight w:val="none"/>
          <w:shd w:val="clear" w:color="auto" w:fill="auto"/>
          <w:lang w:eastAsia="zh-CN"/>
        </w:rPr>
        <w:t>（</w:t>
      </w:r>
      <w:r>
        <w:rPr>
          <w:rFonts w:hint="eastAsia" w:ascii="宋体" w:hAnsi="宋体" w:eastAsia="宋体" w:cs="宋体"/>
          <w:bCs/>
          <w:color w:val="auto"/>
          <w:spacing w:val="-4"/>
          <w:highlight w:val="none"/>
          <w:shd w:val="clear" w:color="auto" w:fill="auto"/>
          <w:lang w:val="en-US" w:eastAsia="zh-CN"/>
        </w:rPr>
        <w:t>2</w:t>
      </w:r>
      <w:r>
        <w:rPr>
          <w:rFonts w:hint="eastAsia" w:ascii="宋体" w:hAnsi="宋体" w:eastAsia="宋体" w:cs="宋体"/>
          <w:bCs/>
          <w:color w:val="auto"/>
          <w:spacing w:val="-4"/>
          <w:highlight w:val="none"/>
          <w:shd w:val="clear" w:color="auto" w:fill="auto"/>
          <w:lang w:eastAsia="zh-CN"/>
        </w:rPr>
        <w:t>）</w:t>
      </w:r>
      <w:r>
        <w:rPr>
          <w:rFonts w:hint="eastAsia" w:ascii="宋体" w:hAnsi="宋体" w:eastAsia="宋体" w:cs="宋体"/>
          <w:bCs/>
          <w:color w:val="auto"/>
          <w:spacing w:val="-4"/>
          <w:highlight w:val="none"/>
          <w:shd w:val="clear" w:color="auto" w:fill="auto"/>
        </w:rPr>
        <w:t>项目资金实际使用情况分析</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截至2023年12月31日，2023年高龄津贴及体检费</w:t>
      </w:r>
      <w:r>
        <w:rPr>
          <w:rFonts w:hint="eastAsia" w:ascii="宋体" w:hAnsi="宋体" w:eastAsia="宋体" w:cs="宋体"/>
          <w:color w:val="auto"/>
          <w:highlight w:val="none"/>
          <w:shd w:val="clear" w:color="auto" w:fill="auto"/>
        </w:rPr>
        <w:t>项目实际支付资金343.53万元，预算执行率</w:t>
      </w:r>
      <w:r>
        <w:rPr>
          <w:rFonts w:hint="eastAsia" w:cs="宋体"/>
          <w:color w:val="auto"/>
          <w:highlight w:val="none"/>
          <w:shd w:val="clear" w:color="auto" w:fill="auto"/>
          <w:lang w:val="en-US" w:eastAsia="zh-CN"/>
        </w:rPr>
        <w:t>100</w:t>
      </w:r>
      <w:r>
        <w:rPr>
          <w:rFonts w:hint="eastAsia" w:ascii="宋体" w:hAnsi="宋体" w:eastAsia="宋体" w:cs="宋体"/>
          <w:color w:val="auto"/>
          <w:highlight w:val="none"/>
          <w:shd w:val="clear" w:color="auto" w:fill="auto"/>
        </w:rPr>
        <w:t>%</w:t>
      </w:r>
      <w:r>
        <w:rPr>
          <w:rFonts w:hint="eastAsia" w:ascii="宋体" w:hAnsi="宋体" w:eastAsia="宋体" w:cs="宋体"/>
          <w:color w:val="auto"/>
          <w:highlight w:val="none"/>
          <w:shd w:val="clear" w:color="auto" w:fill="auto"/>
          <w:lang w:val="en-US" w:eastAsia="zh-CN"/>
        </w:rPr>
        <w:t>。</w:t>
      </w:r>
      <w:r>
        <w:rPr>
          <w:rFonts w:hint="eastAsia" w:ascii="宋体" w:hAnsi="宋体" w:eastAsia="宋体" w:cs="宋体"/>
          <w:color w:val="auto"/>
          <w:highlight w:val="none"/>
          <w:shd w:val="clear" w:color="auto" w:fill="auto"/>
        </w:rPr>
        <w:t>项目资金主要用</w:t>
      </w:r>
      <w:r>
        <w:rPr>
          <w:rFonts w:hint="eastAsia" w:cs="宋体"/>
          <w:color w:val="auto"/>
          <w:highlight w:val="none"/>
          <w:shd w:val="clear" w:color="auto" w:fill="auto"/>
          <w:lang w:val="en-US" w:eastAsia="zh-CN"/>
        </w:rPr>
        <w:t>高龄津贴发放及体检</w:t>
      </w:r>
      <w:r>
        <w:rPr>
          <w:rFonts w:hint="eastAsia" w:ascii="宋体" w:hAnsi="宋体" w:eastAsia="宋体" w:cs="宋体"/>
          <w:color w:val="auto"/>
          <w:highlight w:val="none"/>
          <w:shd w:val="clear" w:color="auto" w:fill="auto"/>
          <w:lang w:val="en-US" w:eastAsia="zh-CN"/>
        </w:rPr>
        <w:t>等方面</w:t>
      </w:r>
      <w:r>
        <w:rPr>
          <w:rFonts w:hint="eastAsia" w:cs="宋体"/>
          <w:color w:val="auto"/>
          <w:highlight w:val="none"/>
          <w:shd w:val="clear" w:color="auto" w:fill="auto"/>
          <w:lang w:val="en-US" w:eastAsia="zh-CN"/>
        </w:rPr>
        <w:t>。</w:t>
      </w:r>
    </w:p>
    <w:p>
      <w:pPr>
        <w:pStyle w:val="3"/>
        <w:pageBreakBefore w:val="0"/>
        <w:numPr>
          <w:ilvl w:val="0"/>
          <w:numId w:val="1"/>
        </w:numPr>
        <w:kinsoku/>
        <w:wordWrap/>
        <w:overflowPunct/>
        <w:topLinePunct w:val="0"/>
        <w:autoSpaceDE/>
        <w:autoSpaceDN/>
        <w:bidi w:val="0"/>
        <w:adjustRightInd/>
        <w:spacing w:beforeLines="0" w:afterLines="0" w:line="360" w:lineRule="auto"/>
        <w:ind w:left="-404" w:leftChars="0" w:firstLineChars="0"/>
        <w:textAlignment w:val="auto"/>
        <w:rPr>
          <w:rFonts w:hint="eastAsia" w:ascii="宋体" w:hAnsi="宋体" w:eastAsia="宋体" w:cs="宋体"/>
          <w:color w:val="000000" w:themeColor="text1"/>
          <w:highlight w:val="none"/>
          <w:shd w:val="clear" w:color="auto" w:fill="auto"/>
          <w14:textFill>
            <w14:solidFill>
              <w14:schemeClr w14:val="tx1"/>
            </w14:solidFill>
          </w14:textFill>
        </w:rPr>
      </w:pPr>
      <w:bookmarkStart w:id="8" w:name="_Toc2879"/>
      <w:r>
        <w:rPr>
          <w:rFonts w:hint="eastAsia" w:ascii="宋体" w:hAnsi="宋体" w:eastAsia="宋体" w:cs="宋体"/>
          <w:color w:val="000000" w:themeColor="text1"/>
          <w:highlight w:val="none"/>
          <w:shd w:val="clear" w:color="auto" w:fill="auto"/>
          <w14:textFill>
            <w14:solidFill>
              <w14:schemeClr w14:val="tx1"/>
            </w14:solidFill>
          </w14:textFill>
        </w:rPr>
        <w:t>项目绩效目标</w:t>
      </w:r>
      <w:bookmarkEnd w:id="8"/>
    </w:p>
    <w:p>
      <w:pPr>
        <w:pStyle w:val="4"/>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bookmarkStart w:id="9" w:name="_Toc10047"/>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1.总体目标</w:t>
      </w:r>
      <w:bookmarkEnd w:id="9"/>
    </w:p>
    <w:p>
      <w:pPr>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2023年高龄津贴及体检费项目绩效总体目标为：</w:t>
      </w:r>
      <w:r>
        <w:rPr>
          <w:rFonts w:hint="eastAsia" w:ascii="宋体" w:hAnsi="宋体" w:eastAsia="宋体" w:cs="宋体"/>
          <w:color w:val="auto"/>
          <w:highlight w:val="none"/>
          <w:shd w:val="clear" w:color="auto" w:fill="auto"/>
          <w:lang w:val="en-US" w:eastAsia="zh-CN"/>
        </w:rPr>
        <w:t>负责城乡社会救济工作；组织实施城乡居民最低生活保障制度；接收孤儿、弃婴和城市生活无着的流浪乞讨人员的救助；负责社会福利工作；负责殡葬管理工作，推进殡葬改革。解决80周岁以上老年人基本生活困难，不断提高生活和生命质量。80周岁以上老年人免费体检次数1次，享受80周岁以上高龄津贴的10000人次，补助资金发放及时，补助资金到位，80周岁（含80周岁）89周岁的老年人补助标准100元每人每月，90周岁（含90周岁）89周岁的老年人补助标准200元每人每月，100周岁（含100周岁）89周岁的老年人补助标准300元每人每月。</w:t>
      </w:r>
    </w:p>
    <w:p>
      <w:pPr>
        <w:pStyle w:val="4"/>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bookmarkStart w:id="10" w:name="_Toc4487"/>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2.阶段性目标</w:t>
      </w:r>
      <w:bookmarkEnd w:id="10"/>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Cs/>
          <w:color w:val="000000" w:themeColor="text1"/>
          <w:highlight w:val="none"/>
          <w:shd w:val="clear" w:color="auto" w:fill="auto"/>
          <w:lang w:eastAsia="zh-CN"/>
          <w14:textFill>
            <w14:solidFill>
              <w14:schemeClr w14:val="tx1"/>
            </w14:solidFill>
          </w14:textFill>
        </w:rPr>
      </w:pPr>
      <w:r>
        <w:rPr>
          <w:rFonts w:hint="eastAsia" w:ascii="宋体" w:hAnsi="宋体" w:eastAsia="宋体" w:cs="宋体"/>
          <w:bCs/>
          <w:color w:val="000000" w:themeColor="text1"/>
          <w:highlight w:val="none"/>
          <w:shd w:val="clear" w:color="auto" w:fill="auto"/>
          <w:lang w:eastAsia="zh-CN"/>
          <w14:textFill>
            <w14:solidFill>
              <w14:schemeClr w14:val="tx1"/>
            </w14:solidFill>
          </w14:textFill>
        </w:rPr>
        <w:t>根据《预算法</w:t>
      </w:r>
      <w:r>
        <w:rPr>
          <w:rFonts w:hint="eastAsia" w:cs="宋体"/>
          <w:bCs/>
          <w:color w:val="000000" w:themeColor="text1"/>
          <w:highlight w:val="none"/>
          <w:shd w:val="clear" w:color="auto" w:fill="auto"/>
          <w:lang w:eastAsia="zh-CN"/>
          <w14:textFill>
            <w14:solidFill>
              <w14:schemeClr w14:val="tx1"/>
            </w14:solidFill>
          </w14:textFill>
        </w:rPr>
        <w:t>》《</w:t>
      </w:r>
      <w:r>
        <w:rPr>
          <w:rFonts w:hint="eastAsia" w:ascii="宋体" w:hAnsi="宋体" w:eastAsia="宋体" w:cs="宋体"/>
          <w:bCs/>
          <w:color w:val="000000" w:themeColor="text1"/>
          <w:highlight w:val="none"/>
          <w:shd w:val="clear" w:color="auto" w:fill="auto"/>
          <w:lang w:eastAsia="zh-CN"/>
          <w14:textFill>
            <w14:solidFill>
              <w14:schemeClr w14:val="tx1"/>
            </w14:solidFill>
          </w14:textFill>
        </w:rPr>
        <w:t>财政支出绩效评价管理暂行办法》（财预〔20</w:t>
      </w:r>
      <w:r>
        <w:rPr>
          <w:rFonts w:hint="eastAsia" w:ascii="宋体" w:hAnsi="宋体" w:eastAsia="宋体" w:cs="宋体"/>
          <w:bCs/>
          <w:color w:val="000000" w:themeColor="text1"/>
          <w:highlight w:val="none"/>
          <w:shd w:val="clear" w:color="auto" w:fill="auto"/>
          <w:lang w:val="en-US" w:eastAsia="zh-CN"/>
          <w14:textFill>
            <w14:solidFill>
              <w14:schemeClr w14:val="tx1"/>
            </w14:solidFill>
          </w14:textFill>
        </w:rPr>
        <w:t>20</w:t>
      </w:r>
      <w:r>
        <w:rPr>
          <w:rFonts w:hint="eastAsia" w:ascii="宋体" w:hAnsi="宋体" w:eastAsia="宋体" w:cs="宋体"/>
          <w:bCs/>
          <w:color w:val="000000" w:themeColor="text1"/>
          <w:highlight w:val="none"/>
          <w:shd w:val="clear" w:color="auto" w:fill="auto"/>
          <w:lang w:eastAsia="zh-CN"/>
          <w14:textFill>
            <w14:solidFill>
              <w14:schemeClr w14:val="tx1"/>
            </w14:solidFill>
          </w14:textFill>
        </w:rPr>
        <w:t>〕</w:t>
      </w:r>
      <w:r>
        <w:rPr>
          <w:rFonts w:hint="eastAsia" w:ascii="宋体" w:hAnsi="宋体" w:eastAsia="宋体" w:cs="宋体"/>
          <w:bCs/>
          <w:color w:val="000000" w:themeColor="text1"/>
          <w:highlight w:val="none"/>
          <w:shd w:val="clear" w:color="auto" w:fill="auto"/>
          <w:lang w:val="en-US" w:eastAsia="zh-CN"/>
          <w14:textFill>
            <w14:solidFill>
              <w14:schemeClr w14:val="tx1"/>
            </w14:solidFill>
          </w14:textFill>
        </w:rPr>
        <w:t>10</w:t>
      </w:r>
      <w:r>
        <w:rPr>
          <w:rFonts w:hint="eastAsia" w:ascii="宋体" w:hAnsi="宋体" w:eastAsia="宋体" w:cs="宋体"/>
          <w:bCs/>
          <w:color w:val="000000" w:themeColor="text1"/>
          <w:highlight w:val="none"/>
          <w:shd w:val="clear" w:color="auto" w:fill="auto"/>
          <w:lang w:eastAsia="zh-CN"/>
          <w14:textFill>
            <w14:solidFill>
              <w14:schemeClr w14:val="tx1"/>
            </w14:solidFill>
          </w14:textFill>
        </w:rPr>
        <w:t>号）、《自治区党委自治区人民政府关于全面实施预算绩效管理的实施意见》（新党发〔2018〕30号）、</w:t>
      </w:r>
      <w:r>
        <w:rPr>
          <w:rFonts w:hint="eastAsia" w:ascii="宋体" w:hAnsi="宋体" w:eastAsia="宋体" w:cs="宋体"/>
          <w:color w:val="000000" w:themeColor="text1"/>
          <w:highlight w:val="none"/>
          <w:shd w:val="clear" w:color="auto" w:fill="auto"/>
          <w14:textFill>
            <w14:solidFill>
              <w14:schemeClr w14:val="tx1"/>
            </w14:solidFill>
          </w14:textFill>
        </w:rPr>
        <w:t>《自治区财政支出绩效评价管理暂行办法》</w:t>
      </w:r>
      <w:r>
        <w:rPr>
          <w:rFonts w:hint="eastAsia" w:ascii="宋体" w:hAnsi="宋体" w:eastAsia="宋体" w:cs="宋体"/>
          <w:color w:val="000000" w:themeColor="text1"/>
          <w:highlight w:val="none"/>
          <w:shd w:val="clear" w:color="auto" w:fill="auto"/>
          <w:lang w:eastAsia="zh-CN"/>
          <w14:textFill>
            <w14:solidFill>
              <w14:schemeClr w14:val="tx1"/>
            </w14:solidFill>
          </w14:textFill>
        </w:rPr>
        <w:t>（</w:t>
      </w:r>
      <w:r>
        <w:rPr>
          <w:rFonts w:hint="eastAsia" w:ascii="宋体" w:hAnsi="宋体" w:eastAsia="宋体" w:cs="宋体"/>
          <w:color w:val="000000" w:themeColor="text1"/>
          <w:highlight w:val="none"/>
          <w:shd w:val="clear" w:color="auto" w:fill="auto"/>
          <w14:textFill>
            <w14:solidFill>
              <w14:schemeClr w14:val="tx1"/>
            </w14:solidFill>
          </w14:textFill>
        </w:rPr>
        <w:t>新财预〔2018〕189号</w:t>
      </w:r>
      <w:r>
        <w:rPr>
          <w:rFonts w:hint="eastAsia" w:ascii="宋体" w:hAnsi="宋体" w:eastAsia="宋体" w:cs="宋体"/>
          <w:color w:val="000000" w:themeColor="text1"/>
          <w:highlight w:val="none"/>
          <w:shd w:val="clear" w:color="auto" w:fill="auto"/>
          <w:lang w:eastAsia="zh-CN"/>
          <w14:textFill>
            <w14:solidFill>
              <w14:schemeClr w14:val="tx1"/>
            </w14:solidFill>
          </w14:textFill>
        </w:rPr>
        <w:t>）</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等文件</w:t>
      </w:r>
      <w:r>
        <w:rPr>
          <w:rFonts w:hint="eastAsia" w:ascii="宋体" w:hAnsi="宋体" w:eastAsia="宋体" w:cs="宋体"/>
          <w:bCs/>
          <w:color w:val="000000" w:themeColor="text1"/>
          <w:highlight w:val="none"/>
          <w:shd w:val="clear" w:color="auto" w:fill="auto"/>
          <w:lang w:eastAsia="zh-CN"/>
          <w14:textFill>
            <w14:solidFill>
              <w14:schemeClr w14:val="tx1"/>
            </w14:solidFill>
          </w14:textFill>
        </w:rPr>
        <w:t>的规定，结合项目实施单位的规章制度以及财务相关资料，评价小组对项目绩效目标进行了进一步的完善，完善</w:t>
      </w:r>
      <w:r>
        <w:rPr>
          <w:rFonts w:hint="eastAsia" w:ascii="宋体" w:hAnsi="宋体" w:eastAsia="宋体" w:cs="宋体"/>
          <w:bCs/>
          <w:color w:val="000000" w:themeColor="text1"/>
          <w:highlight w:val="none"/>
          <w:shd w:val="clear" w:color="auto" w:fill="auto"/>
          <w:lang w:val="en-US" w:eastAsia="zh-CN"/>
          <w14:textFill>
            <w14:solidFill>
              <w14:schemeClr w14:val="tx1"/>
            </w14:solidFill>
          </w14:textFill>
        </w:rPr>
        <w:t>后</w:t>
      </w:r>
      <w:r>
        <w:rPr>
          <w:rFonts w:hint="eastAsia" w:ascii="宋体" w:hAnsi="宋体" w:eastAsia="宋体" w:cs="宋体"/>
          <w:bCs/>
          <w:color w:val="000000" w:themeColor="text1"/>
          <w:highlight w:val="none"/>
          <w:shd w:val="clear" w:color="auto" w:fill="auto"/>
          <w:lang w:eastAsia="zh-CN"/>
          <w14:textFill>
            <w14:solidFill>
              <w14:schemeClr w14:val="tx1"/>
            </w14:solidFill>
          </w14:textFill>
        </w:rPr>
        <w:t>绩效目标如下：</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default"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eastAsia="zh-CN"/>
          <w14:textFill>
            <w14:solidFill>
              <w14:schemeClr w14:val="tx1"/>
            </w14:solidFill>
          </w14:textFill>
        </w:rPr>
        <w:t>（</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1</w:t>
      </w:r>
      <w:r>
        <w:rPr>
          <w:rFonts w:hint="eastAsia" w:ascii="宋体" w:hAnsi="宋体" w:eastAsia="宋体" w:cs="宋体"/>
          <w:color w:val="000000" w:themeColor="text1"/>
          <w:highlight w:val="none"/>
          <w:shd w:val="clear" w:color="auto" w:fill="auto"/>
          <w:lang w:eastAsia="zh-CN"/>
          <w14:textFill>
            <w14:solidFill>
              <w14:schemeClr w14:val="tx1"/>
            </w14:solidFill>
          </w14:textFill>
        </w:rPr>
        <w:t>）</w:t>
      </w:r>
      <w:r>
        <w:rPr>
          <w:rFonts w:hint="eastAsia" w:ascii="宋体" w:hAnsi="宋体" w:eastAsia="宋体" w:cs="宋体"/>
          <w:color w:val="000000" w:themeColor="text1"/>
          <w:highlight w:val="none"/>
          <w:shd w:val="clear" w:color="auto" w:fill="auto"/>
          <w14:textFill>
            <w14:solidFill>
              <w14:schemeClr w14:val="tx1"/>
            </w14:solidFill>
          </w14:textFill>
        </w:rPr>
        <w:t>项目产出</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目标</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①数量指标</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“80周岁以上老年人免费体检次数”</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为≥1次；</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“享受80周岁以上高龄津贴的人次”指标，预期目标值</w:t>
      </w:r>
      <w:r>
        <w:rPr>
          <w:rFonts w:hint="eastAsia" w:ascii="宋体" w:hAnsi="宋体" w:eastAsia="宋体" w:cs="宋体"/>
          <w:color w:val="auto"/>
          <w:highlight w:val="none"/>
          <w:shd w:val="clear" w:color="auto" w:fill="auto"/>
          <w:lang w:val="en-US" w:eastAsia="zh-CN"/>
        </w:rPr>
        <w:t>为≥10000人次</w:t>
      </w:r>
      <w:r>
        <w:rPr>
          <w:rFonts w:hint="eastAsia" w:cs="宋体"/>
          <w:color w:val="auto"/>
          <w:highlight w:val="none"/>
          <w:shd w:val="clear" w:color="auto" w:fill="auto"/>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②质量指标</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“惠及80周岁以上高龄老人实际占比”</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为≥90%；</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auto"/>
          <w:highlight w:val="none"/>
          <w:shd w:val="clear" w:color="auto" w:fill="auto"/>
          <w:lang w:eastAsia="zh-CN"/>
        </w:rPr>
        <w:t>③</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时效指标</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“补助资金发放及时率”</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为≥90%；</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cs="宋体"/>
          <w:color w:val="000000" w:themeColor="text1"/>
          <w:highlight w:val="none"/>
          <w:shd w:val="clear" w:color="auto" w:fill="auto"/>
          <w:lang w:val="en-US" w:eastAsia="zh-CN"/>
          <w14:textFill>
            <w14:solidFill>
              <w14:schemeClr w14:val="tx1"/>
            </w14:solidFill>
          </w14:textFill>
        </w:rPr>
        <w:t>（2）</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成本指标</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“80周岁（含80周岁）89周岁的老年人补助标准”</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为=100元/人/月；</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“90周岁（含90周岁）89周岁的老年人补助标准”</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为=200元/人/月；</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“100周岁（含100周岁）89周岁的老年人补助标准”</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为=300元/人/月；</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eastAsia="zh-CN"/>
          <w14:textFill>
            <w14:solidFill>
              <w14:schemeClr w14:val="tx1"/>
            </w14:solidFill>
          </w14:textFill>
        </w:rPr>
      </w:pPr>
      <w:r>
        <w:rPr>
          <w:rFonts w:hint="eastAsia" w:ascii="宋体" w:hAnsi="宋体" w:eastAsia="宋体" w:cs="宋体"/>
          <w:color w:val="000000" w:themeColor="text1"/>
          <w:highlight w:val="none"/>
          <w:shd w:val="clear" w:color="auto" w:fill="auto"/>
          <w14:textFill>
            <w14:solidFill>
              <w14:schemeClr w14:val="tx1"/>
            </w14:solidFill>
          </w14:textFill>
        </w:rPr>
        <w:t>（</w:t>
      </w:r>
      <w:r>
        <w:rPr>
          <w:rFonts w:hint="eastAsia" w:cs="宋体"/>
          <w:color w:val="000000" w:themeColor="text1"/>
          <w:highlight w:val="none"/>
          <w:shd w:val="clear" w:color="auto" w:fill="auto"/>
          <w:lang w:val="en-US" w:eastAsia="zh-CN"/>
          <w14:textFill>
            <w14:solidFill>
              <w14:schemeClr w14:val="tx1"/>
            </w14:solidFill>
          </w14:textFill>
        </w:rPr>
        <w:t>3</w:t>
      </w:r>
      <w:r>
        <w:rPr>
          <w:rFonts w:hint="eastAsia" w:ascii="宋体" w:hAnsi="宋体" w:eastAsia="宋体" w:cs="宋体"/>
          <w:color w:val="000000" w:themeColor="text1"/>
          <w:highlight w:val="none"/>
          <w:shd w:val="clear" w:color="auto" w:fill="auto"/>
          <w14:textFill>
            <w14:solidFill>
              <w14:schemeClr w14:val="tx1"/>
            </w14:solidFill>
          </w14:textFill>
        </w:rPr>
        <w:t>）项目效益</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目标</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①经济效益指标</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本项目不涉及经济效益指标</w:t>
      </w:r>
      <w:r>
        <w:rPr>
          <w:rFonts w:hint="eastAsia" w:ascii="宋体" w:hAnsi="宋体" w:eastAsia="宋体" w:cs="宋体"/>
          <w:color w:val="auto"/>
          <w:highlight w:val="none"/>
          <w:shd w:val="clear" w:color="auto" w:fill="auto"/>
          <w:lang w:val="en-US" w:eastAsia="zh-CN"/>
        </w:rPr>
        <w:t>；</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②社会效益指标</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“高龄老人的生活质量”指标，预期目标值为提高；</w:t>
      </w:r>
    </w:p>
    <w:p>
      <w:pPr>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③</w:t>
      </w:r>
      <w:r>
        <w:rPr>
          <w:rFonts w:hint="eastAsia" w:cs="宋体"/>
          <w:color w:val="000000" w:themeColor="text1"/>
          <w:highlight w:val="none"/>
          <w:shd w:val="clear" w:color="auto" w:fill="auto"/>
          <w:lang w:val="en-US" w:eastAsia="zh-CN"/>
          <w14:textFill>
            <w14:solidFill>
              <w14:schemeClr w14:val="tx1"/>
            </w14:solidFill>
          </w14:textFill>
        </w:rPr>
        <w:t>生态效益指标</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cs="宋体"/>
          <w:color w:val="auto"/>
          <w:highlight w:val="none"/>
          <w:shd w:val="clear" w:color="auto" w:fill="auto"/>
          <w:lang w:val="en-US" w:eastAsia="zh-CN"/>
        </w:rPr>
        <w:t>本项目不涉及生态效益指标</w:t>
      </w:r>
      <w:r>
        <w:rPr>
          <w:rFonts w:hint="eastAsia" w:ascii="宋体" w:hAnsi="宋体" w:eastAsia="宋体" w:cs="宋体"/>
          <w:color w:val="auto"/>
          <w:highlight w:val="none"/>
          <w:shd w:val="clear" w:color="auto" w:fill="auto"/>
          <w:lang w:val="en-US" w:eastAsia="zh-CN"/>
        </w:rPr>
        <w:t>；</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④可持续影响</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本项目不涉及可持续影响指标</w:t>
      </w:r>
      <w:r>
        <w:rPr>
          <w:rFonts w:hint="eastAsia" w:ascii="宋体" w:hAnsi="宋体" w:eastAsia="宋体" w:cs="宋体"/>
          <w:color w:val="auto"/>
          <w:highlight w:val="none"/>
          <w:shd w:val="clear" w:color="auto" w:fill="auto"/>
          <w:lang w:val="en-US" w:eastAsia="zh-CN"/>
        </w:rPr>
        <w:t>；</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cs="宋体"/>
          <w:color w:val="000000" w:themeColor="text1"/>
          <w:highlight w:val="none"/>
          <w:shd w:val="clear" w:color="auto" w:fill="auto"/>
          <w:lang w:val="en-US" w:eastAsia="zh-CN"/>
          <w14:textFill>
            <w14:solidFill>
              <w14:schemeClr w14:val="tx1"/>
            </w14:solidFill>
          </w14:textFill>
        </w:rPr>
        <w:t>⑤</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满意度指标</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FF0000"/>
          <w:highlight w:val="none"/>
          <w:shd w:val="clear" w:color="auto" w:fill="auto"/>
          <w:lang w:val="en-US" w:eastAsia="zh-CN"/>
        </w:rPr>
      </w:pPr>
      <w:r>
        <w:rPr>
          <w:rFonts w:hint="eastAsia" w:ascii="宋体" w:hAnsi="宋体" w:eastAsia="宋体" w:cs="宋体"/>
          <w:color w:val="auto"/>
          <w:highlight w:val="none"/>
          <w:shd w:val="clear" w:color="auto" w:fill="auto"/>
          <w:lang w:eastAsia="zh-CN"/>
        </w:rPr>
        <w:t>“80周岁以上高龄老人满意度”</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为≥90%</w:t>
      </w:r>
      <w:r>
        <w:rPr>
          <w:rFonts w:hint="eastAsia" w:cs="宋体"/>
          <w:color w:val="auto"/>
          <w:highlight w:val="none"/>
          <w:shd w:val="clear" w:color="auto" w:fill="auto"/>
          <w:lang w:val="en-US" w:eastAsia="zh-CN"/>
        </w:rPr>
        <w:t>。</w:t>
      </w:r>
    </w:p>
    <w:p>
      <w:pPr>
        <w:pStyle w:val="2"/>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pPr>
      <w:bookmarkStart w:id="11" w:name="_Toc2549"/>
      <w:r>
        <w:rPr>
          <w:rFonts w:hint="eastAsia" w:ascii="宋体" w:hAnsi="宋体" w:eastAsia="宋体" w:cs="宋体"/>
          <w:b/>
          <w:bCs/>
          <w:color w:val="000000" w:themeColor="text1"/>
          <w:highlight w:val="none"/>
          <w:shd w:val="clear" w:color="auto" w:fill="auto"/>
          <w14:textFill>
            <w14:solidFill>
              <w14:schemeClr w14:val="tx1"/>
            </w14:solidFill>
          </w14:textFill>
        </w:rPr>
        <w:t>二、绩效评价工作开展情况</w:t>
      </w:r>
      <w:bookmarkEnd w:id="11"/>
    </w:p>
    <w:p>
      <w:pPr>
        <w:pStyle w:val="3"/>
        <w:pageBreakBefore w:val="0"/>
        <w:numPr>
          <w:ilvl w:val="0"/>
          <w:numId w:val="2"/>
        </w:numPr>
        <w:kinsoku/>
        <w:wordWrap/>
        <w:overflowPunct/>
        <w:topLinePunct w:val="0"/>
        <w:autoSpaceDE/>
        <w:autoSpaceDN/>
        <w:bidi w:val="0"/>
        <w:adjustRightInd/>
        <w:spacing w:beforeLines="0" w:beforeAutospacing="0" w:afterLines="0" w:afterAutospacing="0" w:line="360" w:lineRule="auto"/>
        <w:ind w:left="0" w:leftChars="0" w:firstLine="643" w:firstLineChars="200"/>
        <w:jc w:val="both"/>
        <w:textAlignment w:val="auto"/>
        <w:rPr>
          <w:rFonts w:hint="eastAsia" w:ascii="宋体" w:hAnsi="宋体" w:eastAsia="宋体" w:cs="宋体"/>
          <w:color w:val="000000" w:themeColor="text1"/>
          <w:sz w:val="32"/>
          <w:szCs w:val="32"/>
          <w:highlight w:val="none"/>
          <w:shd w:val="clear" w:color="auto" w:fill="auto"/>
          <w:lang w:eastAsia="zh-CN"/>
          <w14:textFill>
            <w14:solidFill>
              <w14:schemeClr w14:val="tx1"/>
            </w14:solidFill>
          </w14:textFill>
        </w:rPr>
      </w:pPr>
      <w:bookmarkStart w:id="12" w:name="_Toc480473081"/>
      <w:bookmarkStart w:id="13" w:name="_Toc12868"/>
      <w:bookmarkStart w:id="14" w:name="_Toc26632"/>
      <w:bookmarkStart w:id="15" w:name="_Toc22922"/>
      <w:bookmarkStart w:id="16" w:name="_Toc21664"/>
      <w:bookmarkStart w:id="17" w:name="_Toc5462343"/>
      <w:bookmarkStart w:id="18" w:name="_Toc5258"/>
      <w:bookmarkStart w:id="19" w:name="_Toc22169_WPSOffice_Level2"/>
      <w:bookmarkStart w:id="20" w:name="_Toc21778"/>
      <w:r>
        <w:rPr>
          <w:rFonts w:hint="eastAsia" w:ascii="宋体" w:hAnsi="宋体" w:eastAsia="宋体" w:cs="宋体"/>
          <w:color w:val="000000" w:themeColor="text1"/>
          <w:sz w:val="32"/>
          <w:szCs w:val="32"/>
          <w:highlight w:val="none"/>
          <w:shd w:val="clear" w:color="auto" w:fill="auto"/>
          <w:lang w:eastAsia="zh-CN"/>
          <w14:textFill>
            <w14:solidFill>
              <w14:schemeClr w14:val="tx1"/>
            </w14:solidFill>
          </w14:textFill>
        </w:rPr>
        <w:t>绩效评价的目的</w:t>
      </w:r>
      <w:bookmarkEnd w:id="12"/>
      <w:bookmarkEnd w:id="13"/>
      <w:bookmarkEnd w:id="14"/>
      <w:bookmarkEnd w:id="15"/>
      <w:bookmarkEnd w:id="16"/>
      <w:bookmarkEnd w:id="17"/>
      <w:bookmarkEnd w:id="18"/>
      <w:bookmarkEnd w:id="19"/>
      <w:r>
        <w:rPr>
          <w:rFonts w:hint="eastAsia" w:ascii="宋体" w:hAnsi="宋体" w:eastAsia="宋体" w:cs="宋体"/>
          <w:color w:val="000000" w:themeColor="text1"/>
          <w:sz w:val="32"/>
          <w:szCs w:val="32"/>
          <w:highlight w:val="none"/>
          <w:shd w:val="clear" w:color="auto" w:fill="auto"/>
          <w:lang w:eastAsia="zh-CN"/>
          <w14:textFill>
            <w14:solidFill>
              <w14:schemeClr w14:val="tx1"/>
            </w14:solidFill>
          </w14:textFill>
        </w:rPr>
        <w:t>、对象和范围</w:t>
      </w:r>
      <w:bookmarkEnd w:id="20"/>
    </w:p>
    <w:p>
      <w:pPr>
        <w:pStyle w:val="4"/>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bookmarkStart w:id="21" w:name="_Toc15732"/>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1.</w:t>
      </w:r>
      <w:r>
        <w:rPr>
          <w:rFonts w:hint="eastAsia" w:ascii="宋体" w:hAnsi="宋体" w:eastAsia="宋体" w:cs="宋体"/>
          <w:color w:val="000000" w:themeColor="text1"/>
          <w:sz w:val="32"/>
          <w:szCs w:val="32"/>
          <w:highlight w:val="none"/>
          <w:shd w:val="clear" w:color="auto" w:fill="auto"/>
          <w:lang w:eastAsia="zh-CN"/>
          <w14:textFill>
            <w14:solidFill>
              <w14:schemeClr w14:val="tx1"/>
            </w14:solidFill>
          </w14:textFill>
        </w:rPr>
        <w:t>绩效评价的目的</w:t>
      </w:r>
      <w:bookmarkEnd w:id="21"/>
    </w:p>
    <w:p>
      <w:pPr>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000000" w:themeColor="text1"/>
          <w:highlight w:val="none"/>
          <w:shd w:val="clear" w:color="auto" w:fill="auto"/>
          <w:lang w:eastAsia="zh-CN"/>
          <w14:textFill>
            <w14:solidFill>
              <w14:schemeClr w14:val="tx1"/>
            </w14:solidFill>
          </w14:textFill>
        </w:rPr>
      </w:pPr>
      <w:r>
        <w:rPr>
          <w:rFonts w:hint="eastAsia" w:ascii="宋体" w:hAnsi="宋体" w:eastAsia="宋体" w:cs="宋体"/>
          <w:color w:val="000000" w:themeColor="text1"/>
          <w:highlight w:val="none"/>
          <w:shd w:val="clear" w:color="auto" w:fill="auto"/>
          <w:lang w:eastAsia="zh-CN"/>
          <w14:textFill>
            <w14:solidFill>
              <w14:schemeClr w14:val="tx1"/>
            </w14:solidFill>
          </w14:textFill>
        </w:rPr>
        <w:t>为全面了解</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该</w:t>
      </w:r>
      <w:r>
        <w:rPr>
          <w:rFonts w:hint="eastAsia" w:ascii="宋体" w:hAnsi="宋体" w:eastAsia="宋体" w:cs="宋体"/>
          <w:color w:val="000000" w:themeColor="text1"/>
          <w:highlight w:val="none"/>
          <w:shd w:val="clear" w:color="auto" w:fill="auto"/>
          <w:lang w:eastAsia="zh-CN"/>
          <w14:textFill>
            <w14:solidFill>
              <w14:schemeClr w14:val="tx1"/>
            </w14:solidFill>
          </w14:textFill>
        </w:rPr>
        <w:t>项目预算编制合理性、资金使用合规性、项目管理的规范性、</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绩效</w:t>
      </w:r>
      <w:r>
        <w:rPr>
          <w:rFonts w:hint="eastAsia" w:ascii="宋体" w:hAnsi="宋体" w:eastAsia="宋体" w:cs="宋体"/>
          <w:color w:val="000000" w:themeColor="text1"/>
          <w:highlight w:val="none"/>
          <w:shd w:val="clear" w:color="auto" w:fill="auto"/>
          <w:lang w:eastAsia="zh-CN"/>
          <w14:textFill>
            <w14:solidFill>
              <w14:schemeClr w14:val="tx1"/>
            </w14:solidFill>
          </w14:textFill>
        </w:rPr>
        <w:t>目标的实现情况、服务对象的满意度等，通过本次</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部门</w:t>
      </w:r>
      <w:r>
        <w:rPr>
          <w:rFonts w:hint="eastAsia" w:ascii="宋体" w:hAnsi="宋体" w:eastAsia="宋体" w:cs="宋体"/>
          <w:color w:val="000000" w:themeColor="text1"/>
          <w:highlight w:val="none"/>
          <w:shd w:val="clear" w:color="auto" w:fill="auto"/>
          <w:lang w:eastAsia="zh-CN"/>
          <w14:textFill>
            <w14:solidFill>
              <w14:schemeClr w14:val="tx1"/>
            </w14:solidFill>
          </w14:textFill>
        </w:rPr>
        <w:t>绩效评价来总结经验和教训，促进项目成果转化和应用，为今后类似项目的长效管理，提供可行性参考建议。</w:t>
      </w:r>
    </w:p>
    <w:p>
      <w:pPr>
        <w:pStyle w:val="4"/>
        <w:pageBreakBefore w:val="0"/>
        <w:kinsoku/>
        <w:wordWrap/>
        <w:overflowPunct/>
        <w:topLinePunct w:val="0"/>
        <w:autoSpaceDE/>
        <w:autoSpaceDN/>
        <w:bidi w:val="0"/>
        <w:adjustRightIn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bookmarkStart w:id="22" w:name="_Toc30609"/>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2.绩效评价的对象和范围</w:t>
      </w:r>
      <w:bookmarkEnd w:id="22"/>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此次我单位根据</w:t>
      </w:r>
      <w:r>
        <w:rPr>
          <w:rFonts w:hint="eastAsia" w:ascii="宋体" w:hAnsi="宋体" w:eastAsia="宋体" w:cs="宋体"/>
          <w:color w:val="000000" w:themeColor="text1"/>
          <w:highlight w:val="none"/>
          <w:shd w:val="clear" w:color="auto" w:fill="auto"/>
          <w14:textFill>
            <w14:solidFill>
              <w14:schemeClr w14:val="tx1"/>
            </w14:solidFill>
          </w14:textFill>
        </w:rPr>
        <w:t>《财政支出绩效评价管理暂行办法》（</w:t>
      </w:r>
      <w:r>
        <w:rPr>
          <w:rFonts w:hint="eastAsia" w:ascii="宋体" w:hAnsi="宋体" w:eastAsia="宋体" w:cs="宋体"/>
          <w:color w:val="000000" w:themeColor="text1"/>
          <w:highlight w:val="none"/>
          <w:shd w:val="clear" w:color="auto" w:fill="auto"/>
          <w:lang w:eastAsia="zh-CN"/>
          <w14:textFill>
            <w14:solidFill>
              <w14:schemeClr w14:val="tx1"/>
            </w14:solidFill>
          </w14:textFill>
        </w:rPr>
        <w:t>财预〔2020〕10号</w:t>
      </w:r>
      <w:r>
        <w:rPr>
          <w:rFonts w:hint="eastAsia" w:ascii="宋体" w:hAnsi="宋体" w:eastAsia="宋体" w:cs="宋体"/>
          <w:color w:val="000000" w:themeColor="text1"/>
          <w:highlight w:val="none"/>
          <w:shd w:val="clear" w:color="auto" w:fill="auto"/>
          <w14:textFill>
            <w14:solidFill>
              <w14:schemeClr w14:val="tx1"/>
            </w14:solidFill>
          </w14:textFill>
        </w:rPr>
        <w:t>）</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文件要求对</w:t>
      </w:r>
      <w:r>
        <w:rPr>
          <w:rFonts w:hint="eastAsia" w:cs="宋体"/>
          <w:color w:val="000000" w:themeColor="text1"/>
          <w:highlight w:val="none"/>
          <w:shd w:val="clear" w:color="auto" w:fill="auto"/>
          <w:lang w:val="en-US" w:eastAsia="zh-CN"/>
          <w14:textFill>
            <w14:solidFill>
              <w14:schemeClr w14:val="tx1"/>
            </w14:solidFill>
          </w14:textFill>
        </w:rPr>
        <w:t>2023</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年度我单位实施的2023年高龄津贴及体检费</w:t>
      </w:r>
      <w:r>
        <w:rPr>
          <w:rFonts w:hint="eastAsia" w:ascii="宋体" w:hAnsi="宋体" w:eastAsia="宋体" w:cs="宋体"/>
          <w:color w:val="auto"/>
          <w:highlight w:val="none"/>
          <w:shd w:val="clear" w:color="auto" w:fill="auto"/>
          <w:lang w:val="en-US" w:eastAsia="zh-CN"/>
        </w:rPr>
        <w:t>项目</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开展部门绩效评价。</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本次绩效评价主要围绕项目决策、项目管理、项目产出、项目效益四个维度，对该专项资金的预算编制、项目实施、监督管理、资金支出使用、绩效目标的实现情况以及受益对象的满意度等开展综合评价。</w:t>
      </w:r>
    </w:p>
    <w:p>
      <w:pPr>
        <w:pStyle w:val="3"/>
        <w:pageBreakBefore w:val="0"/>
        <w:numPr>
          <w:ilvl w:val="0"/>
          <w:numId w:val="2"/>
        </w:numPr>
        <w:kinsoku/>
        <w:wordWrap/>
        <w:overflowPunct/>
        <w:topLinePunct w:val="0"/>
        <w:autoSpaceDE/>
        <w:autoSpaceDN/>
        <w:bidi w:val="0"/>
        <w:adjustRightInd/>
        <w:spacing w:beforeLines="0" w:beforeAutospacing="0" w:afterLines="0" w:afterAutospacing="0" w:line="360" w:lineRule="auto"/>
        <w:ind w:left="0" w:leftChars="0" w:firstLine="643" w:firstLineChars="200"/>
        <w:jc w:val="both"/>
        <w:textAlignment w:val="auto"/>
        <w:rPr>
          <w:rFonts w:hint="eastAsia" w:ascii="宋体" w:hAnsi="宋体" w:eastAsia="宋体" w:cs="宋体"/>
          <w:color w:val="000000" w:themeColor="text1"/>
          <w:sz w:val="32"/>
          <w:szCs w:val="32"/>
          <w:highlight w:val="none"/>
          <w:shd w:val="clear" w:color="auto" w:fill="auto"/>
          <w:lang w:val="en-US" w:eastAsia="zh-CN"/>
          <w14:textFill>
            <w14:solidFill>
              <w14:schemeClr w14:val="tx1"/>
            </w14:solidFill>
          </w14:textFill>
        </w:rPr>
      </w:pPr>
      <w:bookmarkStart w:id="23" w:name="_Toc15902"/>
      <w:r>
        <w:rPr>
          <w:rFonts w:hint="eastAsia" w:ascii="宋体" w:hAnsi="宋体" w:eastAsia="宋体" w:cs="宋体"/>
          <w:color w:val="000000" w:themeColor="text1"/>
          <w:sz w:val="32"/>
          <w:szCs w:val="32"/>
          <w:highlight w:val="none"/>
          <w:shd w:val="clear" w:color="auto" w:fill="auto"/>
          <w:lang w:val="en-US" w:eastAsia="zh-CN"/>
          <w14:textFill>
            <w14:solidFill>
              <w14:schemeClr w14:val="tx1"/>
            </w14:solidFill>
          </w14:textFill>
        </w:rPr>
        <w:t>绩效评价原则、评价指标体系（附表说明）、评价方法、评价标准</w:t>
      </w:r>
      <w:bookmarkEnd w:id="23"/>
    </w:p>
    <w:p>
      <w:pPr>
        <w:pStyle w:val="4"/>
        <w:pageBreakBefore w:val="0"/>
        <w:kinsoku/>
        <w:wordWrap/>
        <w:overflowPunct/>
        <w:topLinePunct w:val="0"/>
        <w:autoSpaceDE/>
        <w:autoSpaceDN/>
        <w:bidi w:val="0"/>
        <w:adjustRightInd/>
        <w:spacing w:line="360" w:lineRule="auto"/>
        <w:textAlignment w:val="auto"/>
        <w:rPr>
          <w:rFonts w:hint="eastAsia" w:ascii="宋体" w:hAnsi="宋体" w:eastAsia="宋体" w:cs="宋体"/>
          <w:color w:val="000000" w:themeColor="text1"/>
          <w:highlight w:val="none"/>
          <w:shd w:val="clear" w:color="auto" w:fill="auto"/>
          <w14:textFill>
            <w14:solidFill>
              <w14:schemeClr w14:val="tx1"/>
            </w14:solidFill>
          </w14:textFill>
        </w:rPr>
      </w:pPr>
      <w:bookmarkStart w:id="24" w:name="_Toc24506"/>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1.</w:t>
      </w:r>
      <w:r>
        <w:rPr>
          <w:rFonts w:hint="eastAsia" w:ascii="宋体" w:hAnsi="宋体" w:eastAsia="宋体" w:cs="宋体"/>
          <w:color w:val="000000" w:themeColor="text1"/>
          <w:highlight w:val="none"/>
          <w:shd w:val="clear" w:color="auto" w:fill="auto"/>
          <w14:textFill>
            <w14:solidFill>
              <w14:schemeClr w14:val="tx1"/>
            </w14:solidFill>
          </w14:textFill>
        </w:rPr>
        <w:t>绩效评价原则</w:t>
      </w:r>
      <w:bookmarkEnd w:id="24"/>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000000" w:themeColor="text1"/>
          <w:highlight w:val="none"/>
          <w:shd w:val="clear" w:color="auto" w:fill="auto"/>
          <w:lang w:eastAsia="zh-CN"/>
          <w14:textFill>
            <w14:solidFill>
              <w14:schemeClr w14:val="tx1"/>
            </w14:solidFill>
          </w14:textFill>
        </w:rPr>
      </w:pPr>
      <w:r>
        <w:rPr>
          <w:rFonts w:hint="eastAsia" w:ascii="宋体" w:hAnsi="宋体" w:eastAsia="宋体" w:cs="宋体"/>
          <w:color w:val="000000" w:themeColor="text1"/>
          <w:highlight w:val="none"/>
          <w:shd w:val="clear" w:color="auto" w:fill="auto"/>
          <w:lang w:eastAsia="zh-CN"/>
          <w14:textFill>
            <w14:solidFill>
              <w14:schemeClr w14:val="tx1"/>
            </w14:solidFill>
          </w14:textFill>
        </w:rPr>
        <w:t>依据</w:t>
      </w:r>
      <w:r>
        <w:rPr>
          <w:rFonts w:hint="eastAsia" w:ascii="宋体" w:hAnsi="宋体" w:eastAsia="宋体" w:cs="宋体"/>
          <w:bCs/>
          <w:color w:val="000000" w:themeColor="text1"/>
          <w:highlight w:val="none"/>
          <w:shd w:val="clear" w:color="auto" w:fill="auto"/>
          <w:lang w:eastAsia="zh-CN"/>
          <w14:textFill>
            <w14:solidFill>
              <w14:schemeClr w14:val="tx1"/>
            </w14:solidFill>
          </w14:textFill>
        </w:rPr>
        <w:t>《财政支出绩效评价管理暂行办法》（财预〔20</w:t>
      </w:r>
      <w:r>
        <w:rPr>
          <w:rFonts w:hint="eastAsia" w:ascii="宋体" w:hAnsi="宋体" w:eastAsia="宋体" w:cs="宋体"/>
          <w:bCs/>
          <w:color w:val="000000" w:themeColor="text1"/>
          <w:highlight w:val="none"/>
          <w:shd w:val="clear" w:color="auto" w:fill="auto"/>
          <w:lang w:val="en-US" w:eastAsia="zh-CN"/>
          <w14:textFill>
            <w14:solidFill>
              <w14:schemeClr w14:val="tx1"/>
            </w14:solidFill>
          </w14:textFill>
        </w:rPr>
        <w:t>20</w:t>
      </w:r>
      <w:r>
        <w:rPr>
          <w:rFonts w:hint="eastAsia" w:ascii="宋体" w:hAnsi="宋体" w:eastAsia="宋体" w:cs="宋体"/>
          <w:bCs/>
          <w:color w:val="000000" w:themeColor="text1"/>
          <w:highlight w:val="none"/>
          <w:shd w:val="clear" w:color="auto" w:fill="auto"/>
          <w:lang w:eastAsia="zh-CN"/>
          <w14:textFill>
            <w14:solidFill>
              <w14:schemeClr w14:val="tx1"/>
            </w14:solidFill>
          </w14:textFill>
        </w:rPr>
        <w:t>〕</w:t>
      </w:r>
      <w:r>
        <w:rPr>
          <w:rFonts w:hint="eastAsia" w:ascii="宋体" w:hAnsi="宋体" w:eastAsia="宋体" w:cs="宋体"/>
          <w:bCs/>
          <w:color w:val="000000" w:themeColor="text1"/>
          <w:highlight w:val="none"/>
          <w:shd w:val="clear" w:color="auto" w:fill="auto"/>
          <w:lang w:val="en-US" w:eastAsia="zh-CN"/>
          <w14:textFill>
            <w14:solidFill>
              <w14:schemeClr w14:val="tx1"/>
            </w14:solidFill>
          </w14:textFill>
        </w:rPr>
        <w:t>10</w:t>
      </w:r>
      <w:r>
        <w:rPr>
          <w:rFonts w:hint="eastAsia" w:ascii="宋体" w:hAnsi="宋体" w:eastAsia="宋体" w:cs="宋体"/>
          <w:bCs/>
          <w:color w:val="000000" w:themeColor="text1"/>
          <w:highlight w:val="none"/>
          <w:shd w:val="clear" w:color="auto" w:fill="auto"/>
          <w:lang w:eastAsia="zh-CN"/>
          <w14:textFill>
            <w14:solidFill>
              <w14:schemeClr w14:val="tx1"/>
            </w14:solidFill>
          </w14:textFill>
        </w:rPr>
        <w:t>号）</w:t>
      </w:r>
      <w:r>
        <w:rPr>
          <w:rFonts w:hint="eastAsia" w:ascii="宋体" w:hAnsi="宋体" w:eastAsia="宋体" w:cs="宋体"/>
          <w:color w:val="000000" w:themeColor="text1"/>
          <w:highlight w:val="none"/>
          <w:shd w:val="clear" w:color="auto" w:fill="auto"/>
          <w:lang w:eastAsia="zh-CN"/>
          <w14:textFill>
            <w14:solidFill>
              <w14:schemeClr w14:val="tx1"/>
            </w14:solidFill>
          </w14:textFill>
        </w:rPr>
        <w:t>本次绩效评价秉承科学规范、公正公开、分级分类、绩效相关等原则，按照从投入、过程到产出效果和影响的绩效逻辑路径，结合2023年高龄津贴及体检费</w:t>
      </w:r>
      <w:r>
        <w:rPr>
          <w:rFonts w:hint="eastAsia" w:ascii="宋体" w:hAnsi="宋体" w:eastAsia="宋体" w:cs="宋体"/>
          <w:color w:val="auto"/>
          <w:highlight w:val="none"/>
          <w:shd w:val="clear" w:color="auto" w:fill="auto"/>
          <w:lang w:eastAsia="zh-CN"/>
        </w:rPr>
        <w:t>项目</w:t>
      </w:r>
      <w:r>
        <w:rPr>
          <w:rFonts w:hint="eastAsia" w:ascii="宋体" w:hAnsi="宋体" w:eastAsia="宋体" w:cs="宋体"/>
          <w:color w:val="000000" w:themeColor="text1"/>
          <w:highlight w:val="none"/>
          <w:shd w:val="clear" w:color="auto" w:fill="auto"/>
          <w:lang w:eastAsia="zh-CN"/>
          <w14:textFill>
            <w14:solidFill>
              <w14:schemeClr w14:val="tx1"/>
            </w14:solidFill>
          </w14:textFill>
        </w:rPr>
        <w:t>实际开展情况，运用定量和定性分析相结合的方法，总结经验做法，反思项目实施和管理中的问题，以切实提升财政资金管理的科学化、规范化和精细化水平。</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000000" w:themeColor="text1"/>
          <w:highlight w:val="none"/>
          <w:shd w:val="clear" w:color="auto" w:fill="auto"/>
          <w:lang w:eastAsia="zh-CN"/>
          <w14:textFill>
            <w14:solidFill>
              <w14:schemeClr w14:val="tx1"/>
            </w14:solidFill>
          </w14:textFill>
        </w:rPr>
      </w:pPr>
      <w:r>
        <w:rPr>
          <w:rFonts w:hint="eastAsia" w:ascii="宋体" w:hAnsi="宋体" w:eastAsia="宋体" w:cs="宋体"/>
          <w:color w:val="000000" w:themeColor="text1"/>
          <w:highlight w:val="none"/>
          <w:shd w:val="clear" w:color="auto" w:fill="auto"/>
          <w:lang w:eastAsia="zh-CN"/>
          <w14:textFill>
            <w14:solidFill>
              <w14:schemeClr w14:val="tx1"/>
            </w14:solidFill>
          </w14:textFill>
        </w:rPr>
        <w:t>根据以上原则，绩效评价应遵循如下要求：</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000000" w:themeColor="text1"/>
          <w:highlight w:val="none"/>
          <w:shd w:val="clear" w:color="auto" w:fill="auto"/>
          <w:lang w:eastAsia="zh-CN"/>
          <w14:textFill>
            <w14:solidFill>
              <w14:schemeClr w14:val="tx1"/>
            </w14:solidFill>
          </w14:textFill>
        </w:rPr>
      </w:pPr>
      <w:r>
        <w:rPr>
          <w:rFonts w:hint="eastAsia" w:cs="宋体"/>
          <w:color w:val="000000" w:themeColor="text1"/>
          <w:highlight w:val="none"/>
          <w:shd w:val="clear" w:color="auto" w:fill="auto"/>
          <w:lang w:eastAsia="zh-CN"/>
          <w14:textFill>
            <w14:solidFill>
              <w14:schemeClr w14:val="tx1"/>
            </w14:solidFill>
          </w14:textFill>
        </w:rPr>
        <w:t>（</w:t>
      </w:r>
      <w:r>
        <w:rPr>
          <w:rFonts w:hint="eastAsia" w:cs="宋体"/>
          <w:color w:val="000000" w:themeColor="text1"/>
          <w:highlight w:val="none"/>
          <w:shd w:val="clear" w:color="auto" w:fill="auto"/>
          <w:lang w:val="en-US" w:eastAsia="zh-CN"/>
          <w14:textFill>
            <w14:solidFill>
              <w14:schemeClr w14:val="tx1"/>
            </w14:solidFill>
          </w14:textFill>
        </w:rPr>
        <w:t>1</w:t>
      </w:r>
      <w:r>
        <w:rPr>
          <w:rFonts w:hint="eastAsia" w:cs="宋体"/>
          <w:color w:val="000000" w:themeColor="text1"/>
          <w:highlight w:val="none"/>
          <w:shd w:val="clear" w:color="auto" w:fill="auto"/>
          <w:lang w:eastAsia="zh-CN"/>
          <w14:textFill>
            <w14:solidFill>
              <w14:schemeClr w14:val="tx1"/>
            </w14:solidFill>
          </w14:textFill>
        </w:rPr>
        <w:t>）</w:t>
      </w:r>
      <w:r>
        <w:rPr>
          <w:rFonts w:hint="eastAsia" w:ascii="宋体" w:hAnsi="宋体" w:eastAsia="宋体" w:cs="宋体"/>
          <w:color w:val="000000" w:themeColor="text1"/>
          <w:highlight w:val="none"/>
          <w:shd w:val="clear" w:color="auto" w:fill="auto"/>
          <w:lang w:eastAsia="zh-CN"/>
          <w14:textFill>
            <w14:solidFill>
              <w14:schemeClr w14:val="tx1"/>
            </w14:solidFill>
          </w14:textFill>
        </w:rPr>
        <w:t>科学公正。绩效评价应当运用科学合理的方法，按照规范的程序，对项目绩效进行客观、公正的反映。</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000000" w:themeColor="text1"/>
          <w:highlight w:val="none"/>
          <w:shd w:val="clear" w:color="auto" w:fill="auto"/>
          <w:lang w:eastAsia="zh-CN"/>
          <w14:textFill>
            <w14:solidFill>
              <w14:schemeClr w14:val="tx1"/>
            </w14:solidFill>
          </w14:textFill>
        </w:rPr>
      </w:pPr>
      <w:r>
        <w:rPr>
          <w:rFonts w:hint="eastAsia" w:ascii="宋体" w:hAnsi="宋体" w:eastAsia="宋体" w:cs="宋体"/>
          <w:color w:val="000000" w:themeColor="text1"/>
          <w:highlight w:val="none"/>
          <w:shd w:val="clear" w:color="auto" w:fill="auto"/>
          <w:lang w:eastAsia="zh-CN"/>
          <w14:textFill>
            <w14:solidFill>
              <w14:schemeClr w14:val="tx1"/>
            </w14:solidFill>
          </w14:textFill>
        </w:rPr>
        <w:t>（</w:t>
      </w:r>
      <w:r>
        <w:rPr>
          <w:rFonts w:hint="eastAsia" w:cs="宋体"/>
          <w:color w:val="000000" w:themeColor="text1"/>
          <w:highlight w:val="none"/>
          <w:shd w:val="clear" w:color="auto" w:fill="auto"/>
          <w:lang w:val="en-US" w:eastAsia="zh-CN"/>
          <w14:textFill>
            <w14:solidFill>
              <w14:schemeClr w14:val="tx1"/>
            </w14:solidFill>
          </w14:textFill>
        </w:rPr>
        <w:t>2</w:t>
      </w:r>
      <w:r>
        <w:rPr>
          <w:rFonts w:hint="eastAsia" w:ascii="宋体" w:hAnsi="宋体" w:eastAsia="宋体" w:cs="宋体"/>
          <w:color w:val="000000" w:themeColor="text1"/>
          <w:highlight w:val="none"/>
          <w:shd w:val="clear" w:color="auto" w:fill="auto"/>
          <w:lang w:eastAsia="zh-CN"/>
          <w14:textFill>
            <w14:solidFill>
              <w14:schemeClr w14:val="tx1"/>
            </w14:solidFill>
          </w14:textFill>
        </w:rPr>
        <w:t>）统筹兼顾。单位自评、部门评价和财政评价应职责明确，各有侧重，相互衔接。单位自评应由项目单位自主实施，即“谁支出、谁自评”。</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000000" w:themeColor="text1"/>
          <w:highlight w:val="none"/>
          <w:shd w:val="clear" w:color="auto" w:fill="auto"/>
          <w:lang w:eastAsia="zh-CN"/>
          <w14:textFill>
            <w14:solidFill>
              <w14:schemeClr w14:val="tx1"/>
            </w14:solidFill>
          </w14:textFill>
        </w:rPr>
      </w:pPr>
      <w:r>
        <w:rPr>
          <w:rFonts w:hint="eastAsia" w:ascii="宋体" w:hAnsi="宋体" w:eastAsia="宋体" w:cs="宋体"/>
          <w:color w:val="000000" w:themeColor="text1"/>
          <w:highlight w:val="none"/>
          <w:shd w:val="clear" w:color="auto" w:fill="auto"/>
          <w:lang w:eastAsia="zh-CN"/>
          <w14:textFill>
            <w14:solidFill>
              <w14:schemeClr w14:val="tx1"/>
            </w14:solidFill>
          </w14:textFill>
        </w:rPr>
        <w:t>（</w:t>
      </w:r>
      <w:r>
        <w:rPr>
          <w:rFonts w:hint="eastAsia" w:cs="宋体"/>
          <w:color w:val="000000" w:themeColor="text1"/>
          <w:highlight w:val="none"/>
          <w:shd w:val="clear" w:color="auto" w:fill="auto"/>
          <w:lang w:val="en-US" w:eastAsia="zh-CN"/>
          <w14:textFill>
            <w14:solidFill>
              <w14:schemeClr w14:val="tx1"/>
            </w14:solidFill>
          </w14:textFill>
        </w:rPr>
        <w:t>3</w:t>
      </w:r>
      <w:r>
        <w:rPr>
          <w:rFonts w:hint="eastAsia" w:ascii="宋体" w:hAnsi="宋体" w:eastAsia="宋体" w:cs="宋体"/>
          <w:color w:val="000000" w:themeColor="text1"/>
          <w:highlight w:val="none"/>
          <w:shd w:val="clear" w:color="auto" w:fill="auto"/>
          <w:lang w:eastAsia="zh-CN"/>
          <w14:textFill>
            <w14:solidFill>
              <w14:schemeClr w14:val="tx1"/>
            </w14:solidFill>
          </w14:textFill>
        </w:rPr>
        <w:t>）激励约束。绩效评价结果应与预算安排、政策调整、改进管理实质性挂钩，体现奖优罚劣和激励相容导向，有效要安排、低效要压减、无效要问责。</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000000" w:themeColor="text1"/>
          <w:highlight w:val="none"/>
          <w:shd w:val="clear" w:color="auto" w:fill="auto"/>
          <w:lang w:eastAsia="zh-CN"/>
          <w14:textFill>
            <w14:solidFill>
              <w14:schemeClr w14:val="tx1"/>
            </w14:solidFill>
          </w14:textFill>
        </w:rPr>
      </w:pPr>
      <w:r>
        <w:rPr>
          <w:rFonts w:hint="eastAsia" w:ascii="宋体" w:hAnsi="宋体" w:eastAsia="宋体" w:cs="宋体"/>
          <w:color w:val="000000" w:themeColor="text1"/>
          <w:highlight w:val="none"/>
          <w:shd w:val="clear" w:color="auto" w:fill="auto"/>
          <w:lang w:eastAsia="zh-CN"/>
          <w14:textFill>
            <w14:solidFill>
              <w14:schemeClr w14:val="tx1"/>
            </w14:solidFill>
          </w14:textFill>
        </w:rPr>
        <w:t>（</w:t>
      </w:r>
      <w:r>
        <w:rPr>
          <w:rFonts w:hint="eastAsia" w:cs="宋体"/>
          <w:color w:val="000000" w:themeColor="text1"/>
          <w:highlight w:val="none"/>
          <w:shd w:val="clear" w:color="auto" w:fill="auto"/>
          <w:lang w:val="en-US" w:eastAsia="zh-CN"/>
          <w14:textFill>
            <w14:solidFill>
              <w14:schemeClr w14:val="tx1"/>
            </w14:solidFill>
          </w14:textFill>
        </w:rPr>
        <w:t>4</w:t>
      </w:r>
      <w:r>
        <w:rPr>
          <w:rFonts w:hint="eastAsia" w:ascii="宋体" w:hAnsi="宋体" w:eastAsia="宋体" w:cs="宋体"/>
          <w:color w:val="000000" w:themeColor="text1"/>
          <w:highlight w:val="none"/>
          <w:shd w:val="clear" w:color="auto" w:fill="auto"/>
          <w:lang w:eastAsia="zh-CN"/>
          <w14:textFill>
            <w14:solidFill>
              <w14:schemeClr w14:val="tx1"/>
            </w14:solidFill>
          </w14:textFill>
        </w:rPr>
        <w:t>）公开透明。绩效评价结果应依法依规公开，并自觉接受社会监督。</w:t>
      </w:r>
    </w:p>
    <w:p>
      <w:pPr>
        <w:pStyle w:val="4"/>
        <w:pageBreakBefore w:val="0"/>
        <w:kinsoku/>
        <w:wordWrap/>
        <w:overflowPunct/>
        <w:topLinePunct w:val="0"/>
        <w:autoSpaceDE/>
        <w:autoSpaceDN/>
        <w:bidi w:val="0"/>
        <w:adjustRightInd/>
        <w:spacing w:line="360" w:lineRule="auto"/>
        <w:textAlignment w:val="auto"/>
        <w:rPr>
          <w:rFonts w:hint="eastAsia" w:ascii="宋体" w:hAnsi="宋体" w:eastAsia="宋体" w:cs="宋体"/>
          <w:color w:val="000000" w:themeColor="text1"/>
          <w:highlight w:val="none"/>
          <w:shd w:val="clear" w:color="auto" w:fill="auto"/>
          <w:lang w:eastAsia="zh-CN"/>
          <w14:textFill>
            <w14:solidFill>
              <w14:schemeClr w14:val="tx1"/>
            </w14:solidFill>
          </w14:textFill>
        </w:rPr>
      </w:pPr>
      <w:bookmarkStart w:id="25" w:name="_Toc26131"/>
      <w:bookmarkStart w:id="26" w:name="_Toc428278230"/>
      <w:bookmarkStart w:id="27" w:name="_Toc1913"/>
      <w:bookmarkStart w:id="28" w:name="_Toc419984722"/>
      <w:bookmarkStart w:id="29" w:name="_Toc24396"/>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2.</w:t>
      </w:r>
      <w:r>
        <w:rPr>
          <w:rFonts w:hint="eastAsia" w:ascii="宋体" w:hAnsi="宋体" w:eastAsia="宋体" w:cs="宋体"/>
          <w:color w:val="000000" w:themeColor="text1"/>
          <w:highlight w:val="none"/>
          <w:shd w:val="clear" w:color="auto" w:fill="auto"/>
          <w:lang w:eastAsia="zh-CN"/>
          <w14:textFill>
            <w14:solidFill>
              <w14:schemeClr w14:val="tx1"/>
            </w14:solidFill>
          </w14:textFill>
        </w:rPr>
        <w:t>绩效评价指标体系及绩效评价</w:t>
      </w:r>
      <w:bookmarkEnd w:id="25"/>
      <w:bookmarkEnd w:id="26"/>
      <w:bookmarkEnd w:id="27"/>
      <w:bookmarkEnd w:id="28"/>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标准</w:t>
      </w:r>
      <w:bookmarkEnd w:id="29"/>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我单位</w:t>
      </w:r>
      <w:r>
        <w:rPr>
          <w:rFonts w:hint="eastAsia" w:ascii="宋体" w:hAnsi="宋体" w:eastAsia="宋体" w:cs="宋体"/>
          <w:color w:val="000000" w:themeColor="text1"/>
          <w:highlight w:val="none"/>
          <w:shd w:val="clear" w:color="auto" w:fill="auto"/>
          <w:lang w:val="zh-TW" w:eastAsia="zh-TW"/>
          <w14:textFill>
            <w14:solidFill>
              <w14:schemeClr w14:val="tx1"/>
            </w14:solidFill>
          </w14:textFill>
        </w:rPr>
        <w:t>根据项目的</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实施</w:t>
      </w:r>
      <w:r>
        <w:rPr>
          <w:rFonts w:hint="eastAsia" w:ascii="宋体" w:hAnsi="宋体" w:eastAsia="宋体" w:cs="宋体"/>
          <w:color w:val="000000" w:themeColor="text1"/>
          <w:highlight w:val="none"/>
          <w:shd w:val="clear" w:color="auto" w:fill="auto"/>
          <w:lang w:val="zh-TW" w:eastAsia="zh-TW"/>
          <w14:textFill>
            <w14:solidFill>
              <w14:schemeClr w14:val="tx1"/>
            </w14:solidFill>
          </w14:textFill>
        </w:rPr>
        <w:t>资料研读及前期调研，结合项目的实际开展情况，最终形成了项目绩效评价指标体系</w:t>
      </w:r>
      <w:r>
        <w:rPr>
          <w:rFonts w:hint="eastAsia" w:ascii="宋体" w:hAnsi="宋体" w:eastAsia="宋体" w:cs="宋体"/>
          <w:color w:val="000000" w:themeColor="text1"/>
          <w:highlight w:val="none"/>
          <w:shd w:val="clear" w:color="auto" w:fill="auto"/>
          <w:lang w:val="zh-TW" w:eastAsia="zh-CN"/>
          <w14:textFill>
            <w14:solidFill>
              <w14:schemeClr w14:val="tx1"/>
            </w14:solidFill>
          </w14:textFill>
        </w:rPr>
        <w:t>，</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指标体系结构如下</w:t>
      </w:r>
      <w:r>
        <w:rPr>
          <w:rFonts w:hint="eastAsia" w:cs="宋体"/>
          <w:b/>
          <w:bCs/>
          <w:color w:val="000000" w:themeColor="text1"/>
          <w:highlight w:val="none"/>
          <w:shd w:val="clear" w:color="auto" w:fill="auto"/>
          <w:lang w:val="en-US" w:eastAsia="zh-CN"/>
          <w14:textFill>
            <w14:solidFill>
              <w14:schemeClr w14:val="tx1"/>
            </w14:solidFill>
          </w14:textFill>
        </w:rPr>
        <w:t>（详见上传的附件）</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w:t>
      </w:r>
    </w:p>
    <w:p>
      <w:pPr>
        <w:jc w:val="center"/>
        <w:rPr>
          <w:rFonts w:hint="default"/>
          <w:b/>
          <w:bCs/>
          <w:sz w:val="28"/>
          <w:szCs w:val="28"/>
          <w:lang w:val="en-US" w:eastAsia="zh-CN"/>
        </w:rPr>
      </w:pPr>
      <w:r>
        <w:rPr>
          <w:rFonts w:hint="eastAsia"/>
          <w:b/>
          <w:bCs/>
          <w:sz w:val="28"/>
          <w:szCs w:val="28"/>
          <w:lang w:val="zh-TW" w:eastAsia="zh-TW"/>
        </w:rPr>
        <w:t>项目绩效评价指标体系</w:t>
      </w:r>
    </w:p>
    <w:tbl>
      <w:tblPr>
        <w:tblStyle w:val="11"/>
        <w:tblW w:w="8677" w:type="dxa"/>
        <w:jc w:val="center"/>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
      <w:tblGrid>
        <w:gridCol w:w="642"/>
        <w:gridCol w:w="1196"/>
        <w:gridCol w:w="1050"/>
        <w:gridCol w:w="1996"/>
        <w:gridCol w:w="3793"/>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Ex>
        <w:trPr>
          <w:trHeight w:val="570" w:hRule="atLeast"/>
          <w:tblHeader/>
          <w:jc w:val="center"/>
        </w:trPr>
        <w:tc>
          <w:tcPr>
            <w:tcW w:w="642"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14:textFill>
                  <w14:solidFill>
                    <w14:schemeClr w14:val="tx1"/>
                  </w14:solidFill>
                </w14:textFill>
              </w:rPr>
              <w:t>一级指标</w:t>
            </w:r>
          </w:p>
        </w:tc>
        <w:tc>
          <w:tcPr>
            <w:tcW w:w="11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14:textFill>
                  <w14:solidFill>
                    <w14:schemeClr w14:val="tx1"/>
                  </w14:solidFill>
                </w14:textFill>
              </w:rPr>
              <w:t>二级指标</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14:textFill>
                  <w14:solidFill>
                    <w14:schemeClr w14:val="tx1"/>
                  </w14:solidFill>
                </w14:textFill>
              </w:rPr>
              <w:t>三级指标</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14:textFill>
                  <w14:solidFill>
                    <w14:schemeClr w14:val="tx1"/>
                  </w14:solidFill>
                </w14:textFill>
              </w:rPr>
              <w:t>指标解释</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14:textFill>
                  <w14:solidFill>
                    <w14:schemeClr w14:val="tx1"/>
                  </w14:solidFill>
                </w14:textFill>
              </w:rPr>
              <w:t>指标说明</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Ex>
        <w:trPr>
          <w:trHeight w:val="3044" w:hRule="atLeast"/>
          <w:jc w:val="center"/>
        </w:trPr>
        <w:tc>
          <w:tcPr>
            <w:tcW w:w="642"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决策</w:t>
            </w:r>
          </w:p>
        </w:tc>
        <w:tc>
          <w:tcPr>
            <w:tcW w:w="1196"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项目立项</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立项依据</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充分性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项目立项是否符合法律法规、相关政策、发展规划以及部门职责，用以反映和考核项目立项依据情况。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t>评价标准</w:t>
            </w: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①项目立项是否符合国家法律法规、国民经济发展规划和相关政策；</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②项目立项是否符合行业发展规划和政策要求；</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③项目立项是否与部门职责范围相符，属于部门履职所需；</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④项目是否属于公共财政支持范围，是否符合中央、地方事权支出责任划分原则；</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⑤项目是否与相关部门同类项目或部门内部相关项目重复。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Ex>
        <w:trPr>
          <w:trHeight w:val="1394" w:hRule="atLeast"/>
          <w:jc w:val="center"/>
        </w:trPr>
        <w:tc>
          <w:tcPr>
            <w:tcW w:w="642" w:type="dxa"/>
            <w:vMerge w:val="continue"/>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立项程序</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规范性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项目申请、设立过程是否符合相关要求，用以反映和考核项目立项的规范情况。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t>评价标准</w:t>
            </w: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①项目是否按照规定的程序申请设立；</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②审批文件、材料是否符合相关要求；</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③事前是否已经过必要的可行性研究、专家论证、风险评估、绩效评估、集体决策。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Ex>
        <w:trPr>
          <w:trHeight w:val="2768" w:hRule="atLeast"/>
          <w:jc w:val="center"/>
        </w:trPr>
        <w:tc>
          <w:tcPr>
            <w:tcW w:w="642" w:type="dxa"/>
            <w:vMerge w:val="continue"/>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绩效目标</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绩效目标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合理性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项目所设定的绩效目标是否依据充分，是否符合客观实际，用以反映和考核项目绩效目标与项目实施的相符情况。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t>评价标准</w:t>
            </w: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（如未设定预算绩效目标，也可考核其他工作任务目标）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①项目是否有绩效目标；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②项目绩效目标与实际工作内容是否具有相关性；</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③项目预期产出效益和效果是否符合正常的业绩水平；</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④是否与预算确定的项目投资额或资金量相匹配。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Ex>
        <w:trPr>
          <w:trHeight w:val="1944" w:hRule="atLeast"/>
          <w:jc w:val="center"/>
        </w:trPr>
        <w:tc>
          <w:tcPr>
            <w:tcW w:w="64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绩效指标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明确性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依据绩效目标设定的绩效指标是否清晰、细化、可衡量等，用以反映和考核项目绩效目标的明细化情况。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t>评价标准</w:t>
            </w: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①是否将项目绩效目标细化分解为具体的绩效指标；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②是否通过清晰、可衡量的指标值予以体现；</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③是否与项目目标任务数或计划数相对应。</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Ex>
        <w:trPr>
          <w:trHeight w:val="1944" w:hRule="atLeast"/>
          <w:jc w:val="center"/>
        </w:trPr>
        <w:tc>
          <w:tcPr>
            <w:tcW w:w="642" w:type="dxa"/>
            <w:vMerge w:val="continue"/>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资金投入</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预算编制</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科学性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项目预算编制是否经过科学论证、有明确标准，资金额度与年度目标是否相适应，用以反映和考核项目预算编制的科学性、合理性情况。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t>评价标准</w:t>
            </w: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①预算编制是否经过科学论证；</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②预算内容与项目内容是否匹配；</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③预算额度测算依据是否充分，是否按照标准编制；</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④预算确定的项目投资额或资金量是否与工作任务相匹配。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Ex>
        <w:trPr>
          <w:trHeight w:val="2177" w:hRule="atLeast"/>
          <w:jc w:val="center"/>
        </w:trPr>
        <w:tc>
          <w:tcPr>
            <w:tcW w:w="64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资金分配</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合理性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项目预算资金分配是否有测算依据，与补助单位或地方实际是否相适应，用以反映和考核项目预算资金分配的科学性、合理性情况。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t>评价标准</w:t>
            </w: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①预算资金分配依据是否充分；</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②资金分配额度是否合理，与项目单位或地方实际是否相适应。</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Ex>
        <w:trPr>
          <w:trHeight w:val="1669" w:hRule="atLeast"/>
          <w:jc w:val="center"/>
        </w:trPr>
        <w:tc>
          <w:tcPr>
            <w:tcW w:w="642" w:type="dxa"/>
            <w:vMerge w:val="restart"/>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过程</w:t>
            </w:r>
          </w:p>
        </w:tc>
        <w:tc>
          <w:tcPr>
            <w:tcW w:w="1196"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资金管理</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资金到位率</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实际到位资金与预算资金的比率，用以反映和考核资金落实情况对项目实施的总体保障程度。</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资金到位率=（实际到位资金/预算资金）×100%。</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实际到位资金：一定时期（本年度或项目期）内落实到具体项目的资金。</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预算资金：一定时期（本年度或项目期）内预算安排到具体项目的资金。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Ex>
        <w:trPr>
          <w:trHeight w:val="1120" w:hRule="atLeast"/>
          <w:jc w:val="center"/>
        </w:trPr>
        <w:tc>
          <w:tcPr>
            <w:tcW w:w="642" w:type="dxa"/>
            <w:vMerge w:val="continue"/>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vMerge w:val="continue"/>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预算执行率</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项目预算资金是否按照计划执行，用以反映或考核项目预算执行情况。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预算执行率=（实际支出资金/实际到位资金）×100%。</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实际支出资金：一定时期（本年度或项目期）内项目实际拨付的资金。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Ex>
        <w:trPr>
          <w:trHeight w:val="2494" w:hRule="atLeast"/>
          <w:jc w:val="center"/>
        </w:trPr>
        <w:tc>
          <w:tcPr>
            <w:tcW w:w="64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资金使用</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合规性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项目资金使用是否符合相关的财务管理制度规定，用以反映和考核项目资金的规范运行情况。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t>评价标准</w:t>
            </w: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①是否符合国家财经法规和财务管理制度以及有关专项资金管理办法的规定；</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②资金的拨付是否有完整的审批程序和手续；</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③是否符合项目预算批复或合同规定的用途；</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④是否存在截留、挤占、挪用、虚列支出等情况。</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Ex>
        <w:trPr>
          <w:trHeight w:val="1669" w:hRule="atLeast"/>
          <w:jc w:val="center"/>
        </w:trPr>
        <w:tc>
          <w:tcPr>
            <w:tcW w:w="642" w:type="dxa"/>
            <w:vMerge w:val="continue"/>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组织实施</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管理制度</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健全性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项目实施单位的财务和业务管理制度是否健全，用以反映和考核财务和业务管理制度对项目顺利实施的保障情况。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t>评价标准</w:t>
            </w: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①是否已制定或具有相应的财务和业务管理制度；</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②财务和业务管理制度是否合法、合规、完整。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Ex>
        <w:trPr>
          <w:trHeight w:val="2219" w:hRule="atLeast"/>
          <w:jc w:val="center"/>
        </w:trPr>
        <w:tc>
          <w:tcPr>
            <w:tcW w:w="64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制度执行</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有效性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项目实施是否符合相关管理规定，用以反映和考核相关管理制度的有效执行情况。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t>评价标准</w:t>
            </w: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①是否遵守相关法律法规和相关管理规定；</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②项目调整及支出调整手续是否完备；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③项目合同书、验收报告、技术鉴定等资料是否齐全并及时归档；</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④项目实施的人员条件、场地设备、信息支撑等是否落实到位。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Ex>
        <w:trPr>
          <w:trHeight w:val="2219" w:hRule="atLeast"/>
          <w:jc w:val="center"/>
        </w:trPr>
        <w:tc>
          <w:tcPr>
            <w:tcW w:w="642"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产出</w:t>
            </w:r>
          </w:p>
        </w:tc>
        <w:tc>
          <w:tcPr>
            <w:tcW w:w="11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产出数量</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实际完成率</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项目实施的实际产出数与计划产出数的比率，用以反映和考核项目产出数量目标的实现程度。</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实际完成率=（实际产出数/计划产出数）×100%。</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实际产出数：一定时期（本年度或项目期）内项目实际产出的产品或提供的服务数量。</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计划产出数：项目绩效目标确定的在一定时期（本年度或项目期）内计划产出的产品或提供的服务数量。</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Ex>
        <w:trPr>
          <w:trHeight w:val="2219" w:hRule="atLeast"/>
          <w:jc w:val="center"/>
        </w:trPr>
        <w:tc>
          <w:tcPr>
            <w:tcW w:w="64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产出质量</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质量达标率</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项目完成的质量达标产出数与实际产出数的比率，用以反映和考核项目产出质量目标的实现程度。</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质量达标率=（质量达标产出数/实际产出数）×100%。</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Ex>
        <w:trPr>
          <w:trHeight w:val="570" w:hRule="atLeast"/>
          <w:jc w:val="center"/>
        </w:trPr>
        <w:tc>
          <w:tcPr>
            <w:tcW w:w="642" w:type="dxa"/>
            <w:vMerge w:val="continue"/>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产出时效</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完成及时性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项目实际完成时间与计划完成时间的比较，用以反映和考核项目产出时效目标的实现程度。</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实际完成时间：项目实施单位完成该项目实际所耗用的时间。</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计划完成时间：按照项目实施计划或相关规定完成该项目所需的时间。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Ex>
        <w:trPr>
          <w:trHeight w:val="1669" w:hRule="atLeast"/>
          <w:jc w:val="center"/>
        </w:trPr>
        <w:tc>
          <w:tcPr>
            <w:tcW w:w="64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产出成本</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成本节约率</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完成项目计划工作目标的实际节约成本与计划成本的比率，用以反映和考核项目的成本节约程度。</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成本节约率=[（计划成本-实际成本）/计划成本]×100%。</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实际成本：项目实施单位如期、保质、保量完成既定工作目标实际所耗费的支出。</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计划成本：项目实施单位为完成工作目标计划安排的支出，一般以项目预算为参考。</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Ex>
        <w:trPr>
          <w:trHeight w:val="845" w:hRule="atLeast"/>
          <w:jc w:val="center"/>
        </w:trPr>
        <w:tc>
          <w:tcPr>
            <w:tcW w:w="642"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效益</w:t>
            </w:r>
          </w:p>
        </w:tc>
        <w:tc>
          <w:tcPr>
            <w:tcW w:w="1196"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项目效益</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实施效益</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项目实施所产生的效益。</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项目实施所产生的社会效益、经济效益、生态效益、可持续影响等。可根据项目实际情况有选择地设置和细化。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Ex>
        <w:trPr>
          <w:trHeight w:val="866" w:hRule="atLeast"/>
          <w:jc w:val="center"/>
        </w:trPr>
        <w:tc>
          <w:tcPr>
            <w:tcW w:w="64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满意度</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社会公众或服务对象对项目实施效果的满意程度。</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社会公众或服务对象是指因该项目实施而受到影响的部门（单位）、群体或个人。一般采取社会调查的方式。</w:t>
            </w:r>
          </w:p>
        </w:tc>
      </w:tr>
    </w:tbl>
    <w:p>
      <w:pPr>
        <w:pStyle w:val="4"/>
        <w:pageBreakBefore w:val="0"/>
        <w:kinsoku/>
        <w:wordWrap/>
        <w:overflowPunct/>
        <w:topLinePunct w:val="0"/>
        <w:autoSpaceDE/>
        <w:autoSpaceDN/>
        <w:bidi w:val="0"/>
        <w:adjustRightIn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bookmarkStart w:id="30" w:name="_Toc9941"/>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3.</w:t>
      </w:r>
      <w:r>
        <w:rPr>
          <w:rFonts w:hint="eastAsia" w:ascii="宋体" w:hAnsi="宋体" w:eastAsia="宋体" w:cs="宋体"/>
          <w:color w:val="000000" w:themeColor="text1"/>
          <w:highlight w:val="none"/>
          <w:shd w:val="clear" w:color="auto" w:fill="auto"/>
          <w14:textFill>
            <w14:solidFill>
              <w14:schemeClr w14:val="tx1"/>
            </w14:solidFill>
          </w14:textFill>
        </w:rPr>
        <w:t>评价</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方法</w:t>
      </w:r>
      <w:bookmarkEnd w:id="30"/>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14:textFill>
            <w14:solidFill>
              <w14:schemeClr w14:val="tx1"/>
            </w14:solidFill>
          </w14:textFill>
        </w:rPr>
        <w:t>本次绩效评价采用的方法</w:t>
      </w:r>
      <w:r>
        <w:rPr>
          <w:rFonts w:hint="eastAsia" w:cs="宋体"/>
          <w:color w:val="000000" w:themeColor="text1"/>
          <w:highlight w:val="none"/>
          <w:shd w:val="clear" w:color="auto" w:fill="auto"/>
          <w:lang w:val="en-US" w:eastAsia="zh-CN"/>
          <w14:textFill>
            <w14:solidFill>
              <w14:schemeClr w14:val="tx1"/>
            </w14:solidFill>
          </w14:textFill>
        </w:rPr>
        <w:t>为</w:t>
      </w:r>
      <w:r>
        <w:rPr>
          <w:rFonts w:hint="eastAsia" w:ascii="宋体" w:hAnsi="宋体" w:eastAsia="宋体" w:cs="宋体"/>
          <w:color w:val="000000" w:themeColor="text1"/>
          <w:highlight w:val="none"/>
          <w:shd w:val="clear" w:color="auto" w:fill="auto"/>
          <w14:textFill>
            <w14:solidFill>
              <w14:schemeClr w14:val="tx1"/>
            </w14:solidFill>
          </w14:textFill>
        </w:rPr>
        <w:t>比较法</w:t>
      </w:r>
      <w:r>
        <w:rPr>
          <w:rFonts w:hint="eastAsia" w:ascii="宋体" w:hAnsi="宋体" w:eastAsia="宋体" w:cs="宋体"/>
          <w:color w:val="000000" w:themeColor="text1"/>
          <w:highlight w:val="none"/>
          <w:shd w:val="clear" w:color="auto" w:fill="auto"/>
          <w:lang w:eastAsia="zh-CN"/>
          <w14:textFill>
            <w14:solidFill>
              <w14:schemeClr w14:val="tx1"/>
            </w14:solidFill>
          </w14:textFill>
        </w:rPr>
        <w:t>、因素分析法、公众评判法</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对项目绩效目标</w:t>
      </w:r>
      <w:r>
        <w:rPr>
          <w:rFonts w:hint="eastAsia" w:cs="宋体"/>
          <w:color w:val="000000" w:themeColor="text1"/>
          <w:highlight w:val="none"/>
          <w:shd w:val="clear" w:color="auto" w:fill="auto"/>
          <w:lang w:val="en-US" w:eastAsia="zh-CN"/>
          <w14:textFill>
            <w14:solidFill>
              <w14:schemeClr w14:val="tx1"/>
            </w14:solidFill>
          </w14:textFill>
        </w:rPr>
        <w:t>预期目标值</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与实施情况进行比较，以及采取公众问卷及抽样调查等方式进行评判的方法对2023年高龄津贴及体检费</w:t>
      </w:r>
      <w:r>
        <w:rPr>
          <w:rFonts w:hint="eastAsia" w:ascii="宋体" w:hAnsi="宋体" w:eastAsia="宋体" w:cs="宋体"/>
          <w:color w:val="auto"/>
          <w:highlight w:val="none"/>
          <w:shd w:val="clear" w:color="auto" w:fill="auto"/>
          <w:lang w:val="en-US" w:eastAsia="zh-CN"/>
        </w:rPr>
        <w:t>项目</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进行评价。</w:t>
      </w:r>
    </w:p>
    <w:p>
      <w:pPr>
        <w:pStyle w:val="4"/>
        <w:rPr>
          <w:rFonts w:hint="default" w:ascii="宋体" w:hAnsi="宋体" w:eastAsia="宋体" w:cs="宋体"/>
          <w:color w:val="000000" w:themeColor="text1"/>
          <w:highlight w:val="none"/>
          <w:shd w:val="clear" w:color="auto" w:fill="auto"/>
          <w:lang w:val="en-US" w:eastAsia="zh-CN"/>
          <w14:textFill>
            <w14:solidFill>
              <w14:schemeClr w14:val="tx1"/>
            </w14:solidFill>
          </w14:textFill>
        </w:rPr>
      </w:pPr>
      <w:bookmarkStart w:id="31" w:name="_Toc25391"/>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4.评价标准</w:t>
      </w:r>
      <w:bookmarkEnd w:id="31"/>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（1）计划标准。指以预先制定的目标、计划、预算、定额等作为评价标准。</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（2）行业标准。指参照国家公布的行业指标数据制定的评价标准。</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（3）历史标准。指参照历史数据制定的评价标准，为体现绩效改进的原则，在可实现的条件下应当确定相对较高的评价标准。</w:t>
      </w:r>
    </w:p>
    <w:p>
      <w:pP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（4）财政部门和预算部门确认或认可的其他标准。</w:t>
      </w:r>
    </w:p>
    <w:p>
      <w:pPr>
        <w:pStyle w:val="4"/>
        <w:outlineLvl w:val="1"/>
        <w:rPr>
          <w:rFonts w:hint="default" w:ascii="宋体" w:hAnsi="宋体" w:eastAsia="宋体" w:cs="宋体"/>
          <w:color w:val="000000" w:themeColor="text1"/>
          <w:highlight w:val="none"/>
          <w:shd w:val="clear" w:color="auto" w:fill="auto"/>
          <w:lang w:val="en-US" w:eastAsia="zh-CN"/>
          <w14:textFill>
            <w14:solidFill>
              <w14:schemeClr w14:val="tx1"/>
            </w14:solidFill>
          </w14:textFill>
        </w:rPr>
      </w:pPr>
      <w:bookmarkStart w:id="32" w:name="_Toc1070"/>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（三）绩效评价工作过程</w:t>
      </w:r>
      <w:bookmarkEnd w:id="32"/>
    </w:p>
    <w:p>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2"/>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bookmarkStart w:id="33" w:name="_Toc12862"/>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1.前期准备</w:t>
      </w:r>
      <w:bookmarkEnd w:id="33"/>
    </w:p>
    <w:p>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（1）成立绩效评价项目小组</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为确保该项目绩效评价的顺利实施，评价机构组建了绩效评价项目小组。项目小组负责建立联络制度、明确评价责任人、制定评价方案、实施具体评价等工作。</w:t>
      </w:r>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34" w:name="_Toc31571"/>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（2）开展前期调研</w:t>
      </w:r>
      <w:bookmarkEnd w:id="34"/>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35" w:name="_Toc21240"/>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绩效评价项目小组依据此次绩效评价受委托内容，对拟评价的项目实施前期调研。通过调研对2023年高龄津贴及体检费</w:t>
      </w:r>
      <w:r>
        <w:rPr>
          <w:rFonts w:hint="eastAsia" w:ascii="宋体" w:hAnsi="宋体" w:eastAsia="宋体" w:cs="宋体"/>
          <w:b w:val="0"/>
          <w:bCs w:val="0"/>
          <w:color w:val="auto"/>
          <w:kern w:val="2"/>
          <w:sz w:val="28"/>
          <w:szCs w:val="24"/>
          <w:highlight w:val="none"/>
          <w:shd w:val="clear" w:color="auto" w:fill="auto"/>
          <w:lang w:val="en-US" w:eastAsia="zh-CN" w:bidi="ar-SA"/>
        </w:rPr>
        <w:t>项目</w:t>
      </w:r>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实施内容、目标信息、预算信息以及其他的一些项目基本信息，有了初步了解，为制定绩效评价工作方案做好准备。</w:t>
      </w:r>
      <w:bookmarkEnd w:id="35"/>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36" w:name="_Toc27977"/>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（3）制订绩效评价工作方案</w:t>
      </w:r>
      <w:bookmarkEnd w:id="36"/>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37" w:name="_Toc19659"/>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绩效评价项目小组根据有关规定和评价对象的特点以及前期调研收集的一些信息，拟定详细的绩效评价工作方案</w:t>
      </w:r>
      <w:r>
        <w:rPr>
          <w:rFonts w:hint="eastAsia" w:ascii="宋体" w:hAnsi="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w:t>
      </w:r>
      <w:bookmarkEnd w:id="37"/>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2"/>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38" w:name="_Toc11353"/>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2.具体实施</w:t>
      </w:r>
      <w:bookmarkEnd w:id="38"/>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39" w:name="_Toc14111"/>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（1）收集基础资料</w:t>
      </w:r>
      <w:bookmarkEnd w:id="39"/>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40" w:name="_Toc28524"/>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根据评价工作的需要和要求，在前期调研的基础上，通过多种渠道全面收集项目基础信息资料，主要包括：</w:t>
      </w:r>
      <w:bookmarkEnd w:id="40"/>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41" w:name="_Toc32216"/>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①被评价单位基本概况，如单位职能、事业发展规划、预决算情况、项目立项依据等；</w:t>
      </w:r>
      <w:bookmarkEnd w:id="41"/>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42" w:name="_Toc10505"/>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②绩效目标及其设立依据和调整情况；</w:t>
      </w:r>
      <w:bookmarkEnd w:id="42"/>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43" w:name="_Toc28365"/>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③管理措施及组织实施情况；</w:t>
      </w:r>
      <w:bookmarkEnd w:id="43"/>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44" w:name="_Toc10091"/>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④被评价单位总结分析的绩效目标完成情况及绩效报告；</w:t>
      </w:r>
      <w:bookmarkEnd w:id="44"/>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45" w:name="_Toc1"/>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⑤与绩效评价相关的计划标准、行业标准、历史标准等；</w:t>
      </w:r>
      <w:bookmarkEnd w:id="45"/>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46" w:name="_Toc20059"/>
      <w:r>
        <w:rPr>
          <w:rFonts w:hint="eastAsia" w:ascii="宋体" w:hAnsi="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⑥</w:t>
      </w:r>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其他必要的相关资料等。</w:t>
      </w:r>
      <w:bookmarkEnd w:id="46"/>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47" w:name="_Toc31911"/>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（2）整理、研读基础资料</w:t>
      </w:r>
      <w:bookmarkEnd w:id="47"/>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48" w:name="_Toc167"/>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bookmarkEnd w:id="48"/>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2"/>
        <w:rPr>
          <w:rFonts w:hint="default"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49" w:name="_Toc30513"/>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3.</w:t>
      </w:r>
      <w:r>
        <w:rPr>
          <w:rFonts w:hint="eastAsia" w:ascii="宋体" w:hAnsi="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分析评价和撰写报告</w:t>
      </w:r>
      <w:bookmarkEnd w:id="49"/>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8"/>
          <w:highlight w:val="none"/>
          <w:shd w:val="clear" w:color="auto" w:fill="auto"/>
          <w:lang w:val="en-US" w:eastAsia="zh-CN" w:bidi="ar-SA"/>
          <w14:textFill>
            <w14:solidFill>
              <w14:schemeClr w14:val="tx1"/>
            </w14:solidFill>
          </w14:textFill>
        </w:rPr>
      </w:pPr>
      <w:bookmarkStart w:id="50" w:name="_Toc15974"/>
      <w:r>
        <w:rPr>
          <w:rFonts w:hint="eastAsia"/>
          <w:b w:val="0"/>
          <w:bCs w:val="0"/>
          <w:sz w:val="28"/>
          <w:szCs w:val="28"/>
        </w:rPr>
        <w:t>（</w:t>
      </w:r>
      <w:r>
        <w:rPr>
          <w:rFonts w:hint="eastAsia" w:ascii="宋体" w:hAnsi="宋体" w:cs="宋体"/>
          <w:b w:val="0"/>
          <w:bCs w:val="0"/>
          <w:color w:val="000000" w:themeColor="text1"/>
          <w:kern w:val="2"/>
          <w:sz w:val="28"/>
          <w:szCs w:val="28"/>
          <w:highlight w:val="none"/>
          <w:shd w:val="clear" w:color="auto" w:fill="auto"/>
          <w:lang w:val="en-US" w:eastAsia="zh-CN" w:bidi="ar-SA"/>
          <w14:textFill>
            <w14:solidFill>
              <w14:schemeClr w14:val="tx1"/>
            </w14:solidFill>
          </w14:textFill>
        </w:rPr>
        <w:t>1</w:t>
      </w:r>
      <w:r>
        <w:rPr>
          <w:rFonts w:hint="eastAsia" w:ascii="宋体" w:hAnsi="宋体" w:eastAsia="宋体" w:cs="宋体"/>
          <w:b w:val="0"/>
          <w:bCs w:val="0"/>
          <w:color w:val="000000" w:themeColor="text1"/>
          <w:kern w:val="2"/>
          <w:sz w:val="28"/>
          <w:szCs w:val="28"/>
          <w:highlight w:val="none"/>
          <w:shd w:val="clear" w:color="auto" w:fill="auto"/>
          <w:lang w:val="en-US" w:eastAsia="zh-CN" w:bidi="ar-SA"/>
          <w14:textFill>
            <w14:solidFill>
              <w14:schemeClr w14:val="tx1"/>
            </w14:solidFill>
          </w14:textFill>
        </w:rPr>
        <w:t>）综合分析评价</w:t>
      </w:r>
      <w:bookmarkEnd w:id="50"/>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8"/>
          <w:highlight w:val="none"/>
          <w:shd w:val="clear" w:color="auto" w:fill="auto"/>
          <w:lang w:val="en-US" w:eastAsia="zh-CN" w:bidi="ar-SA"/>
          <w14:textFill>
            <w14:solidFill>
              <w14:schemeClr w14:val="tx1"/>
            </w14:solidFill>
          </w14:textFill>
        </w:rPr>
      </w:pPr>
      <w:bookmarkStart w:id="51" w:name="_Toc4352"/>
      <w:r>
        <w:rPr>
          <w:rFonts w:hint="eastAsia" w:ascii="宋体" w:hAnsi="宋体" w:eastAsia="宋体" w:cs="宋体"/>
          <w:b w:val="0"/>
          <w:bCs w:val="0"/>
          <w:color w:val="000000" w:themeColor="text1"/>
          <w:kern w:val="2"/>
          <w:sz w:val="28"/>
          <w:szCs w:val="28"/>
          <w:highlight w:val="none"/>
          <w:shd w:val="clear" w:color="auto" w:fill="auto"/>
          <w:lang w:val="en-US" w:eastAsia="zh-CN" w:bidi="ar-SA"/>
          <w14:textFill>
            <w14:solidFill>
              <w14:schemeClr w14:val="tx1"/>
            </w14:solidFill>
          </w14:textFill>
        </w:rPr>
        <w:t>①根据所收集的基础资料，结合现场核查的有关情况，整理出绩效评价所需的项目材料和基础数据。</w:t>
      </w:r>
      <w:bookmarkEnd w:id="51"/>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bCs/>
          <w:color w:val="000000" w:themeColor="text1"/>
          <w:kern w:val="2"/>
          <w:sz w:val="28"/>
          <w:szCs w:val="24"/>
          <w:highlight w:val="none"/>
          <w:shd w:val="clear" w:color="auto" w:fill="auto"/>
          <w:lang w:val="en-US" w:eastAsia="zh-CN" w:bidi="ar-SA"/>
          <w14:textFill>
            <w14:solidFill>
              <w14:schemeClr w14:val="tx1"/>
            </w14:solidFill>
          </w14:textFill>
        </w:rPr>
      </w:pPr>
      <w:bookmarkStart w:id="52" w:name="_Toc26231"/>
      <w:r>
        <w:rPr>
          <w:rFonts w:hint="eastAsia" w:ascii="宋体" w:hAnsi="宋体" w:eastAsia="宋体" w:cs="宋体"/>
          <w:b w:val="0"/>
          <w:bCs w:val="0"/>
          <w:color w:val="000000" w:themeColor="text1"/>
          <w:kern w:val="2"/>
          <w:sz w:val="28"/>
          <w:szCs w:val="28"/>
          <w:highlight w:val="none"/>
          <w:shd w:val="clear" w:color="auto" w:fill="auto"/>
          <w:lang w:val="en-US" w:eastAsia="zh-CN" w:bidi="ar-SA"/>
          <w14:textFill>
            <w14:solidFill>
              <w14:schemeClr w14:val="tx1"/>
            </w14:solidFill>
          </w14:textFill>
        </w:rPr>
        <w:t>②将初步评价结论、调整</w:t>
      </w:r>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事项、专家咨询意见和有关说明等</w:t>
      </w:r>
      <w:r>
        <w:rPr>
          <w:rFonts w:hint="eastAsia" w:ascii="宋体" w:hAnsi="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提交单位内部讨论</w:t>
      </w:r>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并征求意见。之后，对所征求的意见及时地进行收集和整理。</w:t>
      </w:r>
      <w:bookmarkEnd w:id="52"/>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53" w:name="_Toc27759"/>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w:t>
      </w:r>
      <w:r>
        <w:rPr>
          <w:rFonts w:hint="eastAsia" w:ascii="宋体" w:hAnsi="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2</w:t>
      </w:r>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）撰写报告</w:t>
      </w:r>
      <w:bookmarkEnd w:id="53"/>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54" w:name="_Toc15579"/>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绩效评价项目小组依照整理、分析后的项目材料、数据资料，依据评价形成的初步结论，按照既定的格式和内容要求撰写绩效评价初步报告，</w:t>
      </w:r>
      <w:r>
        <w:rPr>
          <w:rFonts w:hint="eastAsia" w:ascii="宋体" w:hAnsi="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最终</w:t>
      </w:r>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形成评价结果。</w:t>
      </w:r>
      <w:bookmarkEnd w:id="54"/>
    </w:p>
    <w:p>
      <w:pPr>
        <w:pStyle w:val="2"/>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000000" w:themeColor="text1"/>
          <w:highlight w:val="none"/>
          <w:shd w:val="clear" w:color="auto" w:fill="auto"/>
          <w14:textFill>
            <w14:solidFill>
              <w14:schemeClr w14:val="tx1"/>
            </w14:solidFill>
          </w14:textFill>
        </w:rPr>
      </w:pPr>
      <w:bookmarkStart w:id="55" w:name="_Toc1100"/>
      <w:r>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t>三、</w:t>
      </w:r>
      <w:r>
        <w:rPr>
          <w:rFonts w:hint="eastAsia" w:ascii="宋体" w:hAnsi="宋体" w:eastAsia="宋体" w:cs="宋体"/>
          <w:b/>
          <w:bCs/>
          <w:color w:val="000000" w:themeColor="text1"/>
          <w:highlight w:val="none"/>
          <w:shd w:val="clear" w:color="auto" w:fill="auto"/>
          <w14:textFill>
            <w14:solidFill>
              <w14:schemeClr w14:val="tx1"/>
            </w14:solidFill>
          </w14:textFill>
        </w:rPr>
        <w:t>综合评价情况及评价结论</w:t>
      </w:r>
      <w:bookmarkEnd w:id="55"/>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zh-TW" w:eastAsia="zh-TW"/>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此次绩效评价</w:t>
      </w:r>
      <w:r>
        <w:rPr>
          <w:rFonts w:hint="eastAsia" w:ascii="宋体" w:hAnsi="宋体" w:eastAsia="宋体" w:cs="宋体"/>
          <w:color w:val="000000" w:themeColor="text1"/>
          <w:highlight w:val="none"/>
          <w:shd w:val="clear" w:color="auto" w:fill="auto"/>
          <w:lang w:val="zh-TW" w:eastAsia="zh-TW"/>
          <w14:textFill>
            <w14:solidFill>
              <w14:schemeClr w14:val="tx1"/>
            </w14:solidFill>
          </w14:textFill>
        </w:rPr>
        <w:t>通过组论证的评价指标体系及评分标准，</w:t>
      </w:r>
      <w:r>
        <w:rPr>
          <w:rFonts w:hint="eastAsia" w:ascii="宋体" w:hAnsi="宋体" w:eastAsia="宋体" w:cs="宋体"/>
          <w:color w:val="000000" w:themeColor="text1"/>
          <w:highlight w:val="none"/>
          <w:shd w:val="clear" w:color="auto" w:fill="auto"/>
          <w14:textFill>
            <w14:solidFill>
              <w14:schemeClr w14:val="tx1"/>
            </w14:solidFill>
          </w14:textFill>
        </w:rPr>
        <w:t>采用的方法比较法</w:t>
      </w:r>
      <w:r>
        <w:rPr>
          <w:rFonts w:hint="eastAsia" w:ascii="宋体" w:hAnsi="宋体" w:eastAsia="宋体" w:cs="宋体"/>
          <w:color w:val="000000" w:themeColor="text1"/>
          <w:highlight w:val="none"/>
          <w:shd w:val="clear" w:color="auto" w:fill="auto"/>
          <w:lang w:eastAsia="zh-CN"/>
          <w14:textFill>
            <w14:solidFill>
              <w14:schemeClr w14:val="tx1"/>
            </w14:solidFill>
          </w14:textFill>
        </w:rPr>
        <w:t>、因素分析法、公众评判法，</w:t>
      </w:r>
      <w:r>
        <w:rPr>
          <w:rFonts w:hint="eastAsia" w:ascii="宋体" w:hAnsi="宋体" w:eastAsia="宋体" w:cs="宋体"/>
          <w:color w:val="auto"/>
          <w:highlight w:val="none"/>
          <w:shd w:val="clear" w:color="auto" w:fill="auto"/>
          <w:lang w:val="zh-TW" w:eastAsia="zh-TW"/>
        </w:rPr>
        <w:t>对2023年高龄津贴及体检费</w:t>
      </w:r>
      <w:r>
        <w:rPr>
          <w:rFonts w:hint="eastAsia" w:ascii="宋体" w:hAnsi="宋体" w:eastAsia="宋体" w:cs="宋体"/>
          <w:color w:val="auto"/>
          <w:highlight w:val="none"/>
          <w:shd w:val="clear" w:color="auto" w:fill="auto"/>
          <w:lang w:eastAsia="zh-CN"/>
        </w:rPr>
        <w:t>项目</w:t>
      </w:r>
      <w:r>
        <w:rPr>
          <w:rFonts w:hint="eastAsia" w:ascii="宋体" w:hAnsi="宋体" w:eastAsia="宋体" w:cs="宋体"/>
          <w:color w:val="auto"/>
          <w:highlight w:val="none"/>
          <w:shd w:val="clear" w:color="auto" w:fill="auto"/>
          <w:lang w:val="zh-TW" w:eastAsia="zh-TW"/>
        </w:rPr>
        <w:t>绩效进行客观评价，最终评分结果：总分为</w:t>
      </w:r>
      <w:r>
        <w:rPr>
          <w:rFonts w:hint="eastAsia" w:cs="宋体"/>
          <w:color w:val="auto"/>
          <w:highlight w:val="none"/>
          <w:shd w:val="clear" w:color="auto" w:fill="auto"/>
          <w:lang w:val="en-US" w:eastAsia="zh-CN"/>
        </w:rPr>
        <w:t>100</w:t>
      </w:r>
      <w:r>
        <w:rPr>
          <w:rFonts w:hint="eastAsia" w:ascii="宋体" w:hAnsi="宋体" w:eastAsia="宋体" w:cs="宋体"/>
          <w:color w:val="auto"/>
          <w:highlight w:val="none"/>
          <w:shd w:val="clear" w:color="auto" w:fill="auto"/>
          <w:lang w:val="zh-TW" w:eastAsia="zh-TW"/>
        </w:rPr>
        <w:t>分，绩效评级为“</w:t>
      </w:r>
      <w:r>
        <w:rPr>
          <w:rFonts w:hint="eastAsia" w:cs="宋体"/>
          <w:color w:val="auto"/>
          <w:highlight w:val="none"/>
          <w:shd w:val="clear" w:color="auto" w:fill="auto"/>
          <w:lang w:val="en-US" w:eastAsia="zh-CN"/>
        </w:rPr>
        <w:t>优</w:t>
      </w:r>
      <w:r>
        <w:rPr>
          <w:rFonts w:hint="eastAsia" w:ascii="宋体" w:hAnsi="宋体" w:eastAsia="宋体" w:cs="宋体"/>
          <w:color w:val="auto"/>
          <w:highlight w:val="none"/>
          <w:shd w:val="clear" w:color="auto" w:fill="auto"/>
          <w:lang w:val="zh-TW" w:eastAsia="zh-TW"/>
        </w:rPr>
        <w:t>”。各部分权重和绩效</w:t>
      </w:r>
      <w:r>
        <w:rPr>
          <w:rFonts w:hint="eastAsia" w:ascii="宋体" w:hAnsi="宋体" w:eastAsia="宋体" w:cs="宋体"/>
          <w:color w:val="auto"/>
          <w:highlight w:val="none"/>
          <w:shd w:val="clear" w:color="auto" w:fill="auto"/>
          <w:lang w:val="en-US" w:eastAsia="zh-CN"/>
        </w:rPr>
        <w:t>汇总</w:t>
      </w:r>
      <w:r>
        <w:rPr>
          <w:rFonts w:hint="eastAsia" w:ascii="宋体" w:hAnsi="宋体" w:eastAsia="宋体" w:cs="宋体"/>
          <w:color w:val="auto"/>
          <w:highlight w:val="none"/>
          <w:shd w:val="clear" w:color="auto" w:fill="auto"/>
          <w:lang w:val="zh-TW" w:eastAsia="zh-TW"/>
        </w:rPr>
        <w:t>分值如下表</w:t>
      </w:r>
      <w:r>
        <w:rPr>
          <w:rFonts w:hint="eastAsia" w:ascii="宋体" w:hAnsi="宋体" w:eastAsia="宋体" w:cs="宋体"/>
          <w:b/>
          <w:bCs/>
          <w:color w:val="000000" w:themeColor="text1"/>
          <w:kern w:val="0"/>
          <w:sz w:val="28"/>
          <w:szCs w:val="28"/>
          <w:highlight w:val="none"/>
          <w:shd w:val="clear" w:color="auto" w:fill="auto"/>
          <w:lang w:val="en-US" w:eastAsia="zh-CN"/>
          <w14:textFill>
            <w14:solidFill>
              <w14:schemeClr w14:val="tx1"/>
            </w14:solidFill>
          </w14:textFill>
        </w:rPr>
        <w:t>3-1</w:t>
      </w:r>
      <w:r>
        <w:rPr>
          <w:rFonts w:hint="eastAsia" w:ascii="宋体" w:hAnsi="宋体" w:eastAsia="宋体" w:cs="宋体"/>
          <w:color w:val="auto"/>
          <w:highlight w:val="none"/>
          <w:shd w:val="clear" w:color="auto" w:fill="auto"/>
          <w:lang w:val="zh-TW" w:eastAsia="zh-TW"/>
        </w:rPr>
        <w:t>所示</w:t>
      </w:r>
      <w:r>
        <w:rPr>
          <w:rFonts w:hint="eastAsia" w:cs="宋体"/>
          <w:b/>
          <w:bCs/>
          <w:color w:val="auto"/>
          <w:highlight w:val="none"/>
          <w:shd w:val="clear" w:color="auto" w:fill="auto"/>
          <w:lang w:val="zh-TW" w:eastAsia="zh-CN"/>
        </w:rPr>
        <w:t>（</w:t>
      </w:r>
      <w:r>
        <w:rPr>
          <w:rFonts w:hint="eastAsia" w:cs="宋体"/>
          <w:b/>
          <w:bCs/>
          <w:color w:val="auto"/>
          <w:highlight w:val="none"/>
          <w:shd w:val="clear" w:color="auto" w:fill="auto"/>
          <w:lang w:val="en-US" w:eastAsia="zh-CN"/>
        </w:rPr>
        <w:t>详见上传的附件</w:t>
      </w:r>
      <w:r>
        <w:rPr>
          <w:rFonts w:hint="eastAsia" w:cs="宋体"/>
          <w:b/>
          <w:bCs/>
          <w:color w:val="auto"/>
          <w:highlight w:val="none"/>
          <w:shd w:val="clear" w:color="auto" w:fill="auto"/>
          <w:lang w:val="zh-TW" w:eastAsia="zh-CN"/>
        </w:rPr>
        <w:t>）</w:t>
      </w:r>
      <w:r>
        <w:rPr>
          <w:rFonts w:hint="eastAsia" w:ascii="宋体" w:hAnsi="宋体" w:eastAsia="宋体" w:cs="宋体"/>
          <w:color w:val="auto"/>
          <w:highlight w:val="none"/>
          <w:shd w:val="clear" w:color="auto" w:fill="auto"/>
          <w:lang w:val="zh-TW" w:eastAsia="zh-TW"/>
        </w:rPr>
        <w:t>：</w:t>
      </w:r>
    </w:p>
    <w:tbl>
      <w:tblPr>
        <w:tblStyle w:val="11"/>
        <w:tblW w:w="8289" w:type="dxa"/>
        <w:jc w:val="center"/>
        <w:tblInd w:w="0" w:type="dxa"/>
        <w:shd w:val="clear" w:color="auto" w:fill="auto"/>
        <w:tblLayout w:type="fixed"/>
        <w:tblCellMar>
          <w:top w:w="0" w:type="dxa"/>
          <w:left w:w="0" w:type="dxa"/>
          <w:bottom w:w="0" w:type="dxa"/>
          <w:right w:w="0" w:type="dxa"/>
        </w:tblCellMar>
      </w:tblPr>
      <w:tblGrid>
        <w:gridCol w:w="1094"/>
        <w:gridCol w:w="1361"/>
        <w:gridCol w:w="1361"/>
        <w:gridCol w:w="1361"/>
        <w:gridCol w:w="1623"/>
        <w:gridCol w:w="1489"/>
      </w:tblGrid>
      <w:tr>
        <w:tblPrEx>
          <w:shd w:val="clear" w:color="auto" w:fill="auto"/>
          <w:tblLayout w:type="fixed"/>
          <w:tblCellMar>
            <w:top w:w="0" w:type="dxa"/>
            <w:left w:w="0" w:type="dxa"/>
            <w:bottom w:w="0" w:type="dxa"/>
            <w:right w:w="0" w:type="dxa"/>
          </w:tblCellMar>
        </w:tblPrEx>
        <w:trPr>
          <w:trHeight w:val="375" w:hRule="atLeast"/>
          <w:jc w:val="center"/>
        </w:trPr>
        <w:tc>
          <w:tcPr>
            <w:tcW w:w="8289" w:type="dxa"/>
            <w:gridSpan w:val="6"/>
            <w:tcBorders>
              <w:top w:val="nil"/>
              <w:left w:val="nil"/>
              <w:bottom w:val="nil"/>
              <w:right w:val="nil"/>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8"/>
                <w:szCs w:val="28"/>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8"/>
                <w:szCs w:val="28"/>
                <w:highlight w:val="none"/>
                <w:shd w:val="clear" w:color="auto" w:fill="auto"/>
                <w:lang w:val="en-US" w:eastAsia="zh-CN"/>
                <w14:textFill>
                  <w14:solidFill>
                    <w14:schemeClr w14:val="tx1"/>
                  </w14:solidFill>
                </w14:textFill>
              </w:rPr>
              <w:t>表3-1：2023年高龄津贴及体检费</w:t>
            </w:r>
            <w:r>
              <w:rPr>
                <w:rFonts w:hint="eastAsia" w:ascii="宋体" w:hAnsi="宋体" w:eastAsia="宋体" w:cs="宋体"/>
                <w:b/>
                <w:bCs/>
                <w:color w:val="auto"/>
                <w:kern w:val="0"/>
                <w:sz w:val="28"/>
                <w:szCs w:val="28"/>
                <w:highlight w:val="none"/>
                <w:shd w:val="clear" w:color="auto" w:fill="auto"/>
                <w:lang w:val="en-US" w:eastAsia="zh-CN"/>
              </w:rPr>
              <w:t>项目</w:t>
            </w:r>
            <w:r>
              <w:rPr>
                <w:rFonts w:hint="eastAsia" w:ascii="宋体" w:hAnsi="宋体" w:eastAsia="宋体" w:cs="宋体"/>
                <w:b/>
                <w:bCs/>
                <w:color w:val="000000" w:themeColor="text1"/>
                <w:kern w:val="0"/>
                <w:sz w:val="28"/>
                <w:szCs w:val="28"/>
                <w:highlight w:val="none"/>
                <w:shd w:val="clear" w:color="auto" w:fill="auto"/>
                <w:lang w:val="en-US" w:eastAsia="zh-CN"/>
                <w14:textFill>
                  <w14:solidFill>
                    <w14:schemeClr w14:val="tx1"/>
                  </w14:solidFill>
                </w14:textFill>
              </w:rPr>
              <w:t>得分表</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4"/>
                <w:szCs w:val="24"/>
                <w:highlight w:val="none"/>
                <w:shd w:val="clear" w:color="auto" w:fill="auto"/>
                <w14:textFill>
                  <w14:solidFill>
                    <w14:schemeClr w14:val="tx1"/>
                  </w14:solidFill>
                </w14:textFill>
              </w:rPr>
            </w:pPr>
          </w:p>
        </w:tc>
      </w:tr>
      <w:tr>
        <w:tblPrEx>
          <w:tblLayout w:type="fixed"/>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1"/>
                <w:szCs w:val="21"/>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1"/>
                <w:szCs w:val="21"/>
                <w:highlight w:val="none"/>
                <w:shd w:val="clear" w:color="auto" w:fill="auto"/>
                <w:lang w:val="en-US" w:eastAsia="zh-CN"/>
                <w14:textFill>
                  <w14:solidFill>
                    <w14:schemeClr w14:val="tx1"/>
                  </w14:solidFill>
                </w14:textFill>
              </w:rPr>
              <w:t>指标类别</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1"/>
                <w:szCs w:val="21"/>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1"/>
                <w:szCs w:val="21"/>
                <w:highlight w:val="none"/>
                <w:shd w:val="clear" w:color="auto" w:fill="auto"/>
                <w:lang w:val="en-US" w:eastAsia="zh-CN"/>
                <w14:textFill>
                  <w14:solidFill>
                    <w14:schemeClr w14:val="tx1"/>
                  </w14:solidFill>
                </w14:textFill>
              </w:rPr>
              <w:t>1.项目决策</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1"/>
                <w:szCs w:val="21"/>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1"/>
                <w:szCs w:val="21"/>
                <w:highlight w:val="none"/>
                <w:shd w:val="clear" w:color="auto" w:fill="auto"/>
                <w:lang w:val="en-US" w:eastAsia="zh-CN"/>
                <w14:textFill>
                  <w14:solidFill>
                    <w14:schemeClr w14:val="tx1"/>
                  </w14:solidFill>
                </w14:textFill>
              </w:rPr>
              <w:t>2.过程管理</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1"/>
                <w:szCs w:val="21"/>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1"/>
                <w:szCs w:val="21"/>
                <w:highlight w:val="none"/>
                <w:shd w:val="clear" w:color="auto" w:fill="auto"/>
                <w:lang w:val="en-US" w:eastAsia="zh-CN"/>
                <w14:textFill>
                  <w14:solidFill>
                    <w14:schemeClr w14:val="tx1"/>
                  </w14:solidFill>
                </w14:textFill>
              </w:rPr>
              <w:t>3.项目产出</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1"/>
                <w:szCs w:val="21"/>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1"/>
                <w:szCs w:val="21"/>
                <w:highlight w:val="none"/>
                <w:shd w:val="clear" w:color="auto" w:fill="auto"/>
                <w:lang w:val="en-US" w:eastAsia="zh-CN"/>
                <w14:textFill>
                  <w14:solidFill>
                    <w14:schemeClr w14:val="tx1"/>
                  </w14:solidFill>
                </w14:textFill>
              </w:rPr>
              <w:t>4.项目效益</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1"/>
                <w:szCs w:val="21"/>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1"/>
                <w:szCs w:val="21"/>
                <w:highlight w:val="none"/>
                <w:shd w:val="clear" w:color="auto" w:fill="auto"/>
                <w:lang w:val="en-US" w:eastAsia="zh-CN"/>
                <w14:textFill>
                  <w14:solidFill>
                    <w14:schemeClr w14:val="tx1"/>
                  </w14:solidFill>
                </w14:textFill>
              </w:rPr>
              <w:t>合计</w:t>
            </w:r>
          </w:p>
        </w:tc>
      </w:tr>
      <w:tr>
        <w:tblPrEx>
          <w:tblLayout w:type="fixed"/>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000000" w:themeColor="text1"/>
                <w:kern w:val="0"/>
                <w:sz w:val="21"/>
                <w:szCs w:val="21"/>
                <w:highlight w:val="none"/>
                <w:shd w:val="clear" w:color="auto" w:fill="auto"/>
                <w:lang w:val="en-US" w:eastAsia="zh-CN"/>
                <w14:textFill>
                  <w14:solidFill>
                    <w14:schemeClr w14:val="tx1"/>
                  </w14:solidFill>
                </w14:textFill>
              </w:rPr>
            </w:pPr>
            <w:r>
              <w:rPr>
                <w:rFonts w:hint="eastAsia" w:ascii="宋体" w:hAnsi="宋体" w:eastAsia="宋体" w:cs="宋体"/>
                <w:b w:val="0"/>
                <w:bCs w:val="0"/>
                <w:color w:val="000000" w:themeColor="text1"/>
                <w:kern w:val="0"/>
                <w:sz w:val="21"/>
                <w:szCs w:val="21"/>
                <w:highlight w:val="none"/>
                <w:shd w:val="clear" w:color="auto" w:fill="auto"/>
                <w:lang w:val="en-US" w:eastAsia="zh-CN"/>
                <w14:textFill>
                  <w14:solidFill>
                    <w14:schemeClr w14:val="tx1"/>
                  </w14:solidFill>
                </w14:textFill>
              </w:rPr>
              <w:t>权重</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1"/>
                <w:szCs w:val="2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1"/>
                <w:szCs w:val="21"/>
                <w:highlight w:val="none"/>
                <w:shd w:val="clear" w:color="auto" w:fill="auto"/>
                <w:lang w:val="en-US" w:eastAsia="zh-CN"/>
                <w14:textFill>
                  <w14:solidFill>
                    <w14:schemeClr w14:val="tx1"/>
                  </w14:solidFill>
                </w14:textFill>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1"/>
                <w:szCs w:val="2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1"/>
                <w:szCs w:val="21"/>
                <w:highlight w:val="none"/>
                <w:shd w:val="clear" w:color="auto" w:fill="auto"/>
                <w:lang w:val="en-US" w:eastAsia="zh-CN"/>
                <w14:textFill>
                  <w14:solidFill>
                    <w14:schemeClr w14:val="tx1"/>
                  </w14:solidFill>
                </w14:textFill>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000000" w:themeColor="text1"/>
                <w:kern w:val="0"/>
                <w:sz w:val="21"/>
                <w:szCs w:val="2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1"/>
                <w:szCs w:val="21"/>
                <w:highlight w:val="none"/>
                <w:shd w:val="clear" w:color="auto" w:fill="auto"/>
                <w:lang w:val="en-US" w:eastAsia="zh-CN"/>
                <w14:textFill>
                  <w14:solidFill>
                    <w14:schemeClr w14:val="tx1"/>
                  </w14:solidFill>
                </w14:textFill>
              </w:rPr>
              <w:t>30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1"/>
                <w:szCs w:val="2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1"/>
                <w:szCs w:val="21"/>
                <w:highlight w:val="none"/>
                <w:shd w:val="clear" w:color="auto" w:fill="auto"/>
                <w:lang w:val="en-US" w:eastAsia="zh-CN"/>
                <w14:textFill>
                  <w14:solidFill>
                    <w14:schemeClr w14:val="tx1"/>
                  </w14:solidFill>
                </w14:textFill>
              </w:rPr>
              <w:t>30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000000" w:themeColor="text1"/>
                <w:kern w:val="0"/>
                <w:sz w:val="21"/>
                <w:szCs w:val="2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1"/>
                <w:szCs w:val="21"/>
                <w:highlight w:val="none"/>
                <w:shd w:val="clear" w:color="auto" w:fill="auto"/>
                <w:lang w:val="en-US" w:eastAsia="zh-CN"/>
                <w14:textFill>
                  <w14:solidFill>
                    <w14:schemeClr w14:val="tx1"/>
                  </w14:solidFill>
                </w14:textFill>
              </w:rPr>
              <w:t>100</w:t>
            </w:r>
          </w:p>
        </w:tc>
      </w:tr>
      <w:tr>
        <w:tblPrEx>
          <w:tblLayout w:type="fixed"/>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000000" w:themeColor="text1"/>
                <w:kern w:val="0"/>
                <w:sz w:val="21"/>
                <w:szCs w:val="21"/>
                <w:highlight w:val="none"/>
                <w:shd w:val="clear" w:color="auto" w:fill="auto"/>
                <w:lang w:val="en-US" w:eastAsia="zh-CN"/>
                <w14:textFill>
                  <w14:solidFill>
                    <w14:schemeClr w14:val="tx1"/>
                  </w14:solidFill>
                </w14:textFill>
              </w:rPr>
            </w:pPr>
            <w:r>
              <w:rPr>
                <w:rFonts w:hint="eastAsia" w:ascii="宋体" w:hAnsi="宋体" w:eastAsia="宋体" w:cs="宋体"/>
                <w:b w:val="0"/>
                <w:bCs w:val="0"/>
                <w:color w:val="000000" w:themeColor="text1"/>
                <w:kern w:val="0"/>
                <w:sz w:val="21"/>
                <w:szCs w:val="21"/>
                <w:highlight w:val="none"/>
                <w:shd w:val="clear" w:color="auto" w:fill="auto"/>
                <w:lang w:val="en-US" w:eastAsia="zh-CN"/>
                <w14:textFill>
                  <w14:solidFill>
                    <w14:schemeClr w14:val="tx1"/>
                  </w14:solidFill>
                </w14:textFill>
              </w:rPr>
              <w:t>分值</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60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30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p>
        </w:tc>
      </w:tr>
      <w:tr>
        <w:tblPrEx>
          <w:tblLayout w:type="fixed"/>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000000" w:themeColor="text1"/>
                <w:kern w:val="0"/>
                <w:sz w:val="21"/>
                <w:szCs w:val="21"/>
                <w:highlight w:val="none"/>
                <w:shd w:val="clear" w:color="auto" w:fill="auto"/>
                <w:lang w:val="en-US" w:eastAsia="zh-CN"/>
                <w14:textFill>
                  <w14:solidFill>
                    <w14:schemeClr w14:val="tx1"/>
                  </w14:solidFill>
                </w14:textFill>
              </w:rPr>
            </w:pPr>
            <w:r>
              <w:rPr>
                <w:rFonts w:hint="eastAsia" w:ascii="宋体" w:hAnsi="宋体" w:eastAsia="宋体" w:cs="宋体"/>
                <w:b w:val="0"/>
                <w:bCs w:val="0"/>
                <w:color w:val="000000" w:themeColor="text1"/>
                <w:kern w:val="0"/>
                <w:sz w:val="21"/>
                <w:szCs w:val="21"/>
                <w:highlight w:val="none"/>
                <w:shd w:val="clear" w:color="auto" w:fill="auto"/>
                <w:lang w:val="en-US" w:eastAsia="zh-CN"/>
                <w14:textFill>
                  <w14:solidFill>
                    <w14:schemeClr w14:val="tx1"/>
                  </w14:solidFill>
                </w14:textFill>
              </w:rPr>
              <w:t>得分率</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r>
              <w:rPr>
                <w:rFonts w:hint="eastAsia" w:ascii="宋体" w:hAnsi="宋体" w:eastAsia="宋体" w:cs="宋体"/>
                <w:color w:val="auto"/>
                <w:kern w:val="0"/>
                <w:sz w:val="21"/>
                <w:szCs w:val="21"/>
                <w:highlight w:val="none"/>
                <w:shd w:val="clear" w:color="auto" w:fill="auto"/>
                <w:lang w:val="en-US" w:eastAsia="zh-CN"/>
              </w:rPr>
              <w:t>%</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r>
              <w:rPr>
                <w:rFonts w:hint="eastAsia" w:ascii="宋体" w:hAnsi="宋体" w:eastAsia="宋体" w:cs="宋体"/>
                <w:color w:val="auto"/>
                <w:kern w:val="0"/>
                <w:sz w:val="21"/>
                <w:szCs w:val="21"/>
                <w:highlight w:val="none"/>
                <w:shd w:val="clear" w:color="auto" w:fill="auto"/>
                <w:lang w:val="en-US" w:eastAsia="zh-CN"/>
              </w:rPr>
              <w:t>%</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r>
              <w:rPr>
                <w:rFonts w:hint="eastAsia" w:ascii="宋体" w:hAnsi="宋体" w:eastAsia="宋体" w:cs="宋体"/>
                <w:color w:val="auto"/>
                <w:kern w:val="0"/>
                <w:sz w:val="21"/>
                <w:szCs w:val="21"/>
                <w:highlight w:val="none"/>
                <w:shd w:val="clear" w:color="auto" w:fill="auto"/>
                <w:lang w:val="en-US" w:eastAsia="zh-CN"/>
              </w:rPr>
              <w:t>%</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r>
              <w:rPr>
                <w:rFonts w:hint="eastAsia" w:ascii="宋体" w:hAnsi="宋体" w:eastAsia="宋体" w:cs="宋体"/>
                <w:color w:val="auto"/>
                <w:kern w:val="0"/>
                <w:sz w:val="21"/>
                <w:szCs w:val="21"/>
                <w:highlight w:val="none"/>
                <w:shd w:val="clear" w:color="auto" w:fill="auto"/>
                <w:lang w:val="en-US" w:eastAsia="zh-CN"/>
              </w:rPr>
              <w:t>%</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r>
              <w:rPr>
                <w:rFonts w:hint="eastAsia" w:ascii="宋体" w:hAnsi="宋体" w:eastAsia="宋体" w:cs="宋体"/>
                <w:color w:val="auto"/>
                <w:kern w:val="0"/>
                <w:sz w:val="21"/>
                <w:szCs w:val="21"/>
                <w:highlight w:val="none"/>
                <w:shd w:val="clear" w:color="auto" w:fill="auto"/>
                <w:lang w:val="en-US" w:eastAsia="zh-CN"/>
              </w:rPr>
              <w:t>%</w:t>
            </w:r>
          </w:p>
        </w:tc>
      </w:tr>
    </w:tbl>
    <w:p>
      <w:pPr>
        <w:pStyle w:val="2"/>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pPr>
      <w:bookmarkStart w:id="56" w:name="_Toc9421"/>
      <w:r>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t>四、绩效评价指标分析</w:t>
      </w:r>
      <w:bookmarkEnd w:id="56"/>
    </w:p>
    <w:p>
      <w:pPr>
        <w:pStyle w:val="3"/>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000000" w:themeColor="text1"/>
          <w:highlight w:val="none"/>
          <w:shd w:val="clear" w:color="auto" w:fill="auto"/>
          <w14:textFill>
            <w14:solidFill>
              <w14:schemeClr w14:val="tx1"/>
            </w14:solidFill>
          </w14:textFill>
        </w:rPr>
      </w:pPr>
      <w:bookmarkStart w:id="57" w:name="_Toc15355"/>
      <w:r>
        <w:rPr>
          <w:rFonts w:hint="eastAsia" w:ascii="宋体" w:hAnsi="宋体" w:eastAsia="宋体" w:cs="宋体"/>
          <w:color w:val="000000" w:themeColor="text1"/>
          <w:highlight w:val="none"/>
          <w:shd w:val="clear" w:color="auto" w:fill="auto"/>
          <w14:textFill>
            <w14:solidFill>
              <w14:schemeClr w14:val="tx1"/>
            </w14:solidFill>
          </w14:textFill>
        </w:rPr>
        <w:t>（一）项目决策情况</w:t>
      </w:r>
      <w:bookmarkEnd w:id="57"/>
    </w:p>
    <w:p>
      <w:pPr>
        <w:keepNext w:val="0"/>
        <w:keepLines w:val="0"/>
        <w:pageBreakBefore w:val="0"/>
        <w:widowControl w:val="0"/>
        <w:kinsoku/>
        <w:wordWrap/>
        <w:overflowPunct/>
        <w:topLinePunct w:val="0"/>
        <w:autoSpaceDE/>
        <w:autoSpaceDN/>
        <w:bidi w:val="0"/>
        <w:adjustRightInd/>
        <w:snapToGrid/>
        <w:spacing w:line="360" w:lineRule="auto"/>
        <w:ind w:firstLine="723"/>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项目决策由3个二级指标和6个三级指标构成，权重分20分，实际得分</w:t>
      </w:r>
      <w:r>
        <w:rPr>
          <w:rFonts w:hint="eastAsia" w:cs="宋体"/>
          <w:color w:val="auto"/>
          <w:highlight w:val="none"/>
          <w:shd w:val="clear" w:color="auto" w:fill="auto"/>
          <w:lang w:val="en-US" w:eastAsia="zh-CN"/>
        </w:rPr>
        <w:t>20</w:t>
      </w:r>
      <w:r>
        <w:rPr>
          <w:rFonts w:hint="eastAsia" w:ascii="宋体" w:hAnsi="宋体" w:eastAsia="宋体" w:cs="宋体"/>
          <w:color w:val="auto"/>
          <w:highlight w:val="none"/>
          <w:shd w:val="clear" w:color="auto" w:fill="auto"/>
          <w:lang w:val="en-US" w:eastAsia="zh-CN"/>
        </w:rPr>
        <w:t>分，</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b/>
          <w:bCs/>
          <w:color w:val="auto"/>
          <w:kern w:val="2"/>
          <w:highlight w:val="none"/>
          <w:u w:color="000000"/>
          <w:shd w:val="clear" w:color="auto" w:fill="auto"/>
          <w:lang w:val="en-US" w:eastAsia="zh-CN"/>
        </w:rPr>
        <w:t>4</w:t>
      </w:r>
      <w:r>
        <w:rPr>
          <w:rFonts w:hint="eastAsia" w:ascii="宋体" w:hAnsi="宋体" w:eastAsia="宋体" w:cs="宋体"/>
          <w:b/>
          <w:bCs/>
          <w:color w:val="auto"/>
          <w:kern w:val="2"/>
          <w:highlight w:val="none"/>
          <w:u w:color="000000"/>
          <w:shd w:val="clear" w:color="auto" w:fill="auto"/>
          <w:lang w:eastAsia="zh-CN"/>
        </w:rPr>
        <w:t>-1</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highlight w:val="none"/>
          <w:shd w:val="clear" w:color="auto" w:fill="auto"/>
          <w:lang w:val="zh-TW" w:eastAsia="zh-CN"/>
        </w:rPr>
        <w:t>（</w:t>
      </w:r>
      <w:r>
        <w:rPr>
          <w:rFonts w:hint="eastAsia" w:cs="宋体"/>
          <w:b/>
          <w:bCs/>
          <w:color w:val="auto"/>
          <w:highlight w:val="none"/>
          <w:shd w:val="clear" w:color="auto" w:fill="auto"/>
          <w:lang w:val="en-US" w:eastAsia="zh-CN"/>
        </w:rPr>
        <w:t>详见上传的附件</w:t>
      </w:r>
      <w:r>
        <w:rPr>
          <w:rFonts w:hint="eastAsia" w:cs="宋体"/>
          <w:b/>
          <w:bCs/>
          <w:color w:val="auto"/>
          <w:highlight w:val="none"/>
          <w:shd w:val="clear" w:color="auto" w:fill="auto"/>
          <w:lang w:val="zh-TW" w:eastAsia="zh-CN"/>
        </w:rPr>
        <w:t>）</w:t>
      </w:r>
      <w:r>
        <w:rPr>
          <w:rFonts w:hint="eastAsia" w:ascii="宋体" w:hAnsi="宋体" w:eastAsia="宋体" w:cs="宋体"/>
          <w:color w:val="auto"/>
          <w:highlight w:val="none"/>
          <w:shd w:val="clear" w:color="auto" w:fill="auto"/>
          <w:lang w:val="en-US" w:eastAsia="zh-CN"/>
        </w:rPr>
        <w:t>：</w:t>
      </w:r>
    </w:p>
    <w:p>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000000" w:themeColor="text1"/>
          <w:kern w:val="0"/>
          <w:sz w:val="28"/>
          <w:szCs w:val="28"/>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8"/>
          <w:szCs w:val="28"/>
          <w:highlight w:val="none"/>
          <w:shd w:val="clear" w:color="auto" w:fill="auto"/>
          <w:lang w:val="zh-TW" w:eastAsia="zh-TW"/>
          <w14:textFill>
            <w14:solidFill>
              <w14:schemeClr w14:val="tx1"/>
            </w14:solidFill>
          </w14:textFill>
        </w:rPr>
        <w:t>表</w:t>
      </w:r>
      <w:r>
        <w:rPr>
          <w:rFonts w:hint="eastAsia" w:ascii="宋体" w:hAnsi="宋体" w:eastAsia="宋体" w:cs="宋体"/>
          <w:b/>
          <w:bCs/>
          <w:color w:val="000000" w:themeColor="text1"/>
          <w:kern w:val="0"/>
          <w:sz w:val="28"/>
          <w:szCs w:val="28"/>
          <w:highlight w:val="none"/>
          <w:shd w:val="clear" w:color="auto" w:fill="auto"/>
          <w:lang w:val="en-US" w:eastAsia="zh-CN"/>
          <w14:textFill>
            <w14:solidFill>
              <w14:schemeClr w14:val="tx1"/>
            </w14:solidFill>
          </w14:textFill>
        </w:rPr>
        <w:t>4-1</w:t>
      </w:r>
      <w:r>
        <w:rPr>
          <w:rFonts w:hint="eastAsia" w:ascii="宋体" w:hAnsi="宋体" w:eastAsia="宋体" w:cs="宋体"/>
          <w:b/>
          <w:bCs/>
          <w:color w:val="000000" w:themeColor="text1"/>
          <w:kern w:val="0"/>
          <w:sz w:val="28"/>
          <w:szCs w:val="28"/>
          <w:highlight w:val="none"/>
          <w:shd w:val="clear" w:color="auto" w:fill="auto"/>
          <w:lang w:val="zh-TW" w:eastAsia="zh-TW"/>
          <w14:textFill>
            <w14:solidFill>
              <w14:schemeClr w14:val="tx1"/>
            </w14:solidFill>
          </w14:textFill>
        </w:rPr>
        <w:t>项目决策指标及分值</w:t>
      </w:r>
    </w:p>
    <w:tbl>
      <w:tblPr>
        <w:tblStyle w:val="11"/>
        <w:tblW w:w="8447" w:type="dxa"/>
        <w:jc w:val="center"/>
        <w:tblInd w:w="0" w:type="dxa"/>
        <w:tblLayout w:type="fixed"/>
        <w:tblCellMar>
          <w:top w:w="0" w:type="dxa"/>
          <w:left w:w="0" w:type="dxa"/>
          <w:bottom w:w="0" w:type="dxa"/>
          <w:right w:w="0" w:type="dxa"/>
        </w:tblCellMar>
      </w:tblPr>
      <w:tblGrid>
        <w:gridCol w:w="1077"/>
        <w:gridCol w:w="960"/>
        <w:gridCol w:w="1248"/>
        <w:gridCol w:w="794"/>
        <w:gridCol w:w="3"/>
        <w:gridCol w:w="1868"/>
        <w:gridCol w:w="3"/>
        <w:gridCol w:w="1414"/>
        <w:gridCol w:w="3"/>
        <w:gridCol w:w="1074"/>
        <w:gridCol w:w="3"/>
      </w:tblGrid>
      <w:tr>
        <w:tblPrEx>
          <w:tblLayout w:type="fixed"/>
          <w:tblCellMar>
            <w:top w:w="0" w:type="dxa"/>
            <w:left w:w="0" w:type="dxa"/>
            <w:bottom w:w="0" w:type="dxa"/>
            <w:right w:w="0" w:type="dxa"/>
          </w:tblCellMar>
        </w:tblPrEx>
        <w:trPr>
          <w:gridAfter w:val="1"/>
          <w:wAfter w:w="3" w:type="dxa"/>
          <w:trHeight w:val="522" w:hRule="atLeast"/>
          <w:tblHeader/>
          <w:jc w:val="center"/>
        </w:trPr>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一级指标</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分值</w:t>
            </w:r>
          </w:p>
        </w:tc>
        <w:tc>
          <w:tcPr>
            <w:tcW w:w="12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二级指标</w:t>
            </w:r>
          </w:p>
        </w:tc>
        <w:tc>
          <w:tcPr>
            <w:tcW w:w="79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分值</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三级指标</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分值</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得分</w:t>
            </w:r>
          </w:p>
        </w:tc>
      </w:tr>
      <w:tr>
        <w:tblPrEx>
          <w:tblLayout w:type="fixed"/>
          <w:tblCellMar>
            <w:top w:w="0" w:type="dxa"/>
            <w:left w:w="0" w:type="dxa"/>
            <w:bottom w:w="0" w:type="dxa"/>
            <w:right w:w="0" w:type="dxa"/>
          </w:tblCellMar>
        </w:tblPrEx>
        <w:trPr>
          <w:gridAfter w:val="1"/>
          <w:wAfter w:w="3" w:type="dxa"/>
          <w:trHeight w:val="334" w:hRule="atLeast"/>
          <w:tblHeader/>
          <w:jc w:val="center"/>
        </w:trPr>
        <w:tc>
          <w:tcPr>
            <w:tcW w:w="1077"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项目决策</w:t>
            </w:r>
          </w:p>
        </w:tc>
        <w:tc>
          <w:tcPr>
            <w:tcW w:w="960"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20</w:t>
            </w:r>
          </w:p>
        </w:tc>
        <w:tc>
          <w:tcPr>
            <w:tcW w:w="1248"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项目立项</w:t>
            </w:r>
          </w:p>
        </w:tc>
        <w:tc>
          <w:tcPr>
            <w:tcW w:w="794"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5</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立项依据充分性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tblPrEx>
          <w:tblLayout w:type="fixed"/>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248"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794"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立项程序规范性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r>
      <w:tr>
        <w:tblPrEx>
          <w:tblLayout w:type="fixed"/>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绩效目标</w:t>
            </w:r>
          </w:p>
        </w:tc>
        <w:tc>
          <w:tcPr>
            <w:tcW w:w="794"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10</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绩效目标合理性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tblPrEx>
          <w:tblLayout w:type="fixed"/>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7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绩效指标明确性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tblPrEx>
          <w:tblLayout w:type="fixed"/>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248"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资金投入</w:t>
            </w:r>
          </w:p>
        </w:tc>
        <w:tc>
          <w:tcPr>
            <w:tcW w:w="794"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5</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预算编制科学性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tblPrEx>
          <w:tblLayout w:type="fixed"/>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960"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248"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794"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资金分配合理性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r>
      <w:tr>
        <w:tblPrEx>
          <w:tblLayout w:type="fixed"/>
          <w:tblCellMar>
            <w:top w:w="0" w:type="dxa"/>
            <w:left w:w="0" w:type="dxa"/>
            <w:bottom w:w="0" w:type="dxa"/>
            <w:right w:w="0" w:type="dxa"/>
          </w:tblCellMar>
        </w:tblPrEx>
        <w:trPr>
          <w:trHeight w:val="334" w:hRule="atLeast"/>
          <w:tblHeader/>
          <w:jc w:val="center"/>
        </w:trPr>
        <w:tc>
          <w:tcPr>
            <w:tcW w:w="3285"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合计</w:t>
            </w:r>
          </w:p>
        </w:tc>
        <w:tc>
          <w:tcPr>
            <w:tcW w:w="79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20</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20</w:t>
            </w:r>
          </w:p>
        </w:tc>
      </w:tr>
    </w:tbl>
    <w:p>
      <w:pPr>
        <w:bidi w:val="0"/>
        <w:outlineLvl w:val="2"/>
        <w:rPr>
          <w:rFonts w:hint="default"/>
          <w:b/>
          <w:bCs/>
          <w:lang w:val="en-US" w:eastAsia="zh-CN"/>
        </w:rPr>
      </w:pPr>
      <w:bookmarkStart w:id="58" w:name="_Toc13522"/>
      <w:r>
        <w:rPr>
          <w:rFonts w:hint="eastAsia"/>
          <w:b/>
          <w:bCs/>
          <w:lang w:val="en-US" w:eastAsia="zh-CN"/>
        </w:rPr>
        <w:t>1.立项依据充分性</w:t>
      </w:r>
      <w:bookmarkEnd w:id="58"/>
    </w:p>
    <w:p>
      <w:pPr>
        <w:bidi w:val="0"/>
        <w:rPr>
          <w:rFonts w:hint="eastAsia"/>
          <w:highlight w:val="none"/>
          <w:lang w:eastAsia="zh-CN"/>
        </w:rPr>
      </w:pPr>
      <w:r>
        <w:rPr>
          <w:rFonts w:hint="eastAsia"/>
          <w:lang w:eastAsia="zh-CN"/>
        </w:rPr>
        <w:t>①项目立项符合</w:t>
      </w:r>
      <w:r>
        <w:rPr>
          <w:rFonts w:hint="eastAsia"/>
          <w:color w:val="auto"/>
          <w:lang w:eastAsia="zh-CN"/>
        </w:rPr>
        <w:t>国家法律法规、</w:t>
      </w:r>
      <w:r>
        <w:rPr>
          <w:rFonts w:hint="eastAsia"/>
          <w:color w:val="auto"/>
          <w:highlight w:val="none"/>
          <w:lang w:eastAsia="zh-CN"/>
        </w:rPr>
        <w:t>国民经济发展规划和中共新疆维吾尔自治区委员会办公厅文件，自治区党委办公厅、自治区人民政府办公厅关于印发《80周岁以上老年人基本生活津贴制度》和《80周岁以上老年人免费体检制度》的通知（新党办发〔2011〕31号）</w:t>
      </w:r>
      <w:r>
        <w:rPr>
          <w:rFonts w:hint="eastAsia"/>
          <w:color w:val="auto"/>
          <w:highlight w:val="none"/>
          <w:lang w:val="en-US" w:eastAsia="zh-CN"/>
        </w:rPr>
        <w:t>文件要求</w:t>
      </w:r>
      <w:r>
        <w:rPr>
          <w:rFonts w:hint="eastAsia"/>
          <w:highlight w:val="none"/>
          <w:lang w:eastAsia="zh-CN"/>
        </w:rPr>
        <w:t>；</w:t>
      </w:r>
    </w:p>
    <w:p>
      <w:pPr>
        <w:bidi w:val="0"/>
        <w:rPr>
          <w:rFonts w:hint="eastAsia"/>
          <w:highlight w:val="none"/>
          <w:lang w:eastAsia="zh-CN"/>
        </w:rPr>
      </w:pPr>
      <w:r>
        <w:rPr>
          <w:rFonts w:hint="eastAsia"/>
          <w:highlight w:val="none"/>
          <w:lang w:eastAsia="zh-CN"/>
        </w:rPr>
        <w:t>②项目立项符合阜康</w:t>
      </w:r>
      <w:r>
        <w:rPr>
          <w:rFonts w:hint="eastAsia"/>
          <w:highlight w:val="none"/>
          <w:lang w:val="en-US" w:eastAsia="zh-CN"/>
        </w:rPr>
        <w:t>民政</w:t>
      </w:r>
      <w:r>
        <w:rPr>
          <w:rFonts w:hint="eastAsia"/>
          <w:highlight w:val="none"/>
          <w:lang w:eastAsia="zh-CN"/>
        </w:rPr>
        <w:t>局发展规划和政策要求；</w:t>
      </w:r>
    </w:p>
    <w:p>
      <w:pPr>
        <w:bidi w:val="0"/>
        <w:rPr>
          <w:rFonts w:hint="eastAsia"/>
          <w:highlight w:val="none"/>
          <w:lang w:eastAsia="zh-CN"/>
        </w:rPr>
      </w:pPr>
      <w:r>
        <w:rPr>
          <w:rFonts w:hint="eastAsia"/>
          <w:highlight w:val="none"/>
          <w:lang w:eastAsia="zh-CN"/>
        </w:rPr>
        <w:t>③项目立项与</w:t>
      </w:r>
      <w:r>
        <w:rPr>
          <w:rFonts w:hint="eastAsia"/>
          <w:highlight w:val="none"/>
          <w:lang w:val="en-US" w:eastAsia="zh-CN"/>
        </w:rPr>
        <w:t>民政局部门</w:t>
      </w:r>
      <w:r>
        <w:rPr>
          <w:rFonts w:hint="eastAsia"/>
          <w:color w:val="auto"/>
          <w:highlight w:val="none"/>
          <w:lang w:eastAsia="zh-CN"/>
        </w:rPr>
        <w:t>职责解决80岁以上高龄老人的基本生活困难、提高他们的生活和生命质量范围</w:t>
      </w:r>
      <w:r>
        <w:rPr>
          <w:rFonts w:hint="eastAsia"/>
          <w:color w:val="auto"/>
          <w:highlight w:val="none"/>
          <w:lang w:val="en-US" w:eastAsia="zh-CN"/>
        </w:rPr>
        <w:t>内</w:t>
      </w:r>
      <w:r>
        <w:rPr>
          <w:rFonts w:hint="eastAsia"/>
          <w:highlight w:val="none"/>
          <w:lang w:eastAsia="zh-CN"/>
        </w:rPr>
        <w:t>，属于部门履职所需；</w:t>
      </w:r>
    </w:p>
    <w:p>
      <w:pPr>
        <w:bidi w:val="0"/>
        <w:rPr>
          <w:rFonts w:hint="eastAsia"/>
          <w:highlight w:val="none"/>
          <w:lang w:eastAsia="zh-CN"/>
        </w:rPr>
      </w:pPr>
      <w:r>
        <w:rPr>
          <w:rFonts w:hint="eastAsia"/>
          <w:highlight w:val="none"/>
          <w:lang w:eastAsia="zh-CN"/>
        </w:rPr>
        <w:t>④项目属于公共财政支持范围，符合中央、地方事权支出责任划分原则；</w:t>
      </w:r>
    </w:p>
    <w:p>
      <w:pPr>
        <w:bidi w:val="0"/>
        <w:rPr>
          <w:rFonts w:hint="eastAsia"/>
          <w:lang w:eastAsia="zh-CN"/>
        </w:rPr>
      </w:pPr>
      <w:r>
        <w:rPr>
          <w:rFonts w:hint="eastAsia"/>
          <w:lang w:eastAsia="zh-CN"/>
        </w:rPr>
        <w:t>⑤项目与相关部门同类项目或部门内部相关项目</w:t>
      </w:r>
      <w:r>
        <w:rPr>
          <w:rFonts w:hint="eastAsia"/>
          <w:lang w:val="en-US" w:eastAsia="zh-CN"/>
        </w:rPr>
        <w:t>不</w:t>
      </w:r>
      <w:r>
        <w:rPr>
          <w:rFonts w:hint="eastAsia"/>
          <w:lang w:eastAsia="zh-CN"/>
        </w:rPr>
        <w:t>重复。</w:t>
      </w:r>
    </w:p>
    <w:p>
      <w:pPr>
        <w:bidi w:val="0"/>
        <w:rPr>
          <w:rFonts w:hint="default"/>
          <w:lang w:val="en-US" w:eastAsia="zh-CN"/>
        </w:rPr>
      </w:pPr>
      <w:r>
        <w:rPr>
          <w:rFonts w:hint="eastAsia"/>
          <w:b/>
          <w:bCs/>
          <w:lang w:val="en-US" w:eastAsia="zh-CN"/>
        </w:rPr>
        <w:t>综上，该项指标满分</w:t>
      </w:r>
      <w:r>
        <w:rPr>
          <w:rFonts w:hint="eastAsia"/>
          <w:b/>
          <w:bCs/>
          <w:color w:val="auto"/>
          <w:lang w:val="en-US" w:eastAsia="zh-CN"/>
        </w:rPr>
        <w:t>2分</w:t>
      </w:r>
      <w:r>
        <w:rPr>
          <w:rFonts w:hint="eastAsia"/>
          <w:b/>
          <w:bCs/>
          <w:lang w:val="en-US" w:eastAsia="zh-CN"/>
        </w:rPr>
        <w:t>，得分2</w:t>
      </w:r>
      <w:r>
        <w:rPr>
          <w:rFonts w:hint="eastAsia"/>
          <w:b/>
          <w:bCs/>
          <w:color w:val="auto"/>
          <w:lang w:val="en-US" w:eastAsia="zh-CN"/>
        </w:rPr>
        <w:t>分</w:t>
      </w:r>
      <w:r>
        <w:rPr>
          <w:rFonts w:hint="eastAsia"/>
          <w:b/>
          <w:bCs/>
          <w:lang w:val="en-US" w:eastAsia="zh-CN"/>
        </w:rPr>
        <w:t>。</w:t>
      </w:r>
    </w:p>
    <w:p>
      <w:pPr>
        <w:bidi w:val="0"/>
        <w:outlineLvl w:val="2"/>
        <w:rPr>
          <w:rFonts w:hint="default"/>
          <w:b/>
          <w:bCs/>
          <w:color w:val="auto"/>
          <w:lang w:val="en-US" w:eastAsia="zh-CN"/>
        </w:rPr>
      </w:pPr>
      <w:bookmarkStart w:id="59" w:name="_Toc21976"/>
      <w:r>
        <w:rPr>
          <w:rFonts w:hint="eastAsia"/>
          <w:b/>
          <w:bCs/>
          <w:color w:val="auto"/>
          <w:lang w:val="en-US" w:eastAsia="zh-CN"/>
        </w:rPr>
        <w:t>2.立项程序规范性</w:t>
      </w:r>
      <w:bookmarkEnd w:id="59"/>
    </w:p>
    <w:p>
      <w:pPr>
        <w:bidi w:val="0"/>
        <w:rPr>
          <w:rFonts w:hint="eastAsia"/>
          <w:highlight w:val="none"/>
          <w:lang w:eastAsia="zh-CN"/>
        </w:rPr>
      </w:pPr>
      <w:r>
        <w:rPr>
          <w:rFonts w:hint="eastAsia"/>
          <w:lang w:eastAsia="zh-CN"/>
        </w:rPr>
        <w:t>①项目</w:t>
      </w:r>
      <w:r>
        <w:rPr>
          <w:rFonts w:hint="eastAsia"/>
          <w:highlight w:val="none"/>
          <w:lang w:eastAsia="zh-CN"/>
        </w:rPr>
        <w:t>按照</w:t>
      </w:r>
      <w:r>
        <w:rPr>
          <w:rFonts w:hint="eastAsia"/>
          <w:color w:val="auto"/>
          <w:highlight w:val="none"/>
          <w:lang w:eastAsia="zh-CN"/>
        </w:rPr>
        <w:t>《80周岁以上老年人基本生活津贴制度》和《80周岁以上老年人免费体检制度》领导审批规定的程序申请设立</w:t>
      </w:r>
      <w:r>
        <w:rPr>
          <w:rFonts w:hint="eastAsia"/>
          <w:highlight w:val="none"/>
          <w:lang w:eastAsia="zh-CN"/>
        </w:rPr>
        <w:t>；</w:t>
      </w:r>
    </w:p>
    <w:p>
      <w:pPr>
        <w:bidi w:val="0"/>
        <w:rPr>
          <w:rFonts w:hint="eastAsia"/>
          <w:highlight w:val="none"/>
          <w:lang w:eastAsia="zh-CN"/>
        </w:rPr>
      </w:pPr>
      <w:r>
        <w:rPr>
          <w:rFonts w:hint="eastAsia"/>
          <w:highlight w:val="none"/>
          <w:lang w:eastAsia="zh-CN"/>
        </w:rPr>
        <w:t>②审批文件、材料符合</w:t>
      </w:r>
      <w:r>
        <w:rPr>
          <w:rFonts w:hint="eastAsia"/>
          <w:color w:val="auto"/>
          <w:highlight w:val="none"/>
          <w:lang w:eastAsia="zh-CN"/>
        </w:rPr>
        <w:t>《80周岁以上老年人基本生活津贴制度》和《80周岁以上老年人免费体检制度》</w:t>
      </w:r>
      <w:r>
        <w:rPr>
          <w:rFonts w:hint="eastAsia"/>
          <w:highlight w:val="none"/>
          <w:lang w:eastAsia="zh-CN"/>
        </w:rPr>
        <w:t>要求；</w:t>
      </w:r>
    </w:p>
    <w:p>
      <w:pPr>
        <w:bidi w:val="0"/>
        <w:rPr>
          <w:rFonts w:hint="eastAsia"/>
          <w:highlight w:val="none"/>
          <w:lang w:eastAsia="zh-CN"/>
        </w:rPr>
      </w:pPr>
      <w:r>
        <w:rPr>
          <w:rFonts w:hint="eastAsia"/>
          <w:highlight w:val="none"/>
          <w:lang w:eastAsia="zh-CN"/>
        </w:rPr>
        <w:t>③事前经过必要的可行性研究、专家论证、风险评估、绩效评估、经自治区党委第三十三次常委（扩大）会议审议通过集体决策。</w:t>
      </w:r>
    </w:p>
    <w:p>
      <w:pPr>
        <w:bidi w:val="0"/>
        <w:rPr>
          <w:rFonts w:hint="eastAsia"/>
          <w:lang w:eastAsia="zh-CN"/>
        </w:rPr>
      </w:pPr>
      <w:r>
        <w:rPr>
          <w:rFonts w:hint="eastAsia"/>
          <w:b/>
          <w:bCs/>
          <w:lang w:val="en-US" w:eastAsia="zh-CN"/>
        </w:rPr>
        <w:t>综上，该项指标满分</w:t>
      </w:r>
      <w:r>
        <w:rPr>
          <w:rFonts w:hint="eastAsia"/>
          <w:b/>
          <w:bCs/>
          <w:color w:val="auto"/>
          <w:lang w:val="en-US" w:eastAsia="zh-CN"/>
        </w:rPr>
        <w:t>3分</w:t>
      </w:r>
      <w:r>
        <w:rPr>
          <w:rFonts w:hint="eastAsia"/>
          <w:b/>
          <w:bCs/>
          <w:lang w:val="en-US" w:eastAsia="zh-CN"/>
        </w:rPr>
        <w:t>，得3</w:t>
      </w:r>
      <w:r>
        <w:rPr>
          <w:rFonts w:hint="eastAsia"/>
          <w:b/>
          <w:bCs/>
          <w:color w:val="auto"/>
          <w:lang w:val="en-US" w:eastAsia="zh-CN"/>
        </w:rPr>
        <w:t>分</w:t>
      </w:r>
      <w:r>
        <w:rPr>
          <w:rFonts w:hint="eastAsia"/>
          <w:b/>
          <w:bCs/>
          <w:lang w:val="en-US" w:eastAsia="zh-CN"/>
        </w:rPr>
        <w:t>。</w:t>
      </w:r>
    </w:p>
    <w:p>
      <w:pPr>
        <w:bidi w:val="0"/>
        <w:outlineLvl w:val="2"/>
        <w:rPr>
          <w:rFonts w:hint="default"/>
          <w:b/>
          <w:bCs/>
          <w:lang w:val="en-US" w:eastAsia="zh-CN"/>
        </w:rPr>
      </w:pPr>
      <w:bookmarkStart w:id="60" w:name="_Toc15382"/>
      <w:r>
        <w:rPr>
          <w:rFonts w:hint="eastAsia"/>
          <w:b/>
          <w:bCs/>
          <w:lang w:val="en-US" w:eastAsia="zh-CN"/>
        </w:rPr>
        <w:t>3.绩效目标合理性</w:t>
      </w:r>
      <w:bookmarkEnd w:id="60"/>
    </w:p>
    <w:p>
      <w:pPr>
        <w:bidi w:val="0"/>
        <w:rPr>
          <w:rFonts w:hint="eastAsia"/>
          <w:highlight w:val="none"/>
          <w:lang w:eastAsia="zh-CN"/>
        </w:rPr>
      </w:pPr>
      <w:r>
        <w:rPr>
          <w:rFonts w:hint="eastAsia"/>
          <w:highlight w:val="none"/>
          <w:lang w:eastAsia="zh-CN"/>
        </w:rPr>
        <w:t>①项目有绩效目标</w:t>
      </w:r>
      <w:r>
        <w:rPr>
          <w:rFonts w:hint="eastAsia"/>
          <w:highlight w:val="none"/>
          <w:lang w:val="en-US" w:eastAsia="zh-CN"/>
        </w:rPr>
        <w:t>为，已编制2023年高龄津贴及体检费项目支出绩效目标表</w:t>
      </w:r>
      <w:r>
        <w:rPr>
          <w:rFonts w:hint="eastAsia"/>
          <w:highlight w:val="none"/>
          <w:lang w:eastAsia="zh-CN"/>
        </w:rPr>
        <w:t>；</w:t>
      </w:r>
    </w:p>
    <w:p>
      <w:pPr>
        <w:bidi w:val="0"/>
        <w:rPr>
          <w:rFonts w:hint="eastAsia"/>
          <w:highlight w:val="none"/>
          <w:lang w:eastAsia="zh-CN"/>
        </w:rPr>
      </w:pPr>
      <w:r>
        <w:rPr>
          <w:rFonts w:hint="eastAsia"/>
          <w:highlight w:val="none"/>
          <w:lang w:eastAsia="zh-CN"/>
        </w:rPr>
        <w:t>②项目绩效目标解决80周岁以上老年人基本生活困难，不断提高生活和生命质量。80周岁以上老年人免费体检次数1次，享受80周岁以上高龄津贴的10000人次，补助资金发放及时，补助资金到位，与实际工作完成2023年高龄津贴</w:t>
      </w:r>
      <w:r>
        <w:rPr>
          <w:rFonts w:hint="eastAsia"/>
          <w:highlight w:val="none"/>
          <w:lang w:val="en-US" w:eastAsia="zh-CN"/>
        </w:rPr>
        <w:t>发放</w:t>
      </w:r>
      <w:r>
        <w:rPr>
          <w:rFonts w:hint="eastAsia"/>
          <w:highlight w:val="none"/>
          <w:lang w:eastAsia="zh-CN"/>
        </w:rPr>
        <w:t>及</w:t>
      </w:r>
      <w:r>
        <w:rPr>
          <w:rFonts w:hint="eastAsia"/>
          <w:highlight w:val="none"/>
          <w:lang w:val="en-US" w:eastAsia="zh-CN"/>
        </w:rPr>
        <w:t>免费</w:t>
      </w:r>
      <w:r>
        <w:rPr>
          <w:rFonts w:hint="eastAsia"/>
          <w:highlight w:val="none"/>
          <w:lang w:eastAsia="zh-CN"/>
        </w:rPr>
        <w:t>体检,达到解决80周岁以上老年人基本生活困难，不断提高生活和生命质量。80周岁以上老年人免费体检次数1次，享受80周岁以上高龄津贴的14355人次，补助资金发放及时，补助资金到位，具有相关性；</w:t>
      </w:r>
    </w:p>
    <w:p>
      <w:pPr>
        <w:bidi w:val="0"/>
        <w:rPr>
          <w:rFonts w:hint="eastAsia"/>
          <w:highlight w:val="none"/>
          <w:lang w:eastAsia="zh-CN"/>
        </w:rPr>
      </w:pPr>
      <w:r>
        <w:rPr>
          <w:rFonts w:hint="eastAsia"/>
          <w:highlight w:val="none"/>
          <w:lang w:eastAsia="zh-CN"/>
        </w:rPr>
        <w:t>③项目预期产出效益高龄老人的生活质量</w:t>
      </w:r>
      <w:r>
        <w:rPr>
          <w:rFonts w:hint="eastAsia"/>
          <w:highlight w:val="none"/>
          <w:lang w:val="en-US" w:eastAsia="zh-CN"/>
        </w:rPr>
        <w:t>提高</w:t>
      </w:r>
      <w:r>
        <w:rPr>
          <w:rFonts w:hint="eastAsia"/>
          <w:highlight w:val="none"/>
          <w:lang w:eastAsia="zh-CN"/>
        </w:rPr>
        <w:t>和效果符合正常的业绩水平；</w:t>
      </w:r>
    </w:p>
    <w:p>
      <w:pPr>
        <w:bidi w:val="0"/>
        <w:rPr>
          <w:rFonts w:hint="eastAsia"/>
          <w:highlight w:val="none"/>
          <w:lang w:eastAsia="zh-CN"/>
        </w:rPr>
      </w:pPr>
      <w:r>
        <w:rPr>
          <w:rFonts w:hint="eastAsia"/>
          <w:highlight w:val="none"/>
          <w:lang w:eastAsia="zh-CN"/>
        </w:rPr>
        <w:t>④预算确定的项目投资额为343.53万元，资金执行数为343.53万元，资金量相匹配。</w:t>
      </w:r>
    </w:p>
    <w:p>
      <w:pPr>
        <w:bidi w:val="0"/>
        <w:rPr>
          <w:rFonts w:hint="eastAsia"/>
          <w:lang w:eastAsia="zh-CN"/>
        </w:rPr>
      </w:pPr>
      <w:r>
        <w:rPr>
          <w:rFonts w:hint="eastAsia"/>
          <w:b/>
          <w:bCs/>
          <w:lang w:val="en-US" w:eastAsia="zh-CN"/>
        </w:rPr>
        <w:t>综上，该项指标满分</w:t>
      </w:r>
      <w:r>
        <w:rPr>
          <w:rFonts w:hint="eastAsia"/>
          <w:b/>
          <w:bCs/>
          <w:color w:val="auto"/>
          <w:lang w:val="en-US" w:eastAsia="zh-CN"/>
        </w:rPr>
        <w:t>5分</w:t>
      </w:r>
      <w:r>
        <w:rPr>
          <w:rFonts w:hint="eastAsia"/>
          <w:b/>
          <w:bCs/>
          <w:lang w:val="en-US" w:eastAsia="zh-CN"/>
        </w:rPr>
        <w:t>，得分</w:t>
      </w:r>
      <w:r>
        <w:rPr>
          <w:rFonts w:hint="eastAsia"/>
          <w:b/>
          <w:bCs/>
          <w:color w:val="auto"/>
          <w:lang w:val="en-US" w:eastAsia="zh-CN"/>
        </w:rPr>
        <w:t>5分</w:t>
      </w:r>
      <w:r>
        <w:rPr>
          <w:rFonts w:hint="eastAsia"/>
          <w:b/>
          <w:bCs/>
          <w:lang w:val="en-US" w:eastAsia="zh-CN"/>
        </w:rPr>
        <w:t>。</w:t>
      </w:r>
    </w:p>
    <w:p>
      <w:pPr>
        <w:bidi w:val="0"/>
        <w:outlineLvl w:val="2"/>
        <w:rPr>
          <w:rFonts w:hint="default"/>
          <w:b/>
          <w:bCs/>
          <w:lang w:val="en-US" w:eastAsia="zh-CN"/>
        </w:rPr>
      </w:pPr>
      <w:bookmarkStart w:id="61" w:name="_Toc10650"/>
      <w:r>
        <w:rPr>
          <w:rFonts w:hint="eastAsia"/>
          <w:b/>
          <w:bCs/>
          <w:lang w:val="en-US" w:eastAsia="zh-CN"/>
        </w:rPr>
        <w:t>4.绩效指标明确性</w:t>
      </w:r>
      <w:bookmarkEnd w:id="61"/>
    </w:p>
    <w:p>
      <w:pPr>
        <w:bidi w:val="0"/>
        <w:rPr>
          <w:rFonts w:hint="eastAsia"/>
          <w:highlight w:val="none"/>
          <w:lang w:eastAsia="zh-CN"/>
        </w:rPr>
      </w:pPr>
      <w:r>
        <w:rPr>
          <w:rFonts w:hint="eastAsia"/>
          <w:highlight w:val="none"/>
          <w:lang w:eastAsia="zh-CN"/>
        </w:rPr>
        <w:t>①将项目绩效目标细化分解为具体的绩效指标，指标数共计9个，其中一级指标</w:t>
      </w:r>
      <w:r>
        <w:rPr>
          <w:rFonts w:hint="eastAsia"/>
          <w:highlight w:val="none"/>
          <w:lang w:val="en-US" w:eastAsia="zh-CN"/>
        </w:rPr>
        <w:t>4</w:t>
      </w:r>
      <w:r>
        <w:rPr>
          <w:rFonts w:hint="eastAsia"/>
          <w:highlight w:val="none"/>
          <w:lang w:eastAsia="zh-CN"/>
        </w:rPr>
        <w:t>个，二级指标6个，三级指标9个；</w:t>
      </w:r>
    </w:p>
    <w:p>
      <w:pPr>
        <w:bidi w:val="0"/>
        <w:rPr>
          <w:rFonts w:hint="eastAsia"/>
          <w:highlight w:val="none"/>
          <w:lang w:eastAsia="zh-CN"/>
        </w:rPr>
      </w:pPr>
      <w:r>
        <w:rPr>
          <w:rFonts w:hint="eastAsia"/>
          <w:highlight w:val="none"/>
          <w:lang w:eastAsia="zh-CN"/>
        </w:rPr>
        <w:t>②通过清晰、可衡量的指标值予以体现；其中定量指标</w:t>
      </w:r>
      <w:r>
        <w:rPr>
          <w:rFonts w:hint="eastAsia"/>
          <w:highlight w:val="none"/>
          <w:lang w:val="en-US" w:eastAsia="zh-CN"/>
        </w:rPr>
        <w:t>8</w:t>
      </w:r>
      <w:r>
        <w:rPr>
          <w:rFonts w:hint="eastAsia"/>
          <w:highlight w:val="none"/>
          <w:lang w:eastAsia="zh-CN"/>
        </w:rPr>
        <w:t>个，定性指标</w:t>
      </w:r>
      <w:r>
        <w:rPr>
          <w:rFonts w:hint="eastAsia"/>
          <w:highlight w:val="none"/>
          <w:lang w:val="en-US" w:eastAsia="zh-CN"/>
        </w:rPr>
        <w:t>1</w:t>
      </w:r>
      <w:r>
        <w:rPr>
          <w:rFonts w:hint="eastAsia"/>
          <w:highlight w:val="none"/>
          <w:lang w:eastAsia="zh-CN"/>
        </w:rPr>
        <w:t>个，量化率</w:t>
      </w:r>
      <w:r>
        <w:rPr>
          <w:rFonts w:hint="eastAsia"/>
          <w:highlight w:val="none"/>
          <w:lang w:val="en-US" w:eastAsia="zh-CN"/>
        </w:rPr>
        <w:t>88.89</w:t>
      </w:r>
      <w:r>
        <w:rPr>
          <w:rFonts w:hint="eastAsia"/>
          <w:highlight w:val="none"/>
          <w:lang w:eastAsia="zh-CN"/>
        </w:rPr>
        <w:t>%；</w:t>
      </w:r>
    </w:p>
    <w:p>
      <w:pPr>
        <w:bidi w:val="0"/>
        <w:rPr>
          <w:rFonts w:hint="eastAsia"/>
          <w:highlight w:val="none"/>
          <w:lang w:eastAsia="zh-CN"/>
        </w:rPr>
      </w:pPr>
      <w:r>
        <w:rPr>
          <w:rFonts w:hint="eastAsia"/>
          <w:highlight w:val="none"/>
          <w:lang w:eastAsia="zh-CN"/>
        </w:rPr>
        <w:t>③与项目目标任务数或计划数相对应。</w:t>
      </w:r>
    </w:p>
    <w:p>
      <w:pPr>
        <w:bidi w:val="0"/>
        <w:rPr>
          <w:rFonts w:hint="eastAsia"/>
          <w:lang w:eastAsia="zh-CN"/>
        </w:rPr>
      </w:pPr>
      <w:r>
        <w:rPr>
          <w:rFonts w:hint="eastAsia"/>
          <w:b/>
          <w:bCs/>
          <w:lang w:val="en-US" w:eastAsia="zh-CN"/>
        </w:rPr>
        <w:t>综上，该项指标满分</w:t>
      </w:r>
      <w:r>
        <w:rPr>
          <w:rFonts w:hint="eastAsia"/>
          <w:b/>
          <w:bCs/>
          <w:color w:val="auto"/>
          <w:lang w:val="en-US" w:eastAsia="zh-CN"/>
        </w:rPr>
        <w:t>5分</w:t>
      </w:r>
      <w:r>
        <w:rPr>
          <w:rFonts w:hint="eastAsia"/>
          <w:b/>
          <w:bCs/>
          <w:lang w:val="en-US" w:eastAsia="zh-CN"/>
        </w:rPr>
        <w:t>，得分</w:t>
      </w:r>
      <w:r>
        <w:rPr>
          <w:rFonts w:hint="eastAsia"/>
          <w:b/>
          <w:bCs/>
          <w:color w:val="auto"/>
          <w:lang w:val="en-US" w:eastAsia="zh-CN"/>
        </w:rPr>
        <w:t>5分</w:t>
      </w:r>
      <w:r>
        <w:rPr>
          <w:rFonts w:hint="eastAsia"/>
          <w:b/>
          <w:bCs/>
          <w:lang w:val="en-US" w:eastAsia="zh-CN"/>
        </w:rPr>
        <w:t>。</w:t>
      </w:r>
    </w:p>
    <w:p>
      <w:pPr>
        <w:bidi w:val="0"/>
        <w:outlineLvl w:val="2"/>
        <w:rPr>
          <w:rFonts w:hint="default"/>
          <w:b/>
          <w:bCs/>
          <w:lang w:val="en-US" w:eastAsia="zh-CN"/>
        </w:rPr>
      </w:pPr>
      <w:bookmarkStart w:id="62" w:name="_Toc19401"/>
      <w:r>
        <w:rPr>
          <w:rFonts w:hint="eastAsia"/>
          <w:b/>
          <w:bCs/>
          <w:lang w:val="en-US" w:eastAsia="zh-CN"/>
        </w:rPr>
        <w:t>5.预算编制科学性</w:t>
      </w:r>
      <w:bookmarkEnd w:id="62"/>
    </w:p>
    <w:p>
      <w:pPr>
        <w:bidi w:val="0"/>
        <w:rPr>
          <w:rFonts w:hint="eastAsia"/>
          <w:highlight w:val="none"/>
          <w:lang w:eastAsia="zh-CN"/>
        </w:rPr>
      </w:pPr>
      <w:r>
        <w:rPr>
          <w:rFonts w:hint="eastAsia"/>
          <w:highlight w:val="none"/>
          <w:lang w:eastAsia="zh-CN"/>
        </w:rPr>
        <w:t>①预算编制经过科学论证；</w:t>
      </w:r>
    </w:p>
    <w:p>
      <w:pPr>
        <w:bidi w:val="0"/>
        <w:rPr>
          <w:rFonts w:hint="eastAsia"/>
          <w:highlight w:val="none"/>
          <w:lang w:eastAsia="zh-CN"/>
        </w:rPr>
      </w:pPr>
      <w:r>
        <w:rPr>
          <w:rFonts w:hint="eastAsia"/>
          <w:highlight w:val="none"/>
          <w:lang w:eastAsia="zh-CN"/>
        </w:rPr>
        <w:t>②预算内容与项目内容80周岁以上老年人免费体检，享受80周岁以上高龄津贴匹配；</w:t>
      </w:r>
    </w:p>
    <w:p>
      <w:pPr>
        <w:bidi w:val="0"/>
        <w:rPr>
          <w:rFonts w:hint="eastAsia"/>
          <w:highlight w:val="none"/>
          <w:lang w:eastAsia="zh-CN"/>
        </w:rPr>
      </w:pPr>
      <w:r>
        <w:rPr>
          <w:rFonts w:hint="eastAsia"/>
          <w:highlight w:val="none"/>
          <w:lang w:eastAsia="zh-CN"/>
        </w:rPr>
        <w:t>③预算额度测算依据充分，按照</w:t>
      </w:r>
      <w:r>
        <w:rPr>
          <w:rFonts w:hint="eastAsia"/>
          <w:highlight w:val="none"/>
          <w:lang w:val="en-US" w:eastAsia="zh-CN"/>
        </w:rPr>
        <w:t>自治区</w:t>
      </w:r>
      <w:r>
        <w:rPr>
          <w:rFonts w:hint="eastAsia"/>
          <w:color w:val="auto"/>
          <w:highlight w:val="none"/>
          <w:lang w:eastAsia="zh-CN"/>
        </w:rPr>
        <w:t>《80周岁以上老年人基本生活津贴制度》和《80周岁以上老年人免费体检制度》</w:t>
      </w:r>
      <w:r>
        <w:rPr>
          <w:rFonts w:hint="eastAsia"/>
          <w:highlight w:val="none"/>
          <w:lang w:val="en-US" w:eastAsia="zh-CN"/>
        </w:rPr>
        <w:t>政策</w:t>
      </w:r>
      <w:r>
        <w:rPr>
          <w:rFonts w:hint="eastAsia"/>
          <w:highlight w:val="none"/>
          <w:lang w:eastAsia="zh-CN"/>
        </w:rPr>
        <w:t>标准编制；</w:t>
      </w:r>
    </w:p>
    <w:p>
      <w:pPr>
        <w:bidi w:val="0"/>
        <w:rPr>
          <w:rFonts w:hint="eastAsia"/>
          <w:highlight w:val="none"/>
          <w:lang w:eastAsia="zh-CN"/>
        </w:rPr>
      </w:pPr>
      <w:r>
        <w:rPr>
          <w:rFonts w:hint="eastAsia"/>
          <w:highlight w:val="none"/>
          <w:lang w:eastAsia="zh-CN"/>
        </w:rPr>
        <w:t>④预算确定的项目投资额为343.53万元，资金执行数为343.53万元，资金量相匹配。</w:t>
      </w:r>
    </w:p>
    <w:p>
      <w:pPr>
        <w:bidi w:val="0"/>
        <w:rPr>
          <w:rFonts w:hint="eastAsia"/>
          <w:lang w:eastAsia="zh-CN"/>
        </w:rPr>
      </w:pPr>
      <w:r>
        <w:rPr>
          <w:rFonts w:hint="eastAsia"/>
          <w:b/>
          <w:bCs/>
          <w:lang w:val="en-US" w:eastAsia="zh-CN"/>
        </w:rPr>
        <w:t>综上，该项指标满分</w:t>
      </w:r>
      <w:r>
        <w:rPr>
          <w:rFonts w:hint="eastAsia"/>
          <w:b/>
          <w:bCs/>
          <w:color w:val="auto"/>
          <w:lang w:val="en-US" w:eastAsia="zh-CN"/>
        </w:rPr>
        <w:t>2分</w:t>
      </w:r>
      <w:r>
        <w:rPr>
          <w:rFonts w:hint="eastAsia"/>
          <w:b/>
          <w:bCs/>
          <w:lang w:val="en-US" w:eastAsia="zh-CN"/>
        </w:rPr>
        <w:t>，得分</w:t>
      </w:r>
      <w:r>
        <w:rPr>
          <w:rFonts w:hint="eastAsia"/>
          <w:b/>
          <w:bCs/>
          <w:color w:val="auto"/>
          <w:lang w:val="en-US" w:eastAsia="zh-CN"/>
        </w:rPr>
        <w:t>2分</w:t>
      </w:r>
      <w:r>
        <w:rPr>
          <w:rFonts w:hint="eastAsia"/>
          <w:b/>
          <w:bCs/>
          <w:lang w:val="en-US" w:eastAsia="zh-CN"/>
        </w:rPr>
        <w:t>。</w:t>
      </w:r>
    </w:p>
    <w:p>
      <w:pPr>
        <w:bidi w:val="0"/>
        <w:outlineLvl w:val="2"/>
        <w:rPr>
          <w:rFonts w:hint="default"/>
          <w:b/>
          <w:bCs/>
          <w:lang w:val="en-US" w:eastAsia="zh-CN"/>
        </w:rPr>
      </w:pPr>
      <w:bookmarkStart w:id="63" w:name="_Toc697"/>
      <w:r>
        <w:rPr>
          <w:rFonts w:hint="eastAsia"/>
          <w:b/>
          <w:bCs/>
          <w:lang w:val="en-US" w:eastAsia="zh-CN"/>
        </w:rPr>
        <w:t>6.资金分配合理性</w:t>
      </w:r>
      <w:bookmarkEnd w:id="63"/>
    </w:p>
    <w:p>
      <w:pPr>
        <w:bidi w:val="0"/>
        <w:rPr>
          <w:rFonts w:hint="eastAsia"/>
          <w:highlight w:val="none"/>
          <w:lang w:eastAsia="zh-CN"/>
        </w:rPr>
      </w:pPr>
      <w:r>
        <w:rPr>
          <w:rFonts w:hint="eastAsia"/>
          <w:highlight w:val="none"/>
          <w:lang w:eastAsia="zh-CN"/>
        </w:rPr>
        <w:t>①预算资金分配依据《阜康</w:t>
      </w:r>
      <w:r>
        <w:rPr>
          <w:rFonts w:hint="eastAsia"/>
          <w:highlight w:val="none"/>
          <w:lang w:val="en-US" w:eastAsia="zh-CN"/>
        </w:rPr>
        <w:t>民政局</w:t>
      </w:r>
      <w:r>
        <w:rPr>
          <w:rFonts w:hint="eastAsia"/>
          <w:highlight w:val="none"/>
          <w:lang w:eastAsia="zh-CN"/>
        </w:rPr>
        <w:t>局财务管理制度》及项目合同实施；</w:t>
      </w:r>
    </w:p>
    <w:p>
      <w:pPr>
        <w:bidi w:val="0"/>
        <w:rPr>
          <w:rFonts w:hint="eastAsia"/>
          <w:highlight w:val="none"/>
          <w:lang w:eastAsia="zh-CN"/>
        </w:rPr>
      </w:pPr>
      <w:r>
        <w:rPr>
          <w:rFonts w:hint="eastAsia"/>
          <w:highlight w:val="none"/>
          <w:lang w:eastAsia="zh-CN"/>
        </w:rPr>
        <w:t>②资金分配额度依据项目合同额度合理，与我单位实际相适应。</w:t>
      </w:r>
    </w:p>
    <w:p>
      <w:pPr>
        <w:bidi w:val="0"/>
        <w:rPr>
          <w:rFonts w:hint="eastAsia"/>
          <w:highlight w:val="none"/>
          <w:lang w:eastAsia="zh-CN"/>
        </w:rPr>
      </w:pPr>
      <w:r>
        <w:rPr>
          <w:rFonts w:hint="eastAsia"/>
          <w:b/>
          <w:bCs/>
          <w:highlight w:val="none"/>
          <w:lang w:val="en-US" w:eastAsia="zh-CN"/>
        </w:rPr>
        <w:t>综上，该项指标满分</w:t>
      </w:r>
      <w:r>
        <w:rPr>
          <w:rFonts w:hint="eastAsia"/>
          <w:b/>
          <w:bCs/>
          <w:color w:val="auto"/>
          <w:highlight w:val="none"/>
          <w:lang w:val="en-US" w:eastAsia="zh-CN"/>
        </w:rPr>
        <w:t>3分</w:t>
      </w:r>
      <w:r>
        <w:rPr>
          <w:rFonts w:hint="eastAsia"/>
          <w:b/>
          <w:bCs/>
          <w:highlight w:val="none"/>
          <w:lang w:val="en-US" w:eastAsia="zh-CN"/>
        </w:rPr>
        <w:t>，得分</w:t>
      </w:r>
      <w:r>
        <w:rPr>
          <w:rFonts w:hint="eastAsia"/>
          <w:b/>
          <w:bCs/>
          <w:color w:val="auto"/>
          <w:highlight w:val="none"/>
          <w:lang w:val="en-US" w:eastAsia="zh-CN"/>
        </w:rPr>
        <w:t>3分</w:t>
      </w:r>
      <w:r>
        <w:rPr>
          <w:rFonts w:hint="eastAsia"/>
          <w:b/>
          <w:bCs/>
          <w:highlight w:val="none"/>
          <w:lang w:val="en-US" w:eastAsia="zh-CN"/>
        </w:rPr>
        <w:t>。</w:t>
      </w:r>
    </w:p>
    <w:p>
      <w:pPr>
        <w:pStyle w:val="3"/>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000000" w:themeColor="text1"/>
          <w:highlight w:val="none"/>
          <w:shd w:val="clear" w:color="auto" w:fill="auto"/>
          <w14:textFill>
            <w14:solidFill>
              <w14:schemeClr w14:val="tx1"/>
            </w14:solidFill>
          </w14:textFill>
        </w:rPr>
      </w:pPr>
      <w:bookmarkStart w:id="64" w:name="_Toc11361"/>
      <w:r>
        <w:rPr>
          <w:rFonts w:hint="eastAsia" w:ascii="宋体" w:hAnsi="宋体" w:eastAsia="宋体" w:cs="宋体"/>
          <w:color w:val="000000" w:themeColor="text1"/>
          <w:highlight w:val="none"/>
          <w:shd w:val="clear" w:color="auto" w:fill="auto"/>
          <w:lang w:eastAsia="zh-CN"/>
          <w14:textFill>
            <w14:solidFill>
              <w14:schemeClr w14:val="tx1"/>
            </w14:solidFill>
          </w14:textFill>
        </w:rPr>
        <w:t>（</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二</w:t>
      </w:r>
      <w:r>
        <w:rPr>
          <w:rFonts w:hint="eastAsia" w:ascii="宋体" w:hAnsi="宋体" w:eastAsia="宋体" w:cs="宋体"/>
          <w:color w:val="000000" w:themeColor="text1"/>
          <w:highlight w:val="none"/>
          <w:shd w:val="clear" w:color="auto" w:fill="auto"/>
          <w:lang w:eastAsia="zh-CN"/>
          <w14:textFill>
            <w14:solidFill>
              <w14:schemeClr w14:val="tx1"/>
            </w14:solidFill>
          </w14:textFill>
        </w:rPr>
        <w:t>）</w:t>
      </w:r>
      <w:r>
        <w:rPr>
          <w:rFonts w:hint="eastAsia" w:ascii="宋体" w:hAnsi="宋体" w:eastAsia="宋体" w:cs="宋体"/>
          <w:color w:val="000000" w:themeColor="text1"/>
          <w:highlight w:val="none"/>
          <w:shd w:val="clear" w:color="auto" w:fill="auto"/>
          <w14:textFill>
            <w14:solidFill>
              <w14:schemeClr w14:val="tx1"/>
            </w14:solidFill>
          </w14:textFill>
        </w:rPr>
        <w:t>项目过程情况</w:t>
      </w:r>
      <w:bookmarkEnd w:id="64"/>
    </w:p>
    <w:p>
      <w:pPr>
        <w:pageBreakBefore w:val="0"/>
        <w:widowControl w:val="0"/>
        <w:kinsoku/>
        <w:wordWrap/>
        <w:overflowPunct/>
        <w:topLinePunct w:val="0"/>
        <w:autoSpaceDE/>
        <w:autoSpaceDN/>
        <w:bidi w:val="0"/>
        <w:adjustRightInd/>
        <w:spacing w:line="360" w:lineRule="auto"/>
        <w:ind w:firstLine="560"/>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ascii="宋体" w:hAnsi="宋体" w:eastAsia="宋体" w:cs="宋体"/>
          <w:color w:val="auto"/>
          <w:highlight w:val="none"/>
          <w:shd w:val="clear" w:color="auto" w:fill="auto"/>
        </w:rPr>
        <w:t>过程</w:t>
      </w:r>
      <w:r>
        <w:rPr>
          <w:rFonts w:hint="eastAsia" w:ascii="宋体" w:hAnsi="宋体" w:eastAsia="宋体" w:cs="宋体"/>
          <w:color w:val="auto"/>
          <w:kern w:val="2"/>
          <w:highlight w:val="none"/>
          <w:u w:color="000000"/>
          <w:shd w:val="clear" w:color="auto" w:fill="auto"/>
          <w:lang w:eastAsia="zh-CN"/>
        </w:rPr>
        <w:t>管理</w:t>
      </w:r>
      <w:r>
        <w:rPr>
          <w:rFonts w:hint="eastAsia" w:ascii="宋体" w:hAnsi="宋体" w:eastAsia="宋体" w:cs="宋体"/>
          <w:color w:val="auto"/>
          <w:kern w:val="2"/>
          <w:highlight w:val="none"/>
          <w:u w:color="000000"/>
          <w:shd w:val="clear" w:color="auto" w:fill="auto"/>
          <w:lang w:val="zh-TW" w:eastAsia="zh-TW"/>
        </w:rPr>
        <w:t>类指标由</w:t>
      </w:r>
      <w:r>
        <w:rPr>
          <w:rFonts w:hint="eastAsia" w:ascii="宋体" w:hAnsi="宋体" w:eastAsia="宋体" w:cs="宋体"/>
          <w:color w:val="auto"/>
          <w:kern w:val="2"/>
          <w:highlight w:val="none"/>
          <w:u w:color="000000"/>
          <w:shd w:val="clear" w:color="auto" w:fill="auto"/>
          <w:lang w:eastAsia="zh-CN"/>
        </w:rPr>
        <w:t>2</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ascii="宋体" w:hAnsi="宋体" w:eastAsia="宋体" w:cs="宋体"/>
          <w:color w:val="auto"/>
          <w:kern w:val="2"/>
          <w:highlight w:val="none"/>
          <w:u w:color="000000"/>
          <w:shd w:val="clear" w:color="auto" w:fill="auto"/>
          <w:lang w:val="en-US" w:eastAsia="zh-CN"/>
        </w:rPr>
        <w:t>5</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ascii="宋体" w:hAnsi="宋体" w:eastAsia="宋体" w:cs="宋体"/>
          <w:color w:val="auto"/>
          <w:kern w:val="2"/>
          <w:highlight w:val="none"/>
          <w:u w:color="000000"/>
          <w:shd w:val="clear" w:color="auto" w:fill="auto"/>
          <w:lang w:val="en-US" w:eastAsia="zh-CN"/>
        </w:rPr>
        <w:t>20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20</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-2</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000000" w:themeColor="text1"/>
          <w:kern w:val="0"/>
          <w:sz w:val="28"/>
          <w:szCs w:val="28"/>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8"/>
          <w:szCs w:val="28"/>
          <w:highlight w:val="none"/>
          <w:shd w:val="clear" w:color="auto" w:fill="auto"/>
          <w:lang w:val="zh-TW" w:eastAsia="zh-TW"/>
          <w14:textFill>
            <w14:solidFill>
              <w14:schemeClr w14:val="tx1"/>
            </w14:solidFill>
          </w14:textFill>
        </w:rPr>
        <w:t>表</w:t>
      </w:r>
      <w:r>
        <w:rPr>
          <w:rFonts w:hint="eastAsia" w:ascii="宋体" w:hAnsi="宋体" w:eastAsia="宋体" w:cs="宋体"/>
          <w:b/>
          <w:bCs/>
          <w:color w:val="000000" w:themeColor="text1"/>
          <w:kern w:val="0"/>
          <w:sz w:val="28"/>
          <w:szCs w:val="28"/>
          <w:highlight w:val="none"/>
          <w:shd w:val="clear" w:color="auto" w:fill="auto"/>
          <w:lang w:val="en-US" w:eastAsia="zh-CN"/>
          <w14:textFill>
            <w14:solidFill>
              <w14:schemeClr w14:val="tx1"/>
            </w14:solidFill>
          </w14:textFill>
        </w:rPr>
        <w:t>4-2</w:t>
      </w:r>
      <w:r>
        <w:rPr>
          <w:rFonts w:hint="eastAsia" w:ascii="宋体" w:hAnsi="宋体" w:eastAsia="宋体" w:cs="宋体"/>
          <w:b/>
          <w:bCs/>
          <w:color w:val="000000" w:themeColor="text1"/>
          <w:kern w:val="0"/>
          <w:sz w:val="28"/>
          <w:szCs w:val="28"/>
          <w:highlight w:val="none"/>
          <w:shd w:val="clear" w:color="auto" w:fill="auto"/>
          <w:lang w:val="zh-TW" w:eastAsia="zh-TW"/>
          <w14:textFill>
            <w14:solidFill>
              <w14:schemeClr w14:val="tx1"/>
            </w14:solidFill>
          </w14:textFill>
        </w:rPr>
        <w:t>项目</w:t>
      </w:r>
      <w:r>
        <w:rPr>
          <w:rFonts w:hint="eastAsia" w:ascii="宋体" w:hAnsi="宋体" w:eastAsia="宋体" w:cs="宋体"/>
          <w:b/>
          <w:bCs/>
          <w:color w:val="000000" w:themeColor="text1"/>
          <w:kern w:val="0"/>
          <w:sz w:val="28"/>
          <w:szCs w:val="28"/>
          <w:highlight w:val="none"/>
          <w:shd w:val="clear" w:color="auto" w:fill="auto"/>
          <w:lang w:val="zh-TW" w:eastAsia="zh-CN"/>
          <w14:textFill>
            <w14:solidFill>
              <w14:schemeClr w14:val="tx1"/>
            </w14:solidFill>
          </w14:textFill>
        </w:rPr>
        <w:t>管理</w:t>
      </w:r>
      <w:r>
        <w:rPr>
          <w:rFonts w:hint="eastAsia" w:ascii="宋体" w:hAnsi="宋体" w:eastAsia="宋体" w:cs="宋体"/>
          <w:b/>
          <w:bCs/>
          <w:color w:val="000000" w:themeColor="text1"/>
          <w:kern w:val="0"/>
          <w:sz w:val="28"/>
          <w:szCs w:val="28"/>
          <w:highlight w:val="none"/>
          <w:shd w:val="clear" w:color="auto" w:fill="auto"/>
          <w:lang w:val="zh-TW" w:eastAsia="zh-TW"/>
          <w14:textFill>
            <w14:solidFill>
              <w14:schemeClr w14:val="tx1"/>
            </w14:solidFill>
          </w14:textFill>
        </w:rPr>
        <w:t>指标及分值</w:t>
      </w:r>
      <w:r>
        <w:rPr>
          <w:rFonts w:hint="eastAsia" w:ascii="宋体" w:hAnsi="宋体" w:eastAsia="宋体" w:cs="宋体"/>
          <w:b/>
          <w:bCs/>
          <w:color w:val="000000" w:themeColor="text1"/>
          <w:kern w:val="0"/>
          <w:sz w:val="28"/>
          <w:szCs w:val="28"/>
          <w:highlight w:val="none"/>
          <w:shd w:val="clear" w:color="auto" w:fill="auto"/>
          <w:lang w:val="en-US" w:eastAsia="zh-CN"/>
          <w14:textFill>
            <w14:solidFill>
              <w14:schemeClr w14:val="tx1"/>
            </w14:solidFill>
          </w14:textFill>
        </w:rPr>
        <w:t>情况</w:t>
      </w:r>
    </w:p>
    <w:tbl>
      <w:tblPr>
        <w:tblStyle w:val="11"/>
        <w:tblW w:w="8317" w:type="dxa"/>
        <w:jc w:val="center"/>
        <w:tblInd w:w="0" w:type="dxa"/>
        <w:tblLayout w:type="fixed"/>
        <w:tblCellMar>
          <w:top w:w="0" w:type="dxa"/>
          <w:left w:w="0" w:type="dxa"/>
          <w:bottom w:w="0" w:type="dxa"/>
          <w:right w:w="0" w:type="dxa"/>
        </w:tblCellMar>
      </w:tblPr>
      <w:tblGrid>
        <w:gridCol w:w="1182"/>
        <w:gridCol w:w="738"/>
        <w:gridCol w:w="1248"/>
        <w:gridCol w:w="1176"/>
        <w:gridCol w:w="1833"/>
        <w:gridCol w:w="987"/>
        <w:gridCol w:w="1153"/>
      </w:tblGrid>
      <w:tr>
        <w:tblPrEx>
          <w:tblLayout w:type="fixed"/>
          <w:tblCellMar>
            <w:top w:w="0" w:type="dxa"/>
            <w:left w:w="0" w:type="dxa"/>
            <w:bottom w:w="0" w:type="dxa"/>
            <w:right w:w="0" w:type="dxa"/>
          </w:tblCellMar>
        </w:tblPrEx>
        <w:trPr>
          <w:trHeight w:val="272" w:hRule="atLeast"/>
          <w:tblHeader/>
          <w:jc w:val="center"/>
        </w:trPr>
        <w:tc>
          <w:tcPr>
            <w:tcW w:w="118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一级指标</w:t>
            </w:r>
          </w:p>
        </w:tc>
        <w:tc>
          <w:tcPr>
            <w:tcW w:w="73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分值</w:t>
            </w:r>
          </w:p>
        </w:tc>
        <w:tc>
          <w:tcPr>
            <w:tcW w:w="12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二级指标</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分值</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三级指标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分值</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得分</w:t>
            </w:r>
          </w:p>
        </w:tc>
      </w:tr>
      <w:tr>
        <w:tblPrEx>
          <w:tblLayout w:type="fixed"/>
          <w:tblCellMar>
            <w:top w:w="0" w:type="dxa"/>
            <w:left w:w="0" w:type="dxa"/>
            <w:bottom w:w="0" w:type="dxa"/>
            <w:right w:w="0" w:type="dxa"/>
          </w:tblCellMar>
        </w:tblPrEx>
        <w:trPr>
          <w:trHeight w:val="23" w:hRule="atLeast"/>
          <w:jc w:val="center"/>
        </w:trPr>
        <w:tc>
          <w:tcPr>
            <w:tcW w:w="1182"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过程管理</w:t>
            </w:r>
          </w:p>
        </w:tc>
        <w:tc>
          <w:tcPr>
            <w:tcW w:w="73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20</w:t>
            </w: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资金管理</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12</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资金到位率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tblPrEx>
          <w:tblLayout w:type="fixed"/>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预算执行率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tblPrEx>
          <w:tblLayout w:type="fixed"/>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资金使用合规性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tblPrEx>
          <w:tblLayout w:type="fixed"/>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组织实施</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8</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管理制度健全性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tblPrEx>
          <w:tblLayout w:type="fixed"/>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制度执行有效性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tblPrEx>
          <w:tblLayout w:type="fixed"/>
          <w:tblCellMar>
            <w:top w:w="0" w:type="dxa"/>
            <w:left w:w="0" w:type="dxa"/>
            <w:bottom w:w="0" w:type="dxa"/>
            <w:right w:w="0" w:type="dxa"/>
          </w:tblCellMar>
        </w:tblPrEx>
        <w:trPr>
          <w:trHeight w:val="23" w:hRule="atLeast"/>
          <w:jc w:val="center"/>
        </w:trPr>
        <w:tc>
          <w:tcPr>
            <w:tcW w:w="3168"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合计</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20</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20</w:t>
            </w:r>
          </w:p>
        </w:tc>
      </w:tr>
    </w:tbl>
    <w:p>
      <w:pPr>
        <w:bidi w:val="0"/>
        <w:outlineLvl w:val="2"/>
        <w:rPr>
          <w:rFonts w:hint="default"/>
          <w:b/>
          <w:bCs/>
          <w:color w:val="FF0000"/>
          <w:lang w:val="en-US" w:eastAsia="zh-CN"/>
        </w:rPr>
      </w:pPr>
      <w:bookmarkStart w:id="65" w:name="_Toc3886"/>
      <w:r>
        <w:rPr>
          <w:rFonts w:hint="eastAsia"/>
          <w:b/>
          <w:bCs/>
          <w:lang w:val="en-US" w:eastAsia="zh-CN"/>
        </w:rPr>
        <w:t>1.资金到位率</w:t>
      </w:r>
      <w:bookmarkEnd w:id="65"/>
    </w:p>
    <w:p>
      <w:pPr>
        <w:bidi w:val="0"/>
        <w:rPr>
          <w:rFonts w:hint="default"/>
          <w:b/>
          <w:bCs/>
          <w:lang w:val="en-US" w:eastAsia="zh-CN"/>
        </w:rPr>
      </w:pPr>
      <w:r>
        <w:rPr>
          <w:rFonts w:hint="eastAsia"/>
          <w:lang w:eastAsia="zh-CN"/>
        </w:rPr>
        <w:t>资金到位率=（343.53</w:t>
      </w:r>
      <w:r>
        <w:rPr>
          <w:rFonts w:hint="eastAsia"/>
          <w:lang w:val="en-US" w:eastAsia="zh-CN"/>
        </w:rPr>
        <w:t>万元</w:t>
      </w:r>
      <w:r>
        <w:rPr>
          <w:rFonts w:hint="eastAsia"/>
          <w:color w:val="auto"/>
          <w:lang w:eastAsia="zh-CN"/>
        </w:rPr>
        <w:t>/343.53</w:t>
      </w:r>
      <w:r>
        <w:rPr>
          <w:rFonts w:hint="eastAsia"/>
          <w:color w:val="auto"/>
          <w:lang w:val="en-US" w:eastAsia="zh-CN"/>
        </w:rPr>
        <w:t>万元</w:t>
      </w:r>
      <w:r>
        <w:rPr>
          <w:rFonts w:hint="eastAsia"/>
          <w:lang w:eastAsia="zh-CN"/>
        </w:rPr>
        <w:t>）×100</w:t>
      </w:r>
      <w:r>
        <w:rPr>
          <w:rFonts w:hint="eastAsia"/>
          <w:b w:val="0"/>
          <w:bCs w:val="0"/>
          <w:lang w:eastAsia="zh-CN"/>
        </w:rPr>
        <w:t>%</w:t>
      </w:r>
      <w:r>
        <w:rPr>
          <w:rFonts w:hint="eastAsia"/>
          <w:b w:val="0"/>
          <w:bCs w:val="0"/>
          <w:color w:val="auto"/>
          <w:lang w:val="en-US" w:eastAsia="zh-CN"/>
        </w:rPr>
        <w:t>=100%</w:t>
      </w:r>
    </w:p>
    <w:p>
      <w:pPr>
        <w:bidi w:val="0"/>
        <w:rPr>
          <w:rFonts w:hint="eastAsia"/>
          <w:lang w:eastAsia="zh-CN"/>
        </w:rPr>
      </w:pPr>
      <w:r>
        <w:rPr>
          <w:rFonts w:hint="eastAsia"/>
          <w:b/>
          <w:bCs/>
          <w:lang w:val="en-US" w:eastAsia="zh-CN"/>
        </w:rPr>
        <w:t>综上，该项指标满分</w:t>
      </w:r>
      <w:r>
        <w:rPr>
          <w:rFonts w:hint="eastAsia"/>
          <w:b/>
          <w:bCs/>
          <w:color w:val="auto"/>
          <w:lang w:val="en-US" w:eastAsia="zh-CN"/>
        </w:rPr>
        <w:t>4分</w:t>
      </w:r>
      <w:r>
        <w:rPr>
          <w:rFonts w:hint="eastAsia"/>
          <w:b/>
          <w:bCs/>
          <w:lang w:val="en-US" w:eastAsia="zh-CN"/>
        </w:rPr>
        <w:t>，得分</w:t>
      </w:r>
      <w:r>
        <w:rPr>
          <w:rFonts w:hint="eastAsia"/>
          <w:b/>
          <w:bCs/>
          <w:color w:val="auto"/>
          <w:lang w:val="en-US" w:eastAsia="zh-CN"/>
        </w:rPr>
        <w:t>4分</w:t>
      </w:r>
      <w:r>
        <w:rPr>
          <w:rFonts w:hint="eastAsia"/>
          <w:b/>
          <w:bCs/>
          <w:lang w:val="en-US" w:eastAsia="zh-CN"/>
        </w:rPr>
        <w:t>。</w:t>
      </w:r>
    </w:p>
    <w:p>
      <w:pPr>
        <w:bidi w:val="0"/>
        <w:outlineLvl w:val="2"/>
        <w:rPr>
          <w:rFonts w:hint="default"/>
          <w:b/>
          <w:bCs/>
          <w:lang w:val="en-US" w:eastAsia="zh-CN"/>
        </w:rPr>
      </w:pPr>
      <w:bookmarkStart w:id="66" w:name="_Toc9705"/>
      <w:r>
        <w:rPr>
          <w:rFonts w:hint="eastAsia"/>
          <w:b/>
          <w:bCs/>
          <w:lang w:val="en-US" w:eastAsia="zh-CN"/>
        </w:rPr>
        <w:t>2.预算执行率</w:t>
      </w:r>
      <w:bookmarkEnd w:id="66"/>
    </w:p>
    <w:p>
      <w:pPr>
        <w:bidi w:val="0"/>
        <w:rPr>
          <w:rFonts w:hint="default"/>
          <w:lang w:val="en-US" w:eastAsia="zh-CN"/>
        </w:rPr>
      </w:pPr>
      <w:r>
        <w:rPr>
          <w:rFonts w:hint="eastAsia"/>
          <w:lang w:eastAsia="zh-CN"/>
        </w:rPr>
        <w:t>预算执行率=（343.53万元/343.53万元）×100%=</w:t>
      </w:r>
      <w:r>
        <w:rPr>
          <w:rFonts w:hint="eastAsia"/>
          <w:b w:val="0"/>
          <w:bCs w:val="0"/>
          <w:lang w:eastAsia="zh-CN"/>
        </w:rPr>
        <w:t>100</w:t>
      </w:r>
      <w:r>
        <w:rPr>
          <w:rFonts w:hint="eastAsia"/>
          <w:b w:val="0"/>
          <w:bCs w:val="0"/>
          <w:color w:val="auto"/>
          <w:lang w:val="en-US" w:eastAsia="zh-CN"/>
        </w:rPr>
        <w:t>%</w:t>
      </w:r>
    </w:p>
    <w:p>
      <w:pPr>
        <w:bidi w:val="0"/>
        <w:rPr>
          <w:rFonts w:hint="eastAsia"/>
          <w:lang w:eastAsia="zh-CN"/>
        </w:rPr>
      </w:pPr>
      <w:r>
        <w:rPr>
          <w:rFonts w:hint="eastAsia"/>
          <w:b/>
          <w:bCs/>
          <w:lang w:val="en-US" w:eastAsia="zh-CN"/>
        </w:rPr>
        <w:t>综上，该项指标满分</w:t>
      </w:r>
      <w:r>
        <w:rPr>
          <w:rFonts w:hint="eastAsia"/>
          <w:b/>
          <w:bCs/>
          <w:color w:val="auto"/>
          <w:lang w:val="en-US" w:eastAsia="zh-CN"/>
        </w:rPr>
        <w:t>4分</w:t>
      </w:r>
      <w:r>
        <w:rPr>
          <w:rFonts w:hint="eastAsia"/>
          <w:b/>
          <w:bCs/>
          <w:lang w:val="en-US" w:eastAsia="zh-CN"/>
        </w:rPr>
        <w:t>，得分</w:t>
      </w:r>
      <w:r>
        <w:rPr>
          <w:rFonts w:hint="eastAsia"/>
          <w:b/>
          <w:bCs/>
          <w:color w:val="auto"/>
          <w:lang w:val="en-US" w:eastAsia="zh-CN"/>
        </w:rPr>
        <w:t>4分</w:t>
      </w:r>
      <w:r>
        <w:rPr>
          <w:rFonts w:hint="eastAsia"/>
          <w:b/>
          <w:bCs/>
          <w:lang w:val="en-US" w:eastAsia="zh-CN"/>
        </w:rPr>
        <w:t>。</w:t>
      </w:r>
    </w:p>
    <w:p>
      <w:pPr>
        <w:bidi w:val="0"/>
        <w:outlineLvl w:val="2"/>
        <w:rPr>
          <w:rFonts w:hint="default"/>
          <w:b/>
          <w:bCs/>
          <w:lang w:val="en-US" w:eastAsia="zh-CN"/>
        </w:rPr>
      </w:pPr>
      <w:bookmarkStart w:id="67" w:name="_Toc18691"/>
      <w:r>
        <w:rPr>
          <w:rFonts w:hint="eastAsia"/>
          <w:b/>
          <w:bCs/>
          <w:lang w:val="en-US" w:eastAsia="zh-CN"/>
        </w:rPr>
        <w:t>3.资金使用合规性</w:t>
      </w:r>
      <w:bookmarkEnd w:id="67"/>
    </w:p>
    <w:p>
      <w:pPr>
        <w:bidi w:val="0"/>
        <w:rPr>
          <w:rFonts w:hint="eastAsia"/>
          <w:highlight w:val="none"/>
          <w:lang w:eastAsia="zh-CN"/>
        </w:rPr>
      </w:pPr>
      <w:r>
        <w:rPr>
          <w:rFonts w:hint="eastAsia"/>
          <w:highlight w:val="none"/>
          <w:lang w:eastAsia="zh-CN"/>
        </w:rPr>
        <w:t>①符合国家财经法规和财务管理制度以及《</w:t>
      </w:r>
      <w:r>
        <w:rPr>
          <w:rFonts w:hint="eastAsia"/>
          <w:highlight w:val="none"/>
          <w:lang w:val="en-US" w:eastAsia="zh-CN"/>
        </w:rPr>
        <w:t>阜康市民政局</w:t>
      </w:r>
      <w:r>
        <w:rPr>
          <w:rFonts w:hint="eastAsia"/>
          <w:highlight w:val="none"/>
          <w:lang w:eastAsia="zh-CN"/>
        </w:rPr>
        <w:t>财经工作领导小组议事规则》《阜康</w:t>
      </w:r>
      <w:r>
        <w:rPr>
          <w:rFonts w:hint="eastAsia"/>
          <w:highlight w:val="none"/>
          <w:lang w:val="en-US" w:eastAsia="zh-CN"/>
        </w:rPr>
        <w:t>市民政</w:t>
      </w:r>
      <w:r>
        <w:rPr>
          <w:rFonts w:hint="eastAsia"/>
          <w:highlight w:val="none"/>
          <w:lang w:eastAsia="zh-CN"/>
        </w:rPr>
        <w:t>局财务管理制度》规定；</w:t>
      </w:r>
    </w:p>
    <w:p>
      <w:pPr>
        <w:bidi w:val="0"/>
        <w:rPr>
          <w:rFonts w:hint="eastAsia"/>
          <w:highlight w:val="none"/>
          <w:lang w:eastAsia="zh-CN"/>
        </w:rPr>
      </w:pPr>
      <w:r>
        <w:rPr>
          <w:rFonts w:hint="eastAsia"/>
          <w:highlight w:val="none"/>
          <w:lang w:eastAsia="zh-CN"/>
        </w:rPr>
        <w:t>②资金的拨付根据《</w:t>
      </w:r>
      <w:r>
        <w:rPr>
          <w:rFonts w:hint="eastAsia"/>
          <w:highlight w:val="none"/>
          <w:lang w:val="en-US" w:eastAsia="zh-CN"/>
        </w:rPr>
        <w:t>阜康市民政</w:t>
      </w:r>
      <w:r>
        <w:rPr>
          <w:rFonts w:hint="eastAsia"/>
          <w:highlight w:val="none"/>
          <w:lang w:eastAsia="zh-CN"/>
        </w:rPr>
        <w:t>局财务管理制度》审批程序和财务手续；</w:t>
      </w:r>
    </w:p>
    <w:p>
      <w:pPr>
        <w:bidi w:val="0"/>
        <w:rPr>
          <w:rFonts w:hint="eastAsia"/>
          <w:highlight w:val="none"/>
          <w:lang w:eastAsia="zh-CN"/>
        </w:rPr>
      </w:pPr>
      <w:r>
        <w:rPr>
          <w:rFonts w:hint="eastAsia"/>
          <w:highlight w:val="none"/>
          <w:lang w:eastAsia="zh-CN"/>
        </w:rPr>
        <w:t>③符合</w:t>
      </w:r>
      <w:r>
        <w:rPr>
          <w:rFonts w:hint="eastAsia"/>
          <w:color w:val="auto"/>
          <w:highlight w:val="none"/>
          <w:lang w:eastAsia="zh-CN"/>
        </w:rPr>
        <w:t>《80周岁以上老年人基本生活津贴制度》和《80周岁以上老年人免费体检制度》</w:t>
      </w:r>
      <w:r>
        <w:rPr>
          <w:rFonts w:hint="eastAsia"/>
          <w:highlight w:val="none"/>
          <w:lang w:val="en-US" w:eastAsia="zh-CN"/>
        </w:rPr>
        <w:t>政策</w:t>
      </w:r>
      <w:r>
        <w:rPr>
          <w:rFonts w:hint="eastAsia"/>
          <w:highlight w:val="none"/>
          <w:lang w:eastAsia="zh-CN"/>
        </w:rPr>
        <w:t>规定的用途；</w:t>
      </w:r>
    </w:p>
    <w:p>
      <w:pPr>
        <w:bidi w:val="0"/>
        <w:rPr>
          <w:rFonts w:hint="eastAsia"/>
          <w:highlight w:val="none"/>
          <w:lang w:eastAsia="zh-CN"/>
        </w:rPr>
      </w:pPr>
      <w:r>
        <w:rPr>
          <w:rFonts w:hint="eastAsia"/>
          <w:highlight w:val="none"/>
          <w:lang w:eastAsia="zh-CN"/>
        </w:rPr>
        <w:t>④</w:t>
      </w:r>
      <w:r>
        <w:rPr>
          <w:rFonts w:hint="eastAsia"/>
          <w:highlight w:val="none"/>
          <w:lang w:val="en-US" w:eastAsia="zh-CN"/>
        </w:rPr>
        <w:t>不</w:t>
      </w:r>
      <w:r>
        <w:rPr>
          <w:rFonts w:hint="eastAsia"/>
          <w:highlight w:val="none"/>
          <w:lang w:eastAsia="zh-CN"/>
        </w:rPr>
        <w:t>存在截留、挤占、挪用、虚列支出等情况。</w:t>
      </w:r>
    </w:p>
    <w:p>
      <w:pPr>
        <w:bidi w:val="0"/>
        <w:rPr>
          <w:rFonts w:hint="eastAsia"/>
          <w:highlight w:val="none"/>
          <w:lang w:eastAsia="zh-CN"/>
        </w:rPr>
      </w:pPr>
      <w:r>
        <w:rPr>
          <w:rFonts w:hint="eastAsia"/>
          <w:b/>
          <w:bCs/>
          <w:highlight w:val="none"/>
          <w:lang w:val="en-US" w:eastAsia="zh-CN"/>
        </w:rPr>
        <w:t>综上，该项指标满分</w:t>
      </w:r>
      <w:r>
        <w:rPr>
          <w:rFonts w:hint="eastAsia"/>
          <w:b/>
          <w:bCs/>
          <w:color w:val="auto"/>
          <w:highlight w:val="none"/>
          <w:lang w:val="en-US" w:eastAsia="zh-CN"/>
        </w:rPr>
        <w:t>4分</w:t>
      </w:r>
      <w:r>
        <w:rPr>
          <w:rFonts w:hint="eastAsia"/>
          <w:b/>
          <w:bCs/>
          <w:highlight w:val="none"/>
          <w:lang w:val="en-US" w:eastAsia="zh-CN"/>
        </w:rPr>
        <w:t>，得分</w:t>
      </w:r>
      <w:r>
        <w:rPr>
          <w:rFonts w:hint="eastAsia"/>
          <w:b/>
          <w:bCs/>
          <w:color w:val="auto"/>
          <w:highlight w:val="none"/>
          <w:lang w:val="en-US" w:eastAsia="zh-CN"/>
        </w:rPr>
        <w:t>4分。</w:t>
      </w:r>
    </w:p>
    <w:p>
      <w:pPr>
        <w:bidi w:val="0"/>
        <w:rPr>
          <w:rFonts w:hint="default"/>
          <w:b/>
          <w:bCs/>
          <w:lang w:val="en-US" w:eastAsia="zh-CN"/>
        </w:rPr>
      </w:pPr>
      <w:r>
        <w:rPr>
          <w:rFonts w:hint="eastAsia"/>
          <w:b/>
          <w:bCs/>
          <w:lang w:val="en-US" w:eastAsia="zh-CN"/>
        </w:rPr>
        <w:t>4.管理制度健全性</w:t>
      </w:r>
    </w:p>
    <w:p>
      <w:pPr>
        <w:bidi w:val="0"/>
        <w:rPr>
          <w:rFonts w:hint="eastAsia"/>
          <w:highlight w:val="none"/>
          <w:lang w:eastAsia="zh-CN"/>
        </w:rPr>
      </w:pPr>
      <w:r>
        <w:rPr>
          <w:rFonts w:hint="eastAsia"/>
          <w:highlight w:val="none"/>
          <w:lang w:eastAsia="zh-CN"/>
        </w:rPr>
        <w:t>①已制定或具有相应的财务和业务管理制度；为加强我单位预算管理、规范财务行为我单位制定了《</w:t>
      </w:r>
      <w:r>
        <w:rPr>
          <w:rFonts w:hint="eastAsia"/>
          <w:highlight w:val="none"/>
          <w:lang w:val="en-US" w:eastAsia="zh-CN"/>
        </w:rPr>
        <w:t>阜康市民政局</w:t>
      </w:r>
      <w:r>
        <w:rPr>
          <w:rFonts w:hint="eastAsia"/>
          <w:highlight w:val="none"/>
          <w:lang w:eastAsia="zh-CN"/>
        </w:rPr>
        <w:t>财经工作领导小组议事规则》《阜康</w:t>
      </w:r>
      <w:r>
        <w:rPr>
          <w:rFonts w:hint="eastAsia"/>
          <w:highlight w:val="none"/>
          <w:lang w:val="en-US" w:eastAsia="zh-CN"/>
        </w:rPr>
        <w:t>市民政</w:t>
      </w:r>
      <w:r>
        <w:rPr>
          <w:rFonts w:hint="eastAsia"/>
          <w:highlight w:val="none"/>
          <w:lang w:eastAsia="zh-CN"/>
        </w:rPr>
        <w:t>局财务管理制度》等资金管理制度；</w:t>
      </w:r>
    </w:p>
    <w:p>
      <w:pPr>
        <w:bidi w:val="0"/>
        <w:rPr>
          <w:rFonts w:hint="eastAsia"/>
          <w:highlight w:val="none"/>
          <w:lang w:eastAsia="zh-CN"/>
        </w:rPr>
      </w:pPr>
      <w:r>
        <w:rPr>
          <w:rFonts w:hint="eastAsia"/>
          <w:highlight w:val="none"/>
          <w:lang w:eastAsia="zh-CN"/>
        </w:rPr>
        <w:t>②财务和业务管理制度合法、合规、完整。</w:t>
      </w:r>
    </w:p>
    <w:p>
      <w:pPr>
        <w:bidi w:val="0"/>
        <w:rPr>
          <w:rFonts w:hint="eastAsia"/>
          <w:highlight w:val="none"/>
          <w:lang w:eastAsia="zh-CN"/>
        </w:rPr>
      </w:pPr>
      <w:r>
        <w:rPr>
          <w:rFonts w:hint="eastAsia"/>
          <w:b/>
          <w:bCs/>
          <w:highlight w:val="none"/>
          <w:lang w:val="en-US" w:eastAsia="zh-CN"/>
        </w:rPr>
        <w:t>综上，该项指标满分</w:t>
      </w:r>
      <w:r>
        <w:rPr>
          <w:rFonts w:hint="eastAsia"/>
          <w:b/>
          <w:bCs/>
          <w:color w:val="auto"/>
          <w:highlight w:val="none"/>
          <w:lang w:val="en-US" w:eastAsia="zh-CN"/>
        </w:rPr>
        <w:t>4分</w:t>
      </w:r>
      <w:r>
        <w:rPr>
          <w:rFonts w:hint="eastAsia"/>
          <w:b/>
          <w:bCs/>
          <w:highlight w:val="none"/>
          <w:lang w:val="en-US" w:eastAsia="zh-CN"/>
        </w:rPr>
        <w:t>，得分</w:t>
      </w:r>
      <w:r>
        <w:rPr>
          <w:rFonts w:hint="eastAsia"/>
          <w:b/>
          <w:bCs/>
          <w:color w:val="auto"/>
          <w:highlight w:val="none"/>
          <w:lang w:val="en-US" w:eastAsia="zh-CN"/>
        </w:rPr>
        <w:t>4分</w:t>
      </w:r>
      <w:r>
        <w:rPr>
          <w:rFonts w:hint="eastAsia"/>
          <w:b/>
          <w:bCs/>
          <w:highlight w:val="none"/>
          <w:lang w:val="en-US" w:eastAsia="zh-CN"/>
        </w:rPr>
        <w:t>。</w:t>
      </w:r>
    </w:p>
    <w:p>
      <w:pPr>
        <w:bidi w:val="0"/>
        <w:ind w:left="1403" w:leftChars="200" w:hanging="843" w:hangingChars="300"/>
        <w:outlineLvl w:val="2"/>
        <w:rPr>
          <w:rFonts w:hint="eastAsia"/>
          <w:b/>
          <w:bCs/>
          <w:lang w:val="en-US" w:eastAsia="zh-CN"/>
        </w:rPr>
      </w:pPr>
      <w:bookmarkStart w:id="68" w:name="_Toc31684"/>
      <w:r>
        <w:rPr>
          <w:rFonts w:hint="eastAsia"/>
          <w:b/>
          <w:bCs/>
          <w:lang w:val="en-US" w:eastAsia="zh-CN"/>
        </w:rPr>
        <w:t>5.制度执行有效性</w:t>
      </w:r>
      <w:bookmarkEnd w:id="68"/>
    </w:p>
    <w:p>
      <w:pPr>
        <w:bidi w:val="0"/>
        <w:rPr>
          <w:rFonts w:hint="eastAsia"/>
          <w:highlight w:val="none"/>
          <w:lang w:eastAsia="zh-CN"/>
        </w:rPr>
      </w:pPr>
      <w:r>
        <w:rPr>
          <w:rFonts w:hint="eastAsia"/>
          <w:highlight w:val="none"/>
          <w:lang w:eastAsia="zh-CN"/>
        </w:rPr>
        <w:t>①遵守《</w:t>
      </w:r>
      <w:r>
        <w:rPr>
          <w:rFonts w:hint="eastAsia"/>
          <w:highlight w:val="none"/>
          <w:lang w:val="en-US" w:eastAsia="zh-CN"/>
        </w:rPr>
        <w:t>阜康市民政局</w:t>
      </w:r>
      <w:r>
        <w:rPr>
          <w:rFonts w:hint="eastAsia"/>
          <w:highlight w:val="none"/>
          <w:lang w:eastAsia="zh-CN"/>
        </w:rPr>
        <w:t>财经工作领导小组议事规则》《阜康</w:t>
      </w:r>
      <w:r>
        <w:rPr>
          <w:rFonts w:hint="eastAsia"/>
          <w:highlight w:val="none"/>
          <w:lang w:val="en-US" w:eastAsia="zh-CN"/>
        </w:rPr>
        <w:t>市民政</w:t>
      </w:r>
      <w:r>
        <w:rPr>
          <w:rFonts w:hint="eastAsia"/>
          <w:highlight w:val="none"/>
          <w:lang w:eastAsia="zh-CN"/>
        </w:rPr>
        <w:t>局财务管理制度》等管理规定；</w:t>
      </w:r>
    </w:p>
    <w:p>
      <w:pPr>
        <w:bidi w:val="0"/>
        <w:rPr>
          <w:rFonts w:hint="eastAsia"/>
          <w:highlight w:val="none"/>
          <w:lang w:eastAsia="zh-CN"/>
        </w:rPr>
      </w:pPr>
      <w:r>
        <w:rPr>
          <w:rFonts w:hint="eastAsia"/>
          <w:highlight w:val="none"/>
          <w:lang w:eastAsia="zh-CN"/>
        </w:rPr>
        <w:t>②项目调整及支出调整手续完备；</w:t>
      </w:r>
      <w:r>
        <w:rPr>
          <w:rFonts w:hint="eastAsia"/>
          <w:highlight w:val="none"/>
          <w:lang w:val="en-US" w:eastAsia="zh-CN"/>
        </w:rPr>
        <w:t>年初预算资金548.52万元，调整为全年预算343.53万元，</w:t>
      </w:r>
      <w:r>
        <w:rPr>
          <w:rFonts w:hint="eastAsia"/>
          <w:highlight w:val="none"/>
          <w:lang w:eastAsia="zh-CN"/>
        </w:rPr>
        <w:t>经</w:t>
      </w:r>
      <w:r>
        <w:rPr>
          <w:rFonts w:hint="eastAsia"/>
          <w:highlight w:val="none"/>
          <w:lang w:val="en-US" w:eastAsia="zh-CN"/>
        </w:rPr>
        <w:t>财政局</w:t>
      </w:r>
      <w:r>
        <w:rPr>
          <w:rFonts w:hint="eastAsia"/>
          <w:highlight w:val="none"/>
          <w:lang w:eastAsia="zh-CN"/>
        </w:rPr>
        <w:t>领导签字的资金支付审批单，进行国库集中支付；</w:t>
      </w:r>
    </w:p>
    <w:p>
      <w:pPr>
        <w:bidi w:val="0"/>
        <w:rPr>
          <w:rFonts w:hint="eastAsia"/>
          <w:highlight w:val="none"/>
          <w:lang w:eastAsia="zh-CN"/>
        </w:rPr>
      </w:pPr>
      <w:r>
        <w:rPr>
          <w:rFonts w:hint="eastAsia"/>
          <w:highlight w:val="none"/>
          <w:lang w:eastAsia="zh-CN"/>
        </w:rPr>
        <w:t>③项目审批单、发票、项目支付审批单等资料齐全并及时归档；</w:t>
      </w:r>
    </w:p>
    <w:p>
      <w:pPr>
        <w:bidi w:val="0"/>
        <w:rPr>
          <w:rFonts w:hint="eastAsia"/>
          <w:highlight w:val="none"/>
          <w:lang w:eastAsia="zh-CN"/>
        </w:rPr>
      </w:pPr>
      <w:r>
        <w:rPr>
          <w:rFonts w:hint="eastAsia"/>
          <w:highlight w:val="none"/>
          <w:lang w:eastAsia="zh-CN"/>
        </w:rPr>
        <w:t>④项目实施的人员条件</w:t>
      </w:r>
      <w:r>
        <w:rPr>
          <w:rFonts w:hint="eastAsia"/>
          <w:highlight w:val="none"/>
          <w:shd w:val="clear"/>
          <w:lang w:eastAsia="zh-CN"/>
        </w:rPr>
        <w:t>、场地设备、信息支撑等落实到</w:t>
      </w:r>
      <w:r>
        <w:rPr>
          <w:rFonts w:hint="eastAsia"/>
          <w:highlight w:val="none"/>
          <w:lang w:eastAsia="zh-CN"/>
        </w:rPr>
        <w:t>位。</w:t>
      </w:r>
    </w:p>
    <w:p>
      <w:pPr>
        <w:bidi w:val="0"/>
        <w:rPr>
          <w:rFonts w:hint="eastAsia"/>
          <w:lang w:eastAsia="zh-CN"/>
        </w:rPr>
      </w:pPr>
      <w:r>
        <w:rPr>
          <w:rFonts w:hint="eastAsia"/>
          <w:b/>
          <w:bCs/>
          <w:lang w:val="en-US" w:eastAsia="zh-CN"/>
        </w:rPr>
        <w:t>综上，该项指标满分</w:t>
      </w:r>
      <w:r>
        <w:rPr>
          <w:rFonts w:hint="eastAsia"/>
          <w:b/>
          <w:bCs/>
          <w:color w:val="auto"/>
          <w:lang w:val="en-US" w:eastAsia="zh-CN"/>
        </w:rPr>
        <w:t>4分</w:t>
      </w:r>
      <w:r>
        <w:rPr>
          <w:rFonts w:hint="eastAsia"/>
          <w:b/>
          <w:bCs/>
          <w:lang w:val="en-US" w:eastAsia="zh-CN"/>
        </w:rPr>
        <w:t>，得分</w:t>
      </w:r>
      <w:r>
        <w:rPr>
          <w:rFonts w:hint="eastAsia"/>
          <w:b/>
          <w:bCs/>
          <w:color w:val="auto"/>
          <w:lang w:val="en-US" w:eastAsia="zh-CN"/>
        </w:rPr>
        <w:t>4分</w:t>
      </w:r>
      <w:r>
        <w:rPr>
          <w:rFonts w:hint="eastAsia"/>
          <w:b/>
          <w:bCs/>
          <w:lang w:val="en-US" w:eastAsia="zh-CN"/>
        </w:rPr>
        <w:t>。</w:t>
      </w:r>
    </w:p>
    <w:p>
      <w:pPr>
        <w:pStyle w:val="3"/>
        <w:pageBreakBefore w:val="0"/>
        <w:numPr>
          <w:ilvl w:val="0"/>
          <w:numId w:val="0"/>
        </w:numPr>
        <w:kinsoku/>
        <w:wordWrap/>
        <w:overflowPunct/>
        <w:topLinePunct w:val="0"/>
        <w:autoSpaceDE/>
        <w:autoSpaceDN/>
        <w:bidi w:val="0"/>
        <w:adjustRightInd/>
        <w:spacing w:beforeLines="0" w:afterLines="0" w:line="360" w:lineRule="auto"/>
        <w:ind w:leftChars="200"/>
        <w:textAlignment w:val="auto"/>
        <w:rPr>
          <w:rFonts w:hint="eastAsia" w:ascii="宋体" w:hAnsi="宋体" w:eastAsia="宋体" w:cs="宋体"/>
          <w:color w:val="000000" w:themeColor="text1"/>
          <w:highlight w:val="none"/>
          <w:shd w:val="clear" w:color="auto" w:fill="auto"/>
          <w14:textFill>
            <w14:solidFill>
              <w14:schemeClr w14:val="tx1"/>
            </w14:solidFill>
          </w14:textFill>
        </w:rPr>
      </w:pPr>
      <w:bookmarkStart w:id="69" w:name="_Toc16268"/>
      <w:r>
        <w:rPr>
          <w:rFonts w:hint="eastAsia" w:ascii="宋体" w:hAnsi="宋体" w:eastAsia="宋体" w:cs="宋体"/>
          <w:color w:val="000000" w:themeColor="text1"/>
          <w:highlight w:val="none"/>
          <w:shd w:val="clear" w:color="auto" w:fill="auto"/>
          <w:lang w:eastAsia="zh-CN"/>
          <w14:textFill>
            <w14:solidFill>
              <w14:schemeClr w14:val="tx1"/>
            </w14:solidFill>
          </w14:textFill>
        </w:rPr>
        <w:t>（</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三</w:t>
      </w:r>
      <w:r>
        <w:rPr>
          <w:rFonts w:hint="eastAsia" w:ascii="宋体" w:hAnsi="宋体" w:eastAsia="宋体" w:cs="宋体"/>
          <w:color w:val="000000" w:themeColor="text1"/>
          <w:highlight w:val="none"/>
          <w:shd w:val="clear" w:color="auto" w:fill="auto"/>
          <w:lang w:eastAsia="zh-CN"/>
          <w14:textFill>
            <w14:solidFill>
              <w14:schemeClr w14:val="tx1"/>
            </w14:solidFill>
          </w14:textFill>
        </w:rPr>
        <w:t>）</w:t>
      </w:r>
      <w:r>
        <w:rPr>
          <w:rFonts w:hint="eastAsia" w:ascii="宋体" w:hAnsi="宋体" w:eastAsia="宋体" w:cs="宋体"/>
          <w:color w:val="000000" w:themeColor="text1"/>
          <w:highlight w:val="none"/>
          <w:shd w:val="clear" w:color="auto" w:fill="auto"/>
          <w14:textFill>
            <w14:solidFill>
              <w14:schemeClr w14:val="tx1"/>
            </w14:solidFill>
          </w14:textFill>
        </w:rPr>
        <w:t>项目产出情况</w:t>
      </w:r>
      <w:bookmarkEnd w:id="69"/>
    </w:p>
    <w:p>
      <w:pPr>
        <w:pageBreakBefore w:val="0"/>
        <w:widowControl w:val="0"/>
        <w:kinsoku/>
        <w:wordWrap/>
        <w:overflowPunct/>
        <w:topLinePunct w:val="0"/>
        <w:autoSpaceDE/>
        <w:autoSpaceDN/>
        <w:bidi w:val="0"/>
        <w:adjustRightInd/>
        <w:spacing w:line="360" w:lineRule="auto"/>
        <w:ind w:firstLine="560"/>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ascii="宋体" w:hAnsi="宋体" w:eastAsia="宋体" w:cs="宋体"/>
          <w:color w:val="auto"/>
          <w:highlight w:val="none"/>
          <w:shd w:val="clear" w:color="auto" w:fill="auto"/>
          <w:lang w:val="en-US" w:eastAsia="zh-CN"/>
        </w:rPr>
        <w:t>产出</w:t>
      </w:r>
      <w:r>
        <w:rPr>
          <w:rFonts w:hint="eastAsia" w:ascii="宋体" w:hAnsi="宋体" w:eastAsia="宋体" w:cs="宋体"/>
          <w:color w:val="auto"/>
          <w:kern w:val="2"/>
          <w:highlight w:val="none"/>
          <w:u w:color="000000"/>
          <w:shd w:val="clear" w:color="auto" w:fill="auto"/>
          <w:lang w:val="zh-TW" w:eastAsia="zh-TW"/>
        </w:rPr>
        <w:t>类指标由</w:t>
      </w:r>
      <w:r>
        <w:rPr>
          <w:rFonts w:hint="eastAsia"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cs="宋体"/>
          <w:color w:val="auto"/>
          <w:kern w:val="2"/>
          <w:highlight w:val="none"/>
          <w:u w:color="000000"/>
          <w:shd w:val="clear" w:color="auto" w:fill="auto"/>
          <w:lang w:val="en-US" w:eastAsia="zh-CN"/>
        </w:rPr>
        <w:t>7</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cs="宋体"/>
          <w:color w:val="auto"/>
          <w:kern w:val="2"/>
          <w:highlight w:val="none"/>
          <w:u w:color="000000"/>
          <w:shd w:val="clear" w:color="auto" w:fill="auto"/>
          <w:lang w:val="en-US" w:eastAsia="zh-CN"/>
        </w:rPr>
        <w:t>60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60</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w:t>
      </w:r>
      <w:r>
        <w:rPr>
          <w:rFonts w:hint="eastAsia" w:ascii="宋体" w:hAnsi="宋体" w:eastAsia="宋体" w:cs="宋体"/>
          <w:color w:val="auto"/>
          <w:kern w:val="2"/>
          <w:highlight w:val="none"/>
          <w:u w:color="000000"/>
          <w:shd w:val="clear" w:color="auto" w:fill="auto"/>
          <w:lang w:val="en-US" w:eastAsia="zh-CN"/>
        </w:rPr>
        <w:t>3</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000000" w:themeColor="text1"/>
          <w:kern w:val="0"/>
          <w:sz w:val="28"/>
          <w:szCs w:val="28"/>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8"/>
          <w:szCs w:val="28"/>
          <w:highlight w:val="none"/>
          <w:shd w:val="clear" w:color="auto" w:fill="auto"/>
          <w:lang w:val="zh-TW" w:eastAsia="zh-TW"/>
          <w14:textFill>
            <w14:solidFill>
              <w14:schemeClr w14:val="tx1"/>
            </w14:solidFill>
          </w14:textFill>
        </w:rPr>
        <w:t>表</w:t>
      </w:r>
      <w:r>
        <w:rPr>
          <w:rFonts w:hint="eastAsia" w:ascii="宋体" w:hAnsi="宋体" w:eastAsia="宋体" w:cs="宋体"/>
          <w:b/>
          <w:bCs/>
          <w:color w:val="000000" w:themeColor="text1"/>
          <w:kern w:val="0"/>
          <w:sz w:val="28"/>
          <w:szCs w:val="28"/>
          <w:highlight w:val="none"/>
          <w:shd w:val="clear" w:color="auto" w:fill="auto"/>
          <w:lang w:val="en-US" w:eastAsia="zh-CN"/>
          <w14:textFill>
            <w14:solidFill>
              <w14:schemeClr w14:val="tx1"/>
            </w14:solidFill>
          </w14:textFill>
        </w:rPr>
        <w:t>4-3项目产出</w:t>
      </w:r>
      <w:r>
        <w:rPr>
          <w:rFonts w:hint="eastAsia" w:ascii="宋体" w:hAnsi="宋体" w:eastAsia="宋体" w:cs="宋体"/>
          <w:b/>
          <w:bCs/>
          <w:color w:val="000000" w:themeColor="text1"/>
          <w:kern w:val="0"/>
          <w:sz w:val="28"/>
          <w:szCs w:val="28"/>
          <w:highlight w:val="none"/>
          <w:shd w:val="clear" w:color="auto" w:fill="auto"/>
          <w:lang w:val="zh-TW" w:eastAsia="zh-TW"/>
          <w14:textFill>
            <w14:solidFill>
              <w14:schemeClr w14:val="tx1"/>
            </w14:solidFill>
          </w14:textFill>
        </w:rPr>
        <w:t>指标及分值</w:t>
      </w:r>
      <w:r>
        <w:rPr>
          <w:rFonts w:hint="eastAsia" w:ascii="宋体" w:hAnsi="宋体" w:eastAsia="宋体" w:cs="宋体"/>
          <w:b/>
          <w:bCs/>
          <w:color w:val="000000" w:themeColor="text1"/>
          <w:kern w:val="0"/>
          <w:sz w:val="28"/>
          <w:szCs w:val="28"/>
          <w:highlight w:val="none"/>
          <w:shd w:val="clear" w:color="auto" w:fill="auto"/>
          <w:lang w:val="en-US" w:eastAsia="zh-CN"/>
          <w14:textFill>
            <w14:solidFill>
              <w14:schemeClr w14:val="tx1"/>
            </w14:solidFill>
          </w14:textFill>
        </w:rPr>
        <w:t>情况</w:t>
      </w:r>
    </w:p>
    <w:tbl>
      <w:tblPr>
        <w:tblStyle w:val="11"/>
        <w:tblW w:w="8197" w:type="dxa"/>
        <w:tblInd w:w="0" w:type="dxa"/>
        <w:shd w:val="clear" w:color="auto" w:fill="auto"/>
        <w:tblLayout w:type="fixed"/>
        <w:tblCellMar>
          <w:top w:w="0" w:type="dxa"/>
          <w:left w:w="0" w:type="dxa"/>
          <w:bottom w:w="0" w:type="dxa"/>
          <w:right w:w="0" w:type="dxa"/>
        </w:tblCellMar>
      </w:tblPr>
      <w:tblGrid>
        <w:gridCol w:w="634"/>
        <w:gridCol w:w="928"/>
        <w:gridCol w:w="2644"/>
        <w:gridCol w:w="1437"/>
        <w:gridCol w:w="558"/>
        <w:gridCol w:w="1365"/>
        <w:gridCol w:w="631"/>
      </w:tblGrid>
      <w:tr>
        <w:tblPrEx>
          <w:tblLayout w:type="fixed"/>
          <w:tblCellMar>
            <w:top w:w="0" w:type="dxa"/>
            <w:left w:w="0" w:type="dxa"/>
            <w:bottom w:w="0" w:type="dxa"/>
            <w:right w:w="0" w:type="dxa"/>
          </w:tblCellMar>
        </w:tblPrEx>
        <w:trPr>
          <w:trHeight w:val="750" w:hRule="atLeast"/>
        </w:trPr>
        <w:tc>
          <w:tcPr>
            <w:tcW w:w="6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一级指标</w:t>
            </w: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二级指标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三级指标</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年度指标值</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标杆分值</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全年实际完成值</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指标得分</w:t>
            </w:r>
          </w:p>
        </w:tc>
      </w:tr>
      <w:tr>
        <w:tblPrEx>
          <w:tblLayout w:type="fixed"/>
          <w:tblCellMar>
            <w:top w:w="0" w:type="dxa"/>
            <w:left w:w="0" w:type="dxa"/>
            <w:bottom w:w="0" w:type="dxa"/>
            <w:right w:w="0" w:type="dxa"/>
          </w:tblCellMar>
        </w:tblPrEx>
        <w:trPr>
          <w:trHeight w:val="415" w:hRule="atLeast"/>
        </w:trPr>
        <w:tc>
          <w:tcPr>
            <w:tcW w:w="634"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产出</w:t>
            </w:r>
          </w:p>
        </w:tc>
        <w:tc>
          <w:tcPr>
            <w:tcW w:w="928"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数量指标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80周岁以上老年人免费体检次数</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≥1次</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1次</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r>
      <w:tr>
        <w:tblPrEx>
          <w:tblLayout w:type="fixed"/>
          <w:tblCellMar>
            <w:top w:w="0" w:type="dxa"/>
            <w:left w:w="0" w:type="dxa"/>
            <w:bottom w:w="0" w:type="dxa"/>
            <w:right w:w="0" w:type="dxa"/>
          </w:tblCellMar>
        </w:tblPrEx>
        <w:trPr>
          <w:trHeight w:val="415"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享受80周岁以上高龄津贴的人次</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≥10000人次</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14355人次</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r>
      <w:tr>
        <w:tblPrEx>
          <w:tblLayout w:type="fixed"/>
          <w:tblCellMar>
            <w:top w:w="0" w:type="dxa"/>
            <w:left w:w="0" w:type="dxa"/>
            <w:bottom w:w="0" w:type="dxa"/>
            <w:right w:w="0" w:type="dxa"/>
          </w:tblCellMar>
        </w:tblPrEx>
        <w:trPr>
          <w:trHeight w:val="390"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质量指标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惠及80周岁以上高龄老人实际占比</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≥90%</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90%</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tblPrEx>
          <w:tblLayout w:type="fixed"/>
          <w:tblCellMar>
            <w:top w:w="0" w:type="dxa"/>
            <w:left w:w="0" w:type="dxa"/>
            <w:bottom w:w="0" w:type="dxa"/>
            <w:right w:w="0" w:type="dxa"/>
          </w:tblCellMar>
        </w:tblPrEx>
        <w:trPr>
          <w:trHeight w:val="390" w:hRule="atLeast"/>
        </w:trPr>
        <w:tc>
          <w:tcPr>
            <w:tcW w:w="634" w:type="dxa"/>
            <w:vMerge w:val="continue"/>
            <w:tcBorders>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时效</w:t>
            </w:r>
            <w:r>
              <w:rPr>
                <w:rFonts w:hint="eastAsia" w:ascii="宋体" w:hAnsi="宋体" w:eastAsia="宋体" w:cs="宋体"/>
                <w:color w:val="auto"/>
                <w:kern w:val="0"/>
                <w:sz w:val="20"/>
                <w:szCs w:val="20"/>
                <w:highlight w:val="none"/>
                <w:shd w:val="clear" w:color="auto" w:fill="auto"/>
                <w:lang w:val="en-US" w:eastAsia="zh-CN"/>
              </w:rPr>
              <w:t>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补助资金发放及时率</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≥90%</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90%</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tblPrEx>
          <w:tblLayout w:type="fixed"/>
          <w:tblCellMar>
            <w:top w:w="0" w:type="dxa"/>
            <w:left w:w="0" w:type="dxa"/>
            <w:bottom w:w="0" w:type="dxa"/>
            <w:right w:w="0" w:type="dxa"/>
          </w:tblCellMar>
        </w:tblPrEx>
        <w:trPr>
          <w:trHeight w:val="410" w:hRule="atLeast"/>
        </w:trPr>
        <w:tc>
          <w:tcPr>
            <w:tcW w:w="634" w:type="dxa"/>
            <w:vMerge w:val="restart"/>
            <w:tcBorders>
              <w:top w:val="single" w:color="auto" w:sz="4" w:space="0"/>
              <w:left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成本</w:t>
            </w:r>
          </w:p>
        </w:tc>
        <w:tc>
          <w:tcPr>
            <w:tcW w:w="928" w:type="dxa"/>
            <w:vMerge w:val="restart"/>
            <w:tcBorders>
              <w:top w:val="single" w:color="000000" w:sz="4" w:space="0"/>
              <w:left w:val="single" w:color="auto"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成本</w:t>
            </w:r>
            <w:r>
              <w:rPr>
                <w:rFonts w:hint="eastAsia" w:ascii="宋体" w:hAnsi="宋体" w:eastAsia="宋体" w:cs="宋体"/>
                <w:color w:val="auto"/>
                <w:kern w:val="0"/>
                <w:sz w:val="20"/>
                <w:szCs w:val="20"/>
                <w:highlight w:val="none"/>
                <w:shd w:val="clear" w:color="auto" w:fill="auto"/>
                <w:lang w:val="en-US" w:eastAsia="zh-CN"/>
              </w:rPr>
              <w:t>指标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yellow"/>
                <w:shd w:val="clear" w:color="auto" w:fill="auto"/>
                <w:lang w:val="en-US" w:eastAsia="zh-CN"/>
              </w:rPr>
            </w:pP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80周岁（含80周岁）89周岁的老年人补助标准</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=100元/人/月</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100元/人/月</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tblPrEx>
          <w:tblLayout w:type="fixed"/>
          <w:tblCellMar>
            <w:top w:w="0" w:type="dxa"/>
            <w:left w:w="0" w:type="dxa"/>
            <w:bottom w:w="0" w:type="dxa"/>
            <w:right w:w="0" w:type="dxa"/>
          </w:tblCellMar>
        </w:tblPrEx>
        <w:trPr>
          <w:trHeight w:val="428" w:hRule="atLeast"/>
        </w:trPr>
        <w:tc>
          <w:tcPr>
            <w:tcW w:w="634" w:type="dxa"/>
            <w:vMerge w:val="continue"/>
            <w:tcBorders>
              <w:left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vMerge w:val="continue"/>
            <w:tcBorders>
              <w:left w:val="single" w:color="auto"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yellow"/>
                <w:shd w:val="clear" w:color="auto" w:fill="auto"/>
                <w:lang w:val="en-US" w:eastAsia="zh-CN"/>
              </w:rPr>
            </w:pP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90周岁（含90周岁）89周岁的老年人补助标准</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=200元/人/月</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r>
              <w:rPr>
                <w:rFonts w:hint="eastAsia" w:ascii="宋体" w:hAnsi="宋体" w:eastAsia="宋体" w:cs="宋体"/>
                <w:color w:val="auto"/>
                <w:kern w:val="0"/>
                <w:sz w:val="20"/>
                <w:szCs w:val="20"/>
                <w:highlight w:val="none"/>
                <w:shd w:val="clear" w:color="auto" w:fill="auto"/>
                <w:lang w:val="en-US" w:eastAsia="zh-CN"/>
              </w:rPr>
              <w:t>00元/人/月</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tblPrEx>
          <w:tblLayout w:type="fixed"/>
          <w:tblCellMar>
            <w:top w:w="0" w:type="dxa"/>
            <w:left w:w="0" w:type="dxa"/>
            <w:bottom w:w="0" w:type="dxa"/>
            <w:right w:w="0" w:type="dxa"/>
          </w:tblCellMar>
        </w:tblPrEx>
        <w:trPr>
          <w:trHeight w:val="428" w:hRule="atLeast"/>
        </w:trPr>
        <w:tc>
          <w:tcPr>
            <w:tcW w:w="634" w:type="dxa"/>
            <w:vMerge w:val="continue"/>
            <w:tcBorders>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vMerge w:val="continue"/>
            <w:tcBorders>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yellow"/>
                <w:shd w:val="clear" w:color="auto" w:fill="auto"/>
                <w:lang w:val="en-US" w:eastAsia="zh-CN"/>
              </w:rPr>
            </w:pP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100周岁（含100周岁）89周岁的老年人补助标准</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=300元/人/月</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r>
              <w:rPr>
                <w:rFonts w:hint="eastAsia" w:ascii="宋体" w:hAnsi="宋体" w:eastAsia="宋体" w:cs="宋体"/>
                <w:color w:val="auto"/>
                <w:kern w:val="0"/>
                <w:sz w:val="20"/>
                <w:szCs w:val="20"/>
                <w:highlight w:val="none"/>
                <w:shd w:val="clear" w:color="auto" w:fill="auto"/>
                <w:lang w:val="en-US" w:eastAsia="zh-CN"/>
              </w:rPr>
              <w:t>00元/人/月</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tblPrEx>
          <w:tblLayout w:type="fixed"/>
          <w:tblCellMar>
            <w:top w:w="0" w:type="dxa"/>
            <w:left w:w="0" w:type="dxa"/>
            <w:bottom w:w="0" w:type="dxa"/>
            <w:right w:w="0" w:type="dxa"/>
          </w:tblCellMar>
        </w:tblPrEx>
        <w:trPr>
          <w:trHeight w:val="403" w:hRule="atLeast"/>
        </w:trPr>
        <w:tc>
          <w:tcPr>
            <w:tcW w:w="564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30</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30</w:t>
            </w:r>
          </w:p>
        </w:tc>
      </w:tr>
    </w:tbl>
    <w:p>
      <w:pPr>
        <w:bidi w:val="0"/>
        <w:outlineLvl w:val="2"/>
        <w:rPr>
          <w:rFonts w:hint="eastAsia"/>
          <w:b/>
          <w:bCs/>
          <w:lang w:val="en-US" w:eastAsia="zh-CN"/>
        </w:rPr>
      </w:pPr>
      <w:bookmarkStart w:id="70" w:name="_Toc11067"/>
      <w:r>
        <w:rPr>
          <w:rFonts w:hint="eastAsia"/>
          <w:b/>
          <w:bCs/>
          <w:lang w:val="en-US" w:eastAsia="zh-CN"/>
        </w:rPr>
        <w:t>1.项目完成数量</w:t>
      </w:r>
      <w:bookmarkEnd w:id="70"/>
    </w:p>
    <w:p>
      <w:pPr>
        <w:bidi w:val="0"/>
        <w:rPr>
          <w:rFonts w:hint="eastAsia"/>
          <w:highlight w:val="none"/>
          <w:lang w:val="en-US" w:eastAsia="zh-CN"/>
        </w:rPr>
      </w:pPr>
      <w:r>
        <w:rPr>
          <w:rFonts w:hint="eastAsia"/>
          <w:lang w:eastAsia="zh-CN"/>
        </w:rPr>
        <w:t>“80周岁以上老年人免费体检次数”</w:t>
      </w:r>
      <w:r>
        <w:rPr>
          <w:rFonts w:hint="eastAsia"/>
          <w:lang w:val="en-US" w:eastAsia="zh-CN"/>
        </w:rPr>
        <w:t>指标，预期目标值为≥1次，实际完成为1次</w:t>
      </w:r>
      <w:r>
        <w:rPr>
          <w:rFonts w:hint="eastAsia"/>
          <w:highlight w:val="none"/>
          <w:lang w:val="en-US" w:eastAsia="zh-CN"/>
        </w:rPr>
        <w:t>。实际完成率=（1次/1次）×100%=100%。</w:t>
      </w:r>
    </w:p>
    <w:p>
      <w:pPr>
        <w:bidi w:val="0"/>
        <w:rPr>
          <w:rFonts w:hint="eastAsia"/>
          <w:b/>
          <w:bCs/>
          <w:lang w:val="en-US" w:eastAsia="zh-CN"/>
        </w:rPr>
      </w:pPr>
      <w:r>
        <w:rPr>
          <w:rFonts w:hint="eastAsia"/>
          <w:b/>
          <w:bCs/>
          <w:lang w:val="en-US" w:eastAsia="zh-CN"/>
        </w:rPr>
        <w:t>综上，该项指标满</w:t>
      </w:r>
      <w:r>
        <w:rPr>
          <w:rFonts w:hint="eastAsia"/>
          <w:b/>
          <w:bCs/>
          <w:color w:val="auto"/>
          <w:lang w:val="en-US" w:eastAsia="zh-CN"/>
        </w:rPr>
        <w:t>分3分，得分3分</w:t>
      </w:r>
      <w:r>
        <w:rPr>
          <w:rFonts w:hint="eastAsia"/>
          <w:b/>
          <w:bCs/>
          <w:lang w:val="en-US" w:eastAsia="zh-CN"/>
        </w:rPr>
        <w:t>。</w:t>
      </w:r>
    </w:p>
    <w:p>
      <w:pPr>
        <w:bidi w:val="0"/>
        <w:rPr>
          <w:rFonts w:hint="eastAsia"/>
          <w:lang w:val="en-US" w:eastAsia="zh-CN"/>
        </w:rPr>
      </w:pPr>
      <w:r>
        <w:rPr>
          <w:rFonts w:hint="eastAsia"/>
          <w:lang w:eastAsia="zh-CN"/>
        </w:rPr>
        <w:t>“享受80周岁以上高龄津贴的人次”</w:t>
      </w:r>
      <w:r>
        <w:rPr>
          <w:rFonts w:hint="eastAsia"/>
          <w:lang w:val="en-US" w:eastAsia="zh-CN"/>
        </w:rPr>
        <w:t>指标，预期目标值为≥10000人次，实际完成为14355人次。实际完成率100%。</w:t>
      </w:r>
    </w:p>
    <w:p>
      <w:pPr>
        <w:bidi w:val="0"/>
        <w:rPr>
          <w:rFonts w:hint="eastAsia"/>
          <w:lang w:eastAsia="zh-CN"/>
        </w:rPr>
      </w:pPr>
      <w:r>
        <w:rPr>
          <w:rFonts w:hint="eastAsia"/>
          <w:b/>
          <w:bCs/>
          <w:lang w:val="en-US" w:eastAsia="zh-CN"/>
        </w:rPr>
        <w:t>综上，该项指标满</w:t>
      </w:r>
      <w:r>
        <w:rPr>
          <w:rFonts w:hint="eastAsia"/>
          <w:b/>
          <w:bCs/>
          <w:color w:val="auto"/>
          <w:lang w:val="en-US" w:eastAsia="zh-CN"/>
        </w:rPr>
        <w:t>分3分，得分3分</w:t>
      </w:r>
      <w:r>
        <w:rPr>
          <w:rFonts w:hint="eastAsia"/>
          <w:b/>
          <w:bCs/>
          <w:lang w:val="en-US" w:eastAsia="zh-CN"/>
        </w:rPr>
        <w:t>。</w:t>
      </w:r>
    </w:p>
    <w:p>
      <w:pPr>
        <w:bidi w:val="0"/>
        <w:outlineLvl w:val="2"/>
        <w:rPr>
          <w:rFonts w:hint="default"/>
          <w:b/>
          <w:bCs/>
          <w:lang w:val="en-US" w:eastAsia="zh-CN"/>
        </w:rPr>
      </w:pPr>
      <w:bookmarkStart w:id="71" w:name="_Toc31739"/>
      <w:r>
        <w:rPr>
          <w:rFonts w:hint="eastAsia"/>
          <w:b/>
          <w:bCs/>
          <w:lang w:val="en-US" w:eastAsia="zh-CN"/>
        </w:rPr>
        <w:t>2.项目完成质量</w:t>
      </w:r>
      <w:bookmarkEnd w:id="71"/>
    </w:p>
    <w:p>
      <w:pPr>
        <w:bidi w:val="0"/>
        <w:rPr>
          <w:rFonts w:hint="eastAsia"/>
          <w:lang w:eastAsia="zh-CN"/>
        </w:rPr>
      </w:pPr>
      <w:r>
        <w:rPr>
          <w:rFonts w:hint="eastAsia"/>
          <w:lang w:eastAsia="zh-CN"/>
        </w:rPr>
        <w:t>“惠及80周岁以上高龄老人实际占比”</w:t>
      </w:r>
      <w:r>
        <w:rPr>
          <w:rFonts w:hint="eastAsia"/>
          <w:lang w:val="en-US" w:eastAsia="zh-CN"/>
        </w:rPr>
        <w:t>指标，预期目标值为≥90%，实际完成为90%。实际完成率100%。</w:t>
      </w:r>
    </w:p>
    <w:p>
      <w:pPr>
        <w:bidi w:val="0"/>
        <w:rPr>
          <w:rFonts w:hint="eastAsia"/>
          <w:lang w:eastAsia="zh-CN"/>
        </w:rPr>
      </w:pPr>
      <w:r>
        <w:rPr>
          <w:rFonts w:hint="eastAsia"/>
          <w:b/>
          <w:bCs/>
          <w:lang w:val="en-US" w:eastAsia="zh-CN"/>
        </w:rPr>
        <w:t>综上，该项指标满分4</w:t>
      </w:r>
      <w:r>
        <w:rPr>
          <w:rFonts w:hint="eastAsia"/>
          <w:b/>
          <w:bCs/>
          <w:color w:val="auto"/>
          <w:lang w:val="en-US" w:eastAsia="zh-CN"/>
        </w:rPr>
        <w:t>分，得分4分</w:t>
      </w:r>
      <w:r>
        <w:rPr>
          <w:rFonts w:hint="eastAsia"/>
          <w:b/>
          <w:bCs/>
          <w:lang w:val="en-US" w:eastAsia="zh-CN"/>
        </w:rPr>
        <w:t>。</w:t>
      </w:r>
    </w:p>
    <w:p>
      <w:pPr>
        <w:bidi w:val="0"/>
        <w:outlineLvl w:val="2"/>
        <w:rPr>
          <w:rFonts w:hint="default"/>
          <w:b/>
          <w:bCs/>
          <w:lang w:val="en-US" w:eastAsia="zh-CN"/>
        </w:rPr>
      </w:pPr>
      <w:bookmarkStart w:id="72" w:name="_Toc18307"/>
      <w:r>
        <w:rPr>
          <w:rFonts w:hint="eastAsia"/>
          <w:b/>
          <w:bCs/>
          <w:lang w:val="en-US" w:eastAsia="zh-CN"/>
        </w:rPr>
        <w:t>3.项目完成时效</w:t>
      </w:r>
      <w:bookmarkEnd w:id="72"/>
    </w:p>
    <w:p>
      <w:pPr>
        <w:bidi w:val="0"/>
        <w:rPr>
          <w:rFonts w:hint="eastAsia"/>
          <w:lang w:eastAsia="zh-CN"/>
        </w:rPr>
      </w:pPr>
      <w:r>
        <w:rPr>
          <w:rFonts w:hint="eastAsia"/>
          <w:lang w:eastAsia="zh-CN"/>
        </w:rPr>
        <w:t>“补助资金发放及时率”</w:t>
      </w:r>
      <w:r>
        <w:rPr>
          <w:rFonts w:hint="eastAsia"/>
          <w:lang w:val="en-US" w:eastAsia="zh-CN"/>
        </w:rPr>
        <w:t>指标，预期目标值为≥90%，实际完成为90%。实际完成率100%。</w:t>
      </w:r>
    </w:p>
    <w:p>
      <w:pPr>
        <w:bidi w:val="0"/>
        <w:rPr>
          <w:rFonts w:hint="eastAsia"/>
          <w:lang w:eastAsia="zh-CN"/>
        </w:rPr>
      </w:pPr>
      <w:r>
        <w:rPr>
          <w:rFonts w:hint="eastAsia"/>
          <w:b/>
          <w:bCs/>
          <w:lang w:val="en-US" w:eastAsia="zh-CN"/>
        </w:rPr>
        <w:t>综上，该项指标满分5</w:t>
      </w:r>
      <w:r>
        <w:rPr>
          <w:rFonts w:hint="eastAsia"/>
          <w:b/>
          <w:bCs/>
          <w:color w:val="auto"/>
          <w:lang w:val="en-US" w:eastAsia="zh-CN"/>
        </w:rPr>
        <w:t>分，得分5分</w:t>
      </w:r>
      <w:r>
        <w:rPr>
          <w:rFonts w:hint="eastAsia"/>
          <w:b/>
          <w:bCs/>
          <w:lang w:val="en-US" w:eastAsia="zh-CN"/>
        </w:rPr>
        <w:t>。</w:t>
      </w:r>
    </w:p>
    <w:p>
      <w:pPr>
        <w:bidi w:val="0"/>
        <w:outlineLvl w:val="2"/>
        <w:rPr>
          <w:rFonts w:hint="default"/>
          <w:b/>
          <w:bCs/>
          <w:lang w:val="en-US" w:eastAsia="zh-CN"/>
        </w:rPr>
      </w:pPr>
      <w:bookmarkStart w:id="73" w:name="_Toc32765"/>
      <w:r>
        <w:rPr>
          <w:rFonts w:hint="eastAsia"/>
          <w:b/>
          <w:bCs/>
          <w:lang w:val="en-US" w:eastAsia="zh-CN"/>
        </w:rPr>
        <w:t>4.项目完成成本</w:t>
      </w:r>
      <w:bookmarkEnd w:id="73"/>
    </w:p>
    <w:p>
      <w:pPr>
        <w:bidi w:val="0"/>
        <w:rPr>
          <w:rFonts w:hint="eastAsia"/>
          <w:lang w:eastAsia="zh-CN"/>
        </w:rPr>
      </w:pPr>
      <w:r>
        <w:rPr>
          <w:rFonts w:hint="eastAsia"/>
          <w:lang w:eastAsia="zh-CN"/>
        </w:rPr>
        <w:t>“80周岁（含80周岁）89周岁的老年人补助标准”</w:t>
      </w:r>
      <w:r>
        <w:rPr>
          <w:rFonts w:hint="eastAsia"/>
          <w:lang w:val="en-US" w:eastAsia="zh-CN"/>
        </w:rPr>
        <w:t>指标，预期目标值为=100元/人/月，实际完成为100元/人/月。实际完成率100%。</w:t>
      </w:r>
    </w:p>
    <w:p>
      <w:pPr>
        <w:bidi w:val="0"/>
        <w:rPr>
          <w:rFonts w:hint="eastAsia"/>
          <w:b/>
          <w:bCs/>
          <w:color w:val="auto"/>
          <w:lang w:val="en-US" w:eastAsia="zh-CN"/>
        </w:rPr>
      </w:pPr>
      <w:r>
        <w:rPr>
          <w:rFonts w:hint="eastAsia"/>
          <w:b/>
          <w:bCs/>
          <w:color w:val="auto"/>
          <w:lang w:val="en-US" w:eastAsia="zh-CN"/>
        </w:rPr>
        <w:t>综上，该项指标满分5分，得分5分。</w:t>
      </w:r>
    </w:p>
    <w:p>
      <w:pPr>
        <w:bidi w:val="0"/>
        <w:rPr>
          <w:rFonts w:hint="eastAsia"/>
          <w:lang w:eastAsia="zh-CN"/>
        </w:rPr>
      </w:pPr>
      <w:r>
        <w:rPr>
          <w:rFonts w:hint="eastAsia"/>
          <w:color w:val="auto"/>
          <w:lang w:eastAsia="zh-CN"/>
        </w:rPr>
        <w:t>“90周岁（含90周岁）89周岁的老年人补助标准”</w:t>
      </w:r>
      <w:r>
        <w:rPr>
          <w:rFonts w:hint="eastAsia"/>
          <w:color w:val="auto"/>
          <w:lang w:val="en-US" w:eastAsia="zh-CN"/>
        </w:rPr>
        <w:t>指标，预期目标值为=200元/人/月，实际完成为200元/人/月。实</w:t>
      </w:r>
      <w:r>
        <w:rPr>
          <w:rFonts w:hint="eastAsia"/>
          <w:lang w:val="en-US" w:eastAsia="zh-CN"/>
        </w:rPr>
        <w:t>际完成率100%。</w:t>
      </w:r>
    </w:p>
    <w:p>
      <w:pPr>
        <w:bidi w:val="0"/>
        <w:rPr>
          <w:rFonts w:hint="eastAsia"/>
          <w:color w:val="auto"/>
          <w:lang w:eastAsia="zh-CN"/>
        </w:rPr>
      </w:pPr>
      <w:r>
        <w:rPr>
          <w:rFonts w:hint="eastAsia"/>
          <w:b/>
          <w:bCs/>
          <w:color w:val="auto"/>
          <w:lang w:val="en-US" w:eastAsia="zh-CN"/>
        </w:rPr>
        <w:t>综上，该项指标满分5分，得分5分。</w:t>
      </w:r>
    </w:p>
    <w:p>
      <w:pPr>
        <w:bidi w:val="0"/>
        <w:rPr>
          <w:rFonts w:hint="eastAsia"/>
          <w:lang w:val="en-US" w:eastAsia="zh-CN"/>
        </w:rPr>
      </w:pPr>
      <w:r>
        <w:rPr>
          <w:rFonts w:hint="eastAsia"/>
          <w:color w:val="auto"/>
          <w:lang w:eastAsia="zh-CN"/>
        </w:rPr>
        <w:t>“100周岁（含100周岁）89周岁的老年人补助标准”</w:t>
      </w:r>
      <w:r>
        <w:rPr>
          <w:rFonts w:hint="eastAsia"/>
          <w:color w:val="auto"/>
          <w:lang w:val="en-US" w:eastAsia="zh-CN"/>
        </w:rPr>
        <w:t>指标，预期目标值为=300元/人/月，实际完成为300元/人/月。实</w:t>
      </w:r>
      <w:r>
        <w:rPr>
          <w:rFonts w:hint="eastAsia"/>
          <w:lang w:val="en-US" w:eastAsia="zh-CN"/>
        </w:rPr>
        <w:t>际完成率100%。</w:t>
      </w:r>
    </w:p>
    <w:p>
      <w:pPr>
        <w:bidi w:val="0"/>
        <w:rPr>
          <w:rFonts w:hint="eastAsia"/>
          <w:b/>
          <w:bCs/>
          <w:lang w:val="en-US" w:eastAsia="zh-CN"/>
        </w:rPr>
      </w:pPr>
      <w:r>
        <w:rPr>
          <w:rFonts w:hint="eastAsia"/>
          <w:b/>
          <w:bCs/>
          <w:color w:val="auto"/>
          <w:lang w:val="en-US" w:eastAsia="zh-CN"/>
        </w:rPr>
        <w:t>综上，该项指标满分5分，得分5分。</w:t>
      </w:r>
    </w:p>
    <w:p>
      <w:pPr>
        <w:pStyle w:val="3"/>
        <w:pageBreakBefore w:val="0"/>
        <w:numPr>
          <w:ilvl w:val="0"/>
          <w:numId w:val="0"/>
        </w:numPr>
        <w:kinsoku/>
        <w:wordWrap/>
        <w:overflowPunct/>
        <w:topLinePunct w:val="0"/>
        <w:autoSpaceDE/>
        <w:autoSpaceDN/>
        <w:bidi w:val="0"/>
        <w:adjustRightInd/>
        <w:spacing w:beforeLines="0" w:afterLines="0" w:line="360" w:lineRule="auto"/>
        <w:ind w:leftChars="200"/>
        <w:textAlignment w:val="auto"/>
        <w:rPr>
          <w:rFonts w:hint="eastAsia" w:ascii="宋体" w:hAnsi="宋体" w:eastAsia="宋体" w:cs="宋体"/>
          <w:color w:val="000000" w:themeColor="text1"/>
          <w:highlight w:val="none"/>
          <w:shd w:val="clear" w:color="auto" w:fill="auto"/>
          <w14:textFill>
            <w14:solidFill>
              <w14:schemeClr w14:val="tx1"/>
            </w14:solidFill>
          </w14:textFill>
        </w:rPr>
      </w:pPr>
      <w:bookmarkStart w:id="74" w:name="_Toc18446"/>
      <w:r>
        <w:rPr>
          <w:rFonts w:hint="eastAsia" w:ascii="宋体" w:hAnsi="宋体" w:eastAsia="宋体" w:cs="宋体"/>
          <w:color w:val="000000" w:themeColor="text1"/>
          <w:highlight w:val="none"/>
          <w:shd w:val="clear" w:color="auto" w:fill="auto"/>
          <w:lang w:eastAsia="zh-CN"/>
          <w14:textFill>
            <w14:solidFill>
              <w14:schemeClr w14:val="tx1"/>
            </w14:solidFill>
          </w14:textFill>
        </w:rPr>
        <w:t>（</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四</w:t>
      </w:r>
      <w:r>
        <w:rPr>
          <w:rFonts w:hint="eastAsia" w:ascii="宋体" w:hAnsi="宋体" w:eastAsia="宋体" w:cs="宋体"/>
          <w:color w:val="000000" w:themeColor="text1"/>
          <w:highlight w:val="none"/>
          <w:shd w:val="clear" w:color="auto" w:fill="auto"/>
          <w:lang w:eastAsia="zh-CN"/>
          <w14:textFill>
            <w14:solidFill>
              <w14:schemeClr w14:val="tx1"/>
            </w14:solidFill>
          </w14:textFill>
        </w:rPr>
        <w:t>）</w:t>
      </w:r>
      <w:r>
        <w:rPr>
          <w:rFonts w:hint="eastAsia" w:ascii="宋体" w:hAnsi="宋体" w:eastAsia="宋体" w:cs="宋体"/>
          <w:color w:val="000000" w:themeColor="text1"/>
          <w:highlight w:val="none"/>
          <w:shd w:val="clear" w:color="auto" w:fill="auto"/>
          <w14:textFill>
            <w14:solidFill>
              <w14:schemeClr w14:val="tx1"/>
            </w14:solidFill>
          </w14:textFill>
        </w:rPr>
        <w:t>项目效益情况</w:t>
      </w:r>
      <w:bookmarkEnd w:id="74"/>
    </w:p>
    <w:p>
      <w:pPr>
        <w:pageBreakBefore w:val="0"/>
        <w:widowControl w:val="0"/>
        <w:kinsoku/>
        <w:wordWrap/>
        <w:overflowPunct/>
        <w:topLinePunct w:val="0"/>
        <w:autoSpaceDE/>
        <w:autoSpaceDN/>
        <w:bidi w:val="0"/>
        <w:adjustRightInd/>
        <w:spacing w:line="360" w:lineRule="auto"/>
        <w:ind w:firstLine="560"/>
        <w:jc w:val="left"/>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ascii="宋体" w:hAnsi="宋体" w:eastAsia="宋体" w:cs="宋体"/>
          <w:color w:val="auto"/>
          <w:highlight w:val="none"/>
          <w:shd w:val="clear" w:color="auto" w:fill="auto"/>
          <w:lang w:val="en-US" w:eastAsia="zh-CN"/>
        </w:rPr>
        <w:t>产出</w:t>
      </w:r>
      <w:r>
        <w:rPr>
          <w:rFonts w:hint="eastAsia" w:ascii="宋体" w:hAnsi="宋体" w:eastAsia="宋体" w:cs="宋体"/>
          <w:color w:val="auto"/>
          <w:kern w:val="2"/>
          <w:highlight w:val="none"/>
          <w:u w:color="000000"/>
          <w:shd w:val="clear" w:color="auto" w:fill="auto"/>
          <w:lang w:val="zh-TW" w:eastAsia="zh-TW"/>
        </w:rPr>
        <w:t>类指标由</w:t>
      </w:r>
      <w:r>
        <w:rPr>
          <w:rFonts w:hint="eastAsia" w:cs="宋体"/>
          <w:color w:val="auto"/>
          <w:kern w:val="2"/>
          <w:highlight w:val="none"/>
          <w:u w:color="000000"/>
          <w:shd w:val="clear" w:color="auto" w:fill="auto"/>
          <w:lang w:val="en-US" w:eastAsia="zh-CN"/>
        </w:rPr>
        <w:t>2</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cs="宋体"/>
          <w:color w:val="auto"/>
          <w:kern w:val="2"/>
          <w:highlight w:val="none"/>
          <w:u w:color="000000"/>
          <w:shd w:val="clear" w:color="auto" w:fill="auto"/>
          <w:lang w:val="en-US" w:eastAsia="zh-CN"/>
        </w:rPr>
        <w:t>2</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ascii="宋体" w:hAnsi="宋体" w:eastAsia="宋体"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pPr>
        <w:pageBreakBefore w:val="0"/>
        <w:widowControl w:val="0"/>
        <w:kinsoku/>
        <w:wordWrap/>
        <w:overflowPunct/>
        <w:topLinePunct w:val="0"/>
        <w:autoSpaceDE/>
        <w:autoSpaceDN/>
        <w:bidi w:val="0"/>
        <w:adjustRightInd/>
        <w:spacing w:line="360" w:lineRule="auto"/>
        <w:ind w:firstLine="560"/>
        <w:jc w:val="center"/>
        <w:textAlignment w:val="auto"/>
        <w:rPr>
          <w:rFonts w:hint="eastAsia" w:ascii="宋体" w:hAnsi="宋体" w:eastAsia="宋体" w:cs="宋体"/>
          <w:b/>
          <w:bCs/>
          <w:color w:val="000000" w:themeColor="text1"/>
          <w:kern w:val="0"/>
          <w:sz w:val="28"/>
          <w:szCs w:val="28"/>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8"/>
          <w:szCs w:val="28"/>
          <w:highlight w:val="none"/>
          <w:shd w:val="clear" w:color="auto" w:fill="auto"/>
          <w:lang w:val="zh-TW" w:eastAsia="zh-TW"/>
          <w14:textFill>
            <w14:solidFill>
              <w14:schemeClr w14:val="tx1"/>
            </w14:solidFill>
          </w14:textFill>
        </w:rPr>
        <w:t>表</w:t>
      </w:r>
      <w:r>
        <w:rPr>
          <w:rFonts w:hint="eastAsia" w:ascii="宋体" w:hAnsi="宋体" w:eastAsia="宋体" w:cs="宋体"/>
          <w:b/>
          <w:bCs/>
          <w:color w:val="000000" w:themeColor="text1"/>
          <w:kern w:val="0"/>
          <w:sz w:val="28"/>
          <w:szCs w:val="28"/>
          <w:highlight w:val="none"/>
          <w:shd w:val="clear" w:color="auto" w:fill="auto"/>
          <w:lang w:val="en-US" w:eastAsia="zh-CN"/>
          <w14:textFill>
            <w14:solidFill>
              <w14:schemeClr w14:val="tx1"/>
            </w14:solidFill>
          </w14:textFill>
        </w:rPr>
        <w:t>4-4项目效益</w:t>
      </w:r>
      <w:r>
        <w:rPr>
          <w:rFonts w:hint="eastAsia" w:ascii="宋体" w:hAnsi="宋体" w:eastAsia="宋体" w:cs="宋体"/>
          <w:b/>
          <w:bCs/>
          <w:color w:val="000000" w:themeColor="text1"/>
          <w:kern w:val="0"/>
          <w:sz w:val="28"/>
          <w:szCs w:val="28"/>
          <w:highlight w:val="none"/>
          <w:shd w:val="clear" w:color="auto" w:fill="auto"/>
          <w:lang w:val="zh-TW" w:eastAsia="zh-TW"/>
          <w14:textFill>
            <w14:solidFill>
              <w14:schemeClr w14:val="tx1"/>
            </w14:solidFill>
          </w14:textFill>
        </w:rPr>
        <w:t>指标及分值</w:t>
      </w:r>
      <w:r>
        <w:rPr>
          <w:rFonts w:hint="eastAsia" w:ascii="宋体" w:hAnsi="宋体" w:eastAsia="宋体" w:cs="宋体"/>
          <w:b/>
          <w:bCs/>
          <w:color w:val="000000" w:themeColor="text1"/>
          <w:kern w:val="0"/>
          <w:sz w:val="28"/>
          <w:szCs w:val="28"/>
          <w:highlight w:val="none"/>
          <w:shd w:val="clear" w:color="auto" w:fill="auto"/>
          <w:lang w:val="en-US" w:eastAsia="zh-CN"/>
          <w14:textFill>
            <w14:solidFill>
              <w14:schemeClr w14:val="tx1"/>
            </w14:solidFill>
          </w14:textFill>
        </w:rPr>
        <w:t>情况</w:t>
      </w:r>
    </w:p>
    <w:tbl>
      <w:tblPr>
        <w:tblStyle w:val="11"/>
        <w:tblW w:w="8372" w:type="dxa"/>
        <w:jc w:val="center"/>
        <w:tblInd w:w="0" w:type="dxa"/>
        <w:shd w:val="clear" w:color="auto" w:fill="auto"/>
        <w:tblLayout w:type="fixed"/>
        <w:tblCellMar>
          <w:top w:w="0" w:type="dxa"/>
          <w:left w:w="0" w:type="dxa"/>
          <w:bottom w:w="0" w:type="dxa"/>
          <w:right w:w="0" w:type="dxa"/>
        </w:tblCellMar>
      </w:tblPr>
      <w:tblGrid>
        <w:gridCol w:w="685"/>
        <w:gridCol w:w="1725"/>
        <w:gridCol w:w="2744"/>
        <w:gridCol w:w="870"/>
        <w:gridCol w:w="645"/>
        <w:gridCol w:w="1050"/>
        <w:gridCol w:w="653"/>
      </w:tblGrid>
      <w:tr>
        <w:tblPrEx>
          <w:tblLayout w:type="fixed"/>
          <w:tblCellMar>
            <w:top w:w="0" w:type="dxa"/>
            <w:left w:w="0" w:type="dxa"/>
            <w:bottom w:w="0" w:type="dxa"/>
            <w:right w:w="0" w:type="dxa"/>
          </w:tblCellMar>
        </w:tblPrEx>
        <w:trPr>
          <w:trHeight w:val="816" w:hRule="atLeast"/>
          <w:jc w:val="center"/>
        </w:trPr>
        <w:tc>
          <w:tcPr>
            <w:tcW w:w="68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bookmarkStart w:id="75" w:name="_Toc8010"/>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一级</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指标</w:t>
            </w:r>
          </w:p>
        </w:tc>
        <w:tc>
          <w:tcPr>
            <w:tcW w:w="172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二级指标</w:t>
            </w:r>
          </w:p>
        </w:tc>
        <w:tc>
          <w:tcPr>
            <w:tcW w:w="27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三级指标</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年度指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标值</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标杆</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分值</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全年实</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际完成值</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指标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得分</w:t>
            </w:r>
          </w:p>
        </w:tc>
      </w:tr>
      <w:tr>
        <w:tblPrEx>
          <w:tblLayout w:type="fixed"/>
          <w:tblCellMar>
            <w:top w:w="0" w:type="dxa"/>
            <w:left w:w="0" w:type="dxa"/>
            <w:bottom w:w="0" w:type="dxa"/>
            <w:right w:w="0" w:type="dxa"/>
          </w:tblCellMar>
        </w:tblPrEx>
        <w:trPr>
          <w:trHeight w:val="436" w:hRule="atLeast"/>
          <w:jc w:val="center"/>
        </w:trPr>
        <w:tc>
          <w:tcPr>
            <w:tcW w:w="685" w:type="dxa"/>
            <w:vMerge w:val="restart"/>
            <w:tcBorders>
              <w:top w:val="single" w:color="auto" w:sz="4" w:space="0"/>
              <w:left w:val="single" w:color="auto"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效益</w:t>
            </w:r>
          </w:p>
        </w:tc>
        <w:tc>
          <w:tcPr>
            <w:tcW w:w="1725" w:type="dxa"/>
            <w:tcBorders>
              <w:top w:val="single" w:color="auto"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经济效益指标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r>
      <w:tr>
        <w:tblPrEx>
          <w:tblLayout w:type="fixed"/>
          <w:tblCellMar>
            <w:top w:w="0" w:type="dxa"/>
            <w:left w:w="0" w:type="dxa"/>
            <w:bottom w:w="0" w:type="dxa"/>
            <w:right w:w="0" w:type="dxa"/>
          </w:tblCellMar>
        </w:tblPrEx>
        <w:trPr>
          <w:trHeight w:val="436" w:hRule="atLeast"/>
          <w:jc w:val="center"/>
        </w:trPr>
        <w:tc>
          <w:tcPr>
            <w:tcW w:w="685" w:type="dxa"/>
            <w:vMerge w:val="continue"/>
            <w:tcBorders>
              <w:left w:val="single" w:color="auto"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社会效益指标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高龄老人的生活质量</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提高</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15</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100%</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15</w:t>
            </w:r>
          </w:p>
        </w:tc>
      </w:tr>
      <w:tr>
        <w:tblPrEx>
          <w:tblLayout w:type="fixed"/>
          <w:tblCellMar>
            <w:top w:w="0" w:type="dxa"/>
            <w:left w:w="0" w:type="dxa"/>
            <w:bottom w:w="0" w:type="dxa"/>
            <w:right w:w="0" w:type="dxa"/>
          </w:tblCellMar>
        </w:tblPrEx>
        <w:trPr>
          <w:trHeight w:val="436" w:hRule="atLeast"/>
          <w:jc w:val="center"/>
        </w:trPr>
        <w:tc>
          <w:tcPr>
            <w:tcW w:w="685" w:type="dxa"/>
            <w:vMerge w:val="continue"/>
            <w:tcBorders>
              <w:left w:val="single" w:color="auto"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tcBorders>
              <w:top w:val="single" w:color="000000" w:sz="4" w:space="0"/>
              <w:left w:val="single" w:color="000000"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生态效益指标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r>
      <w:tr>
        <w:tblPrEx>
          <w:tblLayout w:type="fixed"/>
          <w:tblCellMar>
            <w:top w:w="0" w:type="dxa"/>
            <w:left w:w="0" w:type="dxa"/>
            <w:bottom w:w="0" w:type="dxa"/>
            <w:right w:w="0" w:type="dxa"/>
          </w:tblCellMar>
        </w:tblPrEx>
        <w:trPr>
          <w:trHeight w:val="436" w:hRule="atLeast"/>
          <w:jc w:val="center"/>
        </w:trPr>
        <w:tc>
          <w:tcPr>
            <w:tcW w:w="685" w:type="dxa"/>
            <w:vMerge w:val="continue"/>
            <w:tcBorders>
              <w:left w:val="single" w:color="auto"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tcBorders>
              <w:top w:val="single" w:color="000000" w:sz="4" w:space="0"/>
              <w:left w:val="single" w:color="000000"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可持续影响指标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r>
      <w:tr>
        <w:tblPrEx>
          <w:tblLayout w:type="fixed"/>
          <w:tblCellMar>
            <w:top w:w="0" w:type="dxa"/>
            <w:left w:w="0" w:type="dxa"/>
            <w:bottom w:w="0" w:type="dxa"/>
            <w:right w:w="0" w:type="dxa"/>
          </w:tblCellMar>
        </w:tblPrEx>
        <w:trPr>
          <w:trHeight w:val="436" w:hRule="atLeast"/>
          <w:jc w:val="center"/>
        </w:trPr>
        <w:tc>
          <w:tcPr>
            <w:tcW w:w="685" w:type="dxa"/>
            <w:vMerge w:val="continue"/>
            <w:tcBorders>
              <w:top w:val="single" w:color="auto"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满意度指标</w:t>
            </w:r>
          </w:p>
        </w:tc>
        <w:tc>
          <w:tcPr>
            <w:tcW w:w="27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80周岁以上高龄老人满意度</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≥90%</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15</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90%</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15</w:t>
            </w:r>
          </w:p>
        </w:tc>
      </w:tr>
      <w:tr>
        <w:tblPrEx>
          <w:tblLayout w:type="fixed"/>
          <w:tblCellMar>
            <w:top w:w="0" w:type="dxa"/>
            <w:left w:w="0" w:type="dxa"/>
            <w:bottom w:w="0" w:type="dxa"/>
            <w:right w:w="0" w:type="dxa"/>
          </w:tblCellMar>
        </w:tblPrEx>
        <w:trPr>
          <w:trHeight w:val="469" w:hRule="atLeast"/>
          <w:jc w:val="center"/>
        </w:trPr>
        <w:tc>
          <w:tcPr>
            <w:tcW w:w="6024"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30</w:t>
            </w:r>
          </w:p>
        </w:tc>
      </w:tr>
    </w:tbl>
    <w:p>
      <w:pPr>
        <w:bidi w:val="0"/>
        <w:outlineLvl w:val="2"/>
        <w:rPr>
          <w:rFonts w:hint="default"/>
          <w:b/>
          <w:bCs/>
          <w:lang w:val="en-US" w:eastAsia="zh-CN"/>
        </w:rPr>
      </w:pPr>
      <w:r>
        <w:rPr>
          <w:rFonts w:hint="eastAsia"/>
          <w:b/>
          <w:bCs/>
          <w:lang w:val="en-US" w:eastAsia="zh-CN"/>
        </w:rPr>
        <w:t>1.经济效益指标</w:t>
      </w:r>
    </w:p>
    <w:p>
      <w:pPr>
        <w:bidi w:val="0"/>
        <w:rPr>
          <w:rFonts w:hint="eastAsia"/>
          <w:b/>
          <w:bCs/>
          <w:lang w:val="en-US" w:eastAsia="zh-CN"/>
        </w:rPr>
      </w:pPr>
      <w:r>
        <w:rPr>
          <w:rFonts w:hint="eastAsia"/>
          <w:lang w:val="en-US" w:eastAsia="zh-CN"/>
        </w:rPr>
        <w:t>本项目不涉及经济效益指标。</w:t>
      </w:r>
    </w:p>
    <w:p>
      <w:pPr>
        <w:bidi w:val="0"/>
        <w:outlineLvl w:val="2"/>
        <w:rPr>
          <w:rFonts w:hint="eastAsia"/>
          <w:b/>
          <w:bCs/>
          <w:lang w:val="en-US" w:eastAsia="zh-CN"/>
        </w:rPr>
      </w:pPr>
      <w:bookmarkStart w:id="76" w:name="_Toc27006"/>
      <w:r>
        <w:rPr>
          <w:rFonts w:hint="eastAsia"/>
          <w:b/>
          <w:bCs/>
          <w:lang w:val="en-US" w:eastAsia="zh-CN"/>
        </w:rPr>
        <w:t>2.社会效益指标</w:t>
      </w:r>
      <w:bookmarkEnd w:id="76"/>
    </w:p>
    <w:p>
      <w:pPr>
        <w:bidi w:val="0"/>
        <w:rPr>
          <w:rFonts w:hint="eastAsia"/>
          <w:b w:val="0"/>
          <w:bCs w:val="0"/>
          <w:lang w:val="en-US" w:eastAsia="zh-CN"/>
        </w:rPr>
      </w:pPr>
      <w:r>
        <w:rPr>
          <w:rFonts w:hint="eastAsia" w:ascii="宋体" w:hAnsi="宋体" w:eastAsia="宋体" w:cs="宋体"/>
          <w:lang w:val="en-US" w:eastAsia="zh-CN"/>
        </w:rPr>
        <w:t>“高龄老人的生活质量”</w:t>
      </w:r>
      <w:r>
        <w:rPr>
          <w:rFonts w:hint="eastAsia"/>
          <w:lang w:val="en-US" w:eastAsia="zh-CN"/>
        </w:rPr>
        <w:t>指标，预期目标值为提高，实际完成为100%。</w:t>
      </w:r>
      <w:r>
        <w:rPr>
          <w:rFonts w:hint="eastAsia"/>
          <w:color w:val="auto"/>
          <w:lang w:val="en-US" w:eastAsia="zh-CN"/>
        </w:rPr>
        <w:t>实</w:t>
      </w:r>
      <w:r>
        <w:rPr>
          <w:rFonts w:hint="eastAsia"/>
          <w:lang w:val="en-US" w:eastAsia="zh-CN"/>
        </w:rPr>
        <w:t>际完成率100%。</w:t>
      </w:r>
    </w:p>
    <w:p>
      <w:pPr>
        <w:bidi w:val="0"/>
        <w:rPr>
          <w:rFonts w:hint="eastAsia"/>
          <w:b w:val="0"/>
          <w:bCs w:val="0"/>
          <w:highlight w:val="none"/>
          <w:lang w:val="en-US" w:eastAsia="zh-CN"/>
        </w:rPr>
      </w:pPr>
      <w:r>
        <w:rPr>
          <w:rFonts w:hint="eastAsia"/>
          <w:b w:val="0"/>
          <w:bCs w:val="0"/>
          <w:highlight w:val="none"/>
          <w:lang w:val="en-US" w:eastAsia="zh-CN"/>
        </w:rPr>
        <w:t>通过项目的实施，解决80岁以上高龄老人的基本生活困难、提高他们的生活和生命质量，是弘扬中华民族敬老、爱老、养老传统美德的德政工程，是关心关怀为新疆建设和发展作出贡献的各族老年人的暖心工程和惠民工程。</w:t>
      </w:r>
    </w:p>
    <w:p>
      <w:pPr>
        <w:bidi w:val="0"/>
        <w:rPr>
          <w:rFonts w:hint="eastAsia"/>
          <w:lang w:val="en-US" w:eastAsia="zh-CN"/>
        </w:rPr>
      </w:pPr>
      <w:r>
        <w:rPr>
          <w:rFonts w:hint="eastAsia"/>
          <w:b/>
          <w:bCs/>
          <w:lang w:val="en-US" w:eastAsia="zh-CN"/>
        </w:rPr>
        <w:t>综上，该项指标满分15</w:t>
      </w:r>
      <w:r>
        <w:rPr>
          <w:rFonts w:hint="eastAsia"/>
          <w:b/>
          <w:bCs/>
          <w:color w:val="auto"/>
          <w:lang w:val="en-US" w:eastAsia="zh-CN"/>
        </w:rPr>
        <w:t>分，得分15分</w:t>
      </w:r>
      <w:r>
        <w:rPr>
          <w:rFonts w:hint="eastAsia"/>
          <w:b/>
          <w:bCs/>
          <w:lang w:val="en-US" w:eastAsia="zh-CN"/>
        </w:rPr>
        <w:t>。</w:t>
      </w:r>
    </w:p>
    <w:p>
      <w:pPr>
        <w:bidi w:val="0"/>
        <w:outlineLvl w:val="2"/>
        <w:rPr>
          <w:rFonts w:hint="eastAsia"/>
          <w:lang w:val="en-US" w:eastAsia="zh-CN"/>
        </w:rPr>
      </w:pPr>
      <w:bookmarkStart w:id="77" w:name="_Toc23106"/>
      <w:r>
        <w:rPr>
          <w:rFonts w:hint="eastAsia"/>
          <w:b/>
          <w:bCs/>
          <w:lang w:val="en-US" w:eastAsia="zh-CN"/>
        </w:rPr>
        <w:t>3.生态效益指标</w:t>
      </w:r>
      <w:bookmarkEnd w:id="77"/>
    </w:p>
    <w:p>
      <w:pPr>
        <w:bidi w:val="0"/>
        <w:rPr>
          <w:rFonts w:hint="eastAsia"/>
          <w:b/>
          <w:bCs/>
          <w:lang w:val="en-US" w:eastAsia="zh-CN"/>
        </w:rPr>
      </w:pPr>
      <w:r>
        <w:rPr>
          <w:rFonts w:hint="eastAsia"/>
          <w:lang w:val="en-US" w:eastAsia="zh-CN"/>
        </w:rPr>
        <w:t>本项目不涉及生态效益指标。</w:t>
      </w:r>
    </w:p>
    <w:p>
      <w:pPr>
        <w:bidi w:val="0"/>
        <w:outlineLvl w:val="2"/>
        <w:rPr>
          <w:rFonts w:hint="eastAsia"/>
          <w:b/>
          <w:bCs/>
          <w:lang w:val="en-US" w:eastAsia="zh-CN"/>
        </w:rPr>
      </w:pPr>
      <w:r>
        <w:rPr>
          <w:rFonts w:hint="eastAsia"/>
          <w:b/>
          <w:bCs/>
          <w:lang w:val="en-US" w:eastAsia="zh-CN"/>
        </w:rPr>
        <w:t>4.满意度指标</w:t>
      </w:r>
    </w:p>
    <w:p>
      <w:pPr>
        <w:bidi w:val="0"/>
        <w:rPr>
          <w:rFonts w:hint="eastAsia"/>
          <w:b/>
          <w:bCs/>
          <w:lang w:val="en-US" w:eastAsia="zh-CN"/>
        </w:rPr>
      </w:pPr>
      <w:r>
        <w:rPr>
          <w:rFonts w:hint="eastAsia"/>
          <w:lang w:eastAsia="zh-CN"/>
        </w:rPr>
        <w:t>“80周岁以上高龄老人满意度”</w:t>
      </w:r>
      <w:r>
        <w:rPr>
          <w:rFonts w:hint="eastAsia"/>
          <w:lang w:val="en-US" w:eastAsia="zh-CN"/>
        </w:rPr>
        <w:t>指标，预期目标值为≥90%，实际完成为90%。</w:t>
      </w:r>
      <w:r>
        <w:rPr>
          <w:rFonts w:hint="eastAsia"/>
          <w:color w:val="auto"/>
          <w:lang w:val="en-US" w:eastAsia="zh-CN"/>
        </w:rPr>
        <w:t>实</w:t>
      </w:r>
      <w:r>
        <w:rPr>
          <w:rFonts w:hint="eastAsia"/>
          <w:lang w:val="en-US" w:eastAsia="zh-CN"/>
        </w:rPr>
        <w:t>际完成率100%。</w:t>
      </w:r>
    </w:p>
    <w:p>
      <w:pPr>
        <w:bidi w:val="0"/>
        <w:rPr>
          <w:rFonts w:hint="eastAsia"/>
          <w:b/>
          <w:bCs/>
          <w:color w:val="auto"/>
          <w:lang w:val="en-US" w:eastAsia="zh-CN"/>
        </w:rPr>
      </w:pPr>
      <w:r>
        <w:rPr>
          <w:rFonts w:hint="eastAsia"/>
          <w:b/>
          <w:bCs/>
          <w:lang w:val="en-US" w:eastAsia="zh-CN"/>
        </w:rPr>
        <w:t>综上，该项指标满分</w:t>
      </w:r>
      <w:r>
        <w:rPr>
          <w:rFonts w:hint="eastAsia"/>
          <w:b/>
          <w:bCs/>
          <w:color w:val="auto"/>
          <w:lang w:val="en-US" w:eastAsia="zh-CN"/>
        </w:rPr>
        <w:t>15分，得分15分</w:t>
      </w:r>
      <w:r>
        <w:rPr>
          <w:rFonts w:hint="eastAsia"/>
          <w:b/>
          <w:bCs/>
          <w:lang w:val="en-US" w:eastAsia="zh-CN"/>
        </w:rPr>
        <w:t>。</w:t>
      </w:r>
      <w:bookmarkEnd w:id="75"/>
    </w:p>
    <w:p>
      <w:pPr>
        <w:pStyle w:val="2"/>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pPr>
      <w:bookmarkStart w:id="78" w:name="_Toc19962"/>
      <w:r>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t>五、预算执行进度与指标偏差</w:t>
      </w:r>
      <w:bookmarkEnd w:id="78"/>
    </w:p>
    <w:p>
      <w:pPr>
        <w:keepNext w:val="0"/>
        <w:keepLines w:val="0"/>
        <w:pageBreakBefore w:val="0"/>
        <w:widowControl w:val="0"/>
        <w:kinsoku/>
        <w:wordWrap/>
        <w:overflowPunct/>
        <w:topLinePunct w:val="0"/>
        <w:autoSpaceDE/>
        <w:autoSpaceDN/>
        <w:bidi w:val="0"/>
        <w:adjustRightInd w:val="0"/>
        <w:snapToGrid w:val="0"/>
        <w:ind w:firstLine="560" w:firstLineChars="200"/>
        <w:textAlignment w:val="auto"/>
        <w:rPr>
          <w:rFonts w:hint="eastAsia" w:cs="仿宋_GB2312"/>
          <w:color w:val="000000" w:themeColor="text1"/>
          <w:sz w:val="28"/>
          <w:szCs w:val="28"/>
          <w:lang w:val="en-US" w:eastAsia="zh-CN"/>
          <w14:textFill>
            <w14:solidFill>
              <w14:schemeClr w14:val="tx1"/>
            </w14:solidFill>
          </w14:textFill>
        </w:rPr>
      </w:pPr>
      <w:r>
        <w:rPr>
          <w:rFonts w:hint="eastAsia" w:cs="仿宋_GB2312"/>
          <w:color w:val="000000" w:themeColor="text1"/>
          <w:sz w:val="28"/>
          <w:szCs w:val="28"/>
          <w:lang w:val="en-US" w:eastAsia="zh-CN"/>
          <w14:textFill>
            <w14:solidFill>
              <w14:schemeClr w14:val="tx1"/>
            </w14:solidFill>
          </w14:textFill>
        </w:rPr>
        <w:t>该</w:t>
      </w:r>
      <w:r>
        <w:rPr>
          <w:rFonts w:hint="eastAsia" w:cs="仿宋_GB2312"/>
          <w:color w:val="000000" w:themeColor="text1"/>
          <w:sz w:val="28"/>
          <w:szCs w:val="28"/>
          <w:lang w:eastAsia="zh-CN"/>
          <w14:textFill>
            <w14:solidFill>
              <w14:schemeClr w14:val="tx1"/>
            </w14:solidFill>
          </w14:textFill>
        </w:rPr>
        <w:t>项目预算资金总额为343.53</w:t>
      </w:r>
      <w:r>
        <w:rPr>
          <w:rFonts w:hint="eastAsia" w:cs="仿宋_GB2312"/>
          <w:color w:val="000000" w:themeColor="text1"/>
          <w:sz w:val="28"/>
          <w:szCs w:val="28"/>
          <w:lang w:val="en-US" w:eastAsia="zh-CN"/>
          <w14:textFill>
            <w14:solidFill>
              <w14:schemeClr w14:val="tx1"/>
            </w14:solidFill>
          </w14:textFill>
        </w:rPr>
        <w:t>万元，全年执行数为343.53万元，预算执行率为100%，</w:t>
      </w:r>
      <w:r>
        <w:rPr>
          <w:rFonts w:hint="eastAsia" w:cs="仿宋_GB2312"/>
          <w:color w:val="000000" w:themeColor="text1"/>
          <w:sz w:val="28"/>
          <w:szCs w:val="28"/>
          <w:lang w:eastAsia="zh-CN"/>
          <w14:textFill>
            <w14:solidFill>
              <w14:schemeClr w14:val="tx1"/>
            </w14:solidFill>
          </w14:textFill>
        </w:rPr>
        <w:t>总体完成率</w:t>
      </w:r>
      <w:r>
        <w:rPr>
          <w:rFonts w:hint="eastAsia" w:cs="仿宋_GB2312"/>
          <w:color w:val="auto"/>
          <w:sz w:val="28"/>
          <w:szCs w:val="28"/>
          <w:lang w:eastAsia="zh-CN"/>
        </w:rPr>
        <w:t>为</w:t>
      </w:r>
      <w:r>
        <w:rPr>
          <w:rFonts w:hint="eastAsia"/>
          <w:b w:val="0"/>
          <w:bCs w:val="0"/>
          <w:color w:val="auto"/>
          <w:lang w:val="en-US" w:eastAsia="zh-CN"/>
        </w:rPr>
        <w:t>100</w:t>
      </w:r>
      <w:r>
        <w:rPr>
          <w:rFonts w:hint="eastAsia" w:cs="仿宋_GB2312"/>
          <w:color w:val="000000" w:themeColor="text1"/>
          <w:sz w:val="28"/>
          <w:szCs w:val="28"/>
          <w:lang w:val="zh-TW" w:eastAsia="zh-TW"/>
          <w14:textFill>
            <w14:solidFill>
              <w14:schemeClr w14:val="tx1"/>
            </w14:solidFill>
          </w14:textFill>
        </w:rPr>
        <w:t>%。</w:t>
      </w:r>
      <w:r>
        <w:rPr>
          <w:rFonts w:hint="eastAsia" w:cs="仿宋_GB2312"/>
          <w:color w:val="000000" w:themeColor="text1"/>
          <w:sz w:val="28"/>
          <w:szCs w:val="28"/>
          <w:lang w:val="en-US" w:eastAsia="zh-CN"/>
          <w14:textFill>
            <w14:solidFill>
              <w14:schemeClr w14:val="tx1"/>
            </w14:solidFill>
          </w14:textFill>
        </w:rPr>
        <w:t>预算执行率与总体完成率之间的偏差为0，无</w:t>
      </w:r>
      <w:r>
        <w:rPr>
          <w:rFonts w:hint="eastAsia"/>
          <w:color w:val="000000" w:themeColor="text1"/>
          <w14:textFill>
            <w14:solidFill>
              <w14:schemeClr w14:val="tx1"/>
            </w14:solidFill>
          </w14:textFill>
        </w:rPr>
        <w:t>偏差</w:t>
      </w:r>
      <w:r>
        <w:rPr>
          <w:rFonts w:hint="eastAsia" w:ascii="仿宋_GB2312" w:hAnsi="仿宋_GB2312" w:cs="仿宋_GB2312"/>
          <w:color w:val="000000" w:themeColor="text1"/>
          <w:sz w:val="28"/>
          <w:szCs w:val="28"/>
          <w14:textFill>
            <w14:solidFill>
              <w14:schemeClr w14:val="tx1"/>
            </w14:solidFill>
          </w14:textFill>
        </w:rPr>
        <w:t>。</w:t>
      </w:r>
    </w:p>
    <w:p>
      <w:pPr>
        <w:pStyle w:val="2"/>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pPr>
      <w:bookmarkStart w:id="79" w:name="_Toc29934"/>
      <w:r>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t>六、主要经验及做法、存在的问题及原因分析</w:t>
      </w:r>
      <w:bookmarkEnd w:id="79"/>
    </w:p>
    <w:p>
      <w:pPr>
        <w:numPr>
          <w:ilvl w:val="0"/>
          <w:numId w:val="0"/>
        </w:numPr>
        <w:bidi w:val="0"/>
        <w:ind w:left="560" w:leftChars="0"/>
        <w:outlineLvl w:val="1"/>
        <w:rPr>
          <w:rFonts w:hint="eastAsia"/>
          <w:b/>
          <w:bCs/>
          <w:color w:val="auto"/>
          <w:lang w:eastAsia="zh-CN"/>
        </w:rPr>
      </w:pPr>
      <w:bookmarkStart w:id="80" w:name="_Toc13160"/>
      <w:bookmarkStart w:id="81" w:name="_Toc28290"/>
      <w:bookmarkStart w:id="82" w:name="_Toc1921"/>
      <w:r>
        <w:rPr>
          <w:rFonts w:hint="eastAsia"/>
          <w:b/>
          <w:bCs/>
          <w:color w:val="auto"/>
          <w:lang w:eastAsia="zh-CN"/>
        </w:rPr>
        <w:t>（</w:t>
      </w:r>
      <w:r>
        <w:rPr>
          <w:rFonts w:hint="eastAsia"/>
          <w:b/>
          <w:bCs/>
          <w:color w:val="auto"/>
          <w:lang w:val="en-US" w:eastAsia="zh-CN"/>
        </w:rPr>
        <w:t>一</w:t>
      </w:r>
      <w:r>
        <w:rPr>
          <w:rFonts w:hint="eastAsia"/>
          <w:b/>
          <w:bCs/>
          <w:color w:val="auto"/>
          <w:lang w:eastAsia="zh-CN"/>
        </w:rPr>
        <w:t>）</w:t>
      </w:r>
      <w:r>
        <w:rPr>
          <w:rFonts w:hint="eastAsia"/>
          <w:b/>
          <w:bCs/>
          <w:color w:val="auto"/>
        </w:rPr>
        <w:t>主要经验及做法</w:t>
      </w:r>
      <w:bookmarkEnd w:id="80"/>
    </w:p>
    <w:p>
      <w:pPr>
        <w:bidi w:val="0"/>
        <w:rPr>
          <w:rFonts w:hint="eastAsia"/>
          <w:color w:val="auto"/>
          <w:lang w:eastAsia="zh-CN"/>
        </w:rPr>
      </w:pPr>
      <w:r>
        <w:rPr>
          <w:rFonts w:hint="eastAsia"/>
          <w:color w:val="auto"/>
          <w:lang w:val="en-US" w:eastAsia="zh-CN"/>
        </w:rPr>
        <w:t>2023年高龄津贴及体检费项目</w:t>
      </w:r>
      <w:r>
        <w:rPr>
          <w:rFonts w:hint="eastAsia"/>
          <w:color w:val="auto"/>
          <w:lang w:eastAsia="zh-CN"/>
        </w:rPr>
        <w:t>20</w:t>
      </w:r>
      <w:r>
        <w:rPr>
          <w:rFonts w:hint="eastAsia"/>
          <w:color w:val="auto"/>
          <w:lang w:val="en-US" w:eastAsia="zh-CN"/>
        </w:rPr>
        <w:t>23</w:t>
      </w:r>
      <w:r>
        <w:rPr>
          <w:rFonts w:hint="eastAsia"/>
          <w:color w:val="auto"/>
          <w:lang w:eastAsia="zh-CN"/>
        </w:rPr>
        <w:t>年预算</w:t>
      </w:r>
      <w:r>
        <w:rPr>
          <w:rFonts w:hint="eastAsia"/>
          <w:color w:val="auto"/>
          <w:lang w:val="en-US" w:eastAsia="zh-CN"/>
        </w:rPr>
        <w:t>数</w:t>
      </w:r>
      <w:r>
        <w:rPr>
          <w:rFonts w:hint="eastAsia"/>
          <w:color w:val="auto"/>
          <w:lang w:eastAsia="zh-CN"/>
        </w:rPr>
        <w:t>为343.53万元，</w:t>
      </w:r>
      <w:r>
        <w:rPr>
          <w:rFonts w:hint="eastAsia"/>
          <w:color w:val="auto"/>
          <w:lang w:val="en-US" w:eastAsia="zh-CN"/>
        </w:rPr>
        <w:t>截至2023年12月31日共</w:t>
      </w:r>
      <w:r>
        <w:rPr>
          <w:rFonts w:hint="eastAsia"/>
          <w:color w:val="auto"/>
          <w:lang w:eastAsia="zh-CN"/>
        </w:rPr>
        <w:t>支出343.53万元，预算</w:t>
      </w:r>
      <w:r>
        <w:rPr>
          <w:rFonts w:hint="eastAsia"/>
          <w:color w:val="auto"/>
          <w:lang w:val="en-US" w:eastAsia="zh-CN"/>
        </w:rPr>
        <w:t>执行</w:t>
      </w:r>
      <w:r>
        <w:rPr>
          <w:rFonts w:hint="eastAsia"/>
          <w:color w:val="auto"/>
          <w:lang w:eastAsia="zh-CN"/>
        </w:rPr>
        <w:t>率为</w:t>
      </w:r>
      <w:r>
        <w:rPr>
          <w:rFonts w:hint="eastAsia"/>
          <w:color w:val="auto"/>
          <w:lang w:val="en-US" w:eastAsia="zh-CN"/>
        </w:rPr>
        <w:t>100</w:t>
      </w:r>
      <w:r>
        <w:rPr>
          <w:rFonts w:hint="eastAsia"/>
          <w:color w:val="auto"/>
          <w:lang w:eastAsia="zh-CN"/>
        </w:rPr>
        <w:t>%。</w:t>
      </w:r>
    </w:p>
    <w:p>
      <w:pPr>
        <w:bidi w:val="0"/>
        <w:rPr>
          <w:rFonts w:hint="eastAsia"/>
          <w:color w:val="auto"/>
          <w:lang w:eastAsia="zh-CN"/>
        </w:rPr>
      </w:pPr>
      <w:r>
        <w:rPr>
          <w:rFonts w:hint="eastAsia"/>
          <w:color w:val="auto"/>
          <w:lang w:eastAsia="zh-CN"/>
        </w:rPr>
        <w:t>阜康市民政局建立健全了预算管理规章制度，各部门严格按照预算编制的原则和要求做好当年预算编制工作，在预算绩效管理工作中，做到合理安排各项资金，重点保障基本支出，按轻重缓急顺序原则，优先安排了阜康市民政局事业发展中关系民生与稳定的项目，切实优化资源配置，提高了资金使用的效率和效果。</w:t>
      </w:r>
    </w:p>
    <w:bookmarkEnd w:id="81"/>
    <w:bookmarkEnd w:id="82"/>
    <w:p>
      <w:pPr>
        <w:bidi w:val="0"/>
        <w:outlineLvl w:val="1"/>
        <w:rPr>
          <w:rFonts w:hint="eastAsia"/>
          <w:b/>
          <w:bCs/>
          <w:lang w:eastAsia="zh-CN"/>
        </w:rPr>
      </w:pPr>
      <w:bookmarkStart w:id="83" w:name="_Toc9582"/>
      <w:r>
        <w:rPr>
          <w:rFonts w:hint="eastAsia"/>
          <w:b/>
          <w:bCs/>
          <w:lang w:eastAsia="zh-CN"/>
        </w:rPr>
        <w:t>（</w:t>
      </w:r>
      <w:r>
        <w:rPr>
          <w:rFonts w:hint="eastAsia"/>
          <w:b/>
          <w:bCs/>
          <w:lang w:val="en-US" w:eastAsia="zh-CN"/>
        </w:rPr>
        <w:t>二</w:t>
      </w:r>
      <w:r>
        <w:rPr>
          <w:rFonts w:hint="eastAsia"/>
          <w:b/>
          <w:bCs/>
          <w:lang w:eastAsia="zh-CN"/>
        </w:rPr>
        <w:t>）</w:t>
      </w:r>
      <w:r>
        <w:rPr>
          <w:rFonts w:hint="eastAsia"/>
          <w:b/>
          <w:bCs/>
        </w:rPr>
        <w:t>存在的问题及原因分析</w:t>
      </w:r>
      <w:bookmarkEnd w:id="83"/>
    </w:p>
    <w:p>
      <w:pPr>
        <w:bidi w:val="0"/>
        <w:rPr>
          <w:rFonts w:hint="eastAsia"/>
          <w:color w:val="auto"/>
          <w:highlight w:val="yellow"/>
          <w:lang w:val="en-US" w:eastAsia="zh-CN"/>
        </w:rPr>
      </w:pPr>
      <w:r>
        <w:rPr>
          <w:rFonts w:hint="eastAsia"/>
          <w:color w:val="auto"/>
          <w:lang w:val="en-US" w:eastAsia="zh-CN"/>
        </w:rPr>
        <w:t>（1）我单位80周岁以上高龄津贴政策宣传还不到位，仍然存在部分老年人因不清楚高龄老人津补贴这一项定而没有按期申报，导致没有享受到其应该享受到的保障，影响了该项政策对于高龄老人这一群体的普惠性。</w:t>
      </w:r>
    </w:p>
    <w:p>
      <w:pPr>
        <w:bidi w:val="0"/>
        <w:rPr>
          <w:rFonts w:hint="default"/>
          <w:color w:val="auto"/>
          <w:lang w:val="en-US" w:eastAsia="zh-CN"/>
        </w:rPr>
      </w:pPr>
      <w:r>
        <w:rPr>
          <w:rFonts w:hint="eastAsia"/>
          <w:color w:val="auto"/>
          <w:lang w:val="en-US" w:eastAsia="zh-CN"/>
        </w:rPr>
        <w:t>（2）政策保障范围外人员享受高龄老人津补贴。根据政策规定，因户口外迁和去世的老年人，从次月起停发高龄津补贴。但是在检查中发现仍然存在对80周岁以上已死亡人员发放高龄老人津补贴的情况。</w:t>
      </w:r>
    </w:p>
    <w:p>
      <w:pPr>
        <w:pStyle w:val="2"/>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pPr>
      <w:bookmarkStart w:id="84" w:name="_Toc5230"/>
      <w:r>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t>七、有关建议</w:t>
      </w:r>
      <w:bookmarkEnd w:id="84"/>
    </w:p>
    <w:p>
      <w:pPr>
        <w:bidi w:val="0"/>
        <w:rPr>
          <w:rFonts w:hint="eastAsia"/>
          <w:color w:val="auto"/>
          <w:lang w:val="en-US" w:eastAsia="zh-CN"/>
        </w:rPr>
      </w:pPr>
      <w:bookmarkStart w:id="85" w:name="_Toc20454"/>
      <w:r>
        <w:rPr>
          <w:rFonts w:hint="eastAsia"/>
          <w:color w:val="auto"/>
          <w:lang w:val="en-US" w:eastAsia="zh-CN"/>
        </w:rPr>
        <w:t>（1）</w:t>
      </w:r>
      <w:bookmarkEnd w:id="85"/>
      <w:r>
        <w:rPr>
          <w:rFonts w:hint="eastAsia"/>
          <w:color w:val="auto"/>
          <w:lang w:val="en-US" w:eastAsia="zh-CN"/>
        </w:rPr>
        <w:t>要加大宣传，拓宽政策知晓面。一方面，通过社区宣传栏、广播及发放各类高龄津补贴宣传单等措施，使更多老年人知晓此项惠民政策，并按要求及时到户籍所在社区办理享受手续。另一方面，不定期从公安部门获得高龄老人信息后与已享受津补贴人员进行比对，有针对性地对年龄达标仍未申报老人进行宣传，真正做到不留死角，全面覆盖。</w:t>
      </w:r>
    </w:p>
    <w:p>
      <w:pPr>
        <w:bidi w:val="0"/>
        <w:rPr>
          <w:rFonts w:hint="default"/>
          <w:color w:val="auto"/>
          <w:lang w:val="en-US" w:eastAsia="zh-CN"/>
        </w:rPr>
      </w:pPr>
      <w:r>
        <w:rPr>
          <w:rFonts w:hint="eastAsia"/>
          <w:color w:val="auto"/>
          <w:lang w:val="en-US" w:eastAsia="zh-CN"/>
        </w:rPr>
        <w:t>（2）要运用信息化手段加强动态管理。全面摸底调查80周岁及以上高龄老人的基本情况，建立高龄老人个人台账和老年人基础数据库，运用信息化手段对享受高龄津补贴的老人数据以及相关异动情况进行动态管理。在此基础上，相关部门也要通过实地调查、询问等方式把握补贴对象的动态信息，实现信息化与实地调查相结合的动态管理模式。</w:t>
      </w:r>
    </w:p>
    <w:p>
      <w:pPr>
        <w:pStyle w:val="2"/>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pPr>
      <w:bookmarkStart w:id="86" w:name="_Toc15618"/>
      <w:r>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t>八、其他需要说明的问题</w:t>
      </w:r>
      <w:bookmarkEnd w:id="86"/>
    </w:p>
    <w:p>
      <w:pPr>
        <w:bidi w:val="0"/>
        <w:rPr>
          <w:rFonts w:hint="default" w:ascii="宋体" w:hAnsi="宋体" w:eastAsia="宋体" w:cs="宋体"/>
          <w:lang w:val="en-US" w:eastAsia="zh-CN"/>
        </w:rPr>
      </w:pPr>
      <w:r>
        <w:rPr>
          <w:rFonts w:hint="eastAsia" w:ascii="宋体" w:hAnsi="宋体" w:eastAsia="宋体" w:cs="宋体"/>
          <w:lang w:val="en-US" w:eastAsia="zh-CN"/>
        </w:rPr>
        <w:t>无其他需要说明的问题。</w:t>
      </w:r>
    </w:p>
    <w:p>
      <w:pPr>
        <w:pageBreakBefore w:val="0"/>
        <w:kinsoku/>
        <w:wordWrap/>
        <w:overflowPunct/>
        <w:topLinePunct w:val="0"/>
        <w:autoSpaceDE/>
        <w:autoSpaceDN/>
        <w:bidi w:val="0"/>
        <w:adjustRightInd/>
        <w:spacing w:line="360" w:lineRule="auto"/>
        <w:textAlignment w:val="auto"/>
        <w:rPr>
          <w:rFonts w:hint="eastAsia" w:cs="宋体"/>
          <w:color w:val="000000" w:themeColor="text1"/>
          <w:highlight w:val="none"/>
          <w:shd w:val="clear" w:color="auto" w:fill="auto"/>
          <w:lang w:val="en-US" w:eastAsia="zh-CN"/>
          <w14:textFill>
            <w14:solidFill>
              <w14:schemeClr w14:val="tx1"/>
            </w14:solidFill>
          </w14:textFill>
        </w:rPr>
      </w:pPr>
    </w:p>
    <w:p>
      <w:pPr>
        <w:ind w:left="0" w:leftChars="0" w:firstLine="0" w:firstLineChars="0"/>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sectPr>
          <w:footerReference r:id="rId3" w:type="default"/>
          <w:pgSz w:w="11906" w:h="16838"/>
          <w:pgMar w:top="1440" w:right="1800" w:bottom="1440" w:left="1800" w:header="737" w:footer="851" w:gutter="0"/>
          <w:pgNumType w:fmt="decimal" w:start="1"/>
          <w:cols w:space="720" w:num="1"/>
          <w:docGrid w:type="lines" w:linePitch="408" w:charSpace="0"/>
        </w:sectPr>
      </w:pPr>
      <w:bookmarkStart w:id="87" w:name="_Toc11349"/>
    </w:p>
    <w:p>
      <w:pPr>
        <w:ind w:left="0" w:leftChars="0" w:firstLine="0" w:firstLineChars="0"/>
      </w:pPr>
      <w:r>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t>附件一、项目支出绩效自评表</w:t>
      </w:r>
      <w:bookmarkEnd w:id="87"/>
    </w:p>
    <w:p>
      <w:pPr>
        <w:tabs>
          <w:tab w:val="left" w:pos="908"/>
        </w:tabs>
        <w:bidi w:val="0"/>
        <w:ind w:left="0" w:leftChars="0" w:firstLine="0" w:firstLineChars="0"/>
        <w:jc w:val="left"/>
        <w:rPr>
          <w:rFonts w:hint="default"/>
          <w:lang w:val="en-US" w:eastAsia="zh-CN"/>
        </w:rPr>
      </w:pPr>
    </w:p>
    <w:tbl>
      <w:tblPr>
        <w:tblStyle w:val="11"/>
        <w:tblW w:w="141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925"/>
        <w:gridCol w:w="926"/>
        <w:gridCol w:w="926"/>
        <w:gridCol w:w="1019"/>
        <w:gridCol w:w="1299"/>
        <w:gridCol w:w="926"/>
        <w:gridCol w:w="926"/>
        <w:gridCol w:w="1019"/>
        <w:gridCol w:w="926"/>
        <w:gridCol w:w="926"/>
        <w:gridCol w:w="1299"/>
        <w:gridCol w:w="1112"/>
        <w:gridCol w:w="1019"/>
        <w:gridCol w:w="9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Ex>
        <w:trPr>
          <w:trHeight w:val="800" w:hRule="atLeast"/>
        </w:trPr>
        <w:tc>
          <w:tcPr>
            <w:tcW w:w="14174" w:type="dxa"/>
            <w:gridSpan w:val="14"/>
            <w:tcBorders>
              <w:top w:val="nil"/>
              <w:left w:val="nil"/>
              <w:bottom w:val="nil"/>
              <w:right w:val="nil"/>
            </w:tcBorders>
            <w:shd w:val="clear" w:color="auto" w:fill="auto"/>
            <w:vAlign w:val="center"/>
          </w:tcPr>
          <w:p>
            <w:pPr>
              <w:keepNext w:val="0"/>
              <w:keepLines w:val="0"/>
              <w:widowControl/>
              <w:suppressLineNumbers w:val="0"/>
              <w:ind w:firstLine="801" w:firstLineChars="200"/>
              <w:jc w:val="center"/>
              <w:textAlignment w:val="center"/>
              <w:rPr>
                <w:rFonts w:ascii="华文中宋" w:hAnsi="华文中宋" w:eastAsia="华文中宋" w:cs="华文中宋"/>
                <w:b/>
                <w:bCs/>
                <w:i w:val="0"/>
                <w:iCs w:val="0"/>
                <w:color w:val="000000"/>
                <w:sz w:val="40"/>
                <w:szCs w:val="40"/>
                <w:u w:val="none"/>
              </w:rPr>
            </w:pPr>
            <w:r>
              <w:rPr>
                <w:rFonts w:hint="eastAsia" w:ascii="华文中宋" w:hAnsi="华文中宋" w:eastAsia="华文中宋" w:cs="华文中宋"/>
                <w:b/>
                <w:bCs/>
                <w:i w:val="0"/>
                <w:iCs w:val="0"/>
                <w:color w:val="000000"/>
                <w:kern w:val="0"/>
                <w:sz w:val="40"/>
                <w:szCs w:val="40"/>
                <w:u w:val="none"/>
                <w:lang w:val="en-US" w:eastAsia="zh-CN" w:bidi="ar"/>
              </w:rPr>
              <w:t>项目支出绩效自评表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0" w:hRule="atLeast"/>
        </w:trPr>
        <w:tc>
          <w:tcPr>
            <w:tcW w:w="14174" w:type="dxa"/>
            <w:gridSpan w:val="14"/>
            <w:tcBorders>
              <w:top w:val="nil"/>
              <w:left w:val="nil"/>
              <w:bottom w:val="single" w:color="auto" w:sz="4" w:space="0"/>
              <w:right w:val="nil"/>
            </w:tcBorders>
            <w:shd w:val="clear" w:color="auto" w:fill="auto"/>
            <w:vAlign w:val="center"/>
          </w:tcPr>
          <w:p>
            <w:pPr>
              <w:keepNext w:val="0"/>
              <w:keepLines w:val="0"/>
              <w:widowControl/>
              <w:suppressLineNumbers w:val="0"/>
              <w:ind w:firstLine="442" w:firstLineChars="20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（2023年度）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1851" w:type="dxa"/>
            <w:gridSpan w:val="2"/>
            <w:tcBorders>
              <w:top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12323" w:type="dxa"/>
            <w:gridSpan w:val="12"/>
            <w:tcBorders>
              <w:top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2023年高龄津贴及体检费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1851" w:type="dxa"/>
            <w:gridSpan w:val="2"/>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主管部门</w:t>
            </w:r>
          </w:p>
        </w:tc>
        <w:tc>
          <w:tcPr>
            <w:tcW w:w="5096" w:type="dxa"/>
            <w:gridSpan w:val="5"/>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阜康市民政局</w:t>
            </w:r>
          </w:p>
        </w:tc>
        <w:tc>
          <w:tcPr>
            <w:tcW w:w="1945" w:type="dxa"/>
            <w:gridSpan w:val="2"/>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实施单位</w:t>
            </w:r>
          </w:p>
        </w:tc>
        <w:tc>
          <w:tcPr>
            <w:tcW w:w="5282" w:type="dxa"/>
            <w:gridSpan w:val="5"/>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阜康市民政局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1851" w:type="dxa"/>
            <w:gridSpan w:val="2"/>
            <w:vMerge w:val="restart"/>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项目资金</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（万元）</w:t>
            </w:r>
          </w:p>
        </w:tc>
        <w:tc>
          <w:tcPr>
            <w:tcW w:w="1945" w:type="dxa"/>
            <w:gridSpan w:val="2"/>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资金来源</w:t>
            </w:r>
          </w:p>
        </w:tc>
        <w:tc>
          <w:tcPr>
            <w:tcW w:w="1299"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年初预算数</w:t>
            </w:r>
          </w:p>
        </w:tc>
        <w:tc>
          <w:tcPr>
            <w:tcW w:w="1852" w:type="dxa"/>
            <w:gridSpan w:val="2"/>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全年预算数</w:t>
            </w:r>
          </w:p>
        </w:tc>
        <w:tc>
          <w:tcPr>
            <w:tcW w:w="1945" w:type="dxa"/>
            <w:gridSpan w:val="2"/>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全年执行数</w:t>
            </w:r>
          </w:p>
        </w:tc>
        <w:tc>
          <w:tcPr>
            <w:tcW w:w="2225" w:type="dxa"/>
            <w:gridSpan w:val="2"/>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分值权重</w:t>
            </w:r>
          </w:p>
        </w:tc>
        <w:tc>
          <w:tcPr>
            <w:tcW w:w="2131" w:type="dxa"/>
            <w:gridSpan w:val="2"/>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执行率</w:t>
            </w:r>
          </w:p>
        </w:tc>
        <w:tc>
          <w:tcPr>
            <w:tcW w:w="926"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1851" w:type="dxa"/>
            <w:gridSpan w:val="2"/>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1945" w:type="dxa"/>
            <w:gridSpan w:val="2"/>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年度资金总额</w:t>
            </w:r>
          </w:p>
        </w:tc>
        <w:tc>
          <w:tcPr>
            <w:tcW w:w="1299"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548.52 </w:t>
            </w:r>
          </w:p>
        </w:tc>
        <w:tc>
          <w:tcPr>
            <w:tcW w:w="1852" w:type="dxa"/>
            <w:gridSpan w:val="2"/>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343.53 </w:t>
            </w:r>
          </w:p>
        </w:tc>
        <w:tc>
          <w:tcPr>
            <w:tcW w:w="1945" w:type="dxa"/>
            <w:gridSpan w:val="2"/>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343.53 </w:t>
            </w:r>
          </w:p>
        </w:tc>
        <w:tc>
          <w:tcPr>
            <w:tcW w:w="2225" w:type="dxa"/>
            <w:gridSpan w:val="2"/>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2131" w:type="dxa"/>
            <w:gridSpan w:val="2"/>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w:t>
            </w:r>
          </w:p>
        </w:tc>
        <w:tc>
          <w:tcPr>
            <w:tcW w:w="926"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1851" w:type="dxa"/>
            <w:gridSpan w:val="2"/>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1945" w:type="dxa"/>
            <w:gridSpan w:val="2"/>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其中：当年财政拨款</w:t>
            </w:r>
          </w:p>
        </w:tc>
        <w:tc>
          <w:tcPr>
            <w:tcW w:w="1299"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548.52 </w:t>
            </w:r>
          </w:p>
        </w:tc>
        <w:tc>
          <w:tcPr>
            <w:tcW w:w="1852" w:type="dxa"/>
            <w:gridSpan w:val="2"/>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343.53 </w:t>
            </w:r>
          </w:p>
        </w:tc>
        <w:tc>
          <w:tcPr>
            <w:tcW w:w="1945" w:type="dxa"/>
            <w:gridSpan w:val="2"/>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343.53 </w:t>
            </w:r>
          </w:p>
        </w:tc>
        <w:tc>
          <w:tcPr>
            <w:tcW w:w="2225" w:type="dxa"/>
            <w:gridSpan w:val="2"/>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131" w:type="dxa"/>
            <w:gridSpan w:val="2"/>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26"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1851" w:type="dxa"/>
            <w:gridSpan w:val="2"/>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1945" w:type="dxa"/>
            <w:gridSpan w:val="2"/>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其他资金</w:t>
            </w:r>
          </w:p>
        </w:tc>
        <w:tc>
          <w:tcPr>
            <w:tcW w:w="1299"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1852" w:type="dxa"/>
            <w:gridSpan w:val="2"/>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1945" w:type="dxa"/>
            <w:gridSpan w:val="2"/>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2225" w:type="dxa"/>
            <w:gridSpan w:val="2"/>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131" w:type="dxa"/>
            <w:gridSpan w:val="2"/>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26"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925" w:type="dxa"/>
            <w:vMerge w:val="restart"/>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年度总体目标</w:t>
            </w:r>
          </w:p>
        </w:tc>
        <w:tc>
          <w:tcPr>
            <w:tcW w:w="7967" w:type="dxa"/>
            <w:gridSpan w:val="8"/>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总体目标</w:t>
            </w:r>
          </w:p>
        </w:tc>
        <w:tc>
          <w:tcPr>
            <w:tcW w:w="5282" w:type="dxa"/>
            <w:gridSpan w:val="5"/>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总体目标完成情况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20" w:hRule="atLeast"/>
        </w:trPr>
        <w:tc>
          <w:tcPr>
            <w:tcW w:w="925"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7967" w:type="dxa"/>
            <w:gridSpan w:val="8"/>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要职能：负责城乡社会救济工作；组织实施城乡居民最低生活保障制度；接收孤儿、弃婴和城市生活无着的流浪乞讨人员的救助；负责社会福利工作；负责殡葬管理工作，推进殡葬改革。解决80周岁以上老年人基本生活困难，不断提高生活和生命质量。80周岁以上老年人免费体检次数1次，享受80周岁以上高龄津贴的10000人次，补助资金发放及时，补助资金到位，80周岁（含80周岁）89周岁的老年人补助标准100元每人每月，90周岁（含90周岁）89周岁的老年人补助标准200元每人每月，100周岁（含100周岁）89周岁的老年人补助标准300元每人每月。</w:t>
            </w:r>
          </w:p>
        </w:tc>
        <w:tc>
          <w:tcPr>
            <w:tcW w:w="5282" w:type="dxa"/>
            <w:gridSpan w:val="5"/>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截至2023年12月31日，本项目完成2023年高龄津贴及体检费343.53万元,达到解决80周岁以上老年人基本生活困难，不断提高生活和生命质量。80周岁以上老年人免费体检次数1次，享受80周岁以上高龄津贴的10000人次，补助资金发放及时，补助资金到位，80周岁（含80周岁）89周岁的老年人补助标准100元每人每月，90周岁（含90周岁）89周岁的老年人补助标准200元每人每月，100周岁（含100周岁）89周岁的老年人补助标准300元每人每月达到提高高龄老人的生活质量效益，80岁以上高龄老人满意度达到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Ex>
        <w:trPr>
          <w:trHeight w:val="600" w:hRule="atLeast"/>
        </w:trPr>
        <w:tc>
          <w:tcPr>
            <w:tcW w:w="925" w:type="dxa"/>
            <w:shd w:val="clear" w:color="auto" w:fill="auto"/>
            <w:vAlign w:val="center"/>
          </w:tcPr>
          <w:p>
            <w:pPr>
              <w:jc w:val="center"/>
              <w:rPr>
                <w:rFonts w:hint="eastAsia" w:ascii="宋体" w:hAnsi="宋体" w:eastAsia="宋体" w:cs="宋体"/>
                <w:i w:val="0"/>
                <w:iCs w:val="0"/>
                <w:color w:val="000000"/>
                <w:sz w:val="20"/>
                <w:szCs w:val="20"/>
                <w:u w:val="none"/>
              </w:rPr>
            </w:pPr>
          </w:p>
        </w:tc>
        <w:tc>
          <w:tcPr>
            <w:tcW w:w="926"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一级指标</w:t>
            </w:r>
          </w:p>
        </w:tc>
        <w:tc>
          <w:tcPr>
            <w:tcW w:w="926"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二级指标</w:t>
            </w:r>
          </w:p>
        </w:tc>
        <w:tc>
          <w:tcPr>
            <w:tcW w:w="1019"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1299"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指标值</w:t>
            </w:r>
          </w:p>
        </w:tc>
        <w:tc>
          <w:tcPr>
            <w:tcW w:w="926"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指标值设置依据</w:t>
            </w:r>
          </w:p>
        </w:tc>
        <w:tc>
          <w:tcPr>
            <w:tcW w:w="926"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上年完成值</w:t>
            </w:r>
          </w:p>
        </w:tc>
        <w:tc>
          <w:tcPr>
            <w:tcW w:w="1019"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指标分值权重</w:t>
            </w:r>
          </w:p>
        </w:tc>
        <w:tc>
          <w:tcPr>
            <w:tcW w:w="926"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指标赋分规则</w:t>
            </w:r>
          </w:p>
        </w:tc>
        <w:tc>
          <w:tcPr>
            <w:tcW w:w="926"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佐证资料</w:t>
            </w:r>
          </w:p>
        </w:tc>
        <w:tc>
          <w:tcPr>
            <w:tcW w:w="1299"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指标实际完成值</w:t>
            </w:r>
          </w:p>
        </w:tc>
        <w:tc>
          <w:tcPr>
            <w:tcW w:w="1112"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完成率</w:t>
            </w:r>
          </w:p>
        </w:tc>
        <w:tc>
          <w:tcPr>
            <w:tcW w:w="1019"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指标得分</w:t>
            </w:r>
          </w:p>
        </w:tc>
        <w:tc>
          <w:tcPr>
            <w:tcW w:w="926"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偏差原因分析及改进措施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40" w:hRule="atLeast"/>
        </w:trPr>
        <w:tc>
          <w:tcPr>
            <w:tcW w:w="925" w:type="dxa"/>
            <w:vMerge w:val="restart"/>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年度绩效指标完成情况</w:t>
            </w:r>
          </w:p>
        </w:tc>
        <w:tc>
          <w:tcPr>
            <w:tcW w:w="926" w:type="dxa"/>
            <w:vMerge w:val="restart"/>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产出指标</w:t>
            </w:r>
          </w:p>
        </w:tc>
        <w:tc>
          <w:tcPr>
            <w:tcW w:w="926" w:type="dxa"/>
            <w:vMerge w:val="restart"/>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1019"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80周岁以上老年人免费体检次数</w:t>
            </w:r>
          </w:p>
        </w:tc>
        <w:tc>
          <w:tcPr>
            <w:tcW w:w="1299"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≥1次</w:t>
            </w:r>
          </w:p>
        </w:tc>
        <w:tc>
          <w:tcPr>
            <w:tcW w:w="926"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926"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19"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926"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926"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299"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1次</w:t>
            </w:r>
          </w:p>
        </w:tc>
        <w:tc>
          <w:tcPr>
            <w:tcW w:w="1112"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19"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926" w:type="dxa"/>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0" w:hRule="atLeast"/>
        </w:trPr>
        <w:tc>
          <w:tcPr>
            <w:tcW w:w="925"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926"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926"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1019"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享受80周岁以上高龄津贴的人次</w:t>
            </w:r>
          </w:p>
        </w:tc>
        <w:tc>
          <w:tcPr>
            <w:tcW w:w="1299"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≥10000人次</w:t>
            </w:r>
          </w:p>
        </w:tc>
        <w:tc>
          <w:tcPr>
            <w:tcW w:w="926"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926"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19"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w:t>
            </w:r>
          </w:p>
        </w:tc>
        <w:tc>
          <w:tcPr>
            <w:tcW w:w="926"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926"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299"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100000人次</w:t>
            </w:r>
          </w:p>
        </w:tc>
        <w:tc>
          <w:tcPr>
            <w:tcW w:w="1112"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19"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w:t>
            </w:r>
          </w:p>
        </w:tc>
        <w:tc>
          <w:tcPr>
            <w:tcW w:w="926" w:type="dxa"/>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0" w:hRule="atLeast"/>
        </w:trPr>
        <w:tc>
          <w:tcPr>
            <w:tcW w:w="925"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926"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926"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1019"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惠及80周岁以上高龄老人实际占比</w:t>
            </w:r>
          </w:p>
        </w:tc>
        <w:tc>
          <w:tcPr>
            <w:tcW w:w="1299"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w:t>
            </w:r>
          </w:p>
        </w:tc>
        <w:tc>
          <w:tcPr>
            <w:tcW w:w="926"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926"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19"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w:t>
            </w:r>
          </w:p>
        </w:tc>
        <w:tc>
          <w:tcPr>
            <w:tcW w:w="926"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926"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299"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w:t>
            </w:r>
          </w:p>
        </w:tc>
        <w:tc>
          <w:tcPr>
            <w:tcW w:w="1112"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19"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w:t>
            </w:r>
          </w:p>
        </w:tc>
        <w:tc>
          <w:tcPr>
            <w:tcW w:w="926" w:type="dxa"/>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0" w:hRule="atLeast"/>
        </w:trPr>
        <w:tc>
          <w:tcPr>
            <w:tcW w:w="925"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926"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926"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1019"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补助资金发放及时率</w:t>
            </w:r>
          </w:p>
        </w:tc>
        <w:tc>
          <w:tcPr>
            <w:tcW w:w="1299"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w:t>
            </w:r>
          </w:p>
        </w:tc>
        <w:tc>
          <w:tcPr>
            <w:tcW w:w="926"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926"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19"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926"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926"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299"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w:t>
            </w:r>
          </w:p>
        </w:tc>
        <w:tc>
          <w:tcPr>
            <w:tcW w:w="1112"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19"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926" w:type="dxa"/>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00" w:hRule="atLeast"/>
        </w:trPr>
        <w:tc>
          <w:tcPr>
            <w:tcW w:w="925"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926" w:type="dxa"/>
            <w:vMerge w:val="restart"/>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926" w:type="dxa"/>
            <w:vMerge w:val="restart"/>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经济成本指标</w:t>
            </w:r>
          </w:p>
        </w:tc>
        <w:tc>
          <w:tcPr>
            <w:tcW w:w="1019"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80周岁（含80周岁）89周岁的老年人补助标准</w:t>
            </w:r>
          </w:p>
        </w:tc>
        <w:tc>
          <w:tcPr>
            <w:tcW w:w="1299"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=100元/人/月</w:t>
            </w:r>
          </w:p>
        </w:tc>
        <w:tc>
          <w:tcPr>
            <w:tcW w:w="926"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预算支出标准</w:t>
            </w:r>
          </w:p>
        </w:tc>
        <w:tc>
          <w:tcPr>
            <w:tcW w:w="926"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19"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926"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直接赋分</w:t>
            </w:r>
          </w:p>
        </w:tc>
        <w:tc>
          <w:tcPr>
            <w:tcW w:w="926"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原始凭证</w:t>
            </w:r>
          </w:p>
        </w:tc>
        <w:tc>
          <w:tcPr>
            <w:tcW w:w="1299"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100元/人/月</w:t>
            </w:r>
          </w:p>
        </w:tc>
        <w:tc>
          <w:tcPr>
            <w:tcW w:w="1112"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19"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926" w:type="dxa"/>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20" w:hRule="atLeast"/>
        </w:trPr>
        <w:tc>
          <w:tcPr>
            <w:tcW w:w="925"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926"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926"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1019"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90周岁（含90周岁）89周岁的老年人补助标准</w:t>
            </w:r>
          </w:p>
        </w:tc>
        <w:tc>
          <w:tcPr>
            <w:tcW w:w="1299"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=200元/人/月</w:t>
            </w:r>
          </w:p>
        </w:tc>
        <w:tc>
          <w:tcPr>
            <w:tcW w:w="926"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预算支出标准</w:t>
            </w:r>
          </w:p>
        </w:tc>
        <w:tc>
          <w:tcPr>
            <w:tcW w:w="926"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19"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926"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直接赋分</w:t>
            </w:r>
          </w:p>
        </w:tc>
        <w:tc>
          <w:tcPr>
            <w:tcW w:w="926"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原始凭证</w:t>
            </w:r>
          </w:p>
        </w:tc>
        <w:tc>
          <w:tcPr>
            <w:tcW w:w="1299"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200元/人/月</w:t>
            </w:r>
          </w:p>
        </w:tc>
        <w:tc>
          <w:tcPr>
            <w:tcW w:w="1112"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19"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926" w:type="dxa"/>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80" w:hRule="atLeast"/>
        </w:trPr>
        <w:tc>
          <w:tcPr>
            <w:tcW w:w="925"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926"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926"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1019"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100周岁（含100周岁）89周岁的老年人补助标准</w:t>
            </w:r>
          </w:p>
        </w:tc>
        <w:tc>
          <w:tcPr>
            <w:tcW w:w="1299"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=300元/人/月</w:t>
            </w:r>
          </w:p>
        </w:tc>
        <w:tc>
          <w:tcPr>
            <w:tcW w:w="926"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预算支出标准</w:t>
            </w:r>
          </w:p>
        </w:tc>
        <w:tc>
          <w:tcPr>
            <w:tcW w:w="926"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19"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926"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直接赋分</w:t>
            </w:r>
          </w:p>
        </w:tc>
        <w:tc>
          <w:tcPr>
            <w:tcW w:w="926"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原始凭证</w:t>
            </w:r>
          </w:p>
        </w:tc>
        <w:tc>
          <w:tcPr>
            <w:tcW w:w="1299"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300元/人/月</w:t>
            </w:r>
          </w:p>
        </w:tc>
        <w:tc>
          <w:tcPr>
            <w:tcW w:w="1112"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19"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926" w:type="dxa"/>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0" w:hRule="atLeast"/>
        </w:trPr>
        <w:tc>
          <w:tcPr>
            <w:tcW w:w="925"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926"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效益指标</w:t>
            </w:r>
          </w:p>
        </w:tc>
        <w:tc>
          <w:tcPr>
            <w:tcW w:w="926"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社会效益指标</w:t>
            </w:r>
          </w:p>
        </w:tc>
        <w:tc>
          <w:tcPr>
            <w:tcW w:w="1019"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高龄老人的生活质量</w:t>
            </w:r>
          </w:p>
        </w:tc>
        <w:tc>
          <w:tcPr>
            <w:tcW w:w="1299"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提高</w:t>
            </w:r>
          </w:p>
        </w:tc>
        <w:tc>
          <w:tcPr>
            <w:tcW w:w="926"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926"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19"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926"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按评判等级赋分</w:t>
            </w:r>
          </w:p>
        </w:tc>
        <w:tc>
          <w:tcPr>
            <w:tcW w:w="926"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说明材料</w:t>
            </w:r>
          </w:p>
        </w:tc>
        <w:tc>
          <w:tcPr>
            <w:tcW w:w="1299"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112"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19"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926" w:type="dxa"/>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0" w:hRule="atLeast"/>
        </w:trPr>
        <w:tc>
          <w:tcPr>
            <w:tcW w:w="925"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926"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指标</w:t>
            </w:r>
          </w:p>
        </w:tc>
        <w:tc>
          <w:tcPr>
            <w:tcW w:w="926"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1019"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80周岁以上高龄老人满意度</w:t>
            </w:r>
          </w:p>
        </w:tc>
        <w:tc>
          <w:tcPr>
            <w:tcW w:w="1299"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w:t>
            </w:r>
          </w:p>
        </w:tc>
        <w:tc>
          <w:tcPr>
            <w:tcW w:w="926"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926"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19"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926"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满意度赋分</w:t>
            </w:r>
          </w:p>
        </w:tc>
        <w:tc>
          <w:tcPr>
            <w:tcW w:w="926"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299"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w:t>
            </w:r>
          </w:p>
        </w:tc>
        <w:tc>
          <w:tcPr>
            <w:tcW w:w="1112"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19"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926" w:type="dxa"/>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0" w:hRule="atLeast"/>
        </w:trPr>
        <w:tc>
          <w:tcPr>
            <w:tcW w:w="3796" w:type="dxa"/>
            <w:gridSpan w:val="4"/>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总分</w:t>
            </w:r>
          </w:p>
        </w:tc>
        <w:tc>
          <w:tcPr>
            <w:tcW w:w="1299" w:type="dxa"/>
            <w:shd w:val="clear" w:color="auto" w:fill="auto"/>
            <w:vAlign w:val="center"/>
          </w:tcPr>
          <w:p>
            <w:pPr>
              <w:jc w:val="center"/>
              <w:rPr>
                <w:rFonts w:hint="eastAsia" w:ascii="宋体" w:hAnsi="宋体" w:eastAsia="宋体" w:cs="宋体"/>
                <w:i w:val="0"/>
                <w:iCs w:val="0"/>
                <w:color w:val="000000"/>
                <w:sz w:val="20"/>
                <w:szCs w:val="20"/>
                <w:u w:val="none"/>
              </w:rPr>
            </w:pPr>
          </w:p>
        </w:tc>
        <w:tc>
          <w:tcPr>
            <w:tcW w:w="926" w:type="dxa"/>
            <w:shd w:val="clear" w:color="auto" w:fill="auto"/>
            <w:vAlign w:val="center"/>
          </w:tcPr>
          <w:p>
            <w:pPr>
              <w:rPr>
                <w:rFonts w:hint="eastAsia" w:ascii="宋体" w:hAnsi="宋体" w:eastAsia="宋体" w:cs="宋体"/>
                <w:b/>
                <w:bCs/>
                <w:i w:val="0"/>
                <w:iCs w:val="0"/>
                <w:color w:val="000000"/>
                <w:sz w:val="20"/>
                <w:szCs w:val="20"/>
                <w:u w:val="none"/>
              </w:rPr>
            </w:pPr>
          </w:p>
        </w:tc>
        <w:tc>
          <w:tcPr>
            <w:tcW w:w="926" w:type="dxa"/>
            <w:shd w:val="clear" w:color="auto" w:fill="auto"/>
            <w:vAlign w:val="center"/>
          </w:tcPr>
          <w:p>
            <w:pPr>
              <w:jc w:val="center"/>
              <w:rPr>
                <w:rFonts w:hint="eastAsia" w:ascii="宋体" w:hAnsi="宋体" w:eastAsia="宋体" w:cs="宋体"/>
                <w:i w:val="0"/>
                <w:iCs w:val="0"/>
                <w:color w:val="000000"/>
                <w:sz w:val="20"/>
                <w:szCs w:val="20"/>
                <w:u w:val="none"/>
              </w:rPr>
            </w:pPr>
          </w:p>
        </w:tc>
        <w:tc>
          <w:tcPr>
            <w:tcW w:w="1019"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100分</w:t>
            </w:r>
          </w:p>
        </w:tc>
        <w:tc>
          <w:tcPr>
            <w:tcW w:w="926" w:type="dxa"/>
            <w:shd w:val="clear" w:color="auto" w:fill="auto"/>
            <w:vAlign w:val="center"/>
          </w:tcPr>
          <w:p>
            <w:pPr>
              <w:jc w:val="center"/>
              <w:rPr>
                <w:rFonts w:hint="eastAsia" w:ascii="宋体" w:hAnsi="宋体" w:eastAsia="宋体" w:cs="宋体"/>
                <w:i w:val="0"/>
                <w:iCs w:val="0"/>
                <w:color w:val="000000"/>
                <w:sz w:val="20"/>
                <w:szCs w:val="20"/>
                <w:u w:val="none"/>
              </w:rPr>
            </w:pPr>
          </w:p>
        </w:tc>
        <w:tc>
          <w:tcPr>
            <w:tcW w:w="926" w:type="dxa"/>
            <w:shd w:val="clear" w:color="auto" w:fill="auto"/>
            <w:vAlign w:val="center"/>
          </w:tcPr>
          <w:p>
            <w:pPr>
              <w:rPr>
                <w:rFonts w:hint="eastAsia" w:ascii="宋体" w:hAnsi="宋体" w:eastAsia="宋体" w:cs="宋体"/>
                <w:i w:val="0"/>
                <w:iCs w:val="0"/>
                <w:color w:val="000000"/>
                <w:sz w:val="20"/>
                <w:szCs w:val="20"/>
                <w:u w:val="none"/>
              </w:rPr>
            </w:pPr>
          </w:p>
        </w:tc>
        <w:tc>
          <w:tcPr>
            <w:tcW w:w="1299" w:type="dxa"/>
            <w:shd w:val="clear" w:color="auto" w:fill="auto"/>
            <w:vAlign w:val="center"/>
          </w:tcPr>
          <w:p>
            <w:pPr>
              <w:jc w:val="center"/>
              <w:rPr>
                <w:rFonts w:hint="eastAsia" w:ascii="宋体" w:hAnsi="宋体" w:eastAsia="宋体" w:cs="宋体"/>
                <w:i w:val="0"/>
                <w:iCs w:val="0"/>
                <w:color w:val="000000"/>
                <w:sz w:val="20"/>
                <w:szCs w:val="20"/>
                <w:u w:val="none"/>
              </w:rPr>
            </w:pPr>
          </w:p>
        </w:tc>
        <w:tc>
          <w:tcPr>
            <w:tcW w:w="1112" w:type="dxa"/>
            <w:shd w:val="clear" w:color="auto" w:fill="auto"/>
            <w:vAlign w:val="center"/>
          </w:tcPr>
          <w:p>
            <w:pPr>
              <w:rPr>
                <w:rFonts w:hint="eastAsia" w:ascii="宋体" w:hAnsi="宋体" w:eastAsia="宋体" w:cs="宋体"/>
                <w:i w:val="0"/>
                <w:iCs w:val="0"/>
                <w:color w:val="000000"/>
                <w:sz w:val="20"/>
                <w:szCs w:val="20"/>
                <w:u w:val="none"/>
              </w:rPr>
            </w:pPr>
          </w:p>
        </w:tc>
        <w:tc>
          <w:tcPr>
            <w:tcW w:w="1019"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26" w:type="dxa"/>
            <w:shd w:val="clear" w:color="auto" w:fill="auto"/>
            <w:vAlign w:val="center"/>
          </w:tcPr>
          <w:p>
            <w:pPr>
              <w:rPr>
                <w:rFonts w:hint="eastAsia" w:ascii="宋体" w:hAnsi="宋体" w:eastAsia="宋体" w:cs="宋体"/>
                <w:i w:val="0"/>
                <w:iCs w:val="0"/>
                <w:color w:val="000000"/>
                <w:sz w:val="20"/>
                <w:szCs w:val="20"/>
                <w:u w:val="none"/>
              </w:rPr>
            </w:pPr>
          </w:p>
        </w:tc>
      </w:tr>
    </w:tbl>
    <w:p>
      <w:pPr>
        <w:bidi w:val="0"/>
        <w:ind w:left="0" w:leftChars="0" w:firstLine="0" w:firstLineChars="0"/>
        <w:jc w:val="left"/>
        <w:rPr>
          <w:rFonts w:hint="default" w:ascii="宋体" w:hAnsi="宋体" w:eastAsia="宋体" w:cs="宋体"/>
          <w:kern w:val="2"/>
          <w:sz w:val="28"/>
          <w:szCs w:val="28"/>
          <w:lang w:val="en-US" w:eastAsia="zh-CN" w:bidi="ar-SA"/>
        </w:rPr>
        <w:sectPr>
          <w:pgSz w:w="16838" w:h="11906" w:orient="landscape"/>
          <w:pgMar w:top="1800" w:right="1440" w:bottom="1800" w:left="1440" w:header="737" w:footer="851" w:gutter="0"/>
          <w:pgNumType w:fmt="decimal" w:start="1"/>
          <w:cols w:space="720" w:num="1"/>
          <w:docGrid w:type="lines" w:linePitch="408" w:charSpace="0"/>
        </w:sectPr>
      </w:pPr>
    </w:p>
    <w:p>
      <w:pPr>
        <w:pStyle w:val="2"/>
        <w:pageBreakBefore w:val="0"/>
        <w:numPr>
          <w:ilvl w:val="0"/>
          <w:numId w:val="0"/>
        </w:numPr>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pPr>
      <w:bookmarkStart w:id="88" w:name="_Toc15067"/>
      <w:r>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t>附件二、项目支出绩效评价指标体系打分表</w:t>
      </w:r>
      <w:bookmarkEnd w:id="88"/>
    </w:p>
    <w:tbl>
      <w:tblPr>
        <w:tblStyle w:val="11"/>
        <w:tblW w:w="13924" w:type="dxa"/>
        <w:jc w:val="center"/>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
      <w:tblGrid>
        <w:gridCol w:w="861"/>
        <w:gridCol w:w="727"/>
        <w:gridCol w:w="820"/>
        <w:gridCol w:w="2141"/>
        <w:gridCol w:w="7821"/>
        <w:gridCol w:w="785"/>
        <w:gridCol w:w="769"/>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Ex>
        <w:trPr>
          <w:trHeight w:val="692" w:hRule="atLeast"/>
          <w:tblHeader/>
          <w:jc w:val="center"/>
        </w:trPr>
        <w:tc>
          <w:tcPr>
            <w:tcW w:w="861" w:type="dxa"/>
            <w:shd w:val="clear" w:color="auto" w:fill="auto"/>
            <w:noWrap w:val="0"/>
            <w:vAlign w:val="center"/>
          </w:tcPr>
          <w:p>
            <w:pPr>
              <w:widowControl/>
              <w:spacing w:line="0" w:lineRule="atLeast"/>
              <w:ind w:firstLine="0" w:firstLineChars="0"/>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一级指标</w:t>
            </w:r>
          </w:p>
        </w:tc>
        <w:tc>
          <w:tcPr>
            <w:tcW w:w="727" w:type="dxa"/>
            <w:shd w:val="clear" w:color="auto" w:fill="auto"/>
            <w:noWrap w:val="0"/>
            <w:vAlign w:val="center"/>
          </w:tcPr>
          <w:p>
            <w:pPr>
              <w:widowControl/>
              <w:spacing w:line="0" w:lineRule="atLeast"/>
              <w:ind w:firstLine="0" w:firstLineChars="0"/>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二级指标</w:t>
            </w:r>
          </w:p>
        </w:tc>
        <w:tc>
          <w:tcPr>
            <w:tcW w:w="820" w:type="dxa"/>
            <w:shd w:val="clear" w:color="auto" w:fill="auto"/>
            <w:noWrap w:val="0"/>
            <w:vAlign w:val="center"/>
          </w:tcPr>
          <w:p>
            <w:pPr>
              <w:widowControl/>
              <w:spacing w:line="0" w:lineRule="atLeast"/>
              <w:ind w:firstLine="0" w:firstLineChars="0"/>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三级指标</w:t>
            </w:r>
          </w:p>
        </w:tc>
        <w:tc>
          <w:tcPr>
            <w:tcW w:w="2141" w:type="dxa"/>
            <w:shd w:val="clear" w:color="auto" w:fill="auto"/>
            <w:noWrap w:val="0"/>
            <w:vAlign w:val="center"/>
          </w:tcPr>
          <w:p>
            <w:pPr>
              <w:widowControl/>
              <w:spacing w:line="0" w:lineRule="atLeast"/>
              <w:ind w:firstLine="0" w:firstLineChars="0"/>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指标解释</w:t>
            </w:r>
          </w:p>
        </w:tc>
        <w:tc>
          <w:tcPr>
            <w:tcW w:w="7821" w:type="dxa"/>
            <w:shd w:val="clear" w:color="auto" w:fill="auto"/>
            <w:noWrap w:val="0"/>
            <w:vAlign w:val="center"/>
          </w:tcPr>
          <w:p>
            <w:pPr>
              <w:widowControl/>
              <w:spacing w:line="0" w:lineRule="atLeast"/>
              <w:ind w:firstLine="0" w:firstLineChars="0"/>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指标说明</w:t>
            </w:r>
          </w:p>
        </w:tc>
        <w:tc>
          <w:tcPr>
            <w:tcW w:w="785" w:type="dxa"/>
            <w:shd w:val="clear" w:color="auto" w:fill="auto"/>
            <w:noWrap w:val="0"/>
            <w:vAlign w:val="center"/>
          </w:tcPr>
          <w:p>
            <w:pPr>
              <w:widowControl/>
              <w:spacing w:line="0" w:lineRule="atLeast"/>
              <w:ind w:firstLine="0" w:firstLineChars="0"/>
              <w:jc w:val="center"/>
              <w:rPr>
                <w:rFonts w:hint="eastAsia" w:ascii="宋体" w:hAnsi="宋体" w:eastAsia="宋体" w:cs="宋体"/>
                <w:b/>
                <w:bCs/>
                <w:color w:val="000000"/>
                <w:kern w:val="0"/>
                <w:sz w:val="22"/>
                <w:szCs w:val="22"/>
                <w:lang w:val="en-US" w:eastAsia="zh-CN"/>
              </w:rPr>
            </w:pPr>
            <w:r>
              <w:rPr>
                <w:rFonts w:hint="eastAsia" w:ascii="宋体" w:hAnsi="宋体" w:eastAsia="宋体" w:cs="宋体"/>
                <w:b/>
                <w:bCs/>
                <w:color w:val="000000"/>
                <w:kern w:val="0"/>
                <w:sz w:val="22"/>
                <w:szCs w:val="22"/>
                <w:lang w:val="en-US" w:eastAsia="zh-CN"/>
              </w:rPr>
              <w:t>分值</w:t>
            </w:r>
          </w:p>
        </w:tc>
        <w:tc>
          <w:tcPr>
            <w:tcW w:w="769" w:type="dxa"/>
            <w:shd w:val="clear" w:color="auto" w:fill="auto"/>
            <w:noWrap w:val="0"/>
            <w:vAlign w:val="center"/>
          </w:tcPr>
          <w:p>
            <w:pPr>
              <w:widowControl/>
              <w:spacing w:line="0" w:lineRule="atLeast"/>
              <w:ind w:firstLine="0" w:firstLineChars="0"/>
              <w:jc w:val="center"/>
              <w:rPr>
                <w:rFonts w:hint="eastAsia" w:ascii="宋体" w:hAnsi="宋体" w:eastAsia="宋体" w:cs="宋体"/>
                <w:b/>
                <w:bCs/>
                <w:color w:val="000000"/>
                <w:kern w:val="0"/>
                <w:sz w:val="22"/>
                <w:szCs w:val="22"/>
                <w:lang w:val="en-US" w:eastAsia="zh-CN"/>
              </w:rPr>
            </w:pPr>
            <w:r>
              <w:rPr>
                <w:rFonts w:hint="eastAsia" w:ascii="宋体" w:hAnsi="宋体" w:eastAsia="宋体" w:cs="宋体"/>
                <w:b/>
                <w:bCs/>
                <w:color w:val="000000"/>
                <w:kern w:val="0"/>
                <w:sz w:val="22"/>
                <w:szCs w:val="22"/>
                <w:lang w:val="en-US" w:eastAsia="zh-CN"/>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318" w:hRule="atLeast"/>
          <w:jc w:val="center"/>
        </w:trPr>
        <w:tc>
          <w:tcPr>
            <w:tcW w:w="861" w:type="dxa"/>
            <w:vMerge w:val="restart"/>
            <w:shd w:val="clear" w:color="auto" w:fill="auto"/>
            <w:noWrap w:val="0"/>
            <w:vAlign w:val="center"/>
          </w:tcPr>
          <w:p>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决策　</w:t>
            </w:r>
          </w:p>
          <w:p>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p>
            <w:pPr>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c>
          <w:tcPr>
            <w:tcW w:w="727" w:type="dxa"/>
            <w:vMerge w:val="restart"/>
            <w:shd w:val="clear" w:color="auto" w:fill="auto"/>
            <w:noWrap w:val="0"/>
            <w:vAlign w:val="center"/>
          </w:tcPr>
          <w:p>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项目立项　</w:t>
            </w:r>
          </w:p>
        </w:tc>
        <w:tc>
          <w:tcPr>
            <w:tcW w:w="820" w:type="dxa"/>
            <w:shd w:val="clear" w:color="auto" w:fill="auto"/>
            <w:noWrap w:val="0"/>
            <w:vAlign w:val="center"/>
          </w:tcPr>
          <w:p>
            <w:pPr>
              <w:widowControl/>
              <w:spacing w:line="0" w:lineRule="atLeast"/>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立项依据</w:t>
            </w:r>
          </w:p>
          <w:p>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充分性</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项目立项是否符合法律法规、相关政策、发展规划以及部门职责，用以反映和考核项目立项依据情况。</w:t>
            </w:r>
          </w:p>
        </w:tc>
        <w:tc>
          <w:tcPr>
            <w:tcW w:w="7821" w:type="dxa"/>
            <w:shd w:val="clear" w:color="auto" w:fill="auto"/>
            <w:noWrap w:val="0"/>
            <w:vAlign w:val="center"/>
          </w:tcPr>
          <w:p>
            <w:pPr>
              <w:widowControl/>
              <w:spacing w:line="0" w:lineRule="atLeast"/>
              <w:ind w:firstLine="0" w:firstLineChars="0"/>
              <w:jc w:val="left"/>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评价要点：</w:t>
            </w:r>
          </w:p>
          <w:p>
            <w:pPr>
              <w:widowControl/>
              <w:spacing w:line="0" w:lineRule="atLeast"/>
              <w:ind w:firstLine="0" w:firstLineChars="0"/>
              <w:jc w:val="left"/>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①项目立项是否符合国家法律法规、国民经济发展规划和相关政策；</w:t>
            </w:r>
          </w:p>
          <w:p>
            <w:pPr>
              <w:widowControl/>
              <w:spacing w:line="0" w:lineRule="atLeast"/>
              <w:ind w:firstLine="0" w:firstLineChars="0"/>
              <w:jc w:val="left"/>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②项目立项是否符合行业发展规划和政策要求；</w:t>
            </w:r>
          </w:p>
          <w:p>
            <w:pPr>
              <w:widowControl/>
              <w:spacing w:line="0" w:lineRule="atLeast"/>
              <w:ind w:firstLine="0" w:firstLineChars="0"/>
              <w:jc w:val="left"/>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③项目立项是否与部门职责范围相符，属于部门履职所需；</w:t>
            </w:r>
          </w:p>
          <w:p>
            <w:pPr>
              <w:widowControl/>
              <w:spacing w:line="0" w:lineRule="atLeast"/>
              <w:ind w:firstLine="0" w:firstLineChars="0"/>
              <w:jc w:val="left"/>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④项目是否属于公共财政支持范围，是否符合中央、地方事权支出责任划分原则；</w:t>
            </w:r>
          </w:p>
          <w:p>
            <w:pPr>
              <w:widowControl/>
              <w:spacing w:line="0" w:lineRule="atLeast"/>
              <w:ind w:firstLine="0" w:firstLineChars="0"/>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⑤项目是否与相关部门同类项目或部门内部相关项目重复。</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2</w:t>
            </w:r>
          </w:p>
        </w:tc>
        <w:tc>
          <w:tcPr>
            <w:tcW w:w="769" w:type="dxa"/>
            <w:shd w:val="clear" w:color="auto" w:fill="auto"/>
            <w:noWrap w:val="0"/>
            <w:vAlign w:val="center"/>
          </w:tcPr>
          <w:p>
            <w:pPr>
              <w:widowControl/>
              <w:spacing w:line="0" w:lineRule="atLeast"/>
              <w:ind w:firstLine="0" w:firstLineChars="0"/>
              <w:jc w:val="left"/>
              <w:rPr>
                <w:rFonts w:hint="eastAsia" w:ascii="宋体" w:hAnsi="宋体" w:eastAsia="宋体" w:cs="宋体"/>
                <w:color w:val="000000"/>
                <w:kern w:val="0"/>
                <w:sz w:val="22"/>
                <w:szCs w:val="22"/>
                <w:lang w:val="en-US" w:eastAsia="zh-CN"/>
              </w:rPr>
            </w:pPr>
            <w:r>
              <w:rPr>
                <w:rFonts w:hint="eastAsia" w:cs="宋体"/>
                <w:color w:val="000000"/>
                <w:kern w:val="0"/>
                <w:sz w:val="22"/>
                <w:szCs w:val="22"/>
                <w:lang w:val="en-US" w:eastAsia="zh-CN"/>
              </w:rPr>
              <w:t>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640" w:hRule="atLeast"/>
          <w:jc w:val="center"/>
        </w:trPr>
        <w:tc>
          <w:tcPr>
            <w:tcW w:w="861" w:type="dxa"/>
            <w:vMerge w:val="continue"/>
            <w:shd w:val="clear" w:color="auto" w:fill="auto"/>
            <w:noWrap w:val="0"/>
            <w:vAlign w:val="center"/>
          </w:tcPr>
          <w:p>
            <w:pPr>
              <w:spacing w:line="0" w:lineRule="atLeast"/>
              <w:ind w:firstLine="0" w:firstLineChars="0"/>
              <w:jc w:val="center"/>
              <w:rPr>
                <w:rFonts w:ascii="宋体" w:hAnsi="宋体" w:eastAsia="宋体" w:cs="宋体"/>
                <w:color w:val="000000"/>
                <w:kern w:val="0"/>
                <w:sz w:val="22"/>
                <w:szCs w:val="22"/>
              </w:rPr>
            </w:pPr>
          </w:p>
        </w:tc>
        <w:tc>
          <w:tcPr>
            <w:tcW w:w="727" w:type="dxa"/>
            <w:vMerge w:val="continue"/>
            <w:shd w:val="clear" w:color="auto" w:fill="auto"/>
            <w:noWrap w:val="0"/>
            <w:vAlign w:val="center"/>
          </w:tcPr>
          <w:p>
            <w:pPr>
              <w:widowControl/>
              <w:spacing w:line="0" w:lineRule="atLeast"/>
              <w:ind w:firstLine="0" w:firstLineChars="0"/>
              <w:jc w:val="center"/>
              <w:rPr>
                <w:rFonts w:ascii="宋体" w:hAnsi="宋体" w:eastAsia="宋体" w:cs="宋体"/>
                <w:color w:val="000000"/>
                <w:kern w:val="0"/>
                <w:sz w:val="22"/>
                <w:szCs w:val="22"/>
              </w:rPr>
            </w:pPr>
          </w:p>
        </w:tc>
        <w:tc>
          <w:tcPr>
            <w:tcW w:w="820" w:type="dxa"/>
            <w:shd w:val="clear" w:color="auto" w:fill="auto"/>
            <w:noWrap w:val="0"/>
            <w:vAlign w:val="center"/>
          </w:tcPr>
          <w:p>
            <w:pPr>
              <w:widowControl/>
              <w:spacing w:line="0" w:lineRule="atLeast"/>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立项程序</w:t>
            </w:r>
          </w:p>
          <w:p>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规范性</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项目申请、设立过程是否符合相关要求，用以反映和考核项目立项的规范情况。</w:t>
            </w:r>
          </w:p>
        </w:tc>
        <w:tc>
          <w:tcPr>
            <w:tcW w:w="7821" w:type="dxa"/>
            <w:shd w:val="clear" w:color="auto" w:fill="auto"/>
            <w:noWrap w:val="0"/>
            <w:vAlign w:val="center"/>
          </w:tcPr>
          <w:p>
            <w:pPr>
              <w:widowControl/>
              <w:spacing w:line="0" w:lineRule="atLeast"/>
              <w:ind w:firstLine="0" w:firstLineChars="0"/>
              <w:jc w:val="left"/>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评价要点：</w:t>
            </w:r>
          </w:p>
          <w:p>
            <w:pPr>
              <w:widowControl/>
              <w:spacing w:line="0" w:lineRule="atLeast"/>
              <w:ind w:firstLine="0" w:firstLineChars="0"/>
              <w:jc w:val="left"/>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①项目是否按照规定的程序申请设立；</w:t>
            </w:r>
          </w:p>
          <w:p>
            <w:pPr>
              <w:widowControl/>
              <w:spacing w:line="0" w:lineRule="atLeast"/>
              <w:ind w:firstLine="0" w:firstLineChars="0"/>
              <w:jc w:val="left"/>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②审批文件、材料是否符合相关要求；</w:t>
            </w:r>
          </w:p>
          <w:p>
            <w:pPr>
              <w:widowControl/>
              <w:spacing w:line="0" w:lineRule="atLeast"/>
              <w:ind w:firstLine="0" w:firstLineChars="0"/>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③事前是否已经过必要的可行性研究、专家论证、风险评估、绩效评估、集体决策。</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3</w:t>
            </w:r>
          </w:p>
        </w:tc>
        <w:tc>
          <w:tcPr>
            <w:tcW w:w="769" w:type="dxa"/>
            <w:shd w:val="clear" w:color="auto" w:fill="auto"/>
            <w:noWrap w:val="0"/>
            <w:vAlign w:val="center"/>
          </w:tcPr>
          <w:p>
            <w:pPr>
              <w:widowControl/>
              <w:spacing w:line="0" w:lineRule="atLeast"/>
              <w:ind w:firstLine="0" w:firstLineChars="0"/>
              <w:jc w:val="left"/>
              <w:rPr>
                <w:rFonts w:hint="default" w:ascii="宋体" w:hAnsi="宋体" w:eastAsia="宋体" w:cs="宋体"/>
                <w:color w:val="000000"/>
                <w:kern w:val="0"/>
                <w:sz w:val="22"/>
                <w:szCs w:val="22"/>
                <w:lang w:val="en-US" w:eastAsia="zh-CN"/>
              </w:rPr>
            </w:pPr>
            <w:r>
              <w:rPr>
                <w:rFonts w:hint="eastAsia" w:cs="宋体"/>
                <w:color w:val="000000"/>
                <w:kern w:val="0"/>
                <w:sz w:val="22"/>
                <w:szCs w:val="22"/>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919" w:hRule="atLeast"/>
          <w:jc w:val="center"/>
        </w:trPr>
        <w:tc>
          <w:tcPr>
            <w:tcW w:w="861" w:type="dxa"/>
            <w:vMerge w:val="continue"/>
            <w:shd w:val="clear" w:color="auto" w:fill="auto"/>
            <w:noWrap w:val="0"/>
            <w:vAlign w:val="center"/>
          </w:tcPr>
          <w:p>
            <w:pPr>
              <w:spacing w:line="0" w:lineRule="atLeast"/>
              <w:ind w:firstLine="0" w:firstLineChars="0"/>
              <w:jc w:val="center"/>
              <w:rPr>
                <w:rFonts w:ascii="宋体" w:hAnsi="宋体" w:eastAsia="宋体" w:cs="宋体"/>
                <w:color w:val="000000"/>
                <w:kern w:val="0"/>
                <w:sz w:val="22"/>
                <w:szCs w:val="22"/>
              </w:rPr>
            </w:pPr>
          </w:p>
        </w:tc>
        <w:tc>
          <w:tcPr>
            <w:tcW w:w="727" w:type="dxa"/>
            <w:shd w:val="clear" w:color="auto" w:fill="auto"/>
            <w:noWrap w:val="0"/>
            <w:vAlign w:val="center"/>
          </w:tcPr>
          <w:p>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绩效目标　</w:t>
            </w:r>
          </w:p>
        </w:tc>
        <w:tc>
          <w:tcPr>
            <w:tcW w:w="820" w:type="dxa"/>
            <w:shd w:val="clear" w:color="auto" w:fill="auto"/>
            <w:noWrap w:val="0"/>
            <w:vAlign w:val="center"/>
          </w:tcPr>
          <w:p>
            <w:pPr>
              <w:widowControl/>
              <w:spacing w:line="0" w:lineRule="atLeast"/>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绩效目标</w:t>
            </w:r>
          </w:p>
          <w:p>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合理性</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项目所设定的绩效目标是否依据充分，是否符合客观实际，用以反映和考核项目绩效目标与项目实施的相符情况。</w:t>
            </w:r>
          </w:p>
        </w:tc>
        <w:tc>
          <w:tcPr>
            <w:tcW w:w="7821" w:type="dxa"/>
            <w:shd w:val="clear" w:color="auto" w:fill="auto"/>
            <w:noWrap w:val="0"/>
            <w:vAlign w:val="center"/>
          </w:tcPr>
          <w:p>
            <w:pPr>
              <w:widowControl/>
              <w:spacing w:line="0" w:lineRule="atLeast"/>
              <w:ind w:firstLine="0" w:firstLineChars="0"/>
              <w:jc w:val="left"/>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评价要点：</w:t>
            </w:r>
          </w:p>
          <w:p>
            <w:pPr>
              <w:widowControl/>
              <w:spacing w:line="0" w:lineRule="atLeast"/>
              <w:ind w:firstLine="0" w:firstLineChars="0"/>
              <w:jc w:val="left"/>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（如未设定预算绩效目标，也可考核其他工作任务目标）</w:t>
            </w:r>
          </w:p>
          <w:p>
            <w:pPr>
              <w:widowControl/>
              <w:spacing w:line="0" w:lineRule="atLeast"/>
              <w:ind w:firstLine="0" w:firstLineChars="0"/>
              <w:jc w:val="left"/>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①项目是否有绩效目标；</w:t>
            </w:r>
          </w:p>
          <w:p>
            <w:pPr>
              <w:widowControl/>
              <w:spacing w:line="0" w:lineRule="atLeast"/>
              <w:ind w:firstLine="0" w:firstLineChars="0"/>
              <w:jc w:val="left"/>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②项目绩效目标与实际工作内容是否具有相关性；</w:t>
            </w:r>
          </w:p>
          <w:p>
            <w:pPr>
              <w:widowControl/>
              <w:spacing w:line="0" w:lineRule="atLeast"/>
              <w:ind w:firstLine="0" w:firstLineChars="0"/>
              <w:jc w:val="left"/>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③项目预期产出效益和效果是否符合正常的业绩水平；</w:t>
            </w:r>
          </w:p>
          <w:p>
            <w:pPr>
              <w:widowControl/>
              <w:spacing w:line="0" w:lineRule="atLeast"/>
              <w:ind w:firstLine="0" w:firstLineChars="0"/>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④是否与预算确定的项目投资额或资金量相匹配。</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5</w:t>
            </w:r>
          </w:p>
        </w:tc>
        <w:tc>
          <w:tcPr>
            <w:tcW w:w="769" w:type="dxa"/>
            <w:shd w:val="clear" w:color="auto" w:fill="auto"/>
            <w:noWrap w:val="0"/>
            <w:vAlign w:val="center"/>
          </w:tcPr>
          <w:p>
            <w:pPr>
              <w:widowControl/>
              <w:spacing w:line="0" w:lineRule="atLeast"/>
              <w:ind w:firstLine="0" w:firstLineChars="0"/>
              <w:jc w:val="left"/>
              <w:rPr>
                <w:rFonts w:hint="eastAsia" w:ascii="宋体" w:hAnsi="宋体" w:eastAsia="宋体" w:cs="宋体"/>
                <w:color w:val="000000"/>
                <w:kern w:val="0"/>
                <w:sz w:val="22"/>
                <w:szCs w:val="22"/>
                <w:lang w:val="en-US" w:eastAsia="zh-CN"/>
              </w:rPr>
            </w:pPr>
            <w:r>
              <w:rPr>
                <w:rFonts w:hint="eastAsia" w:cs="宋体"/>
                <w:color w:val="000000"/>
                <w:kern w:val="0"/>
                <w:sz w:val="22"/>
                <w:szCs w:val="22"/>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464" w:hRule="atLeast"/>
          <w:jc w:val="center"/>
        </w:trPr>
        <w:tc>
          <w:tcPr>
            <w:tcW w:w="861" w:type="dxa"/>
            <w:vMerge w:val="restart"/>
            <w:shd w:val="clear" w:color="auto" w:fill="auto"/>
            <w:noWrap w:val="0"/>
            <w:vAlign w:val="center"/>
          </w:tcPr>
          <w:p>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决策　</w:t>
            </w:r>
          </w:p>
        </w:tc>
        <w:tc>
          <w:tcPr>
            <w:tcW w:w="727" w:type="dxa"/>
            <w:shd w:val="clear" w:color="auto" w:fill="auto"/>
            <w:noWrap w:val="0"/>
            <w:vAlign w:val="center"/>
          </w:tcPr>
          <w:p>
            <w:pPr>
              <w:widowControl/>
              <w:spacing w:line="0" w:lineRule="atLeast"/>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绩效目标</w:t>
            </w:r>
          </w:p>
        </w:tc>
        <w:tc>
          <w:tcPr>
            <w:tcW w:w="820" w:type="dxa"/>
            <w:shd w:val="clear" w:color="auto" w:fill="auto"/>
            <w:noWrap w:val="0"/>
            <w:vAlign w:val="center"/>
          </w:tcPr>
          <w:p>
            <w:pPr>
              <w:widowControl/>
              <w:spacing w:line="0" w:lineRule="atLeast"/>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绩效指标</w:t>
            </w:r>
          </w:p>
          <w:p>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明确性</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依据绩效目标设定的绩效指标是否清晰、细化、可衡量等，用以反映和考核项目绩效目标的明细化情况。</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评价要点：</w:t>
            </w:r>
          </w:p>
          <w:p>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①是否将项目绩效目标细化分解为具体的绩效指标；</w:t>
            </w:r>
          </w:p>
          <w:p>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②是否通过清晰、可衡量的指标值予以体现；</w:t>
            </w:r>
          </w:p>
          <w:p>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③是否与项目目标任务数或计划数相对应。</w:t>
            </w:r>
          </w:p>
          <w:p>
            <w:pPr>
              <w:widowControl/>
              <w:spacing w:line="0" w:lineRule="atLeast"/>
              <w:ind w:firstLine="0" w:firstLineChars="0"/>
              <w:rPr>
                <w:rFonts w:hint="eastAsia" w:ascii="宋体" w:hAnsi="宋体" w:eastAsia="宋体" w:cs="宋体"/>
                <w:color w:val="000000"/>
                <w:kern w:val="0"/>
                <w:sz w:val="22"/>
                <w:szCs w:val="22"/>
                <w:lang w:eastAsia="zh-CN"/>
              </w:rPr>
            </w:pP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5</w:t>
            </w:r>
          </w:p>
        </w:tc>
        <w:tc>
          <w:tcPr>
            <w:tcW w:w="769" w:type="dxa"/>
            <w:shd w:val="clear" w:color="auto" w:fill="auto"/>
            <w:noWrap w:val="0"/>
            <w:vAlign w:val="center"/>
          </w:tcPr>
          <w:p>
            <w:pPr>
              <w:widowControl/>
              <w:spacing w:line="0" w:lineRule="atLeast"/>
              <w:ind w:firstLine="0" w:firstLineChars="0"/>
              <w:rPr>
                <w:rFonts w:hint="eastAsia" w:ascii="宋体" w:hAnsi="宋体" w:eastAsia="宋体" w:cs="宋体"/>
                <w:color w:val="000000"/>
                <w:kern w:val="0"/>
                <w:sz w:val="22"/>
                <w:szCs w:val="22"/>
                <w:lang w:val="en-US" w:eastAsia="zh-CN"/>
              </w:rPr>
            </w:pPr>
            <w:r>
              <w:rPr>
                <w:rFonts w:hint="eastAsia" w:cs="宋体"/>
                <w:color w:val="000000"/>
                <w:kern w:val="0"/>
                <w:sz w:val="22"/>
                <w:szCs w:val="22"/>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942" w:hRule="atLeast"/>
          <w:jc w:val="center"/>
        </w:trPr>
        <w:tc>
          <w:tcPr>
            <w:tcW w:w="861" w:type="dxa"/>
            <w:vMerge w:val="continue"/>
            <w:shd w:val="clear" w:color="auto" w:fill="auto"/>
            <w:noWrap w:val="0"/>
            <w:vAlign w:val="center"/>
          </w:tcPr>
          <w:p>
            <w:pPr>
              <w:spacing w:line="0" w:lineRule="atLeast"/>
              <w:ind w:firstLine="0" w:firstLineChars="0"/>
              <w:jc w:val="center"/>
              <w:rPr>
                <w:rFonts w:ascii="宋体" w:hAnsi="宋体" w:eastAsia="宋体" w:cs="宋体"/>
                <w:color w:val="000000"/>
                <w:kern w:val="0"/>
                <w:sz w:val="22"/>
                <w:szCs w:val="22"/>
              </w:rPr>
            </w:pPr>
          </w:p>
        </w:tc>
        <w:tc>
          <w:tcPr>
            <w:tcW w:w="727" w:type="dxa"/>
            <w:vMerge w:val="restart"/>
            <w:shd w:val="clear" w:color="auto" w:fill="auto"/>
            <w:noWrap w:val="0"/>
            <w:vAlign w:val="center"/>
          </w:tcPr>
          <w:p>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资金投入</w:t>
            </w:r>
          </w:p>
          <w:p>
            <w:pPr>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c>
          <w:tcPr>
            <w:tcW w:w="820" w:type="dxa"/>
            <w:shd w:val="clear" w:color="auto" w:fill="auto"/>
            <w:noWrap w:val="0"/>
            <w:vAlign w:val="center"/>
          </w:tcPr>
          <w:p>
            <w:pPr>
              <w:widowControl/>
              <w:spacing w:line="0" w:lineRule="atLeast"/>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预算编制</w:t>
            </w:r>
          </w:p>
          <w:p>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科学性</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项目预算编制是否经过科学论证、有明确标准，资金额度与年度目标是否相适应，用以反映和考核项目预算编制的科学性、合理性情况。</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评价要点：</w:t>
            </w:r>
          </w:p>
          <w:p>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①预算编制是否经过科学论证；</w:t>
            </w:r>
          </w:p>
          <w:p>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②预算内容与项目内容是否匹配；</w:t>
            </w:r>
          </w:p>
          <w:p>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③预算额度测算依据是否充分，是否按照标准编制；</w:t>
            </w:r>
          </w:p>
          <w:p>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④预算确定的项目投资额或资金量是否与工作任务相匹配。</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2</w:t>
            </w:r>
          </w:p>
        </w:tc>
        <w:tc>
          <w:tcPr>
            <w:tcW w:w="769" w:type="dxa"/>
            <w:shd w:val="clear" w:color="auto" w:fill="auto"/>
            <w:noWrap w:val="0"/>
            <w:vAlign w:val="center"/>
          </w:tcPr>
          <w:p>
            <w:pPr>
              <w:widowControl/>
              <w:spacing w:line="0" w:lineRule="atLeast"/>
              <w:ind w:firstLine="0" w:firstLineChars="0"/>
              <w:rPr>
                <w:rFonts w:hint="eastAsia" w:ascii="宋体" w:hAnsi="宋体" w:eastAsia="宋体" w:cs="宋体"/>
                <w:color w:val="000000"/>
                <w:kern w:val="0"/>
                <w:sz w:val="22"/>
                <w:szCs w:val="22"/>
                <w:lang w:val="en-US" w:eastAsia="zh-CN"/>
              </w:rPr>
            </w:pPr>
            <w:r>
              <w:rPr>
                <w:rFonts w:hint="eastAsia" w:cs="宋体"/>
                <w:color w:val="000000"/>
                <w:kern w:val="0"/>
                <w:sz w:val="22"/>
                <w:szCs w:val="22"/>
                <w:lang w:val="en-US" w:eastAsia="zh-CN"/>
              </w:rPr>
              <w:t>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06" w:hRule="atLeast"/>
          <w:jc w:val="center"/>
        </w:trPr>
        <w:tc>
          <w:tcPr>
            <w:tcW w:w="861" w:type="dxa"/>
            <w:vMerge w:val="continue"/>
            <w:shd w:val="clear" w:color="auto" w:fill="auto"/>
            <w:noWrap w:val="0"/>
            <w:vAlign w:val="center"/>
          </w:tcPr>
          <w:p>
            <w:pPr>
              <w:widowControl/>
              <w:spacing w:line="0" w:lineRule="atLeast"/>
              <w:ind w:firstLine="0" w:firstLineChars="0"/>
              <w:jc w:val="center"/>
              <w:rPr>
                <w:rFonts w:ascii="宋体" w:hAnsi="宋体" w:eastAsia="宋体" w:cs="宋体"/>
                <w:color w:val="000000"/>
                <w:kern w:val="0"/>
                <w:sz w:val="22"/>
                <w:szCs w:val="22"/>
              </w:rPr>
            </w:pPr>
          </w:p>
        </w:tc>
        <w:tc>
          <w:tcPr>
            <w:tcW w:w="727" w:type="dxa"/>
            <w:vMerge w:val="continue"/>
            <w:shd w:val="clear" w:color="auto" w:fill="auto"/>
            <w:noWrap w:val="0"/>
            <w:vAlign w:val="center"/>
          </w:tcPr>
          <w:p>
            <w:pPr>
              <w:widowControl/>
              <w:spacing w:line="0" w:lineRule="atLeast"/>
              <w:ind w:firstLine="0" w:firstLineChars="0"/>
              <w:jc w:val="center"/>
              <w:rPr>
                <w:rFonts w:ascii="宋体" w:hAnsi="宋体" w:eastAsia="宋体" w:cs="宋体"/>
                <w:color w:val="000000"/>
                <w:kern w:val="0"/>
                <w:sz w:val="22"/>
                <w:szCs w:val="22"/>
              </w:rPr>
            </w:pPr>
          </w:p>
        </w:tc>
        <w:tc>
          <w:tcPr>
            <w:tcW w:w="820" w:type="dxa"/>
            <w:shd w:val="clear" w:color="auto" w:fill="auto"/>
            <w:noWrap w:val="0"/>
            <w:vAlign w:val="center"/>
          </w:tcPr>
          <w:p>
            <w:pPr>
              <w:widowControl/>
              <w:spacing w:line="0" w:lineRule="atLeast"/>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资金分配</w:t>
            </w:r>
          </w:p>
          <w:p>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合理性</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项目预算资金分配是否有测算依据，与补助单位或地方实际是否相适应，用以反映和考核项目预算资金分配的科学性、合理性情况。</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评价要点：</w:t>
            </w:r>
          </w:p>
          <w:p>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①预算资金分配依据是否充分；</w:t>
            </w:r>
          </w:p>
          <w:p>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②资金分配额度是否合理，与项目单位或地方实际是否相适应。</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3</w:t>
            </w:r>
          </w:p>
        </w:tc>
        <w:tc>
          <w:tcPr>
            <w:tcW w:w="769" w:type="dxa"/>
            <w:shd w:val="clear" w:color="auto" w:fill="auto"/>
            <w:noWrap w:val="0"/>
            <w:vAlign w:val="center"/>
          </w:tcPr>
          <w:p>
            <w:pPr>
              <w:widowControl/>
              <w:spacing w:line="0" w:lineRule="atLeast"/>
              <w:ind w:firstLine="0" w:firstLineChars="0"/>
              <w:rPr>
                <w:rFonts w:hint="eastAsia" w:ascii="宋体" w:hAnsi="宋体" w:eastAsia="宋体" w:cs="宋体"/>
                <w:color w:val="000000"/>
                <w:kern w:val="0"/>
                <w:sz w:val="22"/>
                <w:szCs w:val="22"/>
                <w:lang w:val="en-US" w:eastAsia="zh-CN"/>
              </w:rPr>
            </w:pPr>
            <w:r>
              <w:rPr>
                <w:rFonts w:hint="eastAsia" w:cs="宋体"/>
                <w:color w:val="000000"/>
                <w:kern w:val="0"/>
                <w:sz w:val="22"/>
                <w:szCs w:val="22"/>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415" w:hRule="atLeast"/>
          <w:jc w:val="center"/>
        </w:trPr>
        <w:tc>
          <w:tcPr>
            <w:tcW w:w="861" w:type="dxa"/>
            <w:vMerge w:val="restart"/>
            <w:shd w:val="clear" w:color="auto" w:fill="auto"/>
            <w:noWrap w:val="0"/>
            <w:vAlign w:val="center"/>
          </w:tcPr>
          <w:p>
            <w:pPr>
              <w:spacing w:line="0" w:lineRule="atLeast"/>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过程</w:t>
            </w:r>
          </w:p>
        </w:tc>
        <w:tc>
          <w:tcPr>
            <w:tcW w:w="727" w:type="dxa"/>
            <w:vMerge w:val="restart"/>
            <w:shd w:val="clear" w:color="auto" w:fill="auto"/>
            <w:noWrap w:val="0"/>
            <w:vAlign w:val="center"/>
          </w:tcPr>
          <w:p>
            <w:pPr>
              <w:widowControl/>
              <w:spacing w:line="0" w:lineRule="atLeast"/>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资金管理</w:t>
            </w:r>
          </w:p>
        </w:tc>
        <w:tc>
          <w:tcPr>
            <w:tcW w:w="820" w:type="dxa"/>
            <w:shd w:val="clear" w:color="auto" w:fill="auto"/>
            <w:noWrap w:val="0"/>
            <w:vAlign w:val="center"/>
          </w:tcPr>
          <w:p>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资金到位率</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实际到位资金与预算资金的比率，用以反映和考核资金落实情况对项目实施的总体保障程度。</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资金到位率=（实际到位资金/预算资金）×100%。</w:t>
            </w:r>
          </w:p>
          <w:p>
            <w:pPr>
              <w:widowControl/>
              <w:spacing w:line="0" w:lineRule="atLeast"/>
              <w:ind w:firstLine="0" w:firstLineChars="0"/>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实际到位资金：一定时期（本年度或项目期）内落实到具体项目的资金。</w:t>
            </w:r>
          </w:p>
          <w:p>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预算资金：一定时期（本年度或项目期）内预算安排到具体项目的资金。</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pPr>
              <w:widowControl/>
              <w:spacing w:line="0" w:lineRule="atLeast"/>
              <w:ind w:firstLine="0" w:firstLineChars="0"/>
              <w:rPr>
                <w:rFonts w:hint="eastAsia" w:ascii="宋体" w:hAnsi="宋体" w:eastAsia="宋体" w:cs="宋体"/>
                <w:color w:val="000000"/>
                <w:kern w:val="0"/>
                <w:sz w:val="22"/>
                <w:szCs w:val="22"/>
                <w:lang w:val="en-US" w:eastAsia="zh-CN"/>
              </w:rPr>
            </w:pPr>
            <w:r>
              <w:rPr>
                <w:rFonts w:hint="eastAsia" w:cs="宋体"/>
                <w:color w:val="000000"/>
                <w:kern w:val="0"/>
                <w:sz w:val="22"/>
                <w:szCs w:val="22"/>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320" w:hRule="atLeast"/>
          <w:jc w:val="center"/>
        </w:trPr>
        <w:tc>
          <w:tcPr>
            <w:tcW w:w="861" w:type="dxa"/>
            <w:vMerge w:val="continue"/>
            <w:shd w:val="clear" w:color="auto" w:fill="auto"/>
            <w:noWrap w:val="0"/>
            <w:vAlign w:val="center"/>
          </w:tcPr>
          <w:p>
            <w:pPr>
              <w:spacing w:line="0" w:lineRule="atLeast"/>
              <w:ind w:firstLine="0" w:firstLineChars="0"/>
              <w:jc w:val="center"/>
              <w:rPr>
                <w:rFonts w:hint="eastAsia" w:ascii="宋体" w:hAnsi="宋体" w:eastAsia="宋体" w:cs="宋体"/>
                <w:color w:val="000000"/>
                <w:kern w:val="0"/>
                <w:sz w:val="22"/>
                <w:szCs w:val="22"/>
              </w:rPr>
            </w:pPr>
          </w:p>
        </w:tc>
        <w:tc>
          <w:tcPr>
            <w:tcW w:w="727" w:type="dxa"/>
            <w:vMerge w:val="continue"/>
            <w:shd w:val="clear" w:color="auto" w:fill="auto"/>
            <w:noWrap w:val="0"/>
            <w:vAlign w:val="center"/>
          </w:tcPr>
          <w:p>
            <w:pPr>
              <w:spacing w:line="0" w:lineRule="atLeast"/>
              <w:ind w:firstLine="0" w:firstLineChars="0"/>
              <w:jc w:val="center"/>
              <w:rPr>
                <w:rFonts w:hint="eastAsia" w:ascii="宋体" w:hAnsi="宋体" w:eastAsia="宋体" w:cs="宋体"/>
                <w:color w:val="000000"/>
                <w:kern w:val="0"/>
                <w:sz w:val="22"/>
                <w:szCs w:val="22"/>
              </w:rPr>
            </w:pPr>
          </w:p>
        </w:tc>
        <w:tc>
          <w:tcPr>
            <w:tcW w:w="820" w:type="dxa"/>
            <w:shd w:val="clear" w:color="auto" w:fill="auto"/>
            <w:noWrap w:val="0"/>
            <w:vAlign w:val="center"/>
          </w:tcPr>
          <w:p>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预算执行率</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项目预算资金是否按照计划执行，用以反映或考核项目预算执行情况。</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预算执行率=（实际支出资金/实际到位资金）×100%。</w:t>
            </w:r>
          </w:p>
          <w:p>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实际支出资金：一定时期（本年度或项目期）内项目实际拨付的资金。</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pPr>
              <w:widowControl/>
              <w:spacing w:line="0" w:lineRule="atLeast"/>
              <w:ind w:firstLine="0" w:firstLineChars="0"/>
              <w:rPr>
                <w:rFonts w:hint="eastAsia" w:ascii="宋体" w:hAnsi="宋体" w:eastAsia="宋体" w:cs="宋体"/>
                <w:color w:val="000000"/>
                <w:kern w:val="0"/>
                <w:sz w:val="22"/>
                <w:szCs w:val="22"/>
                <w:lang w:val="en-US" w:eastAsia="zh-CN"/>
              </w:rPr>
            </w:pPr>
            <w:r>
              <w:rPr>
                <w:rFonts w:hint="eastAsia" w:cs="宋体"/>
                <w:color w:val="000000"/>
                <w:kern w:val="0"/>
                <w:sz w:val="22"/>
                <w:szCs w:val="22"/>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076" w:hRule="atLeast"/>
          <w:jc w:val="center"/>
        </w:trPr>
        <w:tc>
          <w:tcPr>
            <w:tcW w:w="861" w:type="dxa"/>
            <w:vMerge w:val="restart"/>
            <w:shd w:val="clear" w:color="auto" w:fill="auto"/>
            <w:noWrap w:val="0"/>
            <w:vAlign w:val="center"/>
          </w:tcPr>
          <w:p>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p>
            <w:pPr>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过程　</w:t>
            </w:r>
          </w:p>
        </w:tc>
        <w:tc>
          <w:tcPr>
            <w:tcW w:w="727" w:type="dxa"/>
            <w:shd w:val="clear" w:color="auto" w:fill="auto"/>
            <w:noWrap w:val="0"/>
            <w:vAlign w:val="center"/>
          </w:tcPr>
          <w:p>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资金管理</w:t>
            </w:r>
          </w:p>
        </w:tc>
        <w:tc>
          <w:tcPr>
            <w:tcW w:w="820" w:type="dxa"/>
            <w:shd w:val="clear" w:color="auto" w:fill="auto"/>
            <w:noWrap w:val="0"/>
            <w:vAlign w:val="center"/>
          </w:tcPr>
          <w:p>
            <w:pPr>
              <w:widowControl/>
              <w:spacing w:line="0" w:lineRule="atLeast"/>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资金使用</w:t>
            </w:r>
          </w:p>
          <w:p>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合规性</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项目资金使用是否符合相关的财务管理制度规定，用以反映和考核项目资金的规范运行情况。</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评价要点：</w:t>
            </w:r>
          </w:p>
          <w:p>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①是否符合国家财经法规和财务管理制度以及有关专项资金管理办法的规定；</w:t>
            </w:r>
          </w:p>
          <w:p>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②资金的拨付是否有完整的审批程序和手续；</w:t>
            </w:r>
          </w:p>
          <w:p>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③是否符合项目预算批复或合同规定的用途；</w:t>
            </w:r>
          </w:p>
          <w:p>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④是否存在截留、挤占、挪用、虚列支出等情况。</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pPr>
              <w:widowControl/>
              <w:spacing w:line="0" w:lineRule="atLeast"/>
              <w:ind w:firstLine="0" w:firstLineChars="0"/>
              <w:rPr>
                <w:rFonts w:hint="eastAsia" w:ascii="宋体" w:hAnsi="宋体" w:eastAsia="宋体" w:cs="宋体"/>
                <w:color w:val="000000"/>
                <w:kern w:val="0"/>
                <w:sz w:val="22"/>
                <w:szCs w:val="22"/>
                <w:lang w:val="en-US" w:eastAsia="zh-CN"/>
              </w:rPr>
            </w:pPr>
            <w:r>
              <w:rPr>
                <w:rFonts w:hint="eastAsia" w:cs="宋体"/>
                <w:color w:val="000000"/>
                <w:kern w:val="0"/>
                <w:sz w:val="22"/>
                <w:szCs w:val="22"/>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97" w:hRule="atLeast"/>
          <w:jc w:val="center"/>
        </w:trPr>
        <w:tc>
          <w:tcPr>
            <w:tcW w:w="861" w:type="dxa"/>
            <w:vMerge w:val="continue"/>
            <w:shd w:val="clear" w:color="auto" w:fill="auto"/>
            <w:noWrap w:val="0"/>
            <w:vAlign w:val="center"/>
          </w:tcPr>
          <w:p>
            <w:pPr>
              <w:spacing w:line="0" w:lineRule="atLeast"/>
              <w:ind w:firstLine="0" w:firstLineChars="0"/>
              <w:jc w:val="center"/>
              <w:rPr>
                <w:rFonts w:ascii="宋体" w:hAnsi="宋体" w:eastAsia="宋体" w:cs="宋体"/>
                <w:color w:val="000000"/>
                <w:kern w:val="0"/>
                <w:sz w:val="22"/>
                <w:szCs w:val="22"/>
              </w:rPr>
            </w:pPr>
          </w:p>
        </w:tc>
        <w:tc>
          <w:tcPr>
            <w:tcW w:w="727" w:type="dxa"/>
            <w:vMerge w:val="restart"/>
            <w:shd w:val="clear" w:color="auto" w:fill="auto"/>
            <w:noWrap w:val="0"/>
            <w:vAlign w:val="center"/>
          </w:tcPr>
          <w:p>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组织实施</w:t>
            </w:r>
          </w:p>
          <w:p>
            <w:pPr>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c>
          <w:tcPr>
            <w:tcW w:w="820" w:type="dxa"/>
            <w:shd w:val="clear" w:color="auto" w:fill="auto"/>
            <w:noWrap w:val="0"/>
            <w:vAlign w:val="center"/>
          </w:tcPr>
          <w:p>
            <w:pPr>
              <w:widowControl/>
              <w:spacing w:line="0" w:lineRule="atLeast"/>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管理制度</w:t>
            </w:r>
          </w:p>
          <w:p>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健全性</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项目实施单位的财务和业务管理制度是否健全，用以反映和考核财务和业务管理制度对项目顺利实施的保障情况。</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评价要点：</w:t>
            </w:r>
          </w:p>
          <w:p>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①是否已制定或具有相应的财务和业务管理制度；</w:t>
            </w:r>
          </w:p>
          <w:p>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②财务和业务管理制度是否合法、合规、完整。</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pPr>
              <w:widowControl/>
              <w:spacing w:line="0" w:lineRule="atLeast"/>
              <w:ind w:firstLine="0" w:firstLineChars="0"/>
              <w:rPr>
                <w:rFonts w:hint="eastAsia" w:ascii="宋体" w:hAnsi="宋体" w:eastAsia="宋体" w:cs="宋体"/>
                <w:color w:val="000000"/>
                <w:kern w:val="0"/>
                <w:sz w:val="22"/>
                <w:szCs w:val="22"/>
                <w:lang w:val="en-US" w:eastAsia="zh-CN"/>
              </w:rPr>
            </w:pPr>
            <w:r>
              <w:rPr>
                <w:rFonts w:hint="eastAsia" w:cs="宋体"/>
                <w:color w:val="000000"/>
                <w:kern w:val="0"/>
                <w:sz w:val="22"/>
                <w:szCs w:val="22"/>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69" w:hRule="atLeast"/>
          <w:jc w:val="center"/>
        </w:trPr>
        <w:tc>
          <w:tcPr>
            <w:tcW w:w="861" w:type="dxa"/>
            <w:vMerge w:val="continue"/>
            <w:shd w:val="clear" w:color="auto" w:fill="auto"/>
            <w:noWrap w:val="0"/>
            <w:vAlign w:val="center"/>
          </w:tcPr>
          <w:p>
            <w:pPr>
              <w:widowControl/>
              <w:spacing w:line="0" w:lineRule="atLeast"/>
              <w:ind w:firstLine="0" w:firstLineChars="0"/>
              <w:jc w:val="center"/>
              <w:rPr>
                <w:rFonts w:ascii="宋体" w:hAnsi="宋体" w:eastAsia="宋体" w:cs="宋体"/>
                <w:color w:val="000000"/>
                <w:kern w:val="0"/>
                <w:sz w:val="22"/>
                <w:szCs w:val="22"/>
              </w:rPr>
            </w:pPr>
          </w:p>
        </w:tc>
        <w:tc>
          <w:tcPr>
            <w:tcW w:w="727" w:type="dxa"/>
            <w:vMerge w:val="continue"/>
            <w:shd w:val="clear" w:color="auto" w:fill="auto"/>
            <w:noWrap w:val="0"/>
            <w:vAlign w:val="center"/>
          </w:tcPr>
          <w:p>
            <w:pPr>
              <w:widowControl/>
              <w:spacing w:line="0" w:lineRule="atLeast"/>
              <w:ind w:firstLine="0" w:firstLineChars="0"/>
              <w:jc w:val="center"/>
              <w:rPr>
                <w:rFonts w:ascii="宋体" w:hAnsi="宋体" w:eastAsia="宋体" w:cs="宋体"/>
                <w:color w:val="000000"/>
                <w:kern w:val="0"/>
                <w:sz w:val="22"/>
                <w:szCs w:val="22"/>
              </w:rPr>
            </w:pPr>
          </w:p>
        </w:tc>
        <w:tc>
          <w:tcPr>
            <w:tcW w:w="820" w:type="dxa"/>
            <w:shd w:val="clear" w:color="auto" w:fill="auto"/>
            <w:noWrap w:val="0"/>
            <w:vAlign w:val="center"/>
          </w:tcPr>
          <w:p>
            <w:pPr>
              <w:widowControl/>
              <w:spacing w:line="0" w:lineRule="atLeast"/>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制度执行</w:t>
            </w:r>
          </w:p>
          <w:p>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有效性</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项目实施是否符合相关管理规定，用以反映和考核相关管理制度的有效执行情况。</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评价要点：</w:t>
            </w:r>
          </w:p>
          <w:p>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①是否遵守相关法律法规和相关管理规定；</w:t>
            </w:r>
          </w:p>
          <w:p>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②项目调整及支出调整手续是否完备；</w:t>
            </w:r>
          </w:p>
          <w:p>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③项目合同书、验收报告、技术鉴定等资料是否齐全并及时归档；</w:t>
            </w:r>
          </w:p>
          <w:p>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④项目实施的人员条件、场地设备、信息支撑等是否落实到位。</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pPr>
              <w:widowControl/>
              <w:spacing w:line="0" w:lineRule="atLeast"/>
              <w:ind w:firstLine="0" w:firstLineChars="0"/>
              <w:rPr>
                <w:rFonts w:hint="eastAsia" w:ascii="宋体" w:hAnsi="宋体" w:eastAsia="宋体" w:cs="宋体"/>
                <w:color w:val="000000"/>
                <w:kern w:val="0"/>
                <w:sz w:val="22"/>
                <w:szCs w:val="22"/>
                <w:lang w:val="en-US" w:eastAsia="zh-CN"/>
              </w:rPr>
            </w:pPr>
            <w:r>
              <w:rPr>
                <w:rFonts w:hint="eastAsia" w:cs="宋体"/>
                <w:color w:val="000000"/>
                <w:kern w:val="0"/>
                <w:sz w:val="22"/>
                <w:szCs w:val="22"/>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917" w:hRule="atLeast"/>
          <w:jc w:val="center"/>
        </w:trPr>
        <w:tc>
          <w:tcPr>
            <w:tcW w:w="861" w:type="dxa"/>
            <w:vMerge w:val="restart"/>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w:t>
            </w:r>
          </w:p>
        </w:tc>
        <w:tc>
          <w:tcPr>
            <w:tcW w:w="727" w:type="dxa"/>
            <w:vMerge w:val="restart"/>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产出</w:t>
            </w:r>
            <w:r>
              <w:rPr>
                <w:rFonts w:hint="eastAsia" w:ascii="宋体" w:hAnsi="宋体" w:eastAsia="宋体" w:cs="宋体"/>
                <w:color w:val="auto"/>
                <w:kern w:val="0"/>
                <w:sz w:val="22"/>
                <w:szCs w:val="22"/>
                <w:highlight w:val="none"/>
              </w:rPr>
              <w:t>数量</w:t>
            </w:r>
          </w:p>
        </w:tc>
        <w:tc>
          <w:tcPr>
            <w:tcW w:w="820" w:type="dxa"/>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80周岁以上老年人免费体检次数</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项目实施的实际产出数与计划产出数的比率，用以反映和考核项目产出数量目标的实现程度。</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实际完成率=（实际产出数/计划产出数）×100%。</w:t>
            </w:r>
          </w:p>
          <w:p>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实际产出数：一定时期（本年度或项目期）内项目实际产出的产品或提供的服务数量。</w:t>
            </w:r>
          </w:p>
          <w:p>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计划产出数：项目绩效目标确定的在一定时期（本年度或项目期）内计划产出的产品或提供的服务数量。</w:t>
            </w:r>
          </w:p>
        </w:tc>
        <w:tc>
          <w:tcPr>
            <w:tcW w:w="785"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c>
          <w:tcPr>
            <w:tcW w:w="769"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917" w:hRule="atLeast"/>
          <w:jc w:val="center"/>
        </w:trPr>
        <w:tc>
          <w:tcPr>
            <w:tcW w:w="861" w:type="dxa"/>
            <w:vMerge w:val="continue"/>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727" w:type="dxa"/>
            <w:vMerge w:val="continue"/>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820"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享受80周岁以上高龄津贴的人次</w:t>
            </w:r>
          </w:p>
        </w:tc>
        <w:tc>
          <w:tcPr>
            <w:tcW w:w="2141" w:type="dxa"/>
            <w:shd w:val="clear" w:color="auto" w:fill="auto"/>
            <w:noWrap w:val="0"/>
            <w:vAlign w:val="center"/>
          </w:tcPr>
          <w:p>
            <w:pPr>
              <w:widowControl/>
              <w:spacing w:line="0" w:lineRule="atLeast"/>
              <w:ind w:firstLine="0" w:firstLineChars="0"/>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项目实施的实际产出数与计划产出数的比率，用以反映和考核项目产出数量目标的实现程度。</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实际完成率=（实际产出数/计划产出数）×100%。</w:t>
            </w:r>
          </w:p>
          <w:p>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实际产出数：一定时期（本年度或项目期）内项目实际产出的产品或提供的服务数量。</w:t>
            </w:r>
          </w:p>
          <w:p>
            <w:pPr>
              <w:widowControl/>
              <w:spacing w:line="0" w:lineRule="atLeast"/>
              <w:ind w:firstLine="0" w:firstLineChars="0"/>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计划产出数：项目绩效目标确定的在一定时期（本年度或项目期）内计划产出的产品或提供的服务数量。</w:t>
            </w:r>
          </w:p>
        </w:tc>
        <w:tc>
          <w:tcPr>
            <w:tcW w:w="785" w:type="dxa"/>
            <w:shd w:val="clear" w:color="auto" w:fill="auto"/>
            <w:noWrap w:val="0"/>
            <w:vAlign w:val="center"/>
          </w:tcPr>
          <w:p>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c>
          <w:tcPr>
            <w:tcW w:w="769" w:type="dxa"/>
            <w:shd w:val="clear" w:color="auto" w:fill="auto"/>
            <w:noWrap w:val="0"/>
            <w:vAlign w:val="center"/>
          </w:tcPr>
          <w:p>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18" w:hRule="atLeast"/>
          <w:jc w:val="center"/>
        </w:trPr>
        <w:tc>
          <w:tcPr>
            <w:tcW w:w="861" w:type="dxa"/>
            <w:vMerge w:val="continue"/>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产出</w:t>
            </w:r>
            <w:r>
              <w:rPr>
                <w:rFonts w:hint="eastAsia" w:ascii="宋体" w:hAnsi="宋体" w:eastAsia="宋体" w:cs="宋体"/>
                <w:color w:val="auto"/>
                <w:kern w:val="0"/>
                <w:sz w:val="22"/>
                <w:szCs w:val="22"/>
                <w:highlight w:val="none"/>
              </w:rPr>
              <w:t>质量</w:t>
            </w:r>
          </w:p>
        </w:tc>
        <w:tc>
          <w:tcPr>
            <w:tcW w:w="820" w:type="dxa"/>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惠及80周岁以上高龄老人实际占比</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项目完成的质量达标产出数与实际产出数的比率，用以反映和考核项目产出质量目标的实现程度。</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质量达标率=（质量达标产出数/实际产出数）×100%。</w:t>
            </w:r>
          </w:p>
          <w:p>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785" w:type="dxa"/>
            <w:shd w:val="clear" w:color="auto" w:fill="auto"/>
            <w:noWrap w:val="0"/>
            <w:vAlign w:val="center"/>
          </w:tcPr>
          <w:p>
            <w:pPr>
              <w:widowControl/>
              <w:spacing w:line="0" w:lineRule="atLeast"/>
              <w:ind w:firstLine="0" w:firstLineChars="0"/>
              <w:rPr>
                <w:rFonts w:hint="default" w:ascii="宋体" w:hAnsi="宋体" w:eastAsia="宋体" w:cs="宋体"/>
                <w:color w:val="000000"/>
                <w:kern w:val="0"/>
                <w:sz w:val="22"/>
                <w:szCs w:val="22"/>
                <w:lang w:val="en-US" w:eastAsia="zh-CN"/>
              </w:rPr>
            </w:pPr>
            <w:r>
              <w:rPr>
                <w:rFonts w:hint="eastAsia" w:cs="宋体"/>
                <w:color w:val="000000"/>
                <w:kern w:val="0"/>
                <w:sz w:val="22"/>
                <w:szCs w:val="22"/>
                <w:lang w:val="en-US" w:eastAsia="zh-CN"/>
              </w:rPr>
              <w:t>4</w:t>
            </w:r>
          </w:p>
        </w:tc>
        <w:tc>
          <w:tcPr>
            <w:tcW w:w="769" w:type="dxa"/>
            <w:shd w:val="clear" w:color="auto" w:fill="auto"/>
            <w:noWrap w:val="0"/>
            <w:vAlign w:val="center"/>
          </w:tcPr>
          <w:p>
            <w:pPr>
              <w:widowControl/>
              <w:spacing w:line="0" w:lineRule="atLeast"/>
              <w:ind w:firstLine="0" w:firstLineChars="0"/>
              <w:rPr>
                <w:rFonts w:hint="default" w:ascii="宋体" w:hAnsi="宋体" w:eastAsia="宋体" w:cs="宋体"/>
                <w:color w:val="000000"/>
                <w:kern w:val="0"/>
                <w:sz w:val="22"/>
                <w:szCs w:val="22"/>
                <w:lang w:val="en-US" w:eastAsia="zh-CN"/>
              </w:rPr>
            </w:pPr>
            <w:r>
              <w:rPr>
                <w:rFonts w:hint="eastAsia" w:cs="宋体"/>
                <w:color w:val="000000"/>
                <w:kern w:val="0"/>
                <w:sz w:val="22"/>
                <w:szCs w:val="22"/>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506" w:hRule="atLeast"/>
          <w:jc w:val="center"/>
        </w:trPr>
        <w:tc>
          <w:tcPr>
            <w:tcW w:w="861" w:type="dxa"/>
            <w:vMerge w:val="continue"/>
            <w:shd w:val="clear" w:color="auto" w:fill="auto"/>
            <w:noWrap w:val="0"/>
            <w:vAlign w:val="center"/>
          </w:tcPr>
          <w:p>
            <w:pPr>
              <w:spacing w:line="0" w:lineRule="atLeast"/>
              <w:ind w:firstLine="0" w:firstLineChars="0"/>
              <w:jc w:val="center"/>
              <w:rPr>
                <w:rFonts w:ascii="宋体" w:hAnsi="宋体" w:eastAsia="宋体" w:cs="宋体"/>
                <w:color w:val="auto"/>
                <w:kern w:val="0"/>
                <w:sz w:val="22"/>
                <w:szCs w:val="22"/>
                <w:highlight w:val="none"/>
              </w:rPr>
            </w:pPr>
          </w:p>
        </w:tc>
        <w:tc>
          <w:tcPr>
            <w:tcW w:w="727" w:type="dxa"/>
            <w:shd w:val="clear" w:color="auto" w:fill="auto"/>
            <w:noWrap w:val="0"/>
            <w:vAlign w:val="center"/>
          </w:tcPr>
          <w:p>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产出时效</w:t>
            </w:r>
          </w:p>
        </w:tc>
        <w:tc>
          <w:tcPr>
            <w:tcW w:w="820" w:type="dxa"/>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补助资金发放及时率</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项目实际完成时间与计划完成时间的比较，用以反映和考核项目产出时效目标的实现程度。</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实际完成时间：项目实施单位完成该项目实际所耗用的时间。</w:t>
            </w:r>
          </w:p>
          <w:p>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计划完成时间：按照项目实施计划或相关规定完成该项目所需的时间。</w:t>
            </w:r>
          </w:p>
        </w:tc>
        <w:tc>
          <w:tcPr>
            <w:tcW w:w="785" w:type="dxa"/>
            <w:shd w:val="clear" w:color="auto" w:fill="auto"/>
            <w:noWrap w:val="0"/>
            <w:vAlign w:val="center"/>
          </w:tcPr>
          <w:p>
            <w:pPr>
              <w:widowControl/>
              <w:spacing w:line="0" w:lineRule="atLeast"/>
              <w:ind w:firstLine="0" w:firstLineChars="0"/>
              <w:rPr>
                <w:rFonts w:hint="default" w:ascii="宋体" w:hAnsi="宋体" w:eastAsia="宋体" w:cs="宋体"/>
                <w:color w:val="000000"/>
                <w:kern w:val="0"/>
                <w:sz w:val="22"/>
                <w:szCs w:val="22"/>
                <w:lang w:val="en-US" w:eastAsia="zh-CN"/>
              </w:rPr>
            </w:pPr>
            <w:r>
              <w:rPr>
                <w:rFonts w:hint="eastAsia" w:cs="宋体"/>
                <w:color w:val="000000"/>
                <w:kern w:val="0"/>
                <w:sz w:val="22"/>
                <w:szCs w:val="22"/>
                <w:lang w:val="en-US" w:eastAsia="zh-CN"/>
              </w:rPr>
              <w:t>5</w:t>
            </w:r>
          </w:p>
        </w:tc>
        <w:tc>
          <w:tcPr>
            <w:tcW w:w="769" w:type="dxa"/>
            <w:shd w:val="clear" w:color="auto" w:fill="auto"/>
            <w:noWrap w:val="0"/>
            <w:vAlign w:val="center"/>
          </w:tcPr>
          <w:p>
            <w:pPr>
              <w:widowControl/>
              <w:spacing w:line="0" w:lineRule="atLeast"/>
              <w:ind w:firstLine="0" w:firstLineChars="0"/>
              <w:rPr>
                <w:rFonts w:hint="default" w:ascii="宋体" w:hAnsi="宋体" w:eastAsia="宋体" w:cs="宋体"/>
                <w:color w:val="000000"/>
                <w:kern w:val="0"/>
                <w:sz w:val="22"/>
                <w:szCs w:val="22"/>
                <w:lang w:val="en-US" w:eastAsia="zh-CN"/>
              </w:rPr>
            </w:pPr>
            <w:r>
              <w:rPr>
                <w:rFonts w:hint="eastAsia" w:cs="宋体"/>
                <w:color w:val="000000"/>
                <w:kern w:val="0"/>
                <w:sz w:val="22"/>
                <w:szCs w:val="22"/>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076" w:hRule="atLeast"/>
          <w:jc w:val="center"/>
        </w:trPr>
        <w:tc>
          <w:tcPr>
            <w:tcW w:w="861" w:type="dxa"/>
            <w:vMerge w:val="continue"/>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vMerge w:val="restart"/>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产出成本</w:t>
            </w:r>
          </w:p>
        </w:tc>
        <w:tc>
          <w:tcPr>
            <w:tcW w:w="820"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80周岁（含80周岁）89周岁的老年人补助标准</w:t>
            </w:r>
          </w:p>
        </w:tc>
        <w:tc>
          <w:tcPr>
            <w:tcW w:w="2141" w:type="dxa"/>
            <w:shd w:val="clear" w:color="auto" w:fill="auto"/>
            <w:noWrap w:val="0"/>
            <w:vAlign w:val="center"/>
          </w:tcPr>
          <w:p>
            <w:pPr>
              <w:widowControl/>
              <w:spacing w:line="0" w:lineRule="atLeast"/>
              <w:ind w:firstLine="0" w:firstLineChars="0"/>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完成项目计划工作目标的实际节约成本与计划成本的比率，用以反映和考核项目的成本节约程度。</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成本节约率=[（计划成本-实际成本）/计划成本]×100%。</w:t>
            </w:r>
          </w:p>
          <w:p>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实际成本：项目实施单位如期、保质、保量完成既定工作目标实际所耗费的支出。</w:t>
            </w:r>
          </w:p>
          <w:p>
            <w:pPr>
              <w:widowControl/>
              <w:spacing w:line="0" w:lineRule="atLeast"/>
              <w:ind w:firstLine="0" w:firstLineChars="0"/>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计划成本：项目实施单位为完成工作目标计划安排的支出，一般以项目预算为参考。</w:t>
            </w:r>
          </w:p>
        </w:tc>
        <w:tc>
          <w:tcPr>
            <w:tcW w:w="785" w:type="dxa"/>
            <w:shd w:val="clear" w:color="auto" w:fill="auto"/>
            <w:noWrap w:val="0"/>
            <w:vAlign w:val="center"/>
          </w:tcPr>
          <w:p>
            <w:pPr>
              <w:widowControl/>
              <w:spacing w:line="0" w:lineRule="atLeast"/>
              <w:ind w:firstLine="0" w:firstLineChars="0"/>
              <w:rPr>
                <w:rFonts w:hint="default" w:cs="宋体"/>
                <w:color w:val="000000"/>
                <w:kern w:val="0"/>
                <w:sz w:val="22"/>
                <w:szCs w:val="22"/>
                <w:lang w:val="en-US" w:eastAsia="zh-CN"/>
              </w:rPr>
            </w:pPr>
            <w:r>
              <w:rPr>
                <w:rFonts w:hint="eastAsia" w:cs="宋体"/>
                <w:color w:val="000000"/>
                <w:kern w:val="0"/>
                <w:sz w:val="22"/>
                <w:szCs w:val="22"/>
                <w:lang w:val="en-US" w:eastAsia="zh-CN"/>
              </w:rPr>
              <w:t>5</w:t>
            </w:r>
          </w:p>
        </w:tc>
        <w:tc>
          <w:tcPr>
            <w:tcW w:w="769" w:type="dxa"/>
            <w:shd w:val="clear" w:color="auto" w:fill="auto"/>
            <w:noWrap w:val="0"/>
            <w:vAlign w:val="center"/>
          </w:tcPr>
          <w:p>
            <w:pPr>
              <w:widowControl/>
              <w:spacing w:line="0" w:lineRule="atLeast"/>
              <w:ind w:firstLine="0" w:firstLineChars="0"/>
              <w:rPr>
                <w:rFonts w:hint="default" w:cs="宋体"/>
                <w:color w:val="000000"/>
                <w:kern w:val="0"/>
                <w:sz w:val="22"/>
                <w:szCs w:val="22"/>
                <w:lang w:val="en-US" w:eastAsia="zh-CN"/>
              </w:rPr>
            </w:pPr>
            <w:r>
              <w:rPr>
                <w:rFonts w:hint="eastAsia" w:cs="宋体"/>
                <w:color w:val="000000"/>
                <w:kern w:val="0"/>
                <w:sz w:val="22"/>
                <w:szCs w:val="22"/>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076" w:hRule="atLeast"/>
          <w:jc w:val="center"/>
        </w:trPr>
        <w:tc>
          <w:tcPr>
            <w:tcW w:w="861" w:type="dxa"/>
            <w:vMerge w:val="continue"/>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820"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90周岁（含90周岁）89周岁的老年人补助标准</w:t>
            </w:r>
          </w:p>
        </w:tc>
        <w:tc>
          <w:tcPr>
            <w:tcW w:w="2141" w:type="dxa"/>
            <w:shd w:val="clear" w:color="auto" w:fill="auto"/>
            <w:noWrap w:val="0"/>
            <w:vAlign w:val="center"/>
          </w:tcPr>
          <w:p>
            <w:pPr>
              <w:widowControl/>
              <w:spacing w:line="0" w:lineRule="atLeast"/>
              <w:ind w:firstLine="0" w:firstLineChars="0"/>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完成项目计划工作目标的实际节约成本与计划成本的比率，用以反映和考核项目的成本节约程度。</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成本节约率=[（计划成本-实际成本）/计划成本]×100%。</w:t>
            </w:r>
          </w:p>
          <w:p>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实际成本：项目实施单位如期、保质、保量完成既定工作目标实际所耗费的支出。</w:t>
            </w:r>
          </w:p>
          <w:p>
            <w:pPr>
              <w:widowControl/>
              <w:spacing w:line="0" w:lineRule="atLeast"/>
              <w:ind w:firstLine="0" w:firstLineChars="0"/>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计划成本：项目实施单位为完成工作目标计划安排的支出，一般以项目预算为参考。</w:t>
            </w:r>
          </w:p>
        </w:tc>
        <w:tc>
          <w:tcPr>
            <w:tcW w:w="785" w:type="dxa"/>
            <w:shd w:val="clear" w:color="auto" w:fill="auto"/>
            <w:noWrap w:val="0"/>
            <w:vAlign w:val="center"/>
          </w:tcPr>
          <w:p>
            <w:pPr>
              <w:widowControl/>
              <w:spacing w:line="0" w:lineRule="atLeast"/>
              <w:ind w:firstLine="0" w:firstLineChars="0"/>
              <w:rPr>
                <w:rFonts w:hint="default" w:cs="宋体"/>
                <w:color w:val="000000"/>
                <w:kern w:val="0"/>
                <w:sz w:val="22"/>
                <w:szCs w:val="22"/>
                <w:lang w:val="en-US" w:eastAsia="zh-CN"/>
              </w:rPr>
            </w:pPr>
            <w:r>
              <w:rPr>
                <w:rFonts w:hint="eastAsia" w:cs="宋体"/>
                <w:color w:val="000000"/>
                <w:kern w:val="0"/>
                <w:sz w:val="22"/>
                <w:szCs w:val="22"/>
                <w:lang w:val="en-US" w:eastAsia="zh-CN"/>
              </w:rPr>
              <w:t>5</w:t>
            </w:r>
          </w:p>
        </w:tc>
        <w:tc>
          <w:tcPr>
            <w:tcW w:w="769" w:type="dxa"/>
            <w:shd w:val="clear" w:color="auto" w:fill="auto"/>
            <w:noWrap w:val="0"/>
            <w:vAlign w:val="center"/>
          </w:tcPr>
          <w:p>
            <w:pPr>
              <w:widowControl/>
              <w:spacing w:line="0" w:lineRule="atLeast"/>
              <w:ind w:firstLine="0" w:firstLineChars="0"/>
              <w:rPr>
                <w:rFonts w:hint="default" w:cs="宋体"/>
                <w:color w:val="000000"/>
                <w:kern w:val="0"/>
                <w:sz w:val="22"/>
                <w:szCs w:val="22"/>
                <w:lang w:val="en-US" w:eastAsia="zh-CN"/>
              </w:rPr>
            </w:pPr>
            <w:r>
              <w:rPr>
                <w:rFonts w:hint="eastAsia" w:cs="宋体"/>
                <w:color w:val="000000"/>
                <w:kern w:val="0"/>
                <w:sz w:val="22"/>
                <w:szCs w:val="22"/>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076" w:hRule="atLeast"/>
          <w:jc w:val="center"/>
        </w:trPr>
        <w:tc>
          <w:tcPr>
            <w:tcW w:w="861" w:type="dxa"/>
            <w:vMerge w:val="continue"/>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产出成本</w:t>
            </w:r>
          </w:p>
        </w:tc>
        <w:tc>
          <w:tcPr>
            <w:tcW w:w="820" w:type="dxa"/>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100周岁（含100周岁）89周岁的老年人补助标准</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完成项目计划工作目标的实际节约成本与计划成本的比率，用以反映和考核项目的成本节约程度。</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000000"/>
                <w:kern w:val="0"/>
                <w:sz w:val="22"/>
                <w:szCs w:val="22"/>
                <w:lang w:eastAsia="zh-CN"/>
              </w:rPr>
            </w:pPr>
          </w:p>
          <w:p>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成本节约率=[（计划成本-实际成本）/计划成本]×100%。</w:t>
            </w:r>
          </w:p>
          <w:p>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实际成本：项目实施单位如期、保质、保量完成既定工作目标实际所耗费的支出。</w:t>
            </w:r>
          </w:p>
          <w:p>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计划成本：项目实施单位为完成工作目标计划安排的支出，一般以项目预算为参考。</w:t>
            </w:r>
          </w:p>
        </w:tc>
        <w:tc>
          <w:tcPr>
            <w:tcW w:w="785" w:type="dxa"/>
            <w:shd w:val="clear" w:color="auto" w:fill="auto"/>
            <w:noWrap w:val="0"/>
            <w:vAlign w:val="center"/>
          </w:tcPr>
          <w:p>
            <w:pPr>
              <w:widowControl/>
              <w:spacing w:line="0" w:lineRule="atLeast"/>
              <w:ind w:firstLine="0" w:firstLineChars="0"/>
              <w:rPr>
                <w:rFonts w:hint="default" w:ascii="宋体" w:hAnsi="宋体" w:eastAsia="宋体" w:cs="宋体"/>
                <w:color w:val="000000"/>
                <w:kern w:val="0"/>
                <w:sz w:val="22"/>
                <w:szCs w:val="22"/>
                <w:lang w:val="en-US" w:eastAsia="zh-CN"/>
              </w:rPr>
            </w:pPr>
            <w:r>
              <w:rPr>
                <w:rFonts w:hint="eastAsia" w:cs="宋体"/>
                <w:color w:val="000000"/>
                <w:kern w:val="0"/>
                <w:sz w:val="22"/>
                <w:szCs w:val="22"/>
                <w:lang w:val="en-US" w:eastAsia="zh-CN"/>
              </w:rPr>
              <w:t>5</w:t>
            </w:r>
          </w:p>
        </w:tc>
        <w:tc>
          <w:tcPr>
            <w:tcW w:w="769" w:type="dxa"/>
            <w:shd w:val="clear" w:color="auto" w:fill="auto"/>
            <w:noWrap w:val="0"/>
            <w:vAlign w:val="center"/>
          </w:tcPr>
          <w:p>
            <w:pPr>
              <w:widowControl/>
              <w:spacing w:line="0" w:lineRule="atLeast"/>
              <w:ind w:firstLine="0" w:firstLineChars="0"/>
              <w:rPr>
                <w:rFonts w:hint="default" w:ascii="宋体" w:hAnsi="宋体" w:eastAsia="宋体" w:cs="宋体"/>
                <w:color w:val="000000"/>
                <w:kern w:val="0"/>
                <w:sz w:val="22"/>
                <w:szCs w:val="22"/>
                <w:lang w:val="en-US" w:eastAsia="zh-CN"/>
              </w:rPr>
            </w:pPr>
            <w:r>
              <w:rPr>
                <w:rFonts w:hint="eastAsia" w:cs="宋体"/>
                <w:color w:val="000000"/>
                <w:kern w:val="0"/>
                <w:sz w:val="22"/>
                <w:szCs w:val="22"/>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889" w:hRule="atLeast"/>
          <w:jc w:val="center"/>
        </w:trPr>
        <w:tc>
          <w:tcPr>
            <w:tcW w:w="861" w:type="dxa"/>
            <w:vMerge w:val="restart"/>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效益　</w:t>
            </w:r>
          </w:p>
        </w:tc>
        <w:tc>
          <w:tcPr>
            <w:tcW w:w="727" w:type="dxa"/>
            <w:vMerge w:val="restart"/>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项目效益　</w:t>
            </w:r>
          </w:p>
        </w:tc>
        <w:tc>
          <w:tcPr>
            <w:tcW w:w="820" w:type="dxa"/>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高龄老人的生活质量</w:t>
            </w:r>
          </w:p>
        </w:tc>
        <w:tc>
          <w:tcPr>
            <w:tcW w:w="2141" w:type="dxa"/>
            <w:shd w:val="clear" w:color="auto" w:fill="auto"/>
            <w:noWrap w:val="0"/>
            <w:vAlign w:val="center"/>
          </w:tcPr>
          <w:p>
            <w:pPr>
              <w:widowControl/>
              <w:spacing w:line="0" w:lineRule="atLeast"/>
              <w:ind w:firstLine="0" w:firstLineChars="0"/>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项目实施所产生的效益。</w:t>
            </w:r>
          </w:p>
        </w:tc>
        <w:tc>
          <w:tcPr>
            <w:tcW w:w="7821" w:type="dxa"/>
            <w:shd w:val="clear" w:color="auto" w:fill="auto"/>
            <w:noWrap w:val="0"/>
            <w:vAlign w:val="center"/>
          </w:tcPr>
          <w:p>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项目实施所产生的社会效益、经济效益、生态效益、可持续影响等。可根据项目实际情况有选择地设置和细化。</w:t>
            </w:r>
          </w:p>
        </w:tc>
        <w:tc>
          <w:tcPr>
            <w:tcW w:w="785" w:type="dxa"/>
            <w:shd w:val="clear" w:color="auto" w:fill="auto"/>
            <w:noWrap w:val="0"/>
            <w:vAlign w:val="center"/>
          </w:tcPr>
          <w:p>
            <w:pPr>
              <w:widowControl/>
              <w:spacing w:line="0" w:lineRule="atLeast"/>
              <w:ind w:firstLine="0" w:firstLineChars="0"/>
              <w:rPr>
                <w:rFonts w:hint="default" w:ascii="宋体" w:hAnsi="宋体" w:eastAsia="宋体" w:cs="宋体"/>
                <w:color w:val="000000"/>
                <w:kern w:val="0"/>
                <w:sz w:val="22"/>
                <w:szCs w:val="22"/>
                <w:lang w:val="en-US" w:eastAsia="zh-CN"/>
              </w:rPr>
            </w:pPr>
            <w:r>
              <w:rPr>
                <w:rFonts w:hint="eastAsia" w:cs="宋体"/>
                <w:color w:val="000000"/>
                <w:kern w:val="0"/>
                <w:sz w:val="22"/>
                <w:szCs w:val="22"/>
                <w:lang w:val="en-US" w:eastAsia="zh-CN"/>
              </w:rPr>
              <w:t>15</w:t>
            </w:r>
          </w:p>
        </w:tc>
        <w:tc>
          <w:tcPr>
            <w:tcW w:w="769" w:type="dxa"/>
            <w:shd w:val="clear" w:color="auto" w:fill="auto"/>
            <w:noWrap w:val="0"/>
            <w:vAlign w:val="center"/>
          </w:tcPr>
          <w:p>
            <w:pPr>
              <w:widowControl/>
              <w:spacing w:line="0" w:lineRule="atLeast"/>
              <w:ind w:firstLine="0" w:firstLineChars="0"/>
              <w:rPr>
                <w:rFonts w:hint="default" w:ascii="宋体" w:hAnsi="宋体" w:eastAsia="宋体" w:cs="宋体"/>
                <w:color w:val="000000"/>
                <w:kern w:val="0"/>
                <w:sz w:val="22"/>
                <w:szCs w:val="22"/>
                <w:lang w:val="en-US" w:eastAsia="zh-CN"/>
              </w:rPr>
            </w:pPr>
            <w:r>
              <w:rPr>
                <w:rFonts w:hint="eastAsia" w:cs="宋体"/>
                <w:color w:val="000000"/>
                <w:kern w:val="0"/>
                <w:sz w:val="22"/>
                <w:szCs w:val="22"/>
                <w:lang w:val="en-US" w:eastAsia="zh-CN"/>
              </w:rPr>
              <w:t>15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137" w:hRule="atLeast"/>
          <w:jc w:val="center"/>
        </w:trPr>
        <w:tc>
          <w:tcPr>
            <w:tcW w:w="861" w:type="dxa"/>
            <w:vMerge w:val="continue"/>
            <w:shd w:val="clear" w:color="auto" w:fill="auto"/>
            <w:noWrap w:val="0"/>
            <w:vAlign w:val="center"/>
          </w:tcPr>
          <w:p>
            <w:pPr>
              <w:widowControl/>
              <w:spacing w:line="0" w:lineRule="atLeast"/>
              <w:ind w:firstLine="0" w:firstLineChars="0"/>
              <w:jc w:val="center"/>
              <w:rPr>
                <w:rFonts w:ascii="宋体" w:hAnsi="宋体" w:eastAsia="宋体" w:cs="宋体"/>
                <w:color w:val="000000"/>
                <w:kern w:val="0"/>
                <w:sz w:val="22"/>
                <w:szCs w:val="22"/>
                <w:highlight w:val="yellow"/>
              </w:rPr>
            </w:pPr>
          </w:p>
        </w:tc>
        <w:tc>
          <w:tcPr>
            <w:tcW w:w="727" w:type="dxa"/>
            <w:vMerge w:val="continue"/>
            <w:shd w:val="clear" w:color="auto" w:fill="auto"/>
            <w:noWrap w:val="0"/>
            <w:vAlign w:val="center"/>
          </w:tcPr>
          <w:p>
            <w:pPr>
              <w:widowControl/>
              <w:spacing w:line="0" w:lineRule="atLeast"/>
              <w:ind w:firstLine="0" w:firstLineChars="0"/>
              <w:jc w:val="center"/>
              <w:rPr>
                <w:rFonts w:ascii="宋体" w:hAnsi="宋体" w:eastAsia="宋体" w:cs="宋体"/>
                <w:color w:val="000000"/>
                <w:kern w:val="0"/>
                <w:sz w:val="22"/>
                <w:szCs w:val="22"/>
                <w:highlight w:val="yellow"/>
              </w:rPr>
            </w:pPr>
          </w:p>
        </w:tc>
        <w:tc>
          <w:tcPr>
            <w:tcW w:w="820" w:type="dxa"/>
            <w:shd w:val="clear" w:color="auto" w:fill="auto"/>
            <w:noWrap w:val="0"/>
            <w:vAlign w:val="center"/>
          </w:tcPr>
          <w:p>
            <w:pPr>
              <w:widowControl/>
              <w:spacing w:line="0" w:lineRule="atLeast"/>
              <w:ind w:firstLine="0" w:firstLineChars="0"/>
              <w:jc w:val="center"/>
              <w:rPr>
                <w:rFonts w:ascii="宋体" w:hAnsi="宋体" w:eastAsia="宋体" w:cs="宋体"/>
                <w:color w:val="000000"/>
                <w:kern w:val="0"/>
                <w:sz w:val="22"/>
                <w:szCs w:val="22"/>
                <w:highlight w:val="yellow"/>
              </w:rPr>
            </w:pPr>
            <w:r>
              <w:rPr>
                <w:rFonts w:hint="eastAsia" w:ascii="宋体" w:hAnsi="宋体" w:eastAsia="宋体" w:cs="宋体"/>
                <w:color w:val="000000"/>
                <w:kern w:val="0"/>
                <w:sz w:val="22"/>
                <w:szCs w:val="22"/>
                <w:highlight w:val="none"/>
              </w:rPr>
              <w:t>80周岁以上高龄老人满意度</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社会公众或服务对象对项目实施效果的满意程度。</w:t>
            </w:r>
          </w:p>
        </w:tc>
        <w:tc>
          <w:tcPr>
            <w:tcW w:w="7821" w:type="dxa"/>
            <w:shd w:val="clear" w:color="auto" w:fill="auto"/>
            <w:noWrap w:val="0"/>
            <w:vAlign w:val="center"/>
          </w:tcPr>
          <w:p>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社会公众或服务对象是指因该项目实施而受到影响的部门（单位）、群体或个人。一般采取社会调查的方式。</w:t>
            </w:r>
          </w:p>
        </w:tc>
        <w:tc>
          <w:tcPr>
            <w:tcW w:w="785" w:type="dxa"/>
            <w:shd w:val="clear" w:color="auto" w:fill="auto"/>
            <w:noWrap w:val="0"/>
            <w:vAlign w:val="center"/>
          </w:tcPr>
          <w:p>
            <w:pPr>
              <w:widowControl/>
              <w:spacing w:line="0" w:lineRule="atLeast"/>
              <w:ind w:firstLine="0" w:firstLineChars="0"/>
              <w:rPr>
                <w:rFonts w:hint="default" w:ascii="宋体" w:hAnsi="宋体" w:eastAsia="宋体" w:cs="宋体"/>
                <w:color w:val="000000"/>
                <w:kern w:val="0"/>
                <w:sz w:val="22"/>
                <w:szCs w:val="22"/>
                <w:lang w:val="en-US" w:eastAsia="zh-CN"/>
              </w:rPr>
            </w:pPr>
            <w:r>
              <w:rPr>
                <w:rFonts w:hint="eastAsia" w:cs="宋体"/>
                <w:color w:val="000000"/>
                <w:kern w:val="0"/>
                <w:sz w:val="22"/>
                <w:szCs w:val="22"/>
                <w:lang w:val="en-US" w:eastAsia="zh-CN"/>
              </w:rPr>
              <w:t>15</w:t>
            </w:r>
          </w:p>
        </w:tc>
        <w:tc>
          <w:tcPr>
            <w:tcW w:w="769" w:type="dxa"/>
            <w:shd w:val="clear" w:color="auto" w:fill="auto"/>
            <w:noWrap w:val="0"/>
            <w:vAlign w:val="center"/>
          </w:tcPr>
          <w:p>
            <w:pPr>
              <w:widowControl/>
              <w:spacing w:line="0" w:lineRule="atLeast"/>
              <w:ind w:firstLine="0" w:firstLineChars="0"/>
              <w:rPr>
                <w:rFonts w:hint="default" w:ascii="宋体" w:hAnsi="宋体" w:eastAsia="宋体" w:cs="宋体"/>
                <w:color w:val="000000"/>
                <w:kern w:val="0"/>
                <w:sz w:val="22"/>
                <w:szCs w:val="22"/>
                <w:lang w:val="en-US" w:eastAsia="zh-CN"/>
              </w:rPr>
            </w:pPr>
            <w:r>
              <w:rPr>
                <w:rFonts w:hint="eastAsia" w:cs="宋体"/>
                <w:color w:val="000000"/>
                <w:kern w:val="0"/>
                <w:sz w:val="22"/>
                <w:szCs w:val="22"/>
                <w:lang w:val="en-US" w:eastAsia="zh-CN"/>
              </w:rPr>
              <w:t>15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17" w:hRule="atLeast"/>
          <w:jc w:val="center"/>
        </w:trPr>
        <w:tc>
          <w:tcPr>
            <w:tcW w:w="4549" w:type="dxa"/>
            <w:gridSpan w:val="4"/>
            <w:shd w:val="clear" w:color="auto" w:fill="auto"/>
            <w:noWrap w:val="0"/>
            <w:vAlign w:val="center"/>
          </w:tcPr>
          <w:p>
            <w:pPr>
              <w:widowControl/>
              <w:spacing w:line="0" w:lineRule="atLeast"/>
              <w:ind w:firstLine="0" w:firstLineChars="0"/>
              <w:jc w:val="center"/>
              <w:rPr>
                <w:rFonts w:hint="eastAsia" w:ascii="宋体" w:hAnsi="宋体" w:eastAsia="宋体" w:cs="宋体"/>
                <w:color w:val="000000"/>
                <w:kern w:val="0"/>
                <w:sz w:val="22"/>
                <w:szCs w:val="22"/>
                <w:lang w:val="en-US" w:eastAsia="zh-CN"/>
              </w:rPr>
            </w:pPr>
            <w:r>
              <w:rPr>
                <w:rFonts w:hint="eastAsia" w:ascii="宋体" w:hAnsi="宋体" w:eastAsia="宋体" w:cs="宋体"/>
                <w:color w:val="000000"/>
                <w:kern w:val="0"/>
                <w:sz w:val="22"/>
                <w:szCs w:val="22"/>
                <w:lang w:val="en-US" w:eastAsia="zh-CN"/>
              </w:rPr>
              <w:t>合计</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000000"/>
                <w:kern w:val="0"/>
                <w:sz w:val="22"/>
                <w:szCs w:val="22"/>
              </w:rPr>
            </w:pPr>
          </w:p>
        </w:tc>
        <w:tc>
          <w:tcPr>
            <w:tcW w:w="785" w:type="dxa"/>
            <w:shd w:val="clear" w:color="auto" w:fill="auto"/>
            <w:noWrap w:val="0"/>
            <w:vAlign w:val="center"/>
          </w:tcPr>
          <w:p>
            <w:pPr>
              <w:widowControl/>
              <w:spacing w:line="0" w:lineRule="atLeast"/>
              <w:ind w:firstLine="0" w:firstLineChars="0"/>
              <w:jc w:val="center"/>
              <w:rPr>
                <w:rFonts w:hint="default" w:ascii="宋体" w:hAnsi="宋体" w:eastAsia="宋体" w:cs="宋体"/>
                <w:color w:val="000000"/>
                <w:kern w:val="0"/>
                <w:sz w:val="22"/>
                <w:szCs w:val="22"/>
                <w:lang w:val="en-US" w:eastAsia="zh-CN"/>
              </w:rPr>
            </w:pPr>
            <w:r>
              <w:rPr>
                <w:rFonts w:hint="eastAsia" w:cs="宋体"/>
                <w:color w:val="000000"/>
                <w:kern w:val="0"/>
                <w:sz w:val="22"/>
                <w:szCs w:val="22"/>
                <w:lang w:val="en-US" w:eastAsia="zh-CN"/>
              </w:rPr>
              <w:t>100</w:t>
            </w:r>
          </w:p>
        </w:tc>
        <w:tc>
          <w:tcPr>
            <w:tcW w:w="769" w:type="dxa"/>
            <w:shd w:val="clear" w:color="auto" w:fill="auto"/>
            <w:noWrap w:val="0"/>
            <w:vAlign w:val="center"/>
          </w:tcPr>
          <w:p>
            <w:pPr>
              <w:widowControl/>
              <w:spacing w:line="0" w:lineRule="atLeast"/>
              <w:ind w:firstLine="0" w:firstLineChars="0"/>
              <w:rPr>
                <w:rFonts w:hint="default" w:ascii="宋体" w:hAnsi="宋体" w:eastAsia="宋体" w:cs="宋体"/>
                <w:color w:val="000000"/>
                <w:kern w:val="0"/>
                <w:sz w:val="22"/>
                <w:szCs w:val="22"/>
                <w:lang w:val="en-US" w:eastAsia="zh-CN"/>
              </w:rPr>
            </w:pPr>
            <w:r>
              <w:rPr>
                <w:rFonts w:hint="eastAsia" w:cs="宋体"/>
                <w:color w:val="000000"/>
                <w:kern w:val="0"/>
                <w:sz w:val="22"/>
                <w:szCs w:val="22"/>
                <w:lang w:val="en-US" w:eastAsia="zh-CN"/>
              </w:rPr>
              <w:t>100</w:t>
            </w:r>
          </w:p>
        </w:tc>
      </w:tr>
    </w:tbl>
    <w:p>
      <w:pPr>
        <w:spacing w:line="240" w:lineRule="auto"/>
        <w:ind w:firstLine="0" w:firstLineChars="0"/>
        <w:rPr>
          <w:rFonts w:ascii="Times New Roman" w:hAnsi="Times New Roman" w:eastAsia="仿宋_GB2312" w:cs="Times New Roman"/>
          <w:sz w:val="30"/>
          <w:szCs w:val="24"/>
        </w:rPr>
      </w:pPr>
    </w:p>
    <w:p>
      <w:pPr>
        <w:rPr>
          <w:rFonts w:hint="default"/>
          <w:lang w:val="en-US" w:eastAsia="zh-CN"/>
        </w:rPr>
      </w:pPr>
    </w:p>
    <w:sectPr>
      <w:pgSz w:w="16838" w:h="11906" w:orient="landscape"/>
      <w:pgMar w:top="1800" w:right="1440" w:bottom="1800" w:left="1440" w:header="737" w:footer="851" w:gutter="0"/>
      <w:pgNumType w:fmt="decimal"/>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MS Sans Serif">
    <w:altName w:val="Arial"/>
    <w:panose1 w:val="00000000000000000000"/>
    <w:charset w:val="00"/>
    <w:family w:val="swiss"/>
    <w:pitch w:val="default"/>
    <w:sig w:usb0="00000000" w:usb1="00000000" w:usb2="00000000" w:usb3="00000000" w:csb0="00000001" w:csb1="00000000"/>
  </w:font>
  <w:font w:name="Arial Unicode MS">
    <w:altName w:val="宋体"/>
    <w:panose1 w:val="020B0604020202020204"/>
    <w:charset w:val="86"/>
    <w:family w:val="swiss"/>
    <w:pitch w:val="default"/>
    <w:sig w:usb0="00000000" w:usb1="00000000" w:usb2="0000003F" w:usb3="00000000" w:csb0="603F01FF" w:csb1="FFFF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8"/>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26C92B9"/>
    <w:multiLevelType w:val="singleLevel"/>
    <w:tmpl w:val="826C92B9"/>
    <w:lvl w:ilvl="0" w:tentative="0">
      <w:start w:val="2"/>
      <w:numFmt w:val="chineseCounting"/>
      <w:suff w:val="nothing"/>
      <w:lvlText w:val="（%1）"/>
      <w:lvlJc w:val="left"/>
      <w:pPr>
        <w:ind w:left="-404"/>
      </w:pPr>
      <w:rPr>
        <w:rFonts w:hint="eastAsia"/>
      </w:rPr>
    </w:lvl>
  </w:abstractNum>
  <w:abstractNum w:abstractNumId="1">
    <w:nsid w:val="1FFA6D59"/>
    <w:multiLevelType w:val="singleLevel"/>
    <w:tmpl w:val="1FFA6D59"/>
    <w:lvl w:ilvl="0" w:tentative="0">
      <w:start w:val="1"/>
      <w:numFmt w:val="chineseCounting"/>
      <w:suff w:val="nothing"/>
      <w:lvlText w:val="（%1）"/>
      <w:lvlJc w:val="left"/>
      <w:pPr>
        <w:ind w:left="0" w:firstLine="420"/>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RhNzIwMTU3YTRiZGFmNmQzZjIzZGVlNTEwZTE2MjkifQ=="/>
  </w:docVars>
  <w:rsids>
    <w:rsidRoot w:val="68291A1A"/>
    <w:rsid w:val="007D6A04"/>
    <w:rsid w:val="00956E70"/>
    <w:rsid w:val="00E23C81"/>
    <w:rsid w:val="01253350"/>
    <w:rsid w:val="01282E62"/>
    <w:rsid w:val="014029CF"/>
    <w:rsid w:val="01470C4C"/>
    <w:rsid w:val="02200440"/>
    <w:rsid w:val="02284B43"/>
    <w:rsid w:val="02B015E2"/>
    <w:rsid w:val="02DC08FA"/>
    <w:rsid w:val="033B569D"/>
    <w:rsid w:val="039C3BA0"/>
    <w:rsid w:val="03A845BB"/>
    <w:rsid w:val="03B45AD1"/>
    <w:rsid w:val="04D12EE4"/>
    <w:rsid w:val="04D63993"/>
    <w:rsid w:val="055C65EE"/>
    <w:rsid w:val="07890F4F"/>
    <w:rsid w:val="08892439"/>
    <w:rsid w:val="08EB30F3"/>
    <w:rsid w:val="09237408"/>
    <w:rsid w:val="09781BD6"/>
    <w:rsid w:val="09F359DF"/>
    <w:rsid w:val="0A575E65"/>
    <w:rsid w:val="0ACA0AB6"/>
    <w:rsid w:val="0C032502"/>
    <w:rsid w:val="0C27698C"/>
    <w:rsid w:val="0D4452F3"/>
    <w:rsid w:val="0F5E5042"/>
    <w:rsid w:val="0FE95707"/>
    <w:rsid w:val="10510571"/>
    <w:rsid w:val="10787A20"/>
    <w:rsid w:val="108672DE"/>
    <w:rsid w:val="10EC685A"/>
    <w:rsid w:val="11FA6155"/>
    <w:rsid w:val="12CF0947"/>
    <w:rsid w:val="12F1313F"/>
    <w:rsid w:val="136C678E"/>
    <w:rsid w:val="13EB2FF5"/>
    <w:rsid w:val="14A219B4"/>
    <w:rsid w:val="15A46B04"/>
    <w:rsid w:val="165825BC"/>
    <w:rsid w:val="16BC5D73"/>
    <w:rsid w:val="176F36D7"/>
    <w:rsid w:val="1795226D"/>
    <w:rsid w:val="18456B1E"/>
    <w:rsid w:val="1C1171C5"/>
    <w:rsid w:val="1D265138"/>
    <w:rsid w:val="1D7B6BCA"/>
    <w:rsid w:val="1DA41A79"/>
    <w:rsid w:val="1DF53469"/>
    <w:rsid w:val="1DF83E91"/>
    <w:rsid w:val="1E2F24F2"/>
    <w:rsid w:val="1E58492F"/>
    <w:rsid w:val="1E5B6757"/>
    <w:rsid w:val="1ED10AC6"/>
    <w:rsid w:val="1F89225F"/>
    <w:rsid w:val="1F900A1F"/>
    <w:rsid w:val="1FC0575D"/>
    <w:rsid w:val="206132C7"/>
    <w:rsid w:val="21B00C1D"/>
    <w:rsid w:val="23031BEB"/>
    <w:rsid w:val="23917691"/>
    <w:rsid w:val="244D65B8"/>
    <w:rsid w:val="245E1E24"/>
    <w:rsid w:val="25AD5E5D"/>
    <w:rsid w:val="2732478D"/>
    <w:rsid w:val="27661469"/>
    <w:rsid w:val="27900EAD"/>
    <w:rsid w:val="279B538A"/>
    <w:rsid w:val="286F545C"/>
    <w:rsid w:val="29314FBC"/>
    <w:rsid w:val="2A0A040F"/>
    <w:rsid w:val="2C024B86"/>
    <w:rsid w:val="2C927671"/>
    <w:rsid w:val="2D7C5CD6"/>
    <w:rsid w:val="2E483E7E"/>
    <w:rsid w:val="2E690493"/>
    <w:rsid w:val="2E9854BD"/>
    <w:rsid w:val="2F0D407F"/>
    <w:rsid w:val="2F454B19"/>
    <w:rsid w:val="310224D9"/>
    <w:rsid w:val="31B4621C"/>
    <w:rsid w:val="31E3230A"/>
    <w:rsid w:val="330957E0"/>
    <w:rsid w:val="33356F64"/>
    <w:rsid w:val="33944516"/>
    <w:rsid w:val="34B62907"/>
    <w:rsid w:val="36BD137C"/>
    <w:rsid w:val="385D37E7"/>
    <w:rsid w:val="38782EDD"/>
    <w:rsid w:val="3AA26F82"/>
    <w:rsid w:val="3AB104D0"/>
    <w:rsid w:val="3B42664A"/>
    <w:rsid w:val="3D836A4E"/>
    <w:rsid w:val="3EA37E97"/>
    <w:rsid w:val="3FBE0BC5"/>
    <w:rsid w:val="4048103A"/>
    <w:rsid w:val="40736643"/>
    <w:rsid w:val="40D24A7A"/>
    <w:rsid w:val="424E3C40"/>
    <w:rsid w:val="42621029"/>
    <w:rsid w:val="435241E2"/>
    <w:rsid w:val="43975C51"/>
    <w:rsid w:val="439E3FA7"/>
    <w:rsid w:val="44B32266"/>
    <w:rsid w:val="44FC64F4"/>
    <w:rsid w:val="467F4585"/>
    <w:rsid w:val="470628CB"/>
    <w:rsid w:val="471F2951"/>
    <w:rsid w:val="47555BD4"/>
    <w:rsid w:val="47E96399"/>
    <w:rsid w:val="48E12B50"/>
    <w:rsid w:val="499441BE"/>
    <w:rsid w:val="499A6C1C"/>
    <w:rsid w:val="4A2138F0"/>
    <w:rsid w:val="4A583887"/>
    <w:rsid w:val="4B9F6E02"/>
    <w:rsid w:val="4C3F04A5"/>
    <w:rsid w:val="4C89637B"/>
    <w:rsid w:val="4E1C35B6"/>
    <w:rsid w:val="4E6E48A8"/>
    <w:rsid w:val="4EEC036B"/>
    <w:rsid w:val="501D2673"/>
    <w:rsid w:val="50C80BF1"/>
    <w:rsid w:val="51852833"/>
    <w:rsid w:val="52F11AC8"/>
    <w:rsid w:val="534F49D9"/>
    <w:rsid w:val="53555F0F"/>
    <w:rsid w:val="535D23D5"/>
    <w:rsid w:val="56F4341A"/>
    <w:rsid w:val="575A7321"/>
    <w:rsid w:val="580C3AB9"/>
    <w:rsid w:val="583C7AE0"/>
    <w:rsid w:val="586C1E9A"/>
    <w:rsid w:val="586E0800"/>
    <w:rsid w:val="59216F96"/>
    <w:rsid w:val="598C4145"/>
    <w:rsid w:val="59957D1B"/>
    <w:rsid w:val="59D4294E"/>
    <w:rsid w:val="5B634312"/>
    <w:rsid w:val="5B9D2CCD"/>
    <w:rsid w:val="5B9E71EA"/>
    <w:rsid w:val="5E226FBC"/>
    <w:rsid w:val="5FE72BD2"/>
    <w:rsid w:val="60120613"/>
    <w:rsid w:val="618D5292"/>
    <w:rsid w:val="622E78FA"/>
    <w:rsid w:val="63343F70"/>
    <w:rsid w:val="64296E1C"/>
    <w:rsid w:val="649E64A2"/>
    <w:rsid w:val="65E5270A"/>
    <w:rsid w:val="663D3C54"/>
    <w:rsid w:val="66862C89"/>
    <w:rsid w:val="66BB486D"/>
    <w:rsid w:val="67394C7D"/>
    <w:rsid w:val="68126B38"/>
    <w:rsid w:val="68291A1A"/>
    <w:rsid w:val="68352BB8"/>
    <w:rsid w:val="691B1594"/>
    <w:rsid w:val="693A016B"/>
    <w:rsid w:val="6A17429C"/>
    <w:rsid w:val="6A567EA3"/>
    <w:rsid w:val="6B4B4368"/>
    <w:rsid w:val="6B79100E"/>
    <w:rsid w:val="6BB90A87"/>
    <w:rsid w:val="6C844C00"/>
    <w:rsid w:val="6E10212C"/>
    <w:rsid w:val="6E43561A"/>
    <w:rsid w:val="6E557973"/>
    <w:rsid w:val="6E9568DB"/>
    <w:rsid w:val="6F0D6C22"/>
    <w:rsid w:val="6F47657F"/>
    <w:rsid w:val="6FAF23D9"/>
    <w:rsid w:val="70635CF6"/>
    <w:rsid w:val="70670707"/>
    <w:rsid w:val="720E3691"/>
    <w:rsid w:val="724E244C"/>
    <w:rsid w:val="72DA6946"/>
    <w:rsid w:val="732764B3"/>
    <w:rsid w:val="74026044"/>
    <w:rsid w:val="74746410"/>
    <w:rsid w:val="75E5007C"/>
    <w:rsid w:val="76FF495B"/>
    <w:rsid w:val="77813724"/>
    <w:rsid w:val="77861774"/>
    <w:rsid w:val="78F31435"/>
    <w:rsid w:val="79300B45"/>
    <w:rsid w:val="794D3E18"/>
    <w:rsid w:val="79F3729A"/>
    <w:rsid w:val="7A880722"/>
    <w:rsid w:val="7ACB0498"/>
    <w:rsid w:val="7AED0B4D"/>
    <w:rsid w:val="7C1E4487"/>
    <w:rsid w:val="7C215E02"/>
    <w:rsid w:val="7CF23764"/>
    <w:rsid w:val="7E797F74"/>
    <w:rsid w:val="7F924011"/>
    <w:rsid w:val="7FC52D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ind w:firstLine="723" w:firstLineChars="200"/>
      <w:jc w:val="both"/>
    </w:pPr>
    <w:rPr>
      <w:rFonts w:ascii="宋体" w:hAnsi="宋体" w:eastAsia="宋体" w:cs="宋体"/>
      <w:kern w:val="2"/>
      <w:sz w:val="28"/>
      <w:szCs w:val="28"/>
      <w:lang w:val="en-US" w:eastAsia="zh-CN" w:bidi="ar-SA"/>
    </w:rPr>
  </w:style>
  <w:style w:type="paragraph" w:styleId="2">
    <w:name w:val="heading 1"/>
    <w:basedOn w:val="1"/>
    <w:next w:val="1"/>
    <w:qFormat/>
    <w:uiPriority w:val="0"/>
    <w:pPr>
      <w:keepNext/>
      <w:keepLines/>
      <w:spacing w:beforeLines="0" w:beforeAutospacing="0" w:afterLines="0" w:afterAutospacing="0" w:line="560" w:lineRule="exact"/>
      <w:ind w:firstLine="964" w:firstLineChars="200"/>
      <w:outlineLvl w:val="0"/>
    </w:pPr>
    <w:rPr>
      <w:rFonts w:ascii="Times New Roman" w:hAnsi="Times New Roman" w:eastAsia="黑体"/>
      <w:kern w:val="44"/>
      <w:sz w:val="32"/>
      <w:szCs w:val="22"/>
    </w:rPr>
  </w:style>
  <w:style w:type="paragraph" w:styleId="3">
    <w:name w:val="heading 2"/>
    <w:basedOn w:val="1"/>
    <w:next w:val="1"/>
    <w:link w:val="14"/>
    <w:unhideWhenUsed/>
    <w:qFormat/>
    <w:uiPriority w:val="0"/>
    <w:pPr>
      <w:keepNext/>
      <w:keepLines/>
      <w:spacing w:beforeLines="0" w:beforeAutospacing="0" w:afterLines="0" w:afterAutospacing="0" w:line="560" w:lineRule="exact"/>
      <w:ind w:firstLine="964" w:firstLineChars="200"/>
      <w:outlineLvl w:val="1"/>
    </w:pPr>
    <w:rPr>
      <w:rFonts w:ascii="Arial" w:hAnsi="Arial" w:eastAsia="楷体"/>
      <w:b/>
      <w:sz w:val="32"/>
    </w:rPr>
  </w:style>
  <w:style w:type="paragraph" w:styleId="4">
    <w:name w:val="heading 3"/>
    <w:basedOn w:val="1"/>
    <w:next w:val="1"/>
    <w:qFormat/>
    <w:uiPriority w:val="99"/>
    <w:pPr>
      <w:keepNext/>
      <w:keepLines/>
      <w:spacing w:line="560" w:lineRule="exact"/>
      <w:ind w:firstLine="883" w:firstLineChars="200"/>
      <w:outlineLvl w:val="2"/>
    </w:pPr>
    <w:rPr>
      <w:rFonts w:ascii="仿宋_GB2312" w:hAnsi="仿宋_GB2312" w:eastAsia="仿宋_GB2312"/>
      <w:b/>
      <w:bCs/>
      <w:kern w:val="0"/>
      <w:sz w:val="28"/>
      <w:szCs w:val="32"/>
    </w:rPr>
  </w:style>
  <w:style w:type="character" w:default="1" w:styleId="12">
    <w:name w:val="Default Paragraph Font"/>
    <w:semiHidden/>
    <w:qFormat/>
    <w:uiPriority w:val="0"/>
  </w:style>
  <w:style w:type="table" w:default="1" w:styleId="11">
    <w:name w:val="Normal Table"/>
    <w:semiHidden/>
    <w:qFormat/>
    <w:uiPriority w:val="0"/>
    <w:tblPr>
      <w:tblLayout w:type="fixed"/>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next w:val="7"/>
    <w:qFormat/>
    <w:uiPriority w:val="0"/>
    <w:pPr>
      <w:spacing w:before="240" w:after="240" w:line="360" w:lineRule="auto"/>
      <w:jc w:val="center"/>
    </w:pPr>
    <w:rPr>
      <w:b/>
      <w:sz w:val="44"/>
    </w:rPr>
  </w:style>
  <w:style w:type="paragraph" w:styleId="7">
    <w:name w:val="Body Text 2"/>
    <w:basedOn w:val="1"/>
    <w:qFormat/>
    <w:uiPriority w:val="0"/>
    <w:pPr>
      <w:spacing w:after="120" w:line="480" w:lineRule="auto"/>
    </w:pPr>
    <w:rPr>
      <w:rFonts w:ascii="Times New Roman" w:hAnsi="Times New Roman" w:eastAsia="宋体" w:cs="Times New Roman"/>
    </w:r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Title"/>
    <w:basedOn w:val="1"/>
    <w:next w:val="1"/>
    <w:qFormat/>
    <w:uiPriority w:val="0"/>
    <w:pPr>
      <w:spacing w:before="240" w:beforeLines="0" w:after="60" w:afterLines="0"/>
      <w:jc w:val="left"/>
      <w:outlineLvl w:val="0"/>
    </w:pPr>
    <w:rPr>
      <w:rFonts w:ascii="MS Sans Serif" w:hAnsi="MS Sans Serif" w:eastAsia="宋体" w:cs="MS Sans Serif"/>
      <w:b/>
      <w:bCs/>
      <w:sz w:val="24"/>
      <w:szCs w:val="32"/>
    </w:rPr>
  </w:style>
  <w:style w:type="paragraph" w:customStyle="1" w:styleId="13">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character" w:customStyle="1" w:styleId="14">
    <w:name w:val="标题 2 Char"/>
    <w:link w:val="3"/>
    <w:qFormat/>
    <w:uiPriority w:val="0"/>
    <w:rPr>
      <w:rFonts w:ascii="Arial" w:hAnsi="Arial" w:eastAsia="楷体"/>
      <w:b/>
      <w:sz w:val="32"/>
    </w:rPr>
  </w:style>
  <w:style w:type="paragraph" w:customStyle="1" w:styleId="15">
    <w:name w:val="WPSOffice手动目录 1"/>
    <w:qFormat/>
    <w:uiPriority w:val="0"/>
    <w:pPr>
      <w:ind w:leftChars="0"/>
    </w:pPr>
    <w:rPr>
      <w:rFonts w:ascii="Times New Roman" w:hAnsi="Times New Roman" w:eastAsia="宋体" w:cs="Times New Roman"/>
      <w:sz w:val="20"/>
      <w:szCs w:val="20"/>
    </w:rPr>
  </w:style>
  <w:style w:type="paragraph" w:customStyle="1" w:styleId="16">
    <w:name w:val="WPSOffice手动目录 2"/>
    <w:qFormat/>
    <w:uiPriority w:val="0"/>
    <w:pPr>
      <w:ind w:leftChars="200"/>
    </w:pPr>
    <w:rPr>
      <w:rFonts w:ascii="Times New Roman" w:hAnsi="Times New Roman" w:eastAsia="宋体" w:cs="Times New Roman"/>
      <w:sz w:val="20"/>
      <w:szCs w:val="20"/>
    </w:rPr>
  </w:style>
  <w:style w:type="paragraph" w:customStyle="1" w:styleId="17">
    <w:name w:val="WPSOffice手动目录 3"/>
    <w:qFormat/>
    <w:uiPriority w:val="0"/>
    <w:pPr>
      <w:ind w:leftChars="4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35</Pages>
  <Words>10509</Words>
  <Characters>11143</Characters>
  <Lines>0</Lines>
  <Paragraphs>0</Paragraphs>
  <TotalTime>2</TotalTime>
  <ScaleCrop>false</ScaleCrop>
  <LinksUpToDate>false</LinksUpToDate>
  <CharactersWithSpaces>11200</CharactersWithSpaces>
  <Application>WPS Office_11.8.2.8555_F1E327BC-269C-435d-A152-05C5408002CA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2020-04-01T11:28:00Z</dcterms:created>
  <dc:creator>驰远天合-柴万顺-18690160103</dc:creator>
  <cp:lastModifiedBy>飞一样的城</cp:lastModifiedBy>
  <dcterms:modified xsi:type="dcterms:W3CDTF">2024-10-16T03:58:28Z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2052-11.8.2.8555</vt:lpwstr>
  </property>
  <property fmtid="{D5CDD505-2E9C-101B-9397-08002B2CF9AE}" pid="3" name="ICV">
    <vt:lpwstr>14E46B47812E42C98680744551E475BD_13</vt:lpwstr>
  </property>
</Properties>
</file>