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C426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FF1525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8C8E8D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617B3E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阜康市九运街镇人民政府棉花产区水利灌溉上游水渠及配套设施建设项目</w:t>
      </w:r>
      <w:r>
        <w:rPr>
          <w:rFonts w:hint="eastAsia" w:ascii="宋体" w:hAnsi="宋体" w:eastAsia="宋体" w:cs="宋体"/>
          <w:b/>
          <w:bCs/>
          <w:color w:val="auto"/>
          <w:sz w:val="40"/>
          <w:szCs w:val="40"/>
          <w:highlight w:val="none"/>
          <w:shd w:val="clear" w:color="auto" w:fill="auto"/>
        </w:rPr>
        <w:t>支出绩效评价报告</w:t>
      </w:r>
      <w:bookmarkEnd w:id="0"/>
    </w:p>
    <w:p w14:paraId="10591066">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100BB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4EAA2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48D61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2F80D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04DA3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4FA181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DB6ECC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jc w:val="left"/>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项目名称：阜康市九运街镇人民政府棉花产区水利灌溉上游水渠及配套设施建设项目</w:t>
      </w:r>
    </w:p>
    <w:p w14:paraId="560FD9D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实施单位：阜康市九运街镇人民政府</w:t>
      </w:r>
    </w:p>
    <w:p w14:paraId="36EBE7B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主管部门：阜康市九运街镇人民政府</w:t>
      </w:r>
    </w:p>
    <w:p w14:paraId="63B8552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619A52B2">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562F462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CAEA97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E9A490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56B739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00B6464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8316E8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51E996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04FD6D9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73D0622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173F3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69DBC9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3FD56CE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4B2C5D9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624FF9C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0FD263A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6599FD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24ECDA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2583CF5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04B1B34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3610FF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5B0245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7905447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3CFF4A7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ascii="宋体" w:hAnsi="宋体" w:eastAsia="宋体" w:cs="宋体"/>
          <w:b/>
          <w:bCs/>
          <w:color w:val="auto"/>
          <w:sz w:val="40"/>
          <w:szCs w:val="40"/>
          <w:highlight w:val="none"/>
          <w:shd w:val="clear" w:color="auto" w:fill="auto"/>
          <w:lang w:val="en-US" w:eastAsia="zh-CN"/>
        </w:rPr>
        <w:t>阜康市九运街镇人民政府棉花产区水利灌溉上游水渠及配套设施建设项目</w:t>
      </w:r>
      <w:r>
        <w:rPr>
          <w:rFonts w:hint="eastAsia" w:ascii="宋体" w:hAnsi="宋体" w:eastAsia="宋体" w:cs="宋体"/>
          <w:b/>
          <w:bCs/>
          <w:color w:val="auto"/>
          <w:sz w:val="36"/>
          <w:szCs w:val="36"/>
          <w:highlight w:val="none"/>
          <w:shd w:val="clear" w:color="auto" w:fill="auto"/>
        </w:rPr>
        <w:t>支出</w:t>
      </w:r>
    </w:p>
    <w:p w14:paraId="53B448B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绩效评价报告</w:t>
      </w:r>
      <w:bookmarkEnd w:id="1"/>
    </w:p>
    <w:p w14:paraId="77B6161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425DCE1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C7E2FD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3F15594">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rPr>
        <w:t>为了保证国家粮⻝安全，促进我市粮油产业发展，更好地发挥中财政产油大县奖励资金效益，进 一步调动农⺠种植粮(油)和粮油 圣营者积极性，根据中央财政部《关于印发产油大县奖励资金管理暂 厅办法的通知》(财建(2018)403号)文件要求，结合我市粮油作物种植实际需求，经各部⻔协商，制定此方案。</w:t>
      </w:r>
    </w:p>
    <w:p w14:paraId="24EEA9E5">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保障国家粮油安全</w:t>
      </w:r>
      <w:r>
        <w:rPr>
          <w:rFonts w:hint="eastAsia"/>
          <w:color w:val="auto"/>
          <w:highlight w:val="none"/>
          <w:lang w:eastAsia="zh-CN"/>
        </w:rPr>
        <w:t>，</w:t>
      </w:r>
      <w:r>
        <w:rPr>
          <w:rFonts w:hint="eastAsia"/>
          <w:color w:val="auto"/>
          <w:highlight w:val="none"/>
        </w:rPr>
        <w:t>产油大县奖励资金政策，旨在扶持粮油生产和产业发展，保证粮 油安全，促进粮⻝、油料产业发展，维护粮油市场秩序。要依托现行 政策加快基础设施建设和改造步伐，为粮油生产创造优良的生态环境，建立库容充足、品质良好、管理规范、储存安全、调用及时的粮油生产、收购、加工、运输、储存体制。</w:t>
      </w:r>
    </w:p>
    <w:p w14:paraId="5A4B0FC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rPr>
        <w:t>项目建设必要性分析产粮油大县奖励资金由省级财政拨付，主要用于粮油生产和产业发展，重点用于完善粮油收购、仓储、流通、加工等方面的支出，增强粮油生产和产业发展后劲。具体包括以下方面:生产环节。重点用于粮油主产乡镇土地整治及复垦，提高耕 地质量和规模，完善粮田基础设施建设，确保粮油增产增收。收购环节。主要用于粮油购销企业在粮油收购时银行贷款利 息进行补贴，提升粮油收购能力。仓储环节。用于粮油仓储中的轮换费、损耗补贴;仓储设备改造升级、保管设备更新、网点设施改造等，增加粮油存储容量。加工环节。主要支持粮油企业固定资产购置、技术升级改造、放心粮油工程建设、扶持粮油精深加工企业实行粮油订单收购业务，壮大粮油加工企业。安全环节。用于粮油生产士地治理、基础建设项目配套;粮油企业新建或维修仓库(油罐)的贷款贴息或补助;粮油新品种、新技术、新工艺的推广补助，粮油安全执法、检测能力建设等经费，确保粮油生产安全。综合以上因素，本项目建设十分必要。</w:t>
      </w:r>
    </w:p>
    <w:p w14:paraId="253C8D1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7A03625D">
      <w:pPr>
        <w:pStyle w:val="2"/>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根据阜项会审办[2022]3号文，同意实施阜康市九运街镇棉花产区水利灌溉基础设施建设项目，建设内容：新建古城片至古城北2.446公里T型渠及配套设施水寨7座，农桥2座。新建黄土梁楼楼庄引水渠至六运湖水库被1.815公里80U型渠及配套设施水闸穿陆涵管。新建沉沙池一座及泵房变压器等配套设施。</w:t>
      </w:r>
    </w:p>
    <w:p w14:paraId="1646BA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21</w:t>
      </w:r>
      <w:r>
        <w:rPr>
          <w:rFonts w:hint="eastAsia" w:ascii="宋体" w:hAnsi="宋体" w:eastAsia="宋体" w:cs="宋体"/>
          <w:color w:val="auto"/>
          <w:highlight w:val="none"/>
          <w:shd w:val="clear" w:color="auto" w:fill="auto"/>
          <w:lang w:val="en-US" w:eastAsia="zh-CN"/>
        </w:rPr>
        <w:t>日</w:t>
      </w:r>
      <w:r>
        <w:rPr>
          <w:rFonts w:hint="eastAsia" w:cs="宋体"/>
          <w:color w:val="auto"/>
          <w:highlight w:val="none"/>
          <w:shd w:val="clear" w:color="auto" w:fill="auto"/>
          <w:lang w:val="en-US" w:eastAsia="zh-CN"/>
        </w:rPr>
        <w:t>阜项会审办[2022]1号阜康市项目会审领导小组会议纪要审议了九运街镇棉花产区水利灌溉基础设施建设项目；2022年6月29日下发阜发改投资[2022]143号关于《九运街镇棉花产区水利灌溉上游水渠及配套设施建设项目可行性研究报告》的</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九运街镇党委</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马千喜</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王喜名</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项目负责人为庄丽,</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宋阳</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张泽飞、石代龙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宋阳</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石代龙</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及</w:t>
      </w:r>
      <w:r>
        <w:rPr>
          <w:rFonts w:hint="eastAsia" w:ascii="宋体" w:hAnsi="宋体" w:eastAsia="宋体" w:cs="宋体"/>
          <w:color w:val="auto"/>
          <w:highlight w:val="none"/>
          <w:shd w:val="clear" w:color="auto" w:fill="auto"/>
          <w:lang w:val="en-US" w:eastAsia="zh-CN"/>
        </w:rPr>
        <w:t>资金拨付工作。</w:t>
      </w:r>
    </w:p>
    <w:p w14:paraId="0D77E9D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669108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0A4135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阜康市九运街镇人民政府棉花产区水利灌溉上游水渠及配套设施建设项目预算安排总额为</w:t>
      </w:r>
      <w:r>
        <w:rPr>
          <w:rFonts w:hint="eastAsia" w:cs="宋体"/>
          <w:color w:val="auto"/>
          <w:highlight w:val="none"/>
          <w:shd w:val="clear" w:color="auto" w:fill="auto"/>
          <w:lang w:val="en-US" w:eastAsia="zh-CN"/>
        </w:rPr>
        <w:t>170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金170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170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1FEFC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72F0F85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0" w:firstLineChars="200"/>
        <w:jc w:val="left"/>
        <w:textAlignment w:val="auto"/>
        <w:outlineLvl w:val="9"/>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170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新建渠道5.258km配套新建渠系建筑物11座，新建3座沉砂池及配套首部设施，新建2台160kva变压器等。此项目资金170万元，全部用于工程款结算</w:t>
      </w:r>
      <w:r>
        <w:rPr>
          <w:rFonts w:hint="eastAsia" w:cs="宋体"/>
          <w:color w:val="auto"/>
          <w:highlight w:val="none"/>
          <w:shd w:val="clear" w:color="auto" w:fill="auto"/>
          <w:lang w:val="en-US" w:eastAsia="zh-CN"/>
        </w:rPr>
        <w:t>等方面。</w:t>
      </w:r>
    </w:p>
    <w:p w14:paraId="099026BA">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505B201">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9DA99B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cs="宋体"/>
          <w:color w:val="auto"/>
          <w:highlight w:val="none"/>
          <w:shd w:val="clear" w:color="auto" w:fill="auto"/>
          <w:lang w:val="en-US" w:eastAsia="zh-CN"/>
        </w:rPr>
        <w:t>绩效总体目标为：九运街镇棉花产区水利灌溉基础设施建设项目绩效总体目标为：新建渠道5.258km配套新建渠系建筑物11座，新建3座沉砂池及配套首部设施，新建2台160kva变压器等。截止2022年12月31日，阜康市九运街镇棉花产区水利灌溉基础设施建设项目实际支付资金170万元，项目资金主要用于工程款结算等方面。</w:t>
      </w:r>
    </w:p>
    <w:p w14:paraId="27982424">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2411335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10964D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6F4BA7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5F00A3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项目受益群众</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为≥500人；</w:t>
      </w:r>
    </w:p>
    <w:p w14:paraId="36A828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建设村庄数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1个</w:t>
      </w:r>
      <w:r>
        <w:rPr>
          <w:rFonts w:hint="eastAsia" w:ascii="宋体" w:hAnsi="宋体" w:eastAsia="宋体" w:cs="宋体"/>
          <w:color w:val="auto"/>
          <w:highlight w:val="none"/>
          <w:shd w:val="clear" w:color="auto" w:fill="auto"/>
          <w:lang w:val="en-US" w:eastAsia="zh-CN"/>
        </w:rPr>
        <w:t>；</w:t>
      </w:r>
    </w:p>
    <w:p w14:paraId="79EF0C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CC097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正常运转率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为≥97%；</w:t>
      </w:r>
    </w:p>
    <w:p w14:paraId="1C9E67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380629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为2022</w:t>
      </w:r>
      <w:r>
        <w:rPr>
          <w:rFonts w:hint="eastAsia" w:cs="宋体"/>
          <w:color w:val="auto"/>
          <w:highlight w:val="none"/>
          <w:shd w:val="clear" w:color="auto" w:fill="auto"/>
          <w:lang w:val="en-US" w:eastAsia="zh-CN"/>
        </w:rPr>
        <w:t>年7月</w:t>
      </w:r>
      <w:r>
        <w:rPr>
          <w:rFonts w:hint="eastAsia" w:ascii="宋体" w:hAnsi="宋体" w:eastAsia="宋体" w:cs="宋体"/>
          <w:color w:val="auto"/>
          <w:highlight w:val="none"/>
          <w:shd w:val="clear" w:color="auto" w:fill="auto"/>
          <w:lang w:val="en-US" w:eastAsia="zh-CN"/>
        </w:rPr>
        <w:t>；</w:t>
      </w:r>
    </w:p>
    <w:p w14:paraId="222A3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工程完工时间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为2022</w:t>
      </w:r>
      <w:r>
        <w:rPr>
          <w:rFonts w:hint="eastAsia" w:cs="宋体"/>
          <w:color w:val="auto"/>
          <w:highlight w:val="none"/>
          <w:shd w:val="clear" w:color="auto" w:fill="auto"/>
          <w:lang w:val="en-US" w:eastAsia="zh-CN"/>
        </w:rPr>
        <w:t>年10月</w:t>
      </w:r>
      <w:r>
        <w:rPr>
          <w:rFonts w:hint="eastAsia" w:ascii="宋体" w:hAnsi="宋体" w:eastAsia="宋体" w:cs="宋体"/>
          <w:color w:val="auto"/>
          <w:highlight w:val="none"/>
          <w:shd w:val="clear" w:color="auto" w:fill="auto"/>
          <w:lang w:val="en-US" w:eastAsia="zh-CN"/>
        </w:rPr>
        <w:t>；</w:t>
      </w:r>
    </w:p>
    <w:p w14:paraId="5D0D20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0EF384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九运街镇棉花产区水利灌溉基础设施建设项目金额</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170万元</w:t>
      </w:r>
      <w:r>
        <w:rPr>
          <w:rFonts w:hint="eastAsia" w:ascii="宋体" w:hAnsi="宋体" w:eastAsia="宋体" w:cs="宋体"/>
          <w:color w:val="auto"/>
          <w:highlight w:val="none"/>
          <w:shd w:val="clear" w:color="auto" w:fill="auto"/>
          <w:lang w:val="en-US" w:eastAsia="zh-CN"/>
        </w:rPr>
        <w:t>；</w:t>
      </w:r>
    </w:p>
    <w:p w14:paraId="1518387C">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5F6806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001F106">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p>
    <w:p w14:paraId="2180825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5AC1C6E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促进镇区社会和谐、经济发展、民生改善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为有所提升；</w:t>
      </w:r>
    </w:p>
    <w:p w14:paraId="755C906D">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69B494C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提高村民生存质量和生活条件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为有所提升；</w:t>
      </w:r>
    </w:p>
    <w:p w14:paraId="23046FC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2FD496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p>
    <w:p w14:paraId="7474BA8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07F3D8DE">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kern w:val="2"/>
          <w:sz w:val="28"/>
          <w:szCs w:val="28"/>
          <w:highlight w:val="none"/>
          <w:shd w:val="clear" w:color="auto" w:fill="auto"/>
          <w:lang w:val="en-US" w:eastAsia="zh-CN" w:bidi="ar-SA"/>
        </w:rPr>
        <w:t>本项目不涉及满意度指标</w:t>
      </w:r>
    </w:p>
    <w:p w14:paraId="0886519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705E04FE">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21664"/>
      <w:bookmarkStart w:id="14" w:name="_Toc22169_WPSOffice_Level2"/>
      <w:bookmarkStart w:id="15" w:name="_Toc26632"/>
      <w:bookmarkStart w:id="16" w:name="_Toc480473081"/>
      <w:bookmarkStart w:id="17" w:name="_Toc5462343"/>
      <w:bookmarkStart w:id="18" w:name="_Toc22922"/>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4289D6DF">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39F4EF09">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6C9C37E">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6EFD0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ascii="宋体" w:hAnsi="宋体" w:eastAsia="宋体" w:cs="宋体"/>
          <w:color w:val="auto"/>
          <w:highlight w:val="none"/>
          <w:shd w:val="clear" w:color="auto" w:fill="auto"/>
          <w:lang w:val="en-US" w:eastAsia="zh-CN"/>
        </w:rPr>
        <w:t>开展部门绩效评价。</w:t>
      </w:r>
    </w:p>
    <w:p w14:paraId="34C8FF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1917E41">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5CF0405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2A5E7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4F13BFC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2D097F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657CB0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34EAC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AEA37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4D73622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4DED0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tbl>
      <w:tblPr>
        <w:tblStyle w:val="11"/>
        <w:tblpPr w:leftFromText="180" w:rightFromText="180" w:vertAnchor="text" w:horzAnchor="page" w:tblpX="1742" w:tblpY="598"/>
        <w:tblOverlap w:val="never"/>
        <w:tblW w:w="8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388FA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trPr>
        <w:tc>
          <w:tcPr>
            <w:tcW w:w="642" w:type="dxa"/>
            <w:shd w:val="clear" w:color="auto" w:fill="auto"/>
            <w:vAlign w:val="center"/>
          </w:tcPr>
          <w:p w14:paraId="69C7DF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216A9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63A53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416F1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887E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3B052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trPr>
        <w:tc>
          <w:tcPr>
            <w:tcW w:w="642" w:type="dxa"/>
            <w:vMerge w:val="restart"/>
            <w:shd w:val="clear" w:color="auto" w:fill="auto"/>
            <w:vAlign w:val="center"/>
          </w:tcPr>
          <w:p w14:paraId="33D389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48A5F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23DE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F94CA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640C2A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77139B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4783B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1701EB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75E9D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42E71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F38BAC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3FDFA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642" w:type="dxa"/>
            <w:vMerge w:val="continue"/>
            <w:shd w:val="clear" w:color="auto" w:fill="auto"/>
            <w:vAlign w:val="center"/>
          </w:tcPr>
          <w:p w14:paraId="47073FB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5B48A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0E357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BD54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73330D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22E70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D9344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D9739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C8CE5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784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trPr>
        <w:tc>
          <w:tcPr>
            <w:tcW w:w="642" w:type="dxa"/>
            <w:vMerge w:val="continue"/>
            <w:shd w:val="clear" w:color="auto" w:fill="auto"/>
            <w:vAlign w:val="center"/>
          </w:tcPr>
          <w:p w14:paraId="74A48FA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342A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10E3B5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5C3C92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20847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F4B8EB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09D2F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85906F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0565F9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F25D99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30C711F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CCF8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trPr>
        <w:tc>
          <w:tcPr>
            <w:tcW w:w="642" w:type="dxa"/>
            <w:vMerge w:val="continue"/>
            <w:shd w:val="clear" w:color="auto" w:fill="auto"/>
            <w:vAlign w:val="center"/>
          </w:tcPr>
          <w:p w14:paraId="032101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BB02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F3291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CA3F8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360D2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2AF339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4954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F4E88D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40D58C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E35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trPr>
        <w:tc>
          <w:tcPr>
            <w:tcW w:w="642" w:type="dxa"/>
            <w:vMerge w:val="continue"/>
            <w:shd w:val="clear" w:color="auto" w:fill="auto"/>
            <w:vAlign w:val="center"/>
          </w:tcPr>
          <w:p w14:paraId="6792E67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28670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4BE6F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18DED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36096C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6AD4E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7D79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242A49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B52C3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BBC7C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1AF1B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trPr>
        <w:tc>
          <w:tcPr>
            <w:tcW w:w="642" w:type="dxa"/>
            <w:vMerge w:val="continue"/>
            <w:shd w:val="clear" w:color="auto" w:fill="auto"/>
            <w:vAlign w:val="center"/>
          </w:tcPr>
          <w:p w14:paraId="46AF30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4CFFD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7544E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683D6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39EBF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54435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653ED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21A06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DD2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trPr>
        <w:tc>
          <w:tcPr>
            <w:tcW w:w="642" w:type="dxa"/>
            <w:vMerge w:val="restart"/>
            <w:shd w:val="clear" w:color="auto" w:fill="auto"/>
            <w:vAlign w:val="center"/>
          </w:tcPr>
          <w:p w14:paraId="1A4FB7D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67D0B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7C3908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B4934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4C36F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0034E9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90077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84C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642" w:type="dxa"/>
            <w:vMerge w:val="continue"/>
            <w:shd w:val="clear" w:color="auto" w:fill="auto"/>
            <w:vAlign w:val="center"/>
          </w:tcPr>
          <w:p w14:paraId="6F107E0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DE4A43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B6ABC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B26B7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129F2C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B8630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E14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trPr>
        <w:tc>
          <w:tcPr>
            <w:tcW w:w="642" w:type="dxa"/>
            <w:vMerge w:val="continue"/>
            <w:shd w:val="clear" w:color="auto" w:fill="auto"/>
            <w:vAlign w:val="center"/>
          </w:tcPr>
          <w:p w14:paraId="38A0C6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0C16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C119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FA5E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55BEE6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441F6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37514C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5F85C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DB7BB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5CA98A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97F4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642" w:type="dxa"/>
            <w:vMerge w:val="continue"/>
            <w:shd w:val="clear" w:color="auto" w:fill="auto"/>
            <w:vAlign w:val="center"/>
          </w:tcPr>
          <w:p w14:paraId="25FBA08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886F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46E14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239FA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23F75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BC82D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222BD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EF6FC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55E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trPr>
        <w:tc>
          <w:tcPr>
            <w:tcW w:w="642" w:type="dxa"/>
            <w:vMerge w:val="continue"/>
            <w:shd w:val="clear" w:color="auto" w:fill="auto"/>
            <w:vAlign w:val="center"/>
          </w:tcPr>
          <w:p w14:paraId="4CE408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30D3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F098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2E0B8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6D39C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4D89D1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EA686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CADBF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314642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C245C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60289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trPr>
        <w:tc>
          <w:tcPr>
            <w:tcW w:w="642" w:type="dxa"/>
            <w:vMerge w:val="restart"/>
            <w:shd w:val="clear" w:color="auto" w:fill="auto"/>
            <w:vAlign w:val="center"/>
          </w:tcPr>
          <w:p w14:paraId="6F80CF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E8585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8606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633A8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AC77B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CD32A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5BA1D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0D19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trPr>
        <w:tc>
          <w:tcPr>
            <w:tcW w:w="642" w:type="dxa"/>
            <w:vMerge w:val="continue"/>
            <w:shd w:val="clear" w:color="auto" w:fill="auto"/>
            <w:vAlign w:val="center"/>
          </w:tcPr>
          <w:p w14:paraId="3D353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553A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42A30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EECA8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6D943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7A96C4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2F21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42" w:type="dxa"/>
            <w:vMerge w:val="continue"/>
            <w:shd w:val="clear" w:color="auto" w:fill="auto"/>
            <w:vAlign w:val="center"/>
          </w:tcPr>
          <w:p w14:paraId="4E2F251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E7F8C4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D3C2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8FDC1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518A4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5F612D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2EBA8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642" w:type="dxa"/>
            <w:vMerge w:val="continue"/>
            <w:shd w:val="clear" w:color="auto" w:fill="auto"/>
            <w:vAlign w:val="center"/>
          </w:tcPr>
          <w:p w14:paraId="2476CA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D09C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50D91A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B87D2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2D64FE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68414A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D6666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3057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trPr>
        <w:tc>
          <w:tcPr>
            <w:tcW w:w="642" w:type="dxa"/>
            <w:vMerge w:val="restart"/>
            <w:shd w:val="clear" w:color="auto" w:fill="auto"/>
            <w:vAlign w:val="center"/>
          </w:tcPr>
          <w:p w14:paraId="34DC7A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F939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6654BB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1F39E12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582A7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798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42" w:type="dxa"/>
            <w:vMerge w:val="continue"/>
            <w:shd w:val="clear" w:color="auto" w:fill="auto"/>
            <w:vAlign w:val="center"/>
          </w:tcPr>
          <w:p w14:paraId="1F41A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77F12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EE807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5F118C1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43EE24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14D4BA8A">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p w14:paraId="12E1E65A">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61CF88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ascii="宋体" w:hAnsi="宋体" w:eastAsia="宋体" w:cs="宋体"/>
          <w:color w:val="auto"/>
          <w:highlight w:val="none"/>
          <w:shd w:val="clear" w:color="auto" w:fill="auto"/>
          <w:lang w:val="en-US" w:eastAsia="zh-CN"/>
        </w:rPr>
        <w:t>进行评价。</w:t>
      </w:r>
    </w:p>
    <w:p w14:paraId="463FE1FF">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2BDDE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49334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AD698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884A23F">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320E1B12">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005C991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ABCD5D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B0D59C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1F37AA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CFE3E1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九运街镇人民政府棉花产区水利灌溉上游水渠及配套设施建设项目实施内容、目标信息、预算信息以及其他的一些项目基本信息，有了初步了解，为制定绩效评价工作方案做好准备。</w:t>
      </w:r>
      <w:bookmarkEnd w:id="35"/>
    </w:p>
    <w:p w14:paraId="646C384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16A0D8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020FBE1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725E4B7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F6283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880706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D97BAF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DC133B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9E330B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9CC7EF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B80228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2B40D4B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54A01E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4053CF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32EADFD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4DAFE5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312EEB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B42F9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61011EE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22F69B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7769C0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97</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197C9311">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362C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ascii="宋体" w:hAnsi="宋体" w:eastAsia="宋体" w:cs="宋体"/>
                <w:b/>
                <w:bCs/>
                <w:color w:val="auto"/>
                <w:kern w:val="0"/>
                <w:sz w:val="28"/>
                <w:szCs w:val="28"/>
                <w:highlight w:val="none"/>
                <w:shd w:val="clear" w:color="auto" w:fill="auto"/>
                <w:lang w:val="en-US" w:eastAsia="zh-CN"/>
              </w:rPr>
              <w:t>得分表</w:t>
            </w:r>
          </w:p>
          <w:p w14:paraId="5923CE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2177FE2D">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761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87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0E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7FFF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74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B9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B290D7A">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E0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D26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769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680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E2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CE0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45FCA2D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52B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45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BC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E6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6C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BCB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p>
        </w:tc>
      </w:tr>
      <w:tr w14:paraId="12354A2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4AD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2711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06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3A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B7F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C532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p>
        </w:tc>
      </w:tr>
    </w:tbl>
    <w:p w14:paraId="40F4DA7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06AECD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1C287DC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CECC1F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18B9A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116EE2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shd w:val="clear" w:color="auto" w:fill="auto"/>
            <w:tcMar>
              <w:top w:w="12" w:type="dxa"/>
              <w:left w:w="12" w:type="dxa"/>
              <w:right w:w="12" w:type="dxa"/>
            </w:tcMar>
            <w:vAlign w:val="center"/>
          </w:tcPr>
          <w:p w14:paraId="3EDC5E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shd w:val="clear" w:color="auto" w:fill="auto"/>
            <w:tcMar>
              <w:top w:w="12" w:type="dxa"/>
              <w:left w:w="12" w:type="dxa"/>
              <w:right w:w="12" w:type="dxa"/>
            </w:tcMar>
            <w:vAlign w:val="center"/>
          </w:tcPr>
          <w:p w14:paraId="55973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shd w:val="clear" w:color="auto" w:fill="auto"/>
            <w:tcMar>
              <w:top w:w="12" w:type="dxa"/>
              <w:left w:w="12" w:type="dxa"/>
              <w:right w:w="12" w:type="dxa"/>
            </w:tcMar>
            <w:vAlign w:val="center"/>
          </w:tcPr>
          <w:p w14:paraId="67EDC0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shd w:val="clear" w:color="auto" w:fill="auto"/>
            <w:tcMar>
              <w:top w:w="12" w:type="dxa"/>
              <w:left w:w="12" w:type="dxa"/>
              <w:right w:w="12" w:type="dxa"/>
            </w:tcMar>
            <w:vAlign w:val="center"/>
          </w:tcPr>
          <w:p w14:paraId="25C89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shd w:val="clear" w:color="auto" w:fill="auto"/>
            <w:tcMar>
              <w:top w:w="12" w:type="dxa"/>
              <w:left w:w="12" w:type="dxa"/>
              <w:right w:w="12" w:type="dxa"/>
            </w:tcMar>
            <w:vAlign w:val="center"/>
          </w:tcPr>
          <w:p w14:paraId="359189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shd w:val="clear" w:color="auto" w:fill="auto"/>
            <w:tcMar>
              <w:top w:w="12" w:type="dxa"/>
              <w:left w:w="12" w:type="dxa"/>
              <w:right w:w="12" w:type="dxa"/>
            </w:tcMar>
            <w:vAlign w:val="center"/>
          </w:tcPr>
          <w:p w14:paraId="4F5CC1E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C1CD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1A025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shd w:val="clear" w:color="auto" w:fill="auto"/>
            <w:tcMar>
              <w:top w:w="12" w:type="dxa"/>
              <w:left w:w="12" w:type="dxa"/>
              <w:right w:w="12" w:type="dxa"/>
            </w:tcMar>
            <w:vAlign w:val="center"/>
          </w:tcPr>
          <w:p w14:paraId="40C1A4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shd w:val="clear" w:color="auto" w:fill="auto"/>
            <w:tcMar>
              <w:top w:w="12" w:type="dxa"/>
              <w:left w:w="12" w:type="dxa"/>
              <w:right w:w="12" w:type="dxa"/>
            </w:tcMar>
            <w:vAlign w:val="center"/>
          </w:tcPr>
          <w:p w14:paraId="296CC0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shd w:val="clear" w:color="auto" w:fill="auto"/>
            <w:tcMar>
              <w:top w:w="12" w:type="dxa"/>
              <w:left w:w="12" w:type="dxa"/>
              <w:right w:w="12" w:type="dxa"/>
            </w:tcMar>
            <w:vAlign w:val="center"/>
          </w:tcPr>
          <w:p w14:paraId="2FBC74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285B7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shd w:val="clear" w:color="auto" w:fill="auto"/>
            <w:tcMar>
              <w:top w:w="12" w:type="dxa"/>
              <w:left w:w="12" w:type="dxa"/>
              <w:right w:w="12" w:type="dxa"/>
            </w:tcMar>
            <w:vAlign w:val="center"/>
          </w:tcPr>
          <w:p w14:paraId="71DA8C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51942D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13DB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3F7B5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450188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541616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724B2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455E26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shd w:val="clear" w:color="auto" w:fill="auto"/>
            <w:tcMar>
              <w:top w:w="12" w:type="dxa"/>
              <w:left w:w="12" w:type="dxa"/>
              <w:right w:w="12" w:type="dxa"/>
            </w:tcMar>
            <w:vAlign w:val="center"/>
          </w:tcPr>
          <w:p w14:paraId="7FC0F7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5FCFB5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1E7CE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9BDFD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20E63D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1C0BC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shd w:val="clear" w:color="auto" w:fill="auto"/>
            <w:tcMar>
              <w:top w:w="12" w:type="dxa"/>
              <w:left w:w="12" w:type="dxa"/>
              <w:right w:w="12" w:type="dxa"/>
            </w:tcMar>
            <w:vAlign w:val="center"/>
          </w:tcPr>
          <w:p w14:paraId="49FCF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shd w:val="clear" w:color="auto" w:fill="auto"/>
            <w:tcMar>
              <w:top w:w="12" w:type="dxa"/>
              <w:left w:w="12" w:type="dxa"/>
              <w:right w:w="12" w:type="dxa"/>
            </w:tcMar>
            <w:vAlign w:val="center"/>
          </w:tcPr>
          <w:p w14:paraId="104B4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shd w:val="clear" w:color="auto" w:fill="auto"/>
            <w:tcMar>
              <w:top w:w="12" w:type="dxa"/>
              <w:left w:w="12" w:type="dxa"/>
              <w:right w:w="12" w:type="dxa"/>
            </w:tcMar>
            <w:vAlign w:val="center"/>
          </w:tcPr>
          <w:p w14:paraId="3F82F0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482D83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E87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72525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36DDA5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02DB90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106A9E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2F4EE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shd w:val="clear" w:color="auto" w:fill="auto"/>
            <w:tcMar>
              <w:top w:w="12" w:type="dxa"/>
              <w:left w:w="12" w:type="dxa"/>
              <w:right w:w="12" w:type="dxa"/>
            </w:tcMar>
            <w:vAlign w:val="center"/>
          </w:tcPr>
          <w:p w14:paraId="088DAE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025C4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CF65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1F334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189B54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7D3D5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shd w:val="clear" w:color="auto" w:fill="auto"/>
            <w:tcMar>
              <w:top w:w="12" w:type="dxa"/>
              <w:left w:w="12" w:type="dxa"/>
              <w:right w:w="12" w:type="dxa"/>
            </w:tcMar>
            <w:vAlign w:val="center"/>
          </w:tcPr>
          <w:p w14:paraId="6B298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3F4441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shd w:val="clear" w:color="auto" w:fill="auto"/>
            <w:tcMar>
              <w:top w:w="12" w:type="dxa"/>
              <w:left w:w="12" w:type="dxa"/>
              <w:right w:w="12" w:type="dxa"/>
            </w:tcMar>
            <w:vAlign w:val="center"/>
          </w:tcPr>
          <w:p w14:paraId="4052E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6F0EC5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2377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9409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5983A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6B1989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69447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16D9C9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shd w:val="clear" w:color="auto" w:fill="auto"/>
            <w:tcMar>
              <w:top w:w="12" w:type="dxa"/>
              <w:left w:w="12" w:type="dxa"/>
              <w:right w:w="12" w:type="dxa"/>
            </w:tcMar>
            <w:vAlign w:val="center"/>
          </w:tcPr>
          <w:p w14:paraId="597803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55B2BB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BB66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39915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shd w:val="clear" w:color="auto" w:fill="auto"/>
            <w:tcMar>
              <w:top w:w="12" w:type="dxa"/>
              <w:left w:w="12" w:type="dxa"/>
              <w:right w:w="12" w:type="dxa"/>
            </w:tcMar>
            <w:vAlign w:val="center"/>
          </w:tcPr>
          <w:p w14:paraId="4D701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shd w:val="clear" w:color="auto" w:fill="auto"/>
            <w:tcMar>
              <w:top w:w="12" w:type="dxa"/>
              <w:left w:w="12" w:type="dxa"/>
              <w:right w:w="12" w:type="dxa"/>
            </w:tcMar>
            <w:vAlign w:val="center"/>
          </w:tcPr>
          <w:p w14:paraId="48E71E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shd w:val="clear" w:color="auto" w:fill="auto"/>
            <w:tcMar>
              <w:top w:w="12" w:type="dxa"/>
              <w:left w:w="12" w:type="dxa"/>
              <w:right w:w="12" w:type="dxa"/>
            </w:tcMar>
            <w:vAlign w:val="center"/>
          </w:tcPr>
          <w:p w14:paraId="45477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2B3E0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0F37D6D8">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1CFD277">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中华人民共和国合同法》《中华人民共和国土地管理法》《建设工程质量管理条例》</w:t>
      </w:r>
      <w:r>
        <w:rPr>
          <w:rFonts w:hint="eastAsia"/>
          <w:color w:val="auto"/>
          <w:highlight w:val="none"/>
          <w:lang w:eastAsia="zh-CN"/>
        </w:rPr>
        <w:t>；</w:t>
      </w:r>
    </w:p>
    <w:p w14:paraId="712E34A4">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中华人民共和国合同法》《中华人民共和国土地管理法》《建设工程质量管理条例》</w:t>
      </w:r>
      <w:r>
        <w:rPr>
          <w:rFonts w:hint="eastAsia"/>
          <w:color w:val="auto"/>
          <w:highlight w:val="none"/>
          <w:lang w:eastAsia="zh-CN"/>
        </w:rPr>
        <w:t>要求；</w:t>
      </w:r>
    </w:p>
    <w:p w14:paraId="51D11221">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镇党委及经济办</w:t>
      </w:r>
      <w:r>
        <w:rPr>
          <w:rFonts w:hint="eastAsia"/>
          <w:color w:val="auto"/>
          <w:highlight w:val="none"/>
          <w:lang w:eastAsia="zh-CN"/>
        </w:rPr>
        <w:t>部门</w:t>
      </w:r>
      <w:r>
        <w:rPr>
          <w:rFonts w:hint="eastAsia"/>
          <w:color w:val="auto"/>
          <w:highlight w:val="none"/>
          <w:lang w:val="en-US" w:eastAsia="zh-CN"/>
        </w:rPr>
        <w:t>进行指导、组织、协调，</w:t>
      </w:r>
      <w:r>
        <w:rPr>
          <w:rFonts w:hint="eastAsia"/>
          <w:color w:val="auto"/>
          <w:highlight w:val="none"/>
          <w:lang w:eastAsia="zh-CN"/>
        </w:rPr>
        <w:t>职责范围相符，属于部门履职所需；</w:t>
      </w:r>
    </w:p>
    <w:p w14:paraId="06A98DCB">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15D334F">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83FBED0">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5ED6272">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39C6A87">
      <w:pPr>
        <w:bidi w:val="0"/>
        <w:rPr>
          <w:rFonts w:hint="eastAsia"/>
          <w:color w:val="auto"/>
          <w:highlight w:val="none"/>
          <w:lang w:eastAsia="zh-CN"/>
        </w:rPr>
      </w:pPr>
      <w:r>
        <w:rPr>
          <w:rFonts w:hint="eastAsia"/>
          <w:color w:val="auto"/>
          <w:highlight w:val="none"/>
          <w:lang w:eastAsia="zh-CN"/>
        </w:rPr>
        <w:t>①项目按照规定的程序申请设立；</w:t>
      </w:r>
    </w:p>
    <w:p w14:paraId="0A632F4F">
      <w:pPr>
        <w:bidi w:val="0"/>
        <w:rPr>
          <w:rFonts w:hint="eastAsia"/>
          <w:color w:val="auto"/>
          <w:highlight w:val="none"/>
          <w:lang w:eastAsia="zh-CN"/>
        </w:rPr>
      </w:pPr>
      <w:r>
        <w:rPr>
          <w:rFonts w:hint="eastAsia"/>
          <w:color w:val="auto"/>
          <w:highlight w:val="none"/>
          <w:lang w:eastAsia="zh-CN"/>
        </w:rPr>
        <w:t>②审批文件、材料符合相关要求；</w:t>
      </w:r>
    </w:p>
    <w:p w14:paraId="6368BCA0">
      <w:pPr>
        <w:bidi w:val="0"/>
        <w:rPr>
          <w:rFonts w:hint="eastAsia" w:eastAsia="宋体"/>
          <w:color w:val="auto"/>
          <w:highlight w:val="none"/>
          <w:lang w:eastAsia="zh-CN"/>
        </w:rPr>
      </w:pPr>
      <w:r>
        <w:rPr>
          <w:rFonts w:hint="eastAsia"/>
          <w:color w:val="auto"/>
          <w:highlight w:val="none"/>
          <w:lang w:eastAsia="zh-CN"/>
        </w:rPr>
        <w:t>③事前经过</w:t>
      </w:r>
      <w:r>
        <w:rPr>
          <w:rFonts w:hint="eastAsia" w:cs="宋体"/>
          <w:color w:val="auto"/>
          <w:highlight w:val="none"/>
          <w:shd w:val="clear" w:color="auto" w:fill="auto"/>
          <w:lang w:val="en-US" w:eastAsia="zh-CN"/>
        </w:rPr>
        <w:t>阜发改投资[2022]143号关于《九运街镇棉花产区水利灌溉上游水渠及配套设施建设项目可行性研究报告》的</w:t>
      </w:r>
      <w:r>
        <w:rPr>
          <w:rFonts w:hint="eastAsia" w:ascii="宋体" w:hAnsi="宋体" w:eastAsia="宋体" w:cs="宋体"/>
          <w:color w:val="auto"/>
          <w:highlight w:val="none"/>
          <w:shd w:val="clear" w:color="auto" w:fill="auto"/>
          <w:lang w:val="en-US" w:eastAsia="zh-CN"/>
        </w:rPr>
        <w:t>文件批复及九运街镇党委会</w:t>
      </w:r>
      <w:r>
        <w:rPr>
          <w:rFonts w:hint="eastAsia" w:cs="宋体"/>
          <w:color w:val="auto"/>
          <w:highlight w:val="none"/>
          <w:shd w:val="clear" w:color="auto" w:fill="auto"/>
          <w:lang w:val="en-US" w:eastAsia="zh-CN"/>
        </w:rPr>
        <w:t>会议研究</w:t>
      </w:r>
      <w:r>
        <w:rPr>
          <w:rFonts w:hint="eastAsia" w:ascii="宋体" w:hAnsi="宋体" w:eastAsia="宋体" w:cs="宋体"/>
          <w:color w:val="auto"/>
          <w:highlight w:val="none"/>
          <w:shd w:val="clear" w:color="auto" w:fill="auto"/>
          <w:lang w:val="en-US" w:eastAsia="zh-CN"/>
        </w:rPr>
        <w:t>，</w:t>
      </w:r>
      <w:r>
        <w:rPr>
          <w:rFonts w:hint="eastAsia"/>
          <w:color w:val="auto"/>
          <w:highlight w:val="none"/>
          <w:lang w:val="en-US" w:eastAsia="zh-CN"/>
        </w:rPr>
        <w:t>未经过</w:t>
      </w:r>
      <w:r>
        <w:rPr>
          <w:rFonts w:hint="eastAsia"/>
          <w:color w:val="auto"/>
          <w:highlight w:val="none"/>
          <w:lang w:eastAsia="zh-CN"/>
        </w:rPr>
        <w:t>风险评估、绩效评估、专家论证，</w:t>
      </w:r>
      <w:r>
        <w:rPr>
          <w:rFonts w:hint="eastAsia"/>
          <w:color w:val="auto"/>
          <w:highlight w:val="none"/>
          <w:lang w:val="en-US" w:eastAsia="zh-CN"/>
        </w:rPr>
        <w:t>扣2分。</w:t>
      </w:r>
    </w:p>
    <w:p w14:paraId="249DE6C4">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66084004">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53B6A283">
      <w:pPr>
        <w:bidi w:val="0"/>
        <w:rPr>
          <w:rFonts w:hint="eastAsia"/>
          <w:color w:val="auto"/>
          <w:highlight w:val="none"/>
          <w:lang w:eastAsia="zh-CN"/>
        </w:rPr>
      </w:pPr>
      <w:r>
        <w:rPr>
          <w:rFonts w:hint="eastAsia"/>
          <w:color w:val="auto"/>
          <w:highlight w:val="none"/>
          <w:lang w:eastAsia="zh-CN"/>
        </w:rPr>
        <w:t>①项目有绩效目标；</w:t>
      </w:r>
    </w:p>
    <w:p w14:paraId="218C6FE9">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27169ABD">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0C94CB5F">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212800A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5D1F697">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B6B52DC">
      <w:pPr>
        <w:shd w:val="clear"/>
        <w:bidi w:val="0"/>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项目绩效有3个一级指标，6个二级指标，7个三级指标。</w:t>
      </w:r>
    </w:p>
    <w:p w14:paraId="29C994D1">
      <w:pPr>
        <w:shd w:val="clea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项目绩效有7个三级指标，量化值</w:t>
      </w:r>
      <w:r>
        <w:rPr>
          <w:rFonts w:hint="eastAsia" w:cs="宋体"/>
          <w:b w:val="0"/>
          <w:bCs w:val="0"/>
          <w:color w:val="auto"/>
          <w:kern w:val="2"/>
          <w:sz w:val="28"/>
          <w:szCs w:val="28"/>
          <w:highlight w:val="none"/>
          <w:lang w:val="en-US" w:eastAsia="zh-CN" w:bidi="ar-SA"/>
        </w:rPr>
        <w:t>率</w:t>
      </w:r>
      <w:r>
        <w:rPr>
          <w:rFonts w:hint="eastAsia" w:ascii="宋体" w:hAnsi="宋体" w:eastAsia="宋体" w:cs="宋体"/>
          <w:b w:val="0"/>
          <w:bCs w:val="0"/>
          <w:color w:val="auto"/>
          <w:kern w:val="2"/>
          <w:sz w:val="28"/>
          <w:szCs w:val="28"/>
          <w:highlight w:val="none"/>
          <w:lang w:val="en-US" w:eastAsia="zh-CN" w:bidi="ar-SA"/>
        </w:rPr>
        <w:t>75%</w:t>
      </w:r>
    </w:p>
    <w:p w14:paraId="7EFB22BB">
      <w:pPr>
        <w:shd w:val="clear"/>
        <w:bidi w:val="0"/>
        <w:rPr>
          <w:rFonts w:hint="eastAsia"/>
          <w:color w:val="auto"/>
          <w:highlight w:val="none"/>
          <w:lang w:eastAsia="zh-CN"/>
        </w:rPr>
      </w:pPr>
      <w:r>
        <w:rPr>
          <w:rFonts w:hint="eastAsia"/>
          <w:color w:val="auto"/>
          <w:highlight w:val="none"/>
          <w:lang w:eastAsia="zh-CN"/>
        </w:rPr>
        <w:t>③与项目目标任务数或计划数相对应。</w:t>
      </w:r>
    </w:p>
    <w:p w14:paraId="4F0C5E4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924908A">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4EEDFA3C">
      <w:pPr>
        <w:bidi w:val="0"/>
        <w:rPr>
          <w:rFonts w:hint="eastAsia"/>
          <w:color w:val="auto"/>
          <w:highlight w:val="none"/>
          <w:lang w:eastAsia="zh-CN"/>
        </w:rPr>
      </w:pPr>
      <w:r>
        <w:rPr>
          <w:rFonts w:hint="eastAsia"/>
          <w:color w:val="auto"/>
          <w:highlight w:val="none"/>
          <w:lang w:eastAsia="zh-CN"/>
        </w:rPr>
        <w:t>①预算编制经过科学论证；</w:t>
      </w:r>
    </w:p>
    <w:p w14:paraId="47A6EA38">
      <w:pPr>
        <w:bidi w:val="0"/>
        <w:rPr>
          <w:rFonts w:hint="eastAsia"/>
          <w:color w:val="auto"/>
          <w:highlight w:val="none"/>
          <w:lang w:eastAsia="zh-CN"/>
        </w:rPr>
      </w:pPr>
      <w:r>
        <w:rPr>
          <w:rFonts w:hint="eastAsia"/>
          <w:color w:val="auto"/>
          <w:highlight w:val="none"/>
          <w:lang w:eastAsia="zh-CN"/>
        </w:rPr>
        <w:t>②预算内容与项目内容匹配；</w:t>
      </w:r>
    </w:p>
    <w:p w14:paraId="534DFB22">
      <w:pPr>
        <w:bidi w:val="0"/>
        <w:rPr>
          <w:rFonts w:hint="eastAsia"/>
          <w:color w:val="auto"/>
          <w:highlight w:val="none"/>
          <w:lang w:eastAsia="zh-CN"/>
        </w:rPr>
      </w:pPr>
      <w:r>
        <w:rPr>
          <w:rFonts w:hint="eastAsia"/>
          <w:color w:val="auto"/>
          <w:highlight w:val="none"/>
          <w:lang w:eastAsia="zh-CN"/>
        </w:rPr>
        <w:t>③预算额度测算依据充分，按照标准编制；</w:t>
      </w:r>
    </w:p>
    <w:p w14:paraId="72FFB50D">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75B11DF1">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68856B0">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3ADEEB16">
      <w:pPr>
        <w:bidi w:val="0"/>
        <w:rPr>
          <w:rFonts w:hint="eastAsia"/>
          <w:color w:val="auto"/>
          <w:highlight w:val="none"/>
          <w:lang w:eastAsia="zh-CN"/>
        </w:rPr>
      </w:pPr>
      <w:r>
        <w:rPr>
          <w:rFonts w:hint="eastAsia"/>
          <w:color w:val="auto"/>
          <w:highlight w:val="none"/>
          <w:lang w:eastAsia="zh-CN"/>
        </w:rPr>
        <w:t>①预算资金分配依据充分；</w:t>
      </w:r>
    </w:p>
    <w:p w14:paraId="2DC3868F">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3103C7FF">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E60B6EE">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08F98A9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F888F0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3AF81DB4">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58C7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716B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79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C1A8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7983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7ABE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564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066C2E1">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72B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D90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79BB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C9F9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9B6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6FCC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02C1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A6876E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C75A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7EA3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400C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2551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7EE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9E9A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0E7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28D700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2E7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6963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B8F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BC86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259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B704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A27E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D25C77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BE9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3F30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B47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C1A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7124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1D1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6EF8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A77A66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CD80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B62E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08A9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F1B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A64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D64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A99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1E06A5E">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785C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38BE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79A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F373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A414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6B6CC60">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A56D9AA">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170万元</w:t>
      </w:r>
      <w:r>
        <w:rPr>
          <w:rFonts w:hint="eastAsia"/>
          <w:color w:val="auto"/>
          <w:highlight w:val="none"/>
          <w:lang w:eastAsia="zh-CN"/>
        </w:rPr>
        <w:t>/</w:t>
      </w:r>
      <w:r>
        <w:rPr>
          <w:rFonts w:hint="eastAsia"/>
          <w:color w:val="auto"/>
          <w:highlight w:val="none"/>
          <w:lang w:val="en-US" w:eastAsia="zh-CN"/>
        </w:rPr>
        <w:t>170万元</w:t>
      </w:r>
      <w:r>
        <w:rPr>
          <w:rFonts w:hint="eastAsia"/>
          <w:color w:val="auto"/>
          <w:highlight w:val="none"/>
          <w:lang w:eastAsia="zh-CN"/>
        </w:rPr>
        <w:t>）×100%。</w:t>
      </w:r>
      <w:r>
        <w:rPr>
          <w:rFonts w:hint="eastAsia"/>
          <w:b/>
          <w:bCs/>
          <w:color w:val="auto"/>
          <w:highlight w:val="none"/>
          <w:lang w:val="en-US" w:eastAsia="zh-CN"/>
        </w:rPr>
        <w:t>=100%</w:t>
      </w:r>
    </w:p>
    <w:p w14:paraId="01DF2FF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71616A7">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D161756">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170万元</w:t>
      </w:r>
      <w:r>
        <w:rPr>
          <w:rFonts w:hint="eastAsia"/>
          <w:color w:val="auto"/>
          <w:highlight w:val="none"/>
          <w:lang w:eastAsia="zh-CN"/>
        </w:rPr>
        <w:t>/</w:t>
      </w:r>
      <w:r>
        <w:rPr>
          <w:rFonts w:hint="eastAsia"/>
          <w:color w:val="auto"/>
          <w:highlight w:val="none"/>
          <w:lang w:val="en-US" w:eastAsia="zh-CN"/>
        </w:rPr>
        <w:t>170万元</w:t>
      </w:r>
      <w:r>
        <w:rPr>
          <w:rFonts w:hint="eastAsia"/>
          <w:color w:val="auto"/>
          <w:highlight w:val="none"/>
          <w:lang w:eastAsia="zh-CN"/>
        </w:rPr>
        <w:t>）×100%。</w:t>
      </w:r>
      <w:r>
        <w:rPr>
          <w:rFonts w:hint="eastAsia"/>
          <w:b/>
          <w:bCs/>
          <w:color w:val="auto"/>
          <w:highlight w:val="none"/>
          <w:lang w:val="en-US" w:eastAsia="zh-CN"/>
        </w:rPr>
        <w:t>=100%</w:t>
      </w:r>
    </w:p>
    <w:p w14:paraId="6FFB794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87636F8">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178C4A7A">
      <w:pPr>
        <w:bidi w:val="0"/>
        <w:rPr>
          <w:rFonts w:hint="eastAsia"/>
          <w:color w:val="auto"/>
          <w:highlight w:val="none"/>
          <w:lang w:eastAsia="zh-CN"/>
        </w:rPr>
      </w:pPr>
      <w:r>
        <w:rPr>
          <w:rFonts w:hint="eastAsia"/>
          <w:color w:val="auto"/>
          <w:highlight w:val="none"/>
          <w:lang w:eastAsia="zh-CN"/>
        </w:rPr>
        <w:t>①符合《</w:t>
      </w:r>
      <w:r>
        <w:rPr>
          <w:rFonts w:hint="eastAsia"/>
          <w:color w:val="auto"/>
          <w:highlight w:val="none"/>
          <w:lang w:val="en-US" w:eastAsia="zh-CN"/>
        </w:rPr>
        <w:t>中华人民共和国合同法》；《中华人民共和国土地管理法》；《建设工程质量管理条例》</w:t>
      </w:r>
      <w:r>
        <w:rPr>
          <w:rFonts w:hint="eastAsia"/>
          <w:color w:val="auto"/>
          <w:highlight w:val="none"/>
          <w:lang w:eastAsia="zh-CN"/>
        </w:rPr>
        <w:t>；《</w:t>
      </w:r>
      <w:r>
        <w:rPr>
          <w:rFonts w:hint="eastAsia"/>
          <w:color w:val="auto"/>
          <w:highlight w:val="none"/>
          <w:lang w:val="en-US" w:eastAsia="zh-CN"/>
        </w:rPr>
        <w:t>阜康市九运街镇财务管理办法</w:t>
      </w:r>
      <w:r>
        <w:rPr>
          <w:rFonts w:hint="eastAsia"/>
          <w:color w:val="auto"/>
          <w:highlight w:val="none"/>
          <w:lang w:eastAsia="zh-CN"/>
        </w:rPr>
        <w:t>》专项资金管理办法的规定；</w:t>
      </w:r>
    </w:p>
    <w:p w14:paraId="18A1A9FF">
      <w:pPr>
        <w:bidi w:val="0"/>
        <w:rPr>
          <w:rFonts w:hint="eastAsia"/>
          <w:color w:val="auto"/>
          <w:highlight w:val="none"/>
          <w:lang w:eastAsia="zh-CN"/>
        </w:rPr>
      </w:pPr>
      <w:r>
        <w:rPr>
          <w:rFonts w:hint="eastAsia"/>
          <w:color w:val="auto"/>
          <w:highlight w:val="none"/>
          <w:lang w:eastAsia="zh-CN"/>
        </w:rPr>
        <w:t>②资金的拨付有完整的审批程序和手续；</w:t>
      </w:r>
    </w:p>
    <w:p w14:paraId="3960DA70">
      <w:pPr>
        <w:bidi w:val="0"/>
        <w:rPr>
          <w:rFonts w:hint="eastAsia"/>
          <w:color w:val="auto"/>
          <w:highlight w:val="none"/>
          <w:lang w:eastAsia="zh-CN"/>
        </w:rPr>
      </w:pPr>
      <w:r>
        <w:rPr>
          <w:rFonts w:hint="eastAsia"/>
          <w:color w:val="auto"/>
          <w:highlight w:val="none"/>
          <w:lang w:eastAsia="zh-CN"/>
        </w:rPr>
        <w:t>③符合项目预算批复或合同规定的用途；</w:t>
      </w:r>
    </w:p>
    <w:p w14:paraId="1E71AD93">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03BDA2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1E53E5B">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7AFBA161">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按照&lt;关于《九运街镇棉花产区水利灌溉上游水渠及配套设施设施建设项目可行性研究报告》的批复＞（阜发改投资〔2022〕 8号）文件精神，同意实施九运街镇棉花产区水利灌溉上游水渠及配套设施建设项目。九运街镇棉花产区水利灌溉上游水渠及配套设施建设项目。</w:t>
      </w:r>
    </w:p>
    <w:p w14:paraId="11E0AEF6">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w:t>
      </w:r>
      <w:r>
        <w:rPr>
          <w:rFonts w:hint="eastAsia"/>
          <w:color w:val="auto"/>
          <w:highlight w:val="none"/>
          <w:lang w:val="en-US" w:eastAsia="zh-CN"/>
        </w:rPr>
        <w:t>阜康市九运街镇财务管理办法</w:t>
      </w:r>
      <w:r>
        <w:rPr>
          <w:rFonts w:hint="eastAsia"/>
          <w:color w:val="auto"/>
          <w:highlight w:val="none"/>
          <w:lang w:eastAsia="zh-CN"/>
        </w:rPr>
        <w:t>》，具有相应的《</w:t>
      </w:r>
      <w:r>
        <w:rPr>
          <w:rFonts w:hint="eastAsia"/>
          <w:color w:val="auto"/>
          <w:highlight w:val="none"/>
          <w:lang w:val="en-US" w:eastAsia="zh-CN"/>
        </w:rPr>
        <w:t>中华人民共和国合同法》；《中华人民共和国土地管理法》；《建设工程质量管理条例》</w:t>
      </w:r>
      <w:r>
        <w:rPr>
          <w:rFonts w:hint="eastAsia"/>
          <w:color w:val="auto"/>
          <w:highlight w:val="none"/>
          <w:lang w:eastAsia="zh-CN"/>
        </w:rPr>
        <w:t>；</w:t>
      </w:r>
    </w:p>
    <w:p w14:paraId="33DF7170">
      <w:pPr>
        <w:bidi w:val="0"/>
        <w:rPr>
          <w:rFonts w:hint="eastAsia"/>
          <w:color w:val="auto"/>
          <w:highlight w:val="none"/>
          <w:lang w:eastAsia="zh-CN"/>
        </w:rPr>
      </w:pPr>
      <w:r>
        <w:rPr>
          <w:rFonts w:hint="eastAsia"/>
          <w:color w:val="auto"/>
          <w:highlight w:val="none"/>
          <w:lang w:eastAsia="zh-CN"/>
        </w:rPr>
        <w:t>②财务和业务管理制度合法、合规、完整。</w:t>
      </w:r>
    </w:p>
    <w:p w14:paraId="3B4A21B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970FBFB">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B15DBC9">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①遵守</w:t>
      </w:r>
      <w:r>
        <w:rPr>
          <w:rFonts w:hint="eastAsia"/>
          <w:color w:val="auto"/>
          <w:highlight w:val="none"/>
          <w:lang w:val="en-US" w:eastAsia="zh-CN"/>
        </w:rPr>
        <w:t>中华人民共和国合同法》；《中华人民共和国土地管理法》；《建设工程质量管理条例》</w:t>
      </w:r>
      <w:r>
        <w:rPr>
          <w:rFonts w:hint="eastAsia"/>
          <w:color w:val="auto"/>
          <w:highlight w:val="none"/>
          <w:lang w:eastAsia="zh-CN"/>
        </w:rPr>
        <w:t>《</w:t>
      </w:r>
      <w:r>
        <w:rPr>
          <w:rFonts w:hint="eastAsia"/>
          <w:color w:val="auto"/>
          <w:highlight w:val="none"/>
          <w:lang w:val="en-US" w:eastAsia="zh-CN"/>
        </w:rPr>
        <w:t>阜康市九运街镇财务管理办法</w:t>
      </w:r>
      <w:r>
        <w:rPr>
          <w:rFonts w:hint="eastAsia"/>
          <w:color w:val="auto"/>
          <w:highlight w:val="none"/>
          <w:lang w:eastAsia="zh-CN"/>
        </w:rPr>
        <w:t>》管理规定；</w:t>
      </w:r>
    </w:p>
    <w:p w14:paraId="474856B5">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未作调整</w:t>
      </w:r>
      <w:r>
        <w:rPr>
          <w:rFonts w:hint="eastAsia"/>
          <w:color w:val="auto"/>
          <w:highlight w:val="none"/>
          <w:lang w:eastAsia="zh-CN"/>
        </w:rPr>
        <w:t>；</w:t>
      </w:r>
    </w:p>
    <w:p w14:paraId="0128985B">
      <w:pPr>
        <w:bidi w:val="0"/>
        <w:ind w:left="0" w:leftChars="0" w:firstLine="560" w:firstLineChars="200"/>
        <w:rPr>
          <w:rFonts w:hint="eastAsia"/>
          <w:color w:val="auto"/>
          <w:highlight w:val="none"/>
          <w:lang w:eastAsia="zh-CN"/>
        </w:rPr>
      </w:pPr>
      <w:r>
        <w:rPr>
          <w:rFonts w:hint="eastAsia"/>
          <w:color w:val="auto"/>
          <w:highlight w:val="none"/>
          <w:lang w:eastAsia="zh-CN"/>
        </w:rPr>
        <w:t>③项目</w:t>
      </w:r>
      <w:r>
        <w:rPr>
          <w:rFonts w:hint="eastAsia"/>
          <w:color w:val="auto"/>
          <w:highlight w:val="none"/>
          <w:lang w:val="en-US" w:eastAsia="zh-CN"/>
        </w:rPr>
        <w:t>中标通知书及</w:t>
      </w:r>
      <w:r>
        <w:rPr>
          <w:rFonts w:hint="eastAsia"/>
          <w:color w:val="auto"/>
          <w:highlight w:val="none"/>
          <w:lang w:eastAsia="zh-CN"/>
        </w:rPr>
        <w:t>合</w:t>
      </w:r>
      <w:r>
        <w:rPr>
          <w:rFonts w:hint="eastAsia"/>
          <w:color w:val="auto"/>
          <w:highlight w:val="none"/>
          <w:lang w:val="en-US" w:eastAsia="zh-CN"/>
        </w:rPr>
        <w:t>同</w:t>
      </w:r>
      <w:r>
        <w:rPr>
          <w:rFonts w:hint="eastAsia"/>
          <w:color w:val="auto"/>
          <w:highlight w:val="none"/>
          <w:lang w:eastAsia="zh-CN"/>
        </w:rPr>
        <w:t>、验收报告、</w:t>
      </w:r>
      <w:r>
        <w:rPr>
          <w:rFonts w:hint="eastAsia"/>
          <w:color w:val="auto"/>
          <w:highlight w:val="none"/>
          <w:lang w:val="en-US" w:eastAsia="zh-CN"/>
        </w:rPr>
        <w:t>工程进度确认单</w:t>
      </w:r>
      <w:r>
        <w:rPr>
          <w:rFonts w:hint="eastAsia"/>
          <w:color w:val="auto"/>
          <w:highlight w:val="none"/>
          <w:lang w:eastAsia="zh-CN"/>
        </w:rPr>
        <w:t>等资料齐全并及时归档；</w:t>
      </w:r>
    </w:p>
    <w:p w14:paraId="4FC490B5">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由阜康市九运街镇人民政府实施，具体由经济办中心具体负责，办公室主任由宋阳担任，成员有张泽飞、石代龙组成。主要负责项目的实地勘察、验收、资金拨付、档案整理、后期管理等</w:t>
      </w:r>
      <w:r>
        <w:rPr>
          <w:rFonts w:hint="eastAsia"/>
          <w:b/>
          <w:bCs/>
          <w:color w:val="auto"/>
          <w:highlight w:val="none"/>
          <w:lang w:val="en-US" w:eastAsia="zh-CN"/>
        </w:rPr>
        <w:t>综上，该项指标满分4分，得分4分。</w:t>
      </w:r>
    </w:p>
    <w:p w14:paraId="2372F97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A8B6F1B">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A3338E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751228AE">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35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E2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636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FC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D2B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BBF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100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6011515">
        <w:tblPrEx>
          <w:tblCellMar>
            <w:top w:w="0" w:type="dxa"/>
            <w:left w:w="0" w:type="dxa"/>
            <w:bottom w:w="0" w:type="dxa"/>
            <w:right w:w="0" w:type="dxa"/>
          </w:tblCellMar>
        </w:tblPrEx>
        <w:trPr>
          <w:trHeight w:val="43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9E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F1B57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p w14:paraId="063E2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EF7D9">
            <w:pPr>
              <w:keepNext w:val="0"/>
              <w:keepLines w:val="0"/>
              <w:widowControl/>
              <w:suppressLineNumbers w:val="0"/>
              <w:ind w:firstLine="480" w:firstLineChars="20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项目受益群众</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687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93C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6B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500人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F7C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3D6C549">
        <w:tblPrEx>
          <w:shd w:val="clear" w:color="auto" w:fill="auto"/>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4512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AD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4A9A9">
            <w:pPr>
              <w:keepNext w:val="0"/>
              <w:keepLines w:val="0"/>
              <w:widowControl/>
              <w:suppressLineNumbers w:val="0"/>
              <w:ind w:firstLine="480" w:firstLineChars="20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建设村庄数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19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17B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83F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E69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E736584">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63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3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464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正常运转率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A3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≥97%</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DD9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B80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F05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3EA31CB">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552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1FD9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r>
              <w:rPr>
                <w:rFonts w:hint="eastAsia" w:cs="宋体"/>
                <w:color w:val="auto"/>
                <w:kern w:val="0"/>
                <w:sz w:val="20"/>
                <w:szCs w:val="20"/>
                <w:highlight w:val="none"/>
                <w:shd w:val="clear" w:color="auto" w:fill="auto"/>
                <w:lang w:val="en-US" w:eastAsia="zh-CN"/>
              </w:rPr>
              <w:t>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095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工程开工时间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6F2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2022年7月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D9B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802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14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8D80A70">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E3B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0B1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89A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工程完工时间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97F8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2022年10月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C44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A6D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6CB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0FCB655">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2E5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7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58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九运街镇棉花产区水利灌溉基础设施建设项目金额</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D2F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170万元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2D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FE2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170万元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065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96D9855">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86B3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7D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0C4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094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3024DC3">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16D7AD3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项目受益群众</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0"/>
          <w:szCs w:val="20"/>
          <w:highlight w:val="none"/>
          <w:shd w:val="clear" w:color="auto" w:fill="auto"/>
          <w:lang w:val="en-US" w:eastAsia="zh-CN"/>
        </w:rPr>
        <w:t>≥</w:t>
      </w:r>
      <w:r>
        <w:rPr>
          <w:rFonts w:hint="eastAsia" w:ascii="宋体" w:hAnsi="宋体" w:eastAsia="宋体" w:cs="宋体"/>
          <w:color w:val="auto"/>
          <w:highlight w:val="none"/>
          <w:lang w:val="en-US" w:eastAsia="zh-CN"/>
        </w:rPr>
        <w:t>500人</w:t>
      </w:r>
      <w:r>
        <w:rPr>
          <w:rFonts w:hint="eastAsia"/>
          <w:color w:val="auto"/>
          <w:highlight w:val="none"/>
          <w:lang w:val="en-US" w:eastAsia="zh-CN"/>
        </w:rPr>
        <w:t>，实际完成为500人。实际完成率=（500人/500人）×100%=100%。</w:t>
      </w:r>
    </w:p>
    <w:p w14:paraId="7D7644A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建设村庄数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highlight w:val="none"/>
          <w:lang w:val="en-US" w:eastAsia="zh-CN"/>
        </w:rPr>
        <w:t>1个</w:t>
      </w:r>
      <w:r>
        <w:rPr>
          <w:rFonts w:hint="eastAsia"/>
          <w:color w:val="auto"/>
          <w:highlight w:val="none"/>
          <w:lang w:val="en-US" w:eastAsia="zh-CN"/>
        </w:rPr>
        <w:t>，实际完成为1个。实际完成率=（1个/1个）×100%=100%。</w:t>
      </w:r>
    </w:p>
    <w:p w14:paraId="0CA8E1F3">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35524B79">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5D2DCCC">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正常运转率</w:t>
      </w:r>
      <w:r>
        <w:rPr>
          <w:rFonts w:hint="eastAsia"/>
          <w:color w:val="auto"/>
          <w:highlight w:val="none"/>
          <w:lang w:eastAsia="zh-CN"/>
        </w:rPr>
        <w:t>”</w:t>
      </w:r>
      <w:r>
        <w:rPr>
          <w:rFonts w:hint="eastAsia"/>
          <w:color w:val="auto"/>
          <w:highlight w:val="none"/>
          <w:lang w:val="en-US" w:eastAsia="zh-CN"/>
        </w:rPr>
        <w:t>指标，预期目标值为≥97%，实际完成为100%。</w:t>
      </w:r>
    </w:p>
    <w:p w14:paraId="25A8A00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B18C98B">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29A73CF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工程开工时间</w:t>
      </w:r>
      <w:r>
        <w:rPr>
          <w:rFonts w:hint="eastAsia"/>
          <w:color w:val="auto"/>
          <w:highlight w:val="none"/>
          <w:lang w:eastAsia="zh-CN"/>
        </w:rPr>
        <w:t>”</w:t>
      </w:r>
      <w:r>
        <w:rPr>
          <w:rFonts w:hint="eastAsia"/>
          <w:color w:val="auto"/>
          <w:highlight w:val="none"/>
          <w:lang w:val="en-US" w:eastAsia="zh-CN"/>
        </w:rPr>
        <w:t>指标，预期目标值为2022年7月，实际完成为2022年7月。</w:t>
      </w:r>
    </w:p>
    <w:p w14:paraId="17C4375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工程完工时间</w:t>
      </w:r>
      <w:r>
        <w:rPr>
          <w:rFonts w:hint="eastAsia"/>
          <w:color w:val="auto"/>
          <w:highlight w:val="none"/>
          <w:lang w:eastAsia="zh-CN"/>
        </w:rPr>
        <w:t>”</w:t>
      </w:r>
      <w:r>
        <w:rPr>
          <w:rFonts w:hint="eastAsia"/>
          <w:color w:val="auto"/>
          <w:highlight w:val="none"/>
          <w:lang w:val="en-US" w:eastAsia="zh-CN"/>
        </w:rPr>
        <w:t>指标，预期目标值为2022年10月，实际完成为2022年10月。</w:t>
      </w:r>
    </w:p>
    <w:p w14:paraId="44784E58">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56F33DC2">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1DBD7D56">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九运街镇棉花产区水利灌溉基础设施建设项目金额</w:t>
      </w:r>
      <w:r>
        <w:rPr>
          <w:rFonts w:hint="eastAsia"/>
          <w:color w:val="auto"/>
          <w:highlight w:val="none"/>
          <w:lang w:eastAsia="zh-CN"/>
        </w:rPr>
        <w:t>”</w:t>
      </w:r>
      <w:r>
        <w:rPr>
          <w:rFonts w:hint="eastAsia"/>
          <w:color w:val="auto"/>
          <w:highlight w:val="none"/>
          <w:lang w:val="en-US" w:eastAsia="zh-CN"/>
        </w:rPr>
        <w:t>指标，预期目标值为170万元，实际完成为170万元。实际完成率=（170万元/170万元）×100%=100%。</w:t>
      </w:r>
    </w:p>
    <w:p w14:paraId="6C9C6B1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0050826">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2F9DD8E2">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7B49334">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3D39EDF">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3C9E6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213E0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1A9E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593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041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9ECC4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41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DA017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15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888E1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26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8FE7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F3E7E87">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1B0F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3B40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B154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D67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73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BE1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50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55D0FE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0C864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56D1D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FA53A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促进镇区社会和谐、经济发展、民生改善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90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17F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9DC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99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60D7BE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52BB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A8713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3781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提高村民生存质量和生活条件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4F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有所提升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FC6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4D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35F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6D30E1D">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E30A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4B758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9852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4B3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DFC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0A0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391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69C4232">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0A858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BB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467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涉及村庄村民满意度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53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4D6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225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7B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r>
      <w:tr w14:paraId="724CAD7E">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A98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9F4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07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EA7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w:t>
            </w:r>
          </w:p>
        </w:tc>
      </w:tr>
    </w:tbl>
    <w:p w14:paraId="0E7C880C">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w:t>
      </w:r>
      <w:bookmarkEnd w:id="75"/>
      <w:r>
        <w:rPr>
          <w:rFonts w:hint="eastAsia"/>
          <w:b/>
          <w:bCs/>
          <w:color w:val="auto"/>
          <w:highlight w:val="none"/>
          <w:lang w:val="en-US" w:eastAsia="zh-CN"/>
        </w:rPr>
        <w:t>社会效益指标</w:t>
      </w:r>
    </w:p>
    <w:p w14:paraId="39E692FC">
      <w:pPr>
        <w:bidi w:val="0"/>
        <w:rPr>
          <w:rFonts w:hint="eastAsia"/>
          <w:color w:val="auto"/>
          <w:highlight w:val="none"/>
          <w:lang w:val="en-US" w:eastAsia="zh-CN"/>
        </w:rPr>
      </w:pPr>
      <w:r>
        <w:rPr>
          <w:rFonts w:hint="eastAsia"/>
          <w:color w:val="auto"/>
          <w:highlight w:val="none"/>
          <w:lang w:val="en-US" w:eastAsia="zh-CN"/>
        </w:rPr>
        <w:t>“促进镇区社会和谐、经济发展、民生改善”指标，预期目标值为有所提升，实际完成为100%。</w:t>
      </w:r>
    </w:p>
    <w:p w14:paraId="05377A76">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w:t>
      </w:r>
      <w:r>
        <w:rPr>
          <w:rFonts w:hint="eastAsia" w:ascii="宋体" w:hAnsi="宋体" w:eastAsia="宋体" w:cs="宋体"/>
          <w:color w:val="auto"/>
          <w:sz w:val="28"/>
          <w:szCs w:val="28"/>
          <w:highlight w:val="none"/>
          <w:lang w:val="en-US" w:eastAsia="zh-CN"/>
        </w:rPr>
        <w:t>丰</w:t>
      </w:r>
      <w:r>
        <w:rPr>
          <w:rFonts w:hint="eastAsia" w:ascii="宋体" w:hAnsi="宋体" w:cs="宋体"/>
          <w:color w:val="auto"/>
          <w:sz w:val="28"/>
          <w:szCs w:val="28"/>
          <w:highlight w:val="none"/>
          <w:lang w:val="en-US" w:eastAsia="zh-CN"/>
        </w:rPr>
        <w:t>富</w:t>
      </w:r>
      <w:r>
        <w:rPr>
          <w:rFonts w:hint="eastAsia" w:ascii="宋体" w:hAnsi="宋体" w:eastAsia="宋体" w:cs="宋体"/>
          <w:color w:val="auto"/>
          <w:sz w:val="28"/>
          <w:szCs w:val="28"/>
          <w:highlight w:val="none"/>
          <w:lang w:val="en-US" w:eastAsia="zh-CN"/>
        </w:rPr>
        <w:t>促进镇区社会和谐、经济发展、民生改善；提高村民生存质量和生活条件。</w:t>
      </w:r>
    </w:p>
    <w:p w14:paraId="2A41BB1C">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78B8632B">
      <w:pPr>
        <w:bidi w:val="0"/>
        <w:outlineLvl w:val="2"/>
        <w:rPr>
          <w:rFonts w:hint="eastAsia"/>
          <w:color w:val="auto"/>
          <w:highlight w:val="none"/>
          <w:lang w:val="en-US" w:eastAsia="zh-CN"/>
        </w:rPr>
      </w:pPr>
      <w:bookmarkStart w:id="76" w:name="_Toc27006"/>
      <w:r>
        <w:rPr>
          <w:rFonts w:hint="eastAsia"/>
          <w:b/>
          <w:bCs/>
          <w:color w:val="auto"/>
          <w:highlight w:val="none"/>
          <w:lang w:val="en-US" w:eastAsia="zh-CN"/>
        </w:rPr>
        <w:t>2.</w:t>
      </w:r>
      <w:bookmarkEnd w:id="76"/>
      <w:r>
        <w:rPr>
          <w:rFonts w:hint="eastAsia"/>
          <w:b/>
          <w:bCs/>
          <w:color w:val="auto"/>
          <w:highlight w:val="none"/>
          <w:lang w:val="en-US" w:eastAsia="zh-CN"/>
        </w:rPr>
        <w:t>.生态效益指标</w:t>
      </w:r>
    </w:p>
    <w:p w14:paraId="7A2F1602">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提高村民生存质量和生活条件”指标，预期目标值为有所提升，实际完成为100%。</w:t>
      </w:r>
    </w:p>
    <w:p w14:paraId="520AE534">
      <w:pPr>
        <w:bidi w:val="0"/>
        <w:rPr>
          <w:rFonts w:hint="eastAsia" w:ascii="宋体" w:hAnsi="宋体" w:eastAsia="宋体" w:cs="宋体"/>
          <w:color w:val="auto"/>
          <w:sz w:val="28"/>
          <w:szCs w:val="28"/>
          <w:highlight w:val="none"/>
          <w:lang w:val="en-US" w:eastAsia="zh-CN"/>
        </w:rPr>
      </w:pPr>
      <w:r>
        <w:rPr>
          <w:rFonts w:hint="eastAsia"/>
          <w:b w:val="0"/>
          <w:bCs w:val="0"/>
          <w:color w:val="auto"/>
          <w:highlight w:val="none"/>
          <w:lang w:val="en-US" w:eastAsia="zh-CN"/>
        </w:rPr>
        <w:t>通过项目的实施，</w:t>
      </w:r>
      <w:r>
        <w:rPr>
          <w:rFonts w:hint="eastAsia" w:ascii="宋体" w:hAnsi="宋体" w:eastAsia="宋体" w:cs="宋体"/>
          <w:color w:val="auto"/>
          <w:sz w:val="28"/>
          <w:szCs w:val="28"/>
          <w:highlight w:val="none"/>
          <w:lang w:val="en-US" w:eastAsia="zh-CN"/>
        </w:rPr>
        <w:t>丰</w:t>
      </w:r>
      <w:r>
        <w:rPr>
          <w:rFonts w:hint="eastAsia" w:ascii="宋体" w:hAnsi="宋体" w:cs="宋体"/>
          <w:color w:val="auto"/>
          <w:sz w:val="28"/>
          <w:szCs w:val="28"/>
          <w:highlight w:val="none"/>
          <w:lang w:val="en-US" w:eastAsia="zh-CN"/>
        </w:rPr>
        <w:t>富</w:t>
      </w:r>
      <w:r>
        <w:rPr>
          <w:rFonts w:hint="eastAsia" w:ascii="宋体" w:hAnsi="宋体" w:eastAsia="宋体" w:cs="宋体"/>
          <w:color w:val="auto"/>
          <w:sz w:val="28"/>
          <w:szCs w:val="28"/>
          <w:highlight w:val="none"/>
          <w:lang w:val="en-US" w:eastAsia="zh-CN"/>
        </w:rPr>
        <w:t>促进镇区社会和谐、经济发展、民生改善；提高村民生存质量和生活条件。</w:t>
      </w:r>
    </w:p>
    <w:p w14:paraId="0AD9F138">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54DDF8E">
      <w:pPr>
        <w:pStyle w:val="2"/>
        <w:numPr>
          <w:ilvl w:val="0"/>
          <w:numId w:val="0"/>
        </w:numPr>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3.可持续影响指标</w:t>
      </w:r>
    </w:p>
    <w:p w14:paraId="1697D488">
      <w:pPr>
        <w:bidi w:val="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无此指标</w:t>
      </w:r>
    </w:p>
    <w:p w14:paraId="5264E472">
      <w:pPr>
        <w:bidi w:val="0"/>
        <w:outlineLvl w:val="2"/>
        <w:rPr>
          <w:rFonts w:hint="eastAsia"/>
          <w:b/>
          <w:bCs/>
          <w:color w:val="auto"/>
          <w:highlight w:val="none"/>
          <w:lang w:val="en-US" w:eastAsia="zh-CN"/>
        </w:rPr>
      </w:pPr>
      <w:bookmarkStart w:id="77" w:name="_Toc3271"/>
      <w:r>
        <w:rPr>
          <w:rFonts w:hint="eastAsia"/>
          <w:b/>
          <w:bCs/>
          <w:color w:val="auto"/>
          <w:highlight w:val="none"/>
          <w:lang w:val="en-US" w:eastAsia="zh-CN"/>
        </w:rPr>
        <w:t>4.满意度指标</w:t>
      </w:r>
      <w:bookmarkEnd w:id="77"/>
    </w:p>
    <w:p w14:paraId="69A958FB">
      <w:pPr>
        <w:bidi w:val="0"/>
        <w:rPr>
          <w:rFonts w:hint="eastAsia"/>
          <w:b/>
          <w:bCs/>
          <w:color w:val="auto"/>
          <w:highlight w:val="none"/>
          <w:lang w:val="en-US" w:eastAsia="zh-CN"/>
        </w:rPr>
      </w:pPr>
      <w:r>
        <w:rPr>
          <w:rFonts w:hint="eastAsia" w:ascii="宋体" w:hAnsi="宋体" w:eastAsia="宋体" w:cs="宋体"/>
          <w:color w:val="auto"/>
          <w:highlight w:val="none"/>
          <w:lang w:val="en-US" w:eastAsia="zh-CN"/>
        </w:rPr>
        <w:t>“辖区群众满意度”</w:t>
      </w:r>
      <w:r>
        <w:rPr>
          <w:rFonts w:hint="eastAsia"/>
          <w:color w:val="auto"/>
          <w:highlight w:val="none"/>
          <w:lang w:val="en-US" w:eastAsia="zh-CN"/>
        </w:rPr>
        <w:t>指标，预期目标值为≥95%，实际完成为90%。</w:t>
      </w:r>
    </w:p>
    <w:p w14:paraId="249488DA">
      <w:pPr>
        <w:bidi w:val="0"/>
        <w:rPr>
          <w:rFonts w:hint="eastAsia"/>
          <w:color w:val="auto"/>
          <w:highlight w:val="none"/>
          <w:lang w:val="en-US" w:eastAsia="zh-CN"/>
        </w:rPr>
      </w:pPr>
      <w:r>
        <w:rPr>
          <w:rFonts w:hint="eastAsia"/>
          <w:b/>
          <w:bCs/>
          <w:color w:val="auto"/>
          <w:highlight w:val="none"/>
          <w:lang w:val="en-US" w:eastAsia="zh-CN"/>
        </w:rPr>
        <w:t>综上，该项指标满分10分，得分9分。</w:t>
      </w:r>
    </w:p>
    <w:p w14:paraId="60D2799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778BAF29">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cs="仿宋_GB2312"/>
          <w:color w:val="auto"/>
          <w:sz w:val="28"/>
          <w:szCs w:val="28"/>
          <w:highlight w:val="none"/>
          <w:lang w:val="en-US" w:eastAsia="zh-CN"/>
        </w:rPr>
        <w:t>17</w:t>
      </w:r>
      <w:bookmarkStart w:id="88" w:name="_GoBack"/>
      <w:bookmarkEnd w:id="88"/>
      <w:r>
        <w:rPr>
          <w:rFonts w:hint="eastAsia" w:cs="仿宋_GB2312"/>
          <w:color w:val="auto"/>
          <w:sz w:val="28"/>
          <w:szCs w:val="28"/>
          <w:highlight w:val="none"/>
          <w:lang w:val="en-US" w:eastAsia="zh-CN"/>
        </w:rPr>
        <w:t>0万元，全年执行</w:t>
      </w:r>
      <w:r>
        <w:rPr>
          <w:rFonts w:hint="eastAsia" w:cs="仿宋_GB2312"/>
          <w:b w:val="0"/>
          <w:bCs w:val="0"/>
          <w:color w:val="auto"/>
          <w:sz w:val="28"/>
          <w:szCs w:val="28"/>
          <w:highlight w:val="none"/>
          <w:lang w:val="en-US" w:eastAsia="zh-CN"/>
        </w:rPr>
        <w:t>数为</w:t>
      </w:r>
      <w:r>
        <w:rPr>
          <w:rFonts w:hint="eastAsia"/>
          <w:b w:val="0"/>
          <w:bCs w:val="0"/>
          <w:color w:val="auto"/>
          <w:highlight w:val="none"/>
          <w:lang w:val="en-US" w:eastAsia="zh-CN"/>
        </w:rPr>
        <w:t>170</w:t>
      </w:r>
      <w:r>
        <w:rPr>
          <w:rFonts w:hint="eastAsia" w:cs="仿宋_GB2312"/>
          <w:b w:val="0"/>
          <w:bCs w:val="0"/>
          <w:color w:val="auto"/>
          <w:sz w:val="28"/>
          <w:szCs w:val="28"/>
          <w:highlight w:val="none"/>
          <w:lang w:val="en-US" w:eastAsia="zh-CN"/>
        </w:rPr>
        <w:t>万元，预算执行率为100%，</w:t>
      </w:r>
      <w:r>
        <w:rPr>
          <w:rFonts w:hint="eastAsia" w:cs="仿宋_GB2312"/>
          <w:b w:val="0"/>
          <w:bCs w:val="0"/>
          <w:color w:val="auto"/>
          <w:sz w:val="28"/>
          <w:szCs w:val="28"/>
          <w:highlight w:val="none"/>
          <w:lang w:eastAsia="zh-CN"/>
        </w:rPr>
        <w:t>总体完成率为</w:t>
      </w:r>
      <w:r>
        <w:rPr>
          <w:rFonts w:hint="eastAsia" w:cs="仿宋_GB2312"/>
          <w:b w:val="0"/>
          <w:bCs w:val="0"/>
          <w:color w:val="auto"/>
          <w:sz w:val="28"/>
          <w:szCs w:val="28"/>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w:t>
      </w:r>
      <w:r>
        <w:rPr>
          <w:rFonts w:hint="eastAsia" w:cs="仿宋_GB2312"/>
          <w:color w:val="auto"/>
          <w:sz w:val="28"/>
          <w:szCs w:val="28"/>
          <w:highlight w:val="none"/>
          <w:lang w:val="en-US" w:eastAsia="zh-CN"/>
        </w:rPr>
        <w:t>率与总体完成率之间的偏差为0%，无</w:t>
      </w:r>
      <w:r>
        <w:rPr>
          <w:rFonts w:hint="eastAsia"/>
          <w:color w:val="auto"/>
          <w:highlight w:val="none"/>
        </w:rPr>
        <w:t>偏差</w:t>
      </w:r>
      <w:r>
        <w:rPr>
          <w:rFonts w:hint="eastAsia" w:ascii="仿宋_GB2312" w:hAnsi="仿宋_GB2312" w:cs="仿宋_GB2312"/>
          <w:color w:val="auto"/>
          <w:sz w:val="28"/>
          <w:szCs w:val="28"/>
          <w:highlight w:val="none"/>
        </w:rPr>
        <w:t>。</w:t>
      </w:r>
    </w:p>
    <w:p w14:paraId="318B012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55F99CA1">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101CCA72">
      <w:pPr>
        <w:bidi w:val="0"/>
        <w:rPr>
          <w:rFonts w:hint="eastAsia"/>
          <w:color w:val="auto"/>
          <w:highlight w:val="none"/>
          <w:lang w:eastAsia="zh-CN"/>
        </w:rPr>
      </w:pPr>
      <w:r>
        <w:rPr>
          <w:rFonts w:hint="eastAsia" w:ascii="宋体" w:hAnsi="宋体" w:eastAsia="宋体" w:cs="宋体"/>
          <w:color w:val="auto"/>
          <w:highlight w:val="none"/>
          <w:shd w:val="clear" w:color="auto" w:fill="auto"/>
          <w:lang w:val="en-US" w:eastAsia="zh-CN"/>
        </w:rPr>
        <w:t>阜康市九运街镇人民政府棉花产区水利灌溉上游水渠及配套设施建设</w:t>
      </w:r>
      <w:r>
        <w:rPr>
          <w:rFonts w:hint="eastAsia" w:ascii="宋体" w:hAnsi="宋体" w:eastAsia="宋体" w:cs="宋体"/>
          <w:color w:val="auto"/>
          <w:highlight w:val="none"/>
          <w:shd w:val="clear" w:color="auto" w:fill="auto"/>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170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170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40E5A9C2">
      <w:pPr>
        <w:bidi w:val="0"/>
        <w:rPr>
          <w:rFonts w:hint="eastAsia"/>
          <w:color w:val="auto"/>
          <w:highlight w:val="none"/>
          <w:lang w:eastAsia="zh-CN"/>
        </w:rPr>
      </w:pPr>
      <w:r>
        <w:rPr>
          <w:rFonts w:hint="eastAsia"/>
          <w:color w:val="auto"/>
          <w:highlight w:val="none"/>
          <w:lang w:val="en-US" w:eastAsia="zh-CN"/>
        </w:rPr>
        <w:t>阜康市九运街镇人民政府</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阜康市九运街镇人民政府</w:t>
      </w:r>
      <w:r>
        <w:rPr>
          <w:rFonts w:hint="eastAsia"/>
          <w:color w:val="auto"/>
          <w:highlight w:val="none"/>
          <w:lang w:eastAsia="zh-CN"/>
        </w:rPr>
        <w:t>事业发展中关系民生与稳定的项目，切实优化资源配置，提高了资金使用的效率和效果。</w:t>
      </w:r>
    </w:p>
    <w:bookmarkEnd w:id="81"/>
    <w:bookmarkEnd w:id="82"/>
    <w:p w14:paraId="13CBEFBF">
      <w:pPr>
        <w:numPr>
          <w:ilvl w:val="0"/>
          <w:numId w:val="0"/>
        </w:numPr>
        <w:bidi w:val="0"/>
        <w:ind w:left="0" w:leftChars="0" w:firstLine="562" w:firstLineChars="200"/>
        <w:outlineLvl w:val="1"/>
        <w:rPr>
          <w:rFonts w:hint="eastAsia"/>
          <w:b/>
          <w:bCs/>
          <w:color w:val="auto"/>
          <w:highlight w:val="none"/>
        </w:rPr>
      </w:pPr>
      <w:bookmarkStart w:id="83" w:name="_Toc9582"/>
      <w:r>
        <w:rPr>
          <w:rFonts w:hint="eastAsia" w:ascii="宋体" w:hAnsi="宋体" w:eastAsia="宋体" w:cs="宋体"/>
          <w:b/>
          <w:bCs/>
          <w:color w:val="auto"/>
          <w:kern w:val="2"/>
          <w:sz w:val="28"/>
          <w:szCs w:val="28"/>
          <w:highlight w:val="none"/>
          <w:lang w:val="en-US" w:eastAsia="zh-CN" w:bidi="ar-SA"/>
        </w:rPr>
        <w:t>（</w:t>
      </w:r>
      <w:r>
        <w:rPr>
          <w:rFonts w:hint="eastAsia" w:cs="宋体"/>
          <w:b/>
          <w:bCs/>
          <w:color w:val="auto"/>
          <w:kern w:val="2"/>
          <w:sz w:val="28"/>
          <w:szCs w:val="28"/>
          <w:highlight w:val="none"/>
          <w:lang w:val="en-US" w:eastAsia="zh-CN" w:bidi="ar-SA"/>
        </w:rPr>
        <w:t>二</w:t>
      </w:r>
      <w:r>
        <w:rPr>
          <w:rFonts w:hint="eastAsia" w:ascii="宋体" w:hAnsi="宋体" w:eastAsia="宋体" w:cs="宋体"/>
          <w:b/>
          <w:bCs/>
          <w:color w:val="auto"/>
          <w:kern w:val="2"/>
          <w:sz w:val="28"/>
          <w:szCs w:val="28"/>
          <w:highlight w:val="none"/>
          <w:lang w:val="en-US" w:eastAsia="zh-CN" w:bidi="ar-SA"/>
        </w:rPr>
        <w:t>）</w:t>
      </w:r>
      <w:r>
        <w:rPr>
          <w:rFonts w:hint="eastAsia"/>
          <w:b/>
          <w:bCs/>
          <w:color w:val="auto"/>
          <w:highlight w:val="none"/>
        </w:rPr>
        <w:t>存在的问题及原因分析</w:t>
      </w:r>
      <w:bookmarkEnd w:id="83"/>
    </w:p>
    <w:p w14:paraId="1B597E33">
      <w:pPr>
        <w:bidi w:val="0"/>
        <w:rPr>
          <w:rFonts w:hint="default"/>
          <w:color w:val="auto"/>
          <w:highlight w:val="none"/>
          <w:lang w:val="en-US" w:eastAsia="zh-CN"/>
        </w:rPr>
      </w:pPr>
      <w:r>
        <w:rPr>
          <w:rFonts w:hint="eastAsia"/>
          <w:color w:val="auto"/>
          <w:highlight w:val="none"/>
          <w:lang w:val="en-US" w:eastAsia="zh-CN"/>
        </w:rPr>
        <w:t>一是财政不能及时下达专项资金，导致资金不能及时进行支付，不能及时验收及出具审计报告；原因是财政资金紧张，从而影响整改工作的进展；</w:t>
      </w:r>
    </w:p>
    <w:p w14:paraId="07268FCD">
      <w:pPr>
        <w:bidi w:val="0"/>
        <w:rPr>
          <w:rFonts w:hint="default"/>
          <w:color w:val="auto"/>
          <w:highlight w:val="none"/>
          <w:lang w:val="en-US" w:eastAsia="zh-CN"/>
        </w:rPr>
      </w:pPr>
      <w:r>
        <w:rPr>
          <w:rFonts w:hint="eastAsia"/>
          <w:color w:val="auto"/>
          <w:highlight w:val="none"/>
          <w:lang w:val="en-US" w:eastAsia="zh-CN"/>
        </w:rPr>
        <w:t>二是项目管理人员素质偏低，人才匮乏，项目管理的组织机构和管理制度不够健全，项目管理不严格，领导对项目管理不够重视，原因是项目负责人专业不对口，工作积极性不高。</w:t>
      </w:r>
    </w:p>
    <w:p w14:paraId="1280953D">
      <w:pPr>
        <w:pStyle w:val="3"/>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有关建议</w:t>
      </w:r>
      <w:bookmarkEnd w:id="84"/>
    </w:p>
    <w:p w14:paraId="7766C416">
      <w:pPr>
        <w:bidi w:val="0"/>
        <w:rPr>
          <w:rFonts w:hint="eastAsia"/>
          <w:color w:val="auto"/>
          <w:highlight w:val="none"/>
          <w:lang w:val="en-US" w:eastAsia="zh-CN"/>
        </w:rPr>
      </w:pPr>
      <w:r>
        <w:rPr>
          <w:rFonts w:hint="eastAsia"/>
          <w:color w:val="auto"/>
          <w:highlight w:val="none"/>
          <w:lang w:val="en-US" w:eastAsia="zh-CN"/>
        </w:rPr>
        <w:t>一是针对财政不能及时下达专项资金，导致资金不能及时进行支付的问题，做到及时与财政对接，做到专款专用不挤占不挪用；</w:t>
      </w:r>
    </w:p>
    <w:p w14:paraId="38EF1AA9">
      <w:pPr>
        <w:bidi w:val="0"/>
        <w:rPr>
          <w:rFonts w:hint="default"/>
          <w:b/>
          <w:bCs/>
          <w:color w:val="auto"/>
          <w:highlight w:val="none"/>
          <w:lang w:val="en-US" w:eastAsia="zh-CN"/>
        </w:rPr>
      </w:pPr>
      <w:r>
        <w:rPr>
          <w:rFonts w:hint="eastAsia"/>
          <w:color w:val="auto"/>
          <w:highlight w:val="none"/>
          <w:lang w:val="en-US" w:eastAsia="zh-CN"/>
        </w:rPr>
        <w:t>二是建立健全项目管理相关规章制度，在工程建设中，重视工程项目管理，是做好项目管理工作的基础和前提，严格规范招投标制度，加强项目管理，提高管理水平，最重要的措施是严格执行项目法人责任制度，这是保障项目顺利开展的最关键因素。</w:t>
      </w:r>
    </w:p>
    <w:p w14:paraId="25E0B84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14:paraId="44A75DD8">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4AB7F7E5">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tbl>
      <w:tblPr>
        <w:tblStyle w:val="11"/>
        <w:tblpPr w:leftFromText="180" w:rightFromText="180" w:vertAnchor="text" w:horzAnchor="page" w:tblpX="1443" w:tblpY="799"/>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54"/>
        <w:gridCol w:w="954"/>
        <w:gridCol w:w="954"/>
        <w:gridCol w:w="993"/>
        <w:gridCol w:w="1343"/>
        <w:gridCol w:w="954"/>
        <w:gridCol w:w="1051"/>
        <w:gridCol w:w="1051"/>
        <w:gridCol w:w="954"/>
        <w:gridCol w:w="954"/>
        <w:gridCol w:w="1051"/>
        <w:gridCol w:w="954"/>
        <w:gridCol w:w="1052"/>
        <w:gridCol w:w="955"/>
      </w:tblGrid>
      <w:tr w14:paraId="34D7F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5A90F42A">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bookmarkStart w:id="86" w:name="_Toc11349"/>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0A5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4877287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7579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16" w:type="dxa"/>
            <w:gridSpan w:val="2"/>
            <w:tcBorders>
              <w:top w:val="single" w:color="auto" w:sz="4" w:space="0"/>
            </w:tcBorders>
            <w:shd w:val="clear" w:color="auto" w:fill="auto"/>
            <w:vAlign w:val="center"/>
          </w:tcPr>
          <w:p w14:paraId="5E2A4C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58" w:type="dxa"/>
            <w:gridSpan w:val="12"/>
            <w:tcBorders>
              <w:top w:val="single" w:color="auto" w:sz="4" w:space="0"/>
            </w:tcBorders>
            <w:shd w:val="clear" w:color="auto" w:fill="auto"/>
            <w:vAlign w:val="center"/>
          </w:tcPr>
          <w:p w14:paraId="40D74A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阜康市九运街镇人民政府棉花产区水利灌溉上游水渠及配套设施建设项目</w:t>
            </w:r>
          </w:p>
        </w:tc>
      </w:tr>
      <w:tr w14:paraId="7D6C4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16" w:type="dxa"/>
            <w:gridSpan w:val="2"/>
            <w:shd w:val="clear" w:color="auto" w:fill="auto"/>
            <w:vAlign w:val="center"/>
          </w:tcPr>
          <w:p w14:paraId="79E155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61" w:type="dxa"/>
            <w:gridSpan w:val="5"/>
            <w:shd w:val="clear" w:color="auto" w:fill="auto"/>
            <w:vAlign w:val="center"/>
          </w:tcPr>
          <w:p w14:paraId="59A626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阜康市九运街镇人民政府</w:t>
            </w:r>
          </w:p>
        </w:tc>
        <w:tc>
          <w:tcPr>
            <w:tcW w:w="2022" w:type="dxa"/>
            <w:gridSpan w:val="2"/>
            <w:shd w:val="clear" w:color="auto" w:fill="auto"/>
            <w:vAlign w:val="center"/>
          </w:tcPr>
          <w:p w14:paraId="1521CE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75" w:type="dxa"/>
            <w:gridSpan w:val="5"/>
            <w:shd w:val="clear" w:color="auto" w:fill="auto"/>
            <w:vAlign w:val="center"/>
          </w:tcPr>
          <w:p w14:paraId="411AEA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阜康市九运街镇人民政府</w:t>
            </w:r>
          </w:p>
        </w:tc>
      </w:tr>
      <w:tr w14:paraId="76601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16" w:type="dxa"/>
            <w:gridSpan w:val="2"/>
            <w:vMerge w:val="restart"/>
            <w:shd w:val="clear" w:color="auto" w:fill="auto"/>
            <w:vAlign w:val="center"/>
          </w:tcPr>
          <w:p w14:paraId="32024E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38" w:type="dxa"/>
            <w:gridSpan w:val="2"/>
            <w:shd w:val="clear" w:color="auto" w:fill="auto"/>
            <w:vAlign w:val="center"/>
          </w:tcPr>
          <w:p w14:paraId="3EDCE3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89" w:type="dxa"/>
            <w:shd w:val="clear" w:color="auto" w:fill="auto"/>
            <w:vAlign w:val="center"/>
          </w:tcPr>
          <w:p w14:paraId="12757F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34" w:type="dxa"/>
            <w:gridSpan w:val="2"/>
            <w:shd w:val="clear" w:color="auto" w:fill="auto"/>
            <w:vAlign w:val="center"/>
          </w:tcPr>
          <w:p w14:paraId="7015D1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22" w:type="dxa"/>
            <w:gridSpan w:val="2"/>
            <w:shd w:val="clear" w:color="auto" w:fill="auto"/>
            <w:vAlign w:val="center"/>
          </w:tcPr>
          <w:p w14:paraId="4EBA3C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07" w:type="dxa"/>
            <w:gridSpan w:val="2"/>
            <w:shd w:val="clear" w:color="auto" w:fill="auto"/>
            <w:vAlign w:val="center"/>
          </w:tcPr>
          <w:p w14:paraId="244E1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433" w:type="dxa"/>
            <w:gridSpan w:val="2"/>
            <w:shd w:val="clear" w:color="auto" w:fill="auto"/>
            <w:vAlign w:val="center"/>
          </w:tcPr>
          <w:p w14:paraId="7E1454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35" w:type="dxa"/>
            <w:shd w:val="clear" w:color="auto" w:fill="auto"/>
            <w:vAlign w:val="center"/>
          </w:tcPr>
          <w:p w14:paraId="454135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9C34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16" w:type="dxa"/>
            <w:gridSpan w:val="2"/>
            <w:vMerge w:val="continue"/>
            <w:shd w:val="clear" w:color="auto" w:fill="auto"/>
            <w:vAlign w:val="center"/>
          </w:tcPr>
          <w:p w14:paraId="2948108E">
            <w:pPr>
              <w:jc w:val="center"/>
              <w:rPr>
                <w:rFonts w:hint="eastAsia" w:ascii="宋体" w:hAnsi="宋体" w:eastAsia="宋体" w:cs="宋体"/>
                <w:i w:val="0"/>
                <w:iCs w:val="0"/>
                <w:color w:val="000000"/>
                <w:sz w:val="20"/>
                <w:szCs w:val="20"/>
                <w:u w:val="none"/>
              </w:rPr>
            </w:pPr>
          </w:p>
        </w:tc>
        <w:tc>
          <w:tcPr>
            <w:tcW w:w="2238" w:type="dxa"/>
            <w:gridSpan w:val="2"/>
            <w:shd w:val="clear" w:color="auto" w:fill="auto"/>
            <w:vAlign w:val="center"/>
          </w:tcPr>
          <w:p w14:paraId="70E2B5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89" w:type="dxa"/>
            <w:shd w:val="clear" w:color="auto" w:fill="auto"/>
            <w:vAlign w:val="center"/>
          </w:tcPr>
          <w:p w14:paraId="4CB6E4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 </w:t>
            </w:r>
          </w:p>
        </w:tc>
        <w:tc>
          <w:tcPr>
            <w:tcW w:w="1634" w:type="dxa"/>
            <w:gridSpan w:val="2"/>
            <w:shd w:val="clear" w:color="auto" w:fill="auto"/>
            <w:vAlign w:val="center"/>
          </w:tcPr>
          <w:p w14:paraId="670D85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 </w:t>
            </w:r>
          </w:p>
        </w:tc>
        <w:tc>
          <w:tcPr>
            <w:tcW w:w="2022" w:type="dxa"/>
            <w:gridSpan w:val="2"/>
            <w:shd w:val="clear" w:color="auto" w:fill="auto"/>
            <w:vAlign w:val="center"/>
          </w:tcPr>
          <w:p w14:paraId="1F5F52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 </w:t>
            </w:r>
          </w:p>
        </w:tc>
        <w:tc>
          <w:tcPr>
            <w:tcW w:w="2207" w:type="dxa"/>
            <w:gridSpan w:val="2"/>
            <w:shd w:val="clear" w:color="auto" w:fill="auto"/>
            <w:vAlign w:val="center"/>
          </w:tcPr>
          <w:p w14:paraId="4C4F53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33" w:type="dxa"/>
            <w:gridSpan w:val="2"/>
            <w:shd w:val="clear" w:color="auto" w:fill="auto"/>
            <w:vAlign w:val="center"/>
          </w:tcPr>
          <w:p w14:paraId="5F807A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35" w:type="dxa"/>
            <w:shd w:val="clear" w:color="auto" w:fill="auto"/>
            <w:vAlign w:val="center"/>
          </w:tcPr>
          <w:p w14:paraId="59BF95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FEB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16" w:type="dxa"/>
            <w:gridSpan w:val="2"/>
            <w:vMerge w:val="continue"/>
            <w:shd w:val="clear" w:color="auto" w:fill="auto"/>
            <w:vAlign w:val="center"/>
          </w:tcPr>
          <w:p w14:paraId="7259ABCD">
            <w:pPr>
              <w:jc w:val="center"/>
              <w:rPr>
                <w:rFonts w:hint="eastAsia" w:ascii="宋体" w:hAnsi="宋体" w:eastAsia="宋体" w:cs="宋体"/>
                <w:i w:val="0"/>
                <w:iCs w:val="0"/>
                <w:color w:val="000000"/>
                <w:sz w:val="20"/>
                <w:szCs w:val="20"/>
                <w:u w:val="none"/>
              </w:rPr>
            </w:pPr>
          </w:p>
        </w:tc>
        <w:tc>
          <w:tcPr>
            <w:tcW w:w="2238" w:type="dxa"/>
            <w:gridSpan w:val="2"/>
            <w:shd w:val="clear" w:color="auto" w:fill="auto"/>
            <w:vAlign w:val="center"/>
          </w:tcPr>
          <w:p w14:paraId="34FF09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89" w:type="dxa"/>
            <w:shd w:val="clear" w:color="auto" w:fill="auto"/>
            <w:vAlign w:val="center"/>
          </w:tcPr>
          <w:p w14:paraId="6F7DBE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 </w:t>
            </w:r>
          </w:p>
        </w:tc>
        <w:tc>
          <w:tcPr>
            <w:tcW w:w="1634" w:type="dxa"/>
            <w:gridSpan w:val="2"/>
            <w:shd w:val="clear" w:color="auto" w:fill="auto"/>
            <w:vAlign w:val="center"/>
          </w:tcPr>
          <w:p w14:paraId="2D9C74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 </w:t>
            </w:r>
          </w:p>
        </w:tc>
        <w:tc>
          <w:tcPr>
            <w:tcW w:w="2022" w:type="dxa"/>
            <w:gridSpan w:val="2"/>
            <w:shd w:val="clear" w:color="auto" w:fill="auto"/>
            <w:vAlign w:val="center"/>
          </w:tcPr>
          <w:p w14:paraId="47DBD1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 </w:t>
            </w:r>
          </w:p>
        </w:tc>
        <w:tc>
          <w:tcPr>
            <w:tcW w:w="2207" w:type="dxa"/>
            <w:gridSpan w:val="2"/>
            <w:shd w:val="clear" w:color="auto" w:fill="auto"/>
            <w:vAlign w:val="center"/>
          </w:tcPr>
          <w:p w14:paraId="425DE4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3" w:type="dxa"/>
            <w:gridSpan w:val="2"/>
            <w:shd w:val="clear" w:color="auto" w:fill="auto"/>
            <w:vAlign w:val="center"/>
          </w:tcPr>
          <w:p w14:paraId="5A3CE1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5" w:type="dxa"/>
            <w:shd w:val="clear" w:color="auto" w:fill="auto"/>
            <w:vAlign w:val="center"/>
          </w:tcPr>
          <w:p w14:paraId="2A6DAD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CC0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1416" w:type="dxa"/>
            <w:gridSpan w:val="2"/>
            <w:vMerge w:val="continue"/>
            <w:shd w:val="clear" w:color="auto" w:fill="auto"/>
            <w:vAlign w:val="center"/>
          </w:tcPr>
          <w:p w14:paraId="12D92151">
            <w:pPr>
              <w:jc w:val="center"/>
              <w:rPr>
                <w:rFonts w:hint="eastAsia" w:ascii="宋体" w:hAnsi="宋体" w:eastAsia="宋体" w:cs="宋体"/>
                <w:i w:val="0"/>
                <w:iCs w:val="0"/>
                <w:color w:val="000000"/>
                <w:sz w:val="20"/>
                <w:szCs w:val="20"/>
                <w:u w:val="none"/>
              </w:rPr>
            </w:pPr>
          </w:p>
        </w:tc>
        <w:tc>
          <w:tcPr>
            <w:tcW w:w="2238" w:type="dxa"/>
            <w:gridSpan w:val="2"/>
            <w:shd w:val="clear" w:color="auto" w:fill="auto"/>
            <w:vAlign w:val="center"/>
          </w:tcPr>
          <w:p w14:paraId="747E0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89" w:type="dxa"/>
            <w:shd w:val="clear" w:color="auto" w:fill="auto"/>
            <w:vAlign w:val="center"/>
          </w:tcPr>
          <w:p w14:paraId="321057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34" w:type="dxa"/>
            <w:gridSpan w:val="2"/>
            <w:shd w:val="clear" w:color="auto" w:fill="auto"/>
            <w:vAlign w:val="center"/>
          </w:tcPr>
          <w:p w14:paraId="620FB1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22" w:type="dxa"/>
            <w:gridSpan w:val="2"/>
            <w:shd w:val="clear" w:color="auto" w:fill="auto"/>
            <w:vAlign w:val="center"/>
          </w:tcPr>
          <w:p w14:paraId="074072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07" w:type="dxa"/>
            <w:gridSpan w:val="2"/>
            <w:shd w:val="clear" w:color="auto" w:fill="auto"/>
            <w:vAlign w:val="center"/>
          </w:tcPr>
          <w:p w14:paraId="5FE852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33" w:type="dxa"/>
            <w:gridSpan w:val="2"/>
            <w:shd w:val="clear" w:color="auto" w:fill="auto"/>
            <w:vAlign w:val="center"/>
          </w:tcPr>
          <w:p w14:paraId="709976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5" w:type="dxa"/>
            <w:shd w:val="clear" w:color="auto" w:fill="auto"/>
            <w:vAlign w:val="center"/>
          </w:tcPr>
          <w:p w14:paraId="035A9F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3F5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708" w:type="dxa"/>
            <w:vMerge w:val="restart"/>
            <w:shd w:val="clear" w:color="auto" w:fill="auto"/>
            <w:vAlign w:val="center"/>
          </w:tcPr>
          <w:p w14:paraId="4B1DA6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91" w:type="dxa"/>
            <w:gridSpan w:val="8"/>
            <w:shd w:val="clear" w:color="auto" w:fill="auto"/>
            <w:vAlign w:val="center"/>
          </w:tcPr>
          <w:p w14:paraId="514F50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75" w:type="dxa"/>
            <w:gridSpan w:val="5"/>
            <w:shd w:val="clear" w:color="auto" w:fill="auto"/>
            <w:vAlign w:val="center"/>
          </w:tcPr>
          <w:p w14:paraId="7522CA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4739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708" w:type="dxa"/>
            <w:vMerge w:val="continue"/>
            <w:shd w:val="clear" w:color="auto" w:fill="auto"/>
            <w:vAlign w:val="center"/>
          </w:tcPr>
          <w:p w14:paraId="7AAE64BF">
            <w:pPr>
              <w:jc w:val="center"/>
              <w:rPr>
                <w:rFonts w:hint="eastAsia" w:ascii="宋体" w:hAnsi="宋体" w:eastAsia="宋体" w:cs="宋体"/>
                <w:i w:val="0"/>
                <w:iCs w:val="0"/>
                <w:color w:val="000000"/>
                <w:sz w:val="20"/>
                <w:szCs w:val="20"/>
                <w:u w:val="none"/>
              </w:rPr>
            </w:pPr>
          </w:p>
        </w:tc>
        <w:tc>
          <w:tcPr>
            <w:tcW w:w="7791" w:type="dxa"/>
            <w:gridSpan w:val="8"/>
            <w:shd w:val="clear" w:color="auto" w:fill="auto"/>
            <w:vAlign w:val="center"/>
          </w:tcPr>
          <w:p w14:paraId="623E20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运街镇棉花产区水利灌溉基础设施建设项目绩效总体目标为：新建渠道5.258km配套新建渠系建筑物11座，新建3座沉砂池及配套首部设施，新建2台160kva变压器等。截止2022年12月31日，阜康市九运街镇棉花产区水利灌溉基础设施建设项目实际支付资金470万元，项目资金主要用于工程款结算等方面。</w:t>
            </w:r>
          </w:p>
        </w:tc>
        <w:tc>
          <w:tcPr>
            <w:tcW w:w="5675" w:type="dxa"/>
            <w:gridSpan w:val="5"/>
            <w:shd w:val="clear" w:color="auto" w:fill="auto"/>
            <w:vAlign w:val="center"/>
          </w:tcPr>
          <w:p w14:paraId="0822CD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已完工，涉及村庄为黄土梁村，收益群众500多人，工程开工时间为2022年7月，于2022年10月完工，此次支付170万元，新建渠道5.258km配套新建渠系建筑物11座，新建3座沉砂池及配套首部设施，新建2台160kva变压器等，此项目提高了农作物的产量和质量，保障乐农田水源灌溉，提高了农民的收入水平。</w:t>
            </w:r>
          </w:p>
        </w:tc>
      </w:tr>
      <w:tr w14:paraId="2D88F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08" w:type="dxa"/>
            <w:shd w:val="clear" w:color="auto" w:fill="auto"/>
            <w:vAlign w:val="center"/>
          </w:tcPr>
          <w:p w14:paraId="18D6F83A">
            <w:pPr>
              <w:jc w:val="center"/>
              <w:rPr>
                <w:rFonts w:hint="eastAsia" w:ascii="宋体" w:hAnsi="宋体" w:eastAsia="宋体" w:cs="宋体"/>
                <w:i w:val="0"/>
                <w:iCs w:val="0"/>
                <w:color w:val="000000"/>
                <w:sz w:val="20"/>
                <w:szCs w:val="20"/>
                <w:u w:val="none"/>
              </w:rPr>
            </w:pPr>
          </w:p>
        </w:tc>
        <w:tc>
          <w:tcPr>
            <w:tcW w:w="708" w:type="dxa"/>
            <w:shd w:val="clear" w:color="auto" w:fill="auto"/>
            <w:vAlign w:val="center"/>
          </w:tcPr>
          <w:p w14:paraId="0A30E1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20" w:type="dxa"/>
            <w:shd w:val="clear" w:color="auto" w:fill="auto"/>
            <w:vAlign w:val="center"/>
          </w:tcPr>
          <w:p w14:paraId="64C512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18" w:type="dxa"/>
            <w:shd w:val="clear" w:color="auto" w:fill="auto"/>
            <w:vAlign w:val="center"/>
          </w:tcPr>
          <w:p w14:paraId="37EF98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89" w:type="dxa"/>
            <w:shd w:val="clear" w:color="auto" w:fill="auto"/>
            <w:vAlign w:val="center"/>
          </w:tcPr>
          <w:p w14:paraId="5FA321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772" w:type="dxa"/>
            <w:shd w:val="clear" w:color="auto" w:fill="auto"/>
            <w:vAlign w:val="center"/>
          </w:tcPr>
          <w:p w14:paraId="43CF17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62" w:type="dxa"/>
            <w:shd w:val="clear" w:color="auto" w:fill="auto"/>
            <w:vAlign w:val="center"/>
          </w:tcPr>
          <w:p w14:paraId="38C61D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11" w:type="dxa"/>
            <w:shd w:val="clear" w:color="auto" w:fill="auto"/>
            <w:vAlign w:val="center"/>
          </w:tcPr>
          <w:p w14:paraId="2026B0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11" w:type="dxa"/>
            <w:shd w:val="clear" w:color="auto" w:fill="auto"/>
            <w:vAlign w:val="center"/>
          </w:tcPr>
          <w:p w14:paraId="0532F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27" w:type="dxa"/>
            <w:shd w:val="clear" w:color="auto" w:fill="auto"/>
            <w:vAlign w:val="center"/>
          </w:tcPr>
          <w:p w14:paraId="28145A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80" w:type="dxa"/>
            <w:shd w:val="clear" w:color="auto" w:fill="auto"/>
            <w:vAlign w:val="center"/>
          </w:tcPr>
          <w:p w14:paraId="5161A5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94" w:type="dxa"/>
            <w:shd w:val="clear" w:color="auto" w:fill="auto"/>
            <w:vAlign w:val="center"/>
          </w:tcPr>
          <w:p w14:paraId="3B7148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239" w:type="dxa"/>
            <w:shd w:val="clear" w:color="auto" w:fill="auto"/>
            <w:vAlign w:val="center"/>
          </w:tcPr>
          <w:p w14:paraId="585E3F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35" w:type="dxa"/>
            <w:shd w:val="clear" w:color="auto" w:fill="auto"/>
            <w:vAlign w:val="center"/>
          </w:tcPr>
          <w:p w14:paraId="3CFCCC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6620D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08" w:type="dxa"/>
            <w:vMerge w:val="restart"/>
            <w:shd w:val="clear" w:color="auto" w:fill="auto"/>
            <w:vAlign w:val="center"/>
          </w:tcPr>
          <w:p w14:paraId="016EBE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08" w:type="dxa"/>
            <w:vMerge w:val="restart"/>
            <w:shd w:val="clear" w:color="auto" w:fill="auto"/>
            <w:vAlign w:val="center"/>
          </w:tcPr>
          <w:p w14:paraId="0A04D4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20" w:type="dxa"/>
            <w:vMerge w:val="restart"/>
            <w:shd w:val="clear" w:color="auto" w:fill="auto"/>
            <w:vAlign w:val="center"/>
          </w:tcPr>
          <w:p w14:paraId="494898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18" w:type="dxa"/>
            <w:shd w:val="clear" w:color="auto" w:fill="auto"/>
            <w:vAlign w:val="center"/>
          </w:tcPr>
          <w:p w14:paraId="22AE5E76">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项目受益群众</w:t>
            </w:r>
          </w:p>
        </w:tc>
        <w:tc>
          <w:tcPr>
            <w:tcW w:w="1189" w:type="dxa"/>
            <w:shd w:val="clear" w:color="auto" w:fill="auto"/>
            <w:vAlign w:val="center"/>
          </w:tcPr>
          <w:p w14:paraId="14B38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≥500人</w:t>
            </w:r>
          </w:p>
        </w:tc>
        <w:tc>
          <w:tcPr>
            <w:tcW w:w="772" w:type="dxa"/>
            <w:shd w:val="clear" w:color="auto" w:fill="auto"/>
            <w:vAlign w:val="center"/>
          </w:tcPr>
          <w:p w14:paraId="4E1121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2" w:type="dxa"/>
            <w:shd w:val="clear" w:color="auto" w:fill="auto"/>
            <w:vAlign w:val="center"/>
          </w:tcPr>
          <w:p w14:paraId="63954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500人</w:t>
            </w:r>
          </w:p>
        </w:tc>
        <w:tc>
          <w:tcPr>
            <w:tcW w:w="1011" w:type="dxa"/>
            <w:shd w:val="clear" w:color="auto" w:fill="auto"/>
            <w:vAlign w:val="center"/>
          </w:tcPr>
          <w:p w14:paraId="3F9A4F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11" w:type="dxa"/>
            <w:shd w:val="clear" w:color="auto" w:fill="auto"/>
            <w:vAlign w:val="center"/>
          </w:tcPr>
          <w:p w14:paraId="7280A2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27" w:type="dxa"/>
            <w:shd w:val="clear" w:color="auto" w:fill="auto"/>
            <w:vAlign w:val="center"/>
          </w:tcPr>
          <w:p w14:paraId="2006AF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正式工作资料</w:t>
            </w:r>
          </w:p>
        </w:tc>
        <w:tc>
          <w:tcPr>
            <w:tcW w:w="1080" w:type="dxa"/>
            <w:shd w:val="clear" w:color="auto" w:fill="auto"/>
            <w:vAlign w:val="center"/>
          </w:tcPr>
          <w:p w14:paraId="1882F3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500人</w:t>
            </w:r>
          </w:p>
        </w:tc>
        <w:tc>
          <w:tcPr>
            <w:tcW w:w="1194" w:type="dxa"/>
            <w:shd w:val="clear" w:color="auto" w:fill="auto"/>
            <w:vAlign w:val="center"/>
          </w:tcPr>
          <w:p w14:paraId="15EB85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293893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5" w:type="dxa"/>
            <w:shd w:val="clear" w:color="auto" w:fill="auto"/>
            <w:vAlign w:val="center"/>
          </w:tcPr>
          <w:p w14:paraId="756087B1">
            <w:pPr>
              <w:jc w:val="center"/>
              <w:rPr>
                <w:rFonts w:hint="eastAsia" w:ascii="宋体" w:hAnsi="宋体" w:eastAsia="宋体" w:cs="宋体"/>
                <w:i w:val="0"/>
                <w:iCs w:val="0"/>
                <w:color w:val="000000"/>
                <w:sz w:val="20"/>
                <w:szCs w:val="20"/>
                <w:u w:val="none"/>
              </w:rPr>
            </w:pPr>
          </w:p>
        </w:tc>
      </w:tr>
      <w:tr w14:paraId="3799E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708" w:type="dxa"/>
            <w:vMerge w:val="continue"/>
            <w:shd w:val="clear" w:color="auto" w:fill="auto"/>
            <w:vAlign w:val="center"/>
          </w:tcPr>
          <w:p w14:paraId="5A687014">
            <w:pPr>
              <w:jc w:val="center"/>
              <w:rPr>
                <w:rFonts w:hint="eastAsia" w:ascii="宋体" w:hAnsi="宋体" w:eastAsia="宋体" w:cs="宋体"/>
                <w:i w:val="0"/>
                <w:iCs w:val="0"/>
                <w:color w:val="000000"/>
                <w:sz w:val="20"/>
                <w:szCs w:val="20"/>
                <w:u w:val="none"/>
              </w:rPr>
            </w:pPr>
          </w:p>
        </w:tc>
        <w:tc>
          <w:tcPr>
            <w:tcW w:w="708" w:type="dxa"/>
            <w:vMerge w:val="continue"/>
            <w:shd w:val="clear" w:color="auto" w:fill="auto"/>
            <w:vAlign w:val="center"/>
          </w:tcPr>
          <w:p w14:paraId="00606B05">
            <w:pPr>
              <w:jc w:val="center"/>
              <w:rPr>
                <w:rFonts w:hint="eastAsia" w:ascii="宋体" w:hAnsi="宋体" w:eastAsia="宋体" w:cs="宋体"/>
                <w:i w:val="0"/>
                <w:iCs w:val="0"/>
                <w:color w:val="000000"/>
                <w:sz w:val="20"/>
                <w:szCs w:val="20"/>
                <w:u w:val="none"/>
              </w:rPr>
            </w:pPr>
          </w:p>
        </w:tc>
        <w:tc>
          <w:tcPr>
            <w:tcW w:w="920" w:type="dxa"/>
            <w:vMerge w:val="continue"/>
            <w:shd w:val="clear" w:color="auto" w:fill="auto"/>
            <w:vAlign w:val="center"/>
          </w:tcPr>
          <w:p w14:paraId="7B0D0863">
            <w:pPr>
              <w:jc w:val="center"/>
              <w:rPr>
                <w:rFonts w:hint="eastAsia" w:ascii="宋体" w:hAnsi="宋体" w:eastAsia="宋体" w:cs="宋体"/>
                <w:i w:val="0"/>
                <w:iCs w:val="0"/>
                <w:color w:val="000000"/>
                <w:sz w:val="20"/>
                <w:szCs w:val="20"/>
                <w:u w:val="none"/>
              </w:rPr>
            </w:pPr>
          </w:p>
        </w:tc>
        <w:tc>
          <w:tcPr>
            <w:tcW w:w="1318" w:type="dxa"/>
            <w:shd w:val="clear" w:color="auto" w:fill="auto"/>
            <w:vAlign w:val="center"/>
          </w:tcPr>
          <w:p w14:paraId="421C6B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建设村庄数</w:t>
            </w:r>
          </w:p>
        </w:tc>
        <w:tc>
          <w:tcPr>
            <w:tcW w:w="1189" w:type="dxa"/>
            <w:shd w:val="clear" w:color="auto" w:fill="auto"/>
            <w:vAlign w:val="center"/>
          </w:tcPr>
          <w:p w14:paraId="531E7D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772" w:type="dxa"/>
            <w:shd w:val="clear" w:color="auto" w:fill="auto"/>
            <w:vAlign w:val="center"/>
          </w:tcPr>
          <w:p w14:paraId="0D3F77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2" w:type="dxa"/>
            <w:shd w:val="clear" w:color="auto" w:fill="auto"/>
            <w:vAlign w:val="center"/>
          </w:tcPr>
          <w:p w14:paraId="22399E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w:t>
            </w:r>
          </w:p>
        </w:tc>
        <w:tc>
          <w:tcPr>
            <w:tcW w:w="1011" w:type="dxa"/>
            <w:shd w:val="clear" w:color="auto" w:fill="auto"/>
            <w:vAlign w:val="center"/>
          </w:tcPr>
          <w:p w14:paraId="3BDED0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1" w:type="dxa"/>
            <w:shd w:val="clear" w:color="auto" w:fill="auto"/>
            <w:vAlign w:val="center"/>
          </w:tcPr>
          <w:p w14:paraId="4FDBF4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27" w:type="dxa"/>
            <w:shd w:val="clear" w:color="auto" w:fill="auto"/>
            <w:vAlign w:val="center"/>
          </w:tcPr>
          <w:p w14:paraId="7479E2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080" w:type="dxa"/>
            <w:shd w:val="clear" w:color="auto" w:fill="auto"/>
            <w:vAlign w:val="center"/>
          </w:tcPr>
          <w:p w14:paraId="37C29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w:t>
            </w:r>
          </w:p>
        </w:tc>
        <w:tc>
          <w:tcPr>
            <w:tcW w:w="1194" w:type="dxa"/>
            <w:shd w:val="clear" w:color="auto" w:fill="auto"/>
            <w:vAlign w:val="center"/>
          </w:tcPr>
          <w:p w14:paraId="4DEE4D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63FB35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shd w:val="clear" w:color="auto" w:fill="auto"/>
            <w:vAlign w:val="center"/>
          </w:tcPr>
          <w:p w14:paraId="50E4D443">
            <w:pPr>
              <w:jc w:val="center"/>
              <w:rPr>
                <w:rFonts w:hint="eastAsia" w:ascii="宋体" w:hAnsi="宋体" w:eastAsia="宋体" w:cs="宋体"/>
                <w:i w:val="0"/>
                <w:iCs w:val="0"/>
                <w:color w:val="000000"/>
                <w:sz w:val="20"/>
                <w:szCs w:val="20"/>
                <w:u w:val="none"/>
              </w:rPr>
            </w:pPr>
          </w:p>
        </w:tc>
      </w:tr>
      <w:tr w14:paraId="63D3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708" w:type="dxa"/>
            <w:vMerge w:val="continue"/>
            <w:shd w:val="clear" w:color="auto" w:fill="auto"/>
            <w:vAlign w:val="center"/>
          </w:tcPr>
          <w:p w14:paraId="3655F94A">
            <w:pPr>
              <w:jc w:val="center"/>
              <w:rPr>
                <w:rFonts w:hint="eastAsia" w:ascii="宋体" w:hAnsi="宋体" w:eastAsia="宋体" w:cs="宋体"/>
                <w:i w:val="0"/>
                <w:iCs w:val="0"/>
                <w:color w:val="000000"/>
                <w:sz w:val="20"/>
                <w:szCs w:val="20"/>
                <w:u w:val="none"/>
              </w:rPr>
            </w:pPr>
          </w:p>
        </w:tc>
        <w:tc>
          <w:tcPr>
            <w:tcW w:w="708" w:type="dxa"/>
            <w:vMerge w:val="continue"/>
            <w:shd w:val="clear" w:color="auto" w:fill="auto"/>
            <w:vAlign w:val="center"/>
          </w:tcPr>
          <w:p w14:paraId="498D6D3F">
            <w:pPr>
              <w:jc w:val="center"/>
              <w:rPr>
                <w:rFonts w:hint="eastAsia" w:ascii="宋体" w:hAnsi="宋体" w:eastAsia="宋体" w:cs="宋体"/>
                <w:i w:val="0"/>
                <w:iCs w:val="0"/>
                <w:color w:val="000000"/>
                <w:sz w:val="20"/>
                <w:szCs w:val="20"/>
                <w:u w:val="none"/>
              </w:rPr>
            </w:pPr>
          </w:p>
        </w:tc>
        <w:tc>
          <w:tcPr>
            <w:tcW w:w="920" w:type="dxa"/>
            <w:shd w:val="clear" w:color="auto" w:fill="auto"/>
            <w:vAlign w:val="center"/>
          </w:tcPr>
          <w:p w14:paraId="75E35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18" w:type="dxa"/>
            <w:shd w:val="clear" w:color="auto" w:fill="auto"/>
            <w:vAlign w:val="center"/>
          </w:tcPr>
          <w:p w14:paraId="0BB38C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正常运转率</w:t>
            </w:r>
          </w:p>
        </w:tc>
        <w:tc>
          <w:tcPr>
            <w:tcW w:w="1189" w:type="dxa"/>
            <w:shd w:val="clear" w:color="auto" w:fill="auto"/>
            <w:vAlign w:val="center"/>
          </w:tcPr>
          <w:p w14:paraId="372CCC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772" w:type="dxa"/>
            <w:shd w:val="clear" w:color="auto" w:fill="auto"/>
            <w:vAlign w:val="center"/>
          </w:tcPr>
          <w:p w14:paraId="46A22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2" w:type="dxa"/>
            <w:shd w:val="clear" w:color="auto" w:fill="auto"/>
            <w:vAlign w:val="center"/>
          </w:tcPr>
          <w:p w14:paraId="081429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1" w:type="dxa"/>
            <w:shd w:val="clear" w:color="auto" w:fill="auto"/>
            <w:vAlign w:val="center"/>
          </w:tcPr>
          <w:p w14:paraId="3B66C1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1" w:type="dxa"/>
            <w:shd w:val="clear" w:color="auto" w:fill="auto"/>
            <w:vAlign w:val="center"/>
          </w:tcPr>
          <w:p w14:paraId="7BE8E2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27" w:type="dxa"/>
            <w:shd w:val="clear" w:color="auto" w:fill="auto"/>
            <w:vAlign w:val="center"/>
          </w:tcPr>
          <w:p w14:paraId="0BD6EF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080" w:type="dxa"/>
            <w:shd w:val="clear" w:color="auto" w:fill="auto"/>
            <w:vAlign w:val="center"/>
          </w:tcPr>
          <w:p w14:paraId="2394CB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4" w:type="dxa"/>
            <w:shd w:val="clear" w:color="auto" w:fill="auto"/>
            <w:vAlign w:val="center"/>
          </w:tcPr>
          <w:p w14:paraId="4CB28B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7250EB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5" w:type="dxa"/>
            <w:shd w:val="clear" w:color="auto" w:fill="auto"/>
            <w:vAlign w:val="center"/>
          </w:tcPr>
          <w:p w14:paraId="149AD9EC">
            <w:pPr>
              <w:jc w:val="center"/>
              <w:rPr>
                <w:rFonts w:hint="eastAsia" w:ascii="宋体" w:hAnsi="宋体" w:eastAsia="宋体" w:cs="宋体"/>
                <w:i w:val="0"/>
                <w:iCs w:val="0"/>
                <w:color w:val="000000"/>
                <w:sz w:val="20"/>
                <w:szCs w:val="20"/>
                <w:u w:val="none"/>
              </w:rPr>
            </w:pPr>
          </w:p>
        </w:tc>
      </w:tr>
      <w:tr w14:paraId="1F81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708" w:type="dxa"/>
            <w:vMerge w:val="continue"/>
            <w:shd w:val="clear" w:color="auto" w:fill="auto"/>
            <w:vAlign w:val="center"/>
          </w:tcPr>
          <w:p w14:paraId="5D82726B">
            <w:pPr>
              <w:jc w:val="center"/>
              <w:rPr>
                <w:rFonts w:hint="eastAsia" w:ascii="宋体" w:hAnsi="宋体" w:eastAsia="宋体" w:cs="宋体"/>
                <w:i w:val="0"/>
                <w:iCs w:val="0"/>
                <w:color w:val="000000"/>
                <w:sz w:val="20"/>
                <w:szCs w:val="20"/>
                <w:u w:val="none"/>
              </w:rPr>
            </w:pPr>
          </w:p>
        </w:tc>
        <w:tc>
          <w:tcPr>
            <w:tcW w:w="708" w:type="dxa"/>
            <w:vMerge w:val="continue"/>
            <w:shd w:val="clear" w:color="auto" w:fill="auto"/>
            <w:vAlign w:val="center"/>
          </w:tcPr>
          <w:p w14:paraId="3C955A8D">
            <w:pPr>
              <w:jc w:val="center"/>
              <w:rPr>
                <w:rFonts w:hint="eastAsia" w:ascii="宋体" w:hAnsi="宋体" w:eastAsia="宋体" w:cs="宋体"/>
                <w:i w:val="0"/>
                <w:iCs w:val="0"/>
                <w:color w:val="000000"/>
                <w:sz w:val="20"/>
                <w:szCs w:val="20"/>
                <w:u w:val="none"/>
              </w:rPr>
            </w:pPr>
          </w:p>
        </w:tc>
        <w:tc>
          <w:tcPr>
            <w:tcW w:w="920" w:type="dxa"/>
            <w:vMerge w:val="restart"/>
            <w:shd w:val="clear" w:color="auto" w:fill="auto"/>
            <w:vAlign w:val="center"/>
          </w:tcPr>
          <w:p w14:paraId="2A5E4F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18" w:type="dxa"/>
            <w:shd w:val="clear" w:color="auto" w:fill="auto"/>
            <w:vAlign w:val="center"/>
          </w:tcPr>
          <w:p w14:paraId="36323B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工程开工时间</w:t>
            </w:r>
          </w:p>
        </w:tc>
        <w:tc>
          <w:tcPr>
            <w:tcW w:w="1189" w:type="dxa"/>
            <w:shd w:val="clear" w:color="auto" w:fill="auto"/>
            <w:vAlign w:val="center"/>
          </w:tcPr>
          <w:p w14:paraId="5E364F81">
            <w:pPr>
              <w:keepNext w:val="0"/>
              <w:keepLines w:val="0"/>
              <w:widowControl/>
              <w:suppressLineNumbers w:val="0"/>
              <w:ind w:firstLine="480"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2022年7月</w:t>
            </w:r>
          </w:p>
        </w:tc>
        <w:tc>
          <w:tcPr>
            <w:tcW w:w="772" w:type="dxa"/>
            <w:shd w:val="clear" w:color="auto" w:fill="auto"/>
            <w:vAlign w:val="center"/>
          </w:tcPr>
          <w:p w14:paraId="65977D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2" w:type="dxa"/>
            <w:shd w:val="clear" w:color="auto" w:fill="auto"/>
            <w:vAlign w:val="center"/>
          </w:tcPr>
          <w:p w14:paraId="5F0AF5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1" w:type="dxa"/>
            <w:shd w:val="clear" w:color="auto" w:fill="auto"/>
            <w:vAlign w:val="center"/>
          </w:tcPr>
          <w:p w14:paraId="61F2AC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1" w:type="dxa"/>
            <w:shd w:val="clear" w:color="auto" w:fill="auto"/>
            <w:vAlign w:val="center"/>
          </w:tcPr>
          <w:p w14:paraId="3394D1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27" w:type="dxa"/>
            <w:shd w:val="clear" w:color="auto" w:fill="auto"/>
            <w:vAlign w:val="center"/>
          </w:tcPr>
          <w:p w14:paraId="665483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080" w:type="dxa"/>
            <w:shd w:val="clear" w:color="auto" w:fill="auto"/>
            <w:vAlign w:val="center"/>
          </w:tcPr>
          <w:p w14:paraId="7F2979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4" w:type="dxa"/>
            <w:shd w:val="clear" w:color="auto" w:fill="auto"/>
            <w:vAlign w:val="center"/>
          </w:tcPr>
          <w:p w14:paraId="1B12D5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29F429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shd w:val="clear" w:color="auto" w:fill="auto"/>
            <w:vAlign w:val="center"/>
          </w:tcPr>
          <w:p w14:paraId="2DB83FBB">
            <w:pPr>
              <w:jc w:val="center"/>
              <w:rPr>
                <w:rFonts w:hint="eastAsia" w:ascii="宋体" w:hAnsi="宋体" w:eastAsia="宋体" w:cs="宋体"/>
                <w:i w:val="0"/>
                <w:iCs w:val="0"/>
                <w:color w:val="000000"/>
                <w:sz w:val="20"/>
                <w:szCs w:val="20"/>
                <w:u w:val="none"/>
              </w:rPr>
            </w:pPr>
          </w:p>
        </w:tc>
      </w:tr>
      <w:tr w14:paraId="382C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708" w:type="dxa"/>
            <w:vMerge w:val="continue"/>
            <w:shd w:val="clear" w:color="auto" w:fill="auto"/>
            <w:vAlign w:val="center"/>
          </w:tcPr>
          <w:p w14:paraId="13D35FE5">
            <w:pPr>
              <w:jc w:val="center"/>
              <w:rPr>
                <w:rFonts w:hint="eastAsia" w:ascii="宋体" w:hAnsi="宋体" w:eastAsia="宋体" w:cs="宋体"/>
                <w:i w:val="0"/>
                <w:iCs w:val="0"/>
                <w:color w:val="000000"/>
                <w:sz w:val="20"/>
                <w:szCs w:val="20"/>
                <w:u w:val="none"/>
              </w:rPr>
            </w:pPr>
          </w:p>
        </w:tc>
        <w:tc>
          <w:tcPr>
            <w:tcW w:w="708" w:type="dxa"/>
            <w:vMerge w:val="continue"/>
            <w:shd w:val="clear" w:color="auto" w:fill="auto"/>
            <w:vAlign w:val="center"/>
          </w:tcPr>
          <w:p w14:paraId="65BA3933">
            <w:pPr>
              <w:jc w:val="center"/>
              <w:rPr>
                <w:rFonts w:hint="eastAsia" w:ascii="宋体" w:hAnsi="宋体" w:eastAsia="宋体" w:cs="宋体"/>
                <w:i w:val="0"/>
                <w:iCs w:val="0"/>
                <w:color w:val="000000"/>
                <w:sz w:val="20"/>
                <w:szCs w:val="20"/>
                <w:u w:val="none"/>
              </w:rPr>
            </w:pPr>
          </w:p>
        </w:tc>
        <w:tc>
          <w:tcPr>
            <w:tcW w:w="920" w:type="dxa"/>
            <w:vMerge w:val="continue"/>
            <w:shd w:val="clear" w:color="auto" w:fill="auto"/>
            <w:vAlign w:val="center"/>
          </w:tcPr>
          <w:p w14:paraId="7FF70393">
            <w:pPr>
              <w:jc w:val="center"/>
              <w:rPr>
                <w:rFonts w:hint="eastAsia" w:ascii="宋体" w:hAnsi="宋体" w:eastAsia="宋体" w:cs="宋体"/>
                <w:i w:val="0"/>
                <w:iCs w:val="0"/>
                <w:color w:val="000000"/>
                <w:sz w:val="20"/>
                <w:szCs w:val="20"/>
                <w:u w:val="none"/>
              </w:rPr>
            </w:pPr>
          </w:p>
        </w:tc>
        <w:tc>
          <w:tcPr>
            <w:tcW w:w="1318" w:type="dxa"/>
            <w:shd w:val="clear" w:color="auto" w:fill="auto"/>
            <w:vAlign w:val="center"/>
          </w:tcPr>
          <w:p w14:paraId="530615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工程完工时间</w:t>
            </w:r>
          </w:p>
        </w:tc>
        <w:tc>
          <w:tcPr>
            <w:tcW w:w="1189" w:type="dxa"/>
            <w:shd w:val="clear" w:color="auto" w:fill="auto"/>
            <w:vAlign w:val="center"/>
          </w:tcPr>
          <w:p w14:paraId="7216BB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2022年10月</w:t>
            </w:r>
          </w:p>
        </w:tc>
        <w:tc>
          <w:tcPr>
            <w:tcW w:w="772" w:type="dxa"/>
            <w:shd w:val="clear" w:color="auto" w:fill="auto"/>
            <w:vAlign w:val="center"/>
          </w:tcPr>
          <w:p w14:paraId="40E60F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62" w:type="dxa"/>
            <w:shd w:val="clear" w:color="auto" w:fill="auto"/>
            <w:vAlign w:val="center"/>
          </w:tcPr>
          <w:p w14:paraId="3BC92A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11" w:type="dxa"/>
            <w:shd w:val="clear" w:color="auto" w:fill="auto"/>
            <w:vAlign w:val="center"/>
          </w:tcPr>
          <w:p w14:paraId="4F616A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1" w:type="dxa"/>
            <w:shd w:val="clear" w:color="auto" w:fill="auto"/>
            <w:vAlign w:val="center"/>
          </w:tcPr>
          <w:p w14:paraId="2C565F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27" w:type="dxa"/>
            <w:shd w:val="clear" w:color="auto" w:fill="auto"/>
            <w:vAlign w:val="center"/>
          </w:tcPr>
          <w:p w14:paraId="423B92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080" w:type="dxa"/>
            <w:shd w:val="clear" w:color="auto" w:fill="auto"/>
            <w:vAlign w:val="center"/>
          </w:tcPr>
          <w:p w14:paraId="0F65CA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4" w:type="dxa"/>
            <w:shd w:val="clear" w:color="auto" w:fill="auto"/>
            <w:vAlign w:val="center"/>
          </w:tcPr>
          <w:p w14:paraId="4AF863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19F465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shd w:val="clear" w:color="auto" w:fill="auto"/>
            <w:vAlign w:val="center"/>
          </w:tcPr>
          <w:p w14:paraId="1B4FCA63">
            <w:pPr>
              <w:jc w:val="center"/>
              <w:rPr>
                <w:rFonts w:hint="eastAsia" w:ascii="宋体" w:hAnsi="宋体" w:eastAsia="宋体" w:cs="宋体"/>
                <w:i w:val="0"/>
                <w:iCs w:val="0"/>
                <w:color w:val="000000"/>
                <w:sz w:val="20"/>
                <w:szCs w:val="20"/>
                <w:u w:val="none"/>
              </w:rPr>
            </w:pPr>
          </w:p>
        </w:tc>
      </w:tr>
      <w:tr w14:paraId="2A24B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08" w:type="dxa"/>
            <w:vMerge w:val="continue"/>
            <w:shd w:val="clear" w:color="auto" w:fill="auto"/>
            <w:vAlign w:val="center"/>
          </w:tcPr>
          <w:p w14:paraId="239110BB">
            <w:pPr>
              <w:jc w:val="center"/>
              <w:rPr>
                <w:rFonts w:hint="eastAsia" w:ascii="宋体" w:hAnsi="宋体" w:eastAsia="宋体" w:cs="宋体"/>
                <w:i w:val="0"/>
                <w:iCs w:val="0"/>
                <w:color w:val="000000"/>
                <w:sz w:val="20"/>
                <w:szCs w:val="20"/>
                <w:u w:val="none"/>
              </w:rPr>
            </w:pPr>
          </w:p>
        </w:tc>
        <w:tc>
          <w:tcPr>
            <w:tcW w:w="708" w:type="dxa"/>
            <w:shd w:val="clear" w:color="auto" w:fill="auto"/>
            <w:vAlign w:val="center"/>
          </w:tcPr>
          <w:p w14:paraId="715105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20" w:type="dxa"/>
            <w:shd w:val="clear" w:color="auto" w:fill="auto"/>
            <w:vAlign w:val="center"/>
          </w:tcPr>
          <w:p w14:paraId="44BF75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18" w:type="dxa"/>
            <w:shd w:val="clear" w:color="auto" w:fill="auto"/>
            <w:vAlign w:val="center"/>
          </w:tcPr>
          <w:p w14:paraId="6EDAEA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九运街镇棉花产区水利灌溉基础设施建设项目（尾款）金额</w:t>
            </w:r>
          </w:p>
        </w:tc>
        <w:tc>
          <w:tcPr>
            <w:tcW w:w="1189" w:type="dxa"/>
            <w:shd w:val="clear" w:color="auto" w:fill="auto"/>
            <w:vAlign w:val="center"/>
          </w:tcPr>
          <w:p w14:paraId="3786C8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170万</w:t>
            </w:r>
          </w:p>
        </w:tc>
        <w:tc>
          <w:tcPr>
            <w:tcW w:w="772" w:type="dxa"/>
            <w:shd w:val="clear" w:color="auto" w:fill="auto"/>
            <w:vAlign w:val="center"/>
          </w:tcPr>
          <w:p w14:paraId="116226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62" w:type="dxa"/>
            <w:shd w:val="clear" w:color="auto" w:fill="auto"/>
            <w:vAlign w:val="center"/>
          </w:tcPr>
          <w:p w14:paraId="204AF3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300万</w:t>
            </w:r>
          </w:p>
        </w:tc>
        <w:tc>
          <w:tcPr>
            <w:tcW w:w="1011" w:type="dxa"/>
            <w:shd w:val="clear" w:color="auto" w:fill="auto"/>
            <w:vAlign w:val="center"/>
          </w:tcPr>
          <w:p w14:paraId="797855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1" w:type="dxa"/>
            <w:shd w:val="clear" w:color="auto" w:fill="auto"/>
            <w:vAlign w:val="center"/>
          </w:tcPr>
          <w:p w14:paraId="6AEF5E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按完成比例赋分</w:t>
            </w:r>
          </w:p>
        </w:tc>
        <w:tc>
          <w:tcPr>
            <w:tcW w:w="1127" w:type="dxa"/>
            <w:shd w:val="clear" w:color="auto" w:fill="auto"/>
            <w:vAlign w:val="center"/>
          </w:tcPr>
          <w:p w14:paraId="66DD9D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080" w:type="dxa"/>
            <w:shd w:val="clear" w:color="auto" w:fill="auto"/>
            <w:vAlign w:val="center"/>
          </w:tcPr>
          <w:p w14:paraId="3E8182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170万元</w:t>
            </w:r>
          </w:p>
        </w:tc>
        <w:tc>
          <w:tcPr>
            <w:tcW w:w="1194" w:type="dxa"/>
            <w:shd w:val="clear" w:color="auto" w:fill="auto"/>
            <w:vAlign w:val="center"/>
          </w:tcPr>
          <w:p w14:paraId="75F82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03ECED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shd w:val="clear" w:color="auto" w:fill="auto"/>
            <w:vAlign w:val="center"/>
          </w:tcPr>
          <w:p w14:paraId="794780A2">
            <w:pPr>
              <w:jc w:val="center"/>
              <w:rPr>
                <w:rFonts w:hint="eastAsia" w:ascii="宋体" w:hAnsi="宋体" w:eastAsia="宋体" w:cs="宋体"/>
                <w:i w:val="0"/>
                <w:iCs w:val="0"/>
                <w:color w:val="000000"/>
                <w:sz w:val="20"/>
                <w:szCs w:val="20"/>
                <w:u w:val="none"/>
              </w:rPr>
            </w:pPr>
          </w:p>
        </w:tc>
      </w:tr>
      <w:tr w14:paraId="6FAD0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708" w:type="dxa"/>
            <w:vMerge w:val="continue"/>
            <w:shd w:val="clear" w:color="auto" w:fill="auto"/>
            <w:vAlign w:val="center"/>
          </w:tcPr>
          <w:p w14:paraId="648C3C5B">
            <w:pPr>
              <w:jc w:val="center"/>
              <w:rPr>
                <w:rFonts w:hint="eastAsia" w:ascii="宋体" w:hAnsi="宋体" w:eastAsia="宋体" w:cs="宋体"/>
                <w:i w:val="0"/>
                <w:iCs w:val="0"/>
                <w:color w:val="000000"/>
                <w:sz w:val="20"/>
                <w:szCs w:val="20"/>
                <w:u w:val="none"/>
              </w:rPr>
            </w:pPr>
          </w:p>
        </w:tc>
        <w:tc>
          <w:tcPr>
            <w:tcW w:w="708" w:type="dxa"/>
            <w:vMerge w:val="restart"/>
            <w:shd w:val="clear" w:color="auto" w:fill="auto"/>
            <w:vAlign w:val="center"/>
          </w:tcPr>
          <w:p w14:paraId="04D8A3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20" w:type="dxa"/>
            <w:shd w:val="clear" w:color="auto" w:fill="auto"/>
            <w:vAlign w:val="center"/>
          </w:tcPr>
          <w:p w14:paraId="02C34B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18" w:type="dxa"/>
            <w:shd w:val="clear" w:color="auto" w:fill="auto"/>
            <w:vAlign w:val="center"/>
          </w:tcPr>
          <w:p w14:paraId="43B898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促进镇区社会和谐、经济发展、民生改善</w:t>
            </w:r>
          </w:p>
        </w:tc>
        <w:tc>
          <w:tcPr>
            <w:tcW w:w="1189" w:type="dxa"/>
            <w:shd w:val="clear" w:color="auto" w:fill="auto"/>
            <w:vAlign w:val="center"/>
          </w:tcPr>
          <w:p w14:paraId="0B1E34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772" w:type="dxa"/>
            <w:shd w:val="clear" w:color="auto" w:fill="auto"/>
            <w:vAlign w:val="center"/>
          </w:tcPr>
          <w:p w14:paraId="2D4259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862" w:type="dxa"/>
            <w:shd w:val="clear" w:color="auto" w:fill="auto"/>
            <w:vAlign w:val="center"/>
          </w:tcPr>
          <w:p w14:paraId="0148E4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1011" w:type="dxa"/>
            <w:shd w:val="clear" w:color="auto" w:fill="auto"/>
            <w:vAlign w:val="center"/>
          </w:tcPr>
          <w:p w14:paraId="18D6F7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11" w:type="dxa"/>
            <w:shd w:val="clear" w:color="auto" w:fill="auto"/>
            <w:vAlign w:val="center"/>
          </w:tcPr>
          <w:p w14:paraId="296CD1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27" w:type="dxa"/>
            <w:shd w:val="clear" w:color="auto" w:fill="auto"/>
            <w:vAlign w:val="center"/>
          </w:tcPr>
          <w:p w14:paraId="0C0F6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80" w:type="dxa"/>
            <w:shd w:val="clear" w:color="auto" w:fill="auto"/>
            <w:vAlign w:val="center"/>
          </w:tcPr>
          <w:p w14:paraId="55F7AB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4" w:type="dxa"/>
            <w:shd w:val="clear" w:color="auto" w:fill="auto"/>
            <w:vAlign w:val="center"/>
          </w:tcPr>
          <w:p w14:paraId="04D450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21C6D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5" w:type="dxa"/>
            <w:shd w:val="clear" w:color="auto" w:fill="auto"/>
            <w:vAlign w:val="center"/>
          </w:tcPr>
          <w:p w14:paraId="1FDB8179">
            <w:pPr>
              <w:jc w:val="center"/>
              <w:rPr>
                <w:rFonts w:hint="eastAsia" w:ascii="宋体" w:hAnsi="宋体" w:eastAsia="宋体" w:cs="宋体"/>
                <w:i w:val="0"/>
                <w:iCs w:val="0"/>
                <w:color w:val="000000"/>
                <w:sz w:val="20"/>
                <w:szCs w:val="20"/>
                <w:u w:val="none"/>
              </w:rPr>
            </w:pPr>
          </w:p>
        </w:tc>
      </w:tr>
      <w:tr w14:paraId="58076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trPr>
        <w:tc>
          <w:tcPr>
            <w:tcW w:w="708" w:type="dxa"/>
            <w:vMerge w:val="continue"/>
            <w:shd w:val="clear" w:color="auto" w:fill="auto"/>
            <w:vAlign w:val="center"/>
          </w:tcPr>
          <w:p w14:paraId="5E38F0A5">
            <w:pPr>
              <w:jc w:val="center"/>
              <w:rPr>
                <w:rFonts w:hint="eastAsia" w:ascii="宋体" w:hAnsi="宋体" w:eastAsia="宋体" w:cs="宋体"/>
                <w:i w:val="0"/>
                <w:iCs w:val="0"/>
                <w:color w:val="000000"/>
                <w:sz w:val="20"/>
                <w:szCs w:val="20"/>
                <w:u w:val="none"/>
              </w:rPr>
            </w:pPr>
          </w:p>
        </w:tc>
        <w:tc>
          <w:tcPr>
            <w:tcW w:w="708" w:type="dxa"/>
            <w:vMerge w:val="continue"/>
            <w:shd w:val="clear" w:color="auto" w:fill="auto"/>
            <w:vAlign w:val="center"/>
          </w:tcPr>
          <w:p w14:paraId="74C2B753">
            <w:pPr>
              <w:jc w:val="center"/>
              <w:rPr>
                <w:rFonts w:hint="eastAsia" w:ascii="宋体" w:hAnsi="宋体" w:eastAsia="宋体" w:cs="宋体"/>
                <w:i w:val="0"/>
                <w:iCs w:val="0"/>
                <w:color w:val="000000"/>
                <w:sz w:val="20"/>
                <w:szCs w:val="20"/>
                <w:u w:val="none"/>
              </w:rPr>
            </w:pPr>
          </w:p>
        </w:tc>
        <w:tc>
          <w:tcPr>
            <w:tcW w:w="920" w:type="dxa"/>
            <w:shd w:val="clear" w:color="auto" w:fill="auto"/>
            <w:vAlign w:val="center"/>
          </w:tcPr>
          <w:p w14:paraId="28ED36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18" w:type="dxa"/>
            <w:shd w:val="clear" w:color="auto" w:fill="auto"/>
            <w:vAlign w:val="center"/>
          </w:tcPr>
          <w:p w14:paraId="257EF3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提高村民生存质量和生活条件</w:t>
            </w:r>
          </w:p>
        </w:tc>
        <w:tc>
          <w:tcPr>
            <w:tcW w:w="1189" w:type="dxa"/>
            <w:shd w:val="clear" w:color="auto" w:fill="auto"/>
            <w:vAlign w:val="center"/>
          </w:tcPr>
          <w:p w14:paraId="4065A9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772" w:type="dxa"/>
            <w:shd w:val="clear" w:color="auto" w:fill="auto"/>
            <w:vAlign w:val="center"/>
          </w:tcPr>
          <w:p w14:paraId="670B0C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862" w:type="dxa"/>
            <w:shd w:val="clear" w:color="auto" w:fill="auto"/>
            <w:vAlign w:val="center"/>
          </w:tcPr>
          <w:p w14:paraId="19D9F7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明显改善</w:t>
            </w:r>
          </w:p>
        </w:tc>
        <w:tc>
          <w:tcPr>
            <w:tcW w:w="1011" w:type="dxa"/>
            <w:shd w:val="clear" w:color="auto" w:fill="auto"/>
            <w:vAlign w:val="center"/>
          </w:tcPr>
          <w:p w14:paraId="19D1E3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11" w:type="dxa"/>
            <w:shd w:val="clear" w:color="auto" w:fill="auto"/>
            <w:vAlign w:val="center"/>
          </w:tcPr>
          <w:p w14:paraId="7ECFD5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27" w:type="dxa"/>
            <w:shd w:val="clear" w:color="auto" w:fill="auto"/>
            <w:vAlign w:val="center"/>
          </w:tcPr>
          <w:p w14:paraId="4D1A10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80" w:type="dxa"/>
            <w:shd w:val="clear" w:color="auto" w:fill="auto"/>
            <w:vAlign w:val="center"/>
          </w:tcPr>
          <w:p w14:paraId="03AA41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94" w:type="dxa"/>
            <w:shd w:val="clear" w:color="auto" w:fill="auto"/>
            <w:vAlign w:val="center"/>
          </w:tcPr>
          <w:p w14:paraId="657B1D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9" w:type="dxa"/>
            <w:shd w:val="clear" w:color="auto" w:fill="auto"/>
            <w:vAlign w:val="center"/>
          </w:tcPr>
          <w:p w14:paraId="7422D7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5" w:type="dxa"/>
            <w:shd w:val="clear" w:color="auto" w:fill="auto"/>
            <w:vAlign w:val="center"/>
          </w:tcPr>
          <w:p w14:paraId="59A9BA8B">
            <w:pPr>
              <w:jc w:val="center"/>
              <w:rPr>
                <w:rFonts w:hint="eastAsia" w:ascii="宋体" w:hAnsi="宋体" w:eastAsia="宋体" w:cs="宋体"/>
                <w:i w:val="0"/>
                <w:iCs w:val="0"/>
                <w:color w:val="000000"/>
                <w:sz w:val="20"/>
                <w:szCs w:val="20"/>
                <w:u w:val="none"/>
              </w:rPr>
            </w:pPr>
          </w:p>
        </w:tc>
      </w:tr>
      <w:tr w14:paraId="7074A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3654" w:type="dxa"/>
            <w:gridSpan w:val="4"/>
            <w:shd w:val="clear" w:color="auto" w:fill="auto"/>
            <w:vAlign w:val="center"/>
          </w:tcPr>
          <w:p w14:paraId="49978A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89" w:type="dxa"/>
            <w:shd w:val="clear" w:color="auto" w:fill="auto"/>
            <w:vAlign w:val="center"/>
          </w:tcPr>
          <w:p w14:paraId="23915FFE">
            <w:pPr>
              <w:jc w:val="center"/>
              <w:rPr>
                <w:rFonts w:hint="eastAsia" w:ascii="宋体" w:hAnsi="宋体" w:eastAsia="宋体" w:cs="宋体"/>
                <w:i w:val="0"/>
                <w:iCs w:val="0"/>
                <w:color w:val="000000"/>
                <w:sz w:val="20"/>
                <w:szCs w:val="20"/>
                <w:u w:val="none"/>
              </w:rPr>
            </w:pPr>
          </w:p>
        </w:tc>
        <w:tc>
          <w:tcPr>
            <w:tcW w:w="772" w:type="dxa"/>
            <w:shd w:val="clear" w:color="auto" w:fill="auto"/>
            <w:vAlign w:val="center"/>
          </w:tcPr>
          <w:p w14:paraId="2FD18BF1">
            <w:pPr>
              <w:jc w:val="center"/>
              <w:rPr>
                <w:rFonts w:hint="eastAsia" w:ascii="宋体" w:hAnsi="宋体" w:eastAsia="宋体" w:cs="宋体"/>
                <w:b/>
                <w:bCs/>
                <w:i w:val="0"/>
                <w:iCs w:val="0"/>
                <w:color w:val="000000"/>
                <w:sz w:val="20"/>
                <w:szCs w:val="20"/>
                <w:u w:val="none"/>
              </w:rPr>
            </w:pPr>
          </w:p>
        </w:tc>
        <w:tc>
          <w:tcPr>
            <w:tcW w:w="862" w:type="dxa"/>
            <w:shd w:val="clear" w:color="auto" w:fill="auto"/>
            <w:vAlign w:val="center"/>
          </w:tcPr>
          <w:p w14:paraId="2F3AF7A6">
            <w:pPr>
              <w:jc w:val="center"/>
              <w:rPr>
                <w:rFonts w:hint="eastAsia" w:ascii="宋体" w:hAnsi="宋体" w:eastAsia="宋体" w:cs="宋体"/>
                <w:i w:val="0"/>
                <w:iCs w:val="0"/>
                <w:color w:val="000000"/>
                <w:sz w:val="20"/>
                <w:szCs w:val="20"/>
                <w:u w:val="none"/>
              </w:rPr>
            </w:pPr>
          </w:p>
        </w:tc>
        <w:tc>
          <w:tcPr>
            <w:tcW w:w="1011" w:type="dxa"/>
            <w:shd w:val="clear" w:color="auto" w:fill="auto"/>
            <w:vAlign w:val="center"/>
          </w:tcPr>
          <w:p w14:paraId="0DA178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11" w:type="dxa"/>
            <w:shd w:val="clear" w:color="auto" w:fill="auto"/>
            <w:vAlign w:val="center"/>
          </w:tcPr>
          <w:p w14:paraId="6ECB6042">
            <w:pPr>
              <w:jc w:val="center"/>
              <w:rPr>
                <w:rFonts w:hint="eastAsia" w:ascii="宋体" w:hAnsi="宋体" w:eastAsia="宋体" w:cs="宋体"/>
                <w:i w:val="0"/>
                <w:iCs w:val="0"/>
                <w:color w:val="000000"/>
                <w:sz w:val="20"/>
                <w:szCs w:val="20"/>
                <w:u w:val="none"/>
              </w:rPr>
            </w:pPr>
          </w:p>
        </w:tc>
        <w:tc>
          <w:tcPr>
            <w:tcW w:w="1127" w:type="dxa"/>
            <w:shd w:val="clear" w:color="auto" w:fill="auto"/>
            <w:vAlign w:val="center"/>
          </w:tcPr>
          <w:p w14:paraId="648E487D">
            <w:pPr>
              <w:jc w:val="center"/>
              <w:rPr>
                <w:rFonts w:hint="eastAsia" w:ascii="宋体" w:hAnsi="宋体" w:eastAsia="宋体" w:cs="宋体"/>
                <w:i w:val="0"/>
                <w:iCs w:val="0"/>
                <w:color w:val="000000"/>
                <w:sz w:val="20"/>
                <w:szCs w:val="20"/>
                <w:u w:val="none"/>
              </w:rPr>
            </w:pPr>
          </w:p>
        </w:tc>
        <w:tc>
          <w:tcPr>
            <w:tcW w:w="1080" w:type="dxa"/>
            <w:shd w:val="clear" w:color="auto" w:fill="auto"/>
            <w:vAlign w:val="center"/>
          </w:tcPr>
          <w:p w14:paraId="38A0E570">
            <w:pPr>
              <w:jc w:val="center"/>
              <w:rPr>
                <w:rFonts w:hint="eastAsia" w:ascii="宋体" w:hAnsi="宋体" w:eastAsia="宋体" w:cs="宋体"/>
                <w:i w:val="0"/>
                <w:iCs w:val="0"/>
                <w:color w:val="000000"/>
                <w:sz w:val="20"/>
                <w:szCs w:val="20"/>
                <w:u w:val="none"/>
              </w:rPr>
            </w:pPr>
          </w:p>
        </w:tc>
        <w:tc>
          <w:tcPr>
            <w:tcW w:w="1194" w:type="dxa"/>
            <w:shd w:val="clear" w:color="auto" w:fill="auto"/>
            <w:vAlign w:val="center"/>
          </w:tcPr>
          <w:p w14:paraId="03C50BB0">
            <w:pPr>
              <w:jc w:val="center"/>
              <w:rPr>
                <w:rFonts w:hint="eastAsia" w:ascii="宋体" w:hAnsi="宋体" w:eastAsia="宋体" w:cs="宋体"/>
                <w:i w:val="0"/>
                <w:iCs w:val="0"/>
                <w:color w:val="000000"/>
                <w:sz w:val="20"/>
                <w:szCs w:val="20"/>
                <w:u w:val="none"/>
              </w:rPr>
            </w:pPr>
          </w:p>
        </w:tc>
        <w:tc>
          <w:tcPr>
            <w:tcW w:w="1239" w:type="dxa"/>
            <w:shd w:val="clear" w:color="auto" w:fill="auto"/>
            <w:vAlign w:val="center"/>
          </w:tcPr>
          <w:p w14:paraId="572585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5" w:type="dxa"/>
            <w:shd w:val="clear" w:color="auto" w:fill="auto"/>
            <w:vAlign w:val="center"/>
          </w:tcPr>
          <w:p w14:paraId="79B4387B">
            <w:pPr>
              <w:jc w:val="center"/>
              <w:rPr>
                <w:rFonts w:hint="eastAsia" w:ascii="宋体" w:hAnsi="宋体" w:eastAsia="宋体" w:cs="宋体"/>
                <w:i w:val="0"/>
                <w:iCs w:val="0"/>
                <w:color w:val="000000"/>
                <w:sz w:val="20"/>
                <w:szCs w:val="20"/>
                <w:u w:val="none"/>
              </w:rPr>
            </w:pPr>
          </w:p>
        </w:tc>
      </w:tr>
    </w:tbl>
    <w:p w14:paraId="2457F95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6"/>
    </w:p>
    <w:p w14:paraId="30B86AA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heme="minorEastAsia" w:hAnsiTheme="minorEastAsia" w:eastAsiaTheme="minorEastAsia" w:cstheme="minorEastAsia"/>
          <w:i w:val="0"/>
          <w:iCs w:val="0"/>
          <w:color w:val="auto"/>
          <w:kern w:val="0"/>
          <w:sz w:val="21"/>
          <w:szCs w:val="21"/>
          <w:highlight w:val="none"/>
          <w:u w:val="none"/>
          <w:lang w:val="en-US" w:eastAsia="zh-CN" w:bidi="ar"/>
        </w:rPr>
        <w:sectPr>
          <w:pgSz w:w="16838" w:h="11906" w:orient="landscape"/>
          <w:pgMar w:top="1800" w:right="1440" w:bottom="1800" w:left="1440" w:header="737" w:footer="851" w:gutter="0"/>
          <w:pgNumType w:fmt="decimal" w:start="1"/>
          <w:cols w:space="720" w:num="1"/>
          <w:docGrid w:type="lines" w:linePitch="408" w:charSpace="0"/>
        </w:sectPr>
      </w:pPr>
    </w:p>
    <w:p w14:paraId="458A957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5646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A3EBFC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0FA484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0109E77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47BD538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2213662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30E31602">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E2FBEFE">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12957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839BB5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7B8CA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A76116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648B91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1B88F62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638277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34CED4E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4ED4ECE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FF24BB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427869C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2E8CFA6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001361A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539D185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066EBF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1EBDB50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AFDA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3B4475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07A00D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CD2881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78A313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6451C8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735F95D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1D78D9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6DCB56F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2C99680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33354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31678AD">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505FC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6C5601C1">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404B9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32DD4BA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48D49EE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5C26D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DBD306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9662B4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2D1AD6D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1B2440C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432C2F6">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B3C694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4CC75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76FDBE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568EB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808CC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127242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2100835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FBB3B0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79F871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5F02D0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A477F8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16A159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43A73BB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D396522">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6272D7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8286E1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FD5D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D7B2B29">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9576E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44FF3F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22999A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F9B5D4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19DB22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ABB79C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CF305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22D082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53302ED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843979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14A349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925BD0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EF72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61FA044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C77053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CB957A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578F80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25DE139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66602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CBF446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03B2F0E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526BB4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E6E1E3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084D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F43C90A">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41C1A1A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77F4F6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0C75725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0DB506D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725538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0E1053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3169C9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44AB32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2A47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D078FAE">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D277BDE">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414799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34968F7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81FCF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26A9B1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375612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AC7B83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B3C2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AF1CB6C">
            <w:pP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 xml:space="preserve"> </w:t>
            </w:r>
          </w:p>
        </w:tc>
        <w:tc>
          <w:tcPr>
            <w:tcW w:w="727" w:type="dxa"/>
            <w:shd w:val="clear" w:color="auto" w:fill="auto"/>
            <w:noWrap w:val="0"/>
            <w:vAlign w:val="center"/>
          </w:tcPr>
          <w:p w14:paraId="097BACB0">
            <w:pPr>
              <w:widowControl/>
              <w:spacing w:line="0" w:lineRule="atLeast"/>
              <w:ind w:firstLine="0" w:firstLineChars="0"/>
              <w:jc w:val="center"/>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770FA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E571CEA">
            <w:pPr>
              <w:widowControl/>
              <w:spacing w:line="0" w:lineRule="atLeast"/>
              <w:ind w:firstLine="0" w:firstLineChars="0"/>
              <w:jc w:val="center"/>
              <w:rPr>
                <w:rFonts w:hint="default" w:ascii="宋体" w:hAnsi="宋体" w:eastAsia="宋体" w:cs="宋体"/>
                <w:color w:val="auto"/>
                <w:kern w:val="0"/>
                <w:sz w:val="22"/>
                <w:szCs w:val="22"/>
                <w:highlight w:val="none"/>
                <w:lang w:val="en-US"/>
              </w:rPr>
            </w:pPr>
            <w:r>
              <w:rPr>
                <w:rFonts w:hint="eastAsia" w:ascii="宋体" w:hAnsi="宋体" w:eastAsia="宋体" w:cs="宋体"/>
                <w:color w:val="auto"/>
                <w:kern w:val="0"/>
                <w:sz w:val="20"/>
                <w:szCs w:val="20"/>
                <w:highlight w:val="none"/>
                <w:shd w:val="clear" w:color="auto" w:fill="auto"/>
              </w:rPr>
              <w:t>合规性</w:t>
            </w:r>
          </w:p>
        </w:tc>
        <w:tc>
          <w:tcPr>
            <w:tcW w:w="2141" w:type="dxa"/>
            <w:shd w:val="clear" w:color="auto" w:fill="auto"/>
            <w:noWrap w:val="0"/>
            <w:vAlign w:val="center"/>
          </w:tcPr>
          <w:p w14:paraId="1B26E4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36CB724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F94411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3B9D79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C50AF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64C9FE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56312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58761F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43C92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91BDC4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14BF9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69B48C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6CE3BD7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04649D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3161E6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D6A335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4EB9D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64A3EA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7E375E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62576E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CE558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3333F88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429E8A7">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2BD4CF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721A9F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37A0FB5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3CF9E4D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02D102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09E8677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162B061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35CEA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52B70C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60F7FA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6515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56C264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84ED7F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6A1990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项目受益群众</w:t>
            </w:r>
          </w:p>
        </w:tc>
        <w:tc>
          <w:tcPr>
            <w:tcW w:w="2141" w:type="dxa"/>
            <w:shd w:val="clear" w:color="auto" w:fill="auto"/>
            <w:noWrap w:val="0"/>
            <w:vAlign w:val="center"/>
          </w:tcPr>
          <w:p w14:paraId="5590CC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4F9D02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75A1AC9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A451B3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4C8674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ECECD3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E6A19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4285BC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B5F42E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7FD407B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建设村庄数</w:t>
            </w:r>
          </w:p>
        </w:tc>
        <w:tc>
          <w:tcPr>
            <w:tcW w:w="2141" w:type="dxa"/>
            <w:shd w:val="clear" w:color="auto" w:fill="auto"/>
            <w:noWrap w:val="0"/>
            <w:vAlign w:val="center"/>
          </w:tcPr>
          <w:p w14:paraId="5E8F1ED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E5ECF3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D3C50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E1FFB1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1B274F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2BFE7F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6297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55FF54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7AD970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7C2D32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正常运转率</w:t>
            </w:r>
          </w:p>
        </w:tc>
        <w:tc>
          <w:tcPr>
            <w:tcW w:w="2141" w:type="dxa"/>
            <w:shd w:val="clear" w:color="auto" w:fill="auto"/>
            <w:noWrap w:val="0"/>
            <w:vAlign w:val="center"/>
          </w:tcPr>
          <w:p w14:paraId="07D44AF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3C6D9C8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01AD458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C91F18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12F71D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BDFF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69A4D3B">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5235B8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299CF40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完成及时性</w:t>
            </w:r>
          </w:p>
        </w:tc>
        <w:tc>
          <w:tcPr>
            <w:tcW w:w="2141" w:type="dxa"/>
            <w:shd w:val="clear" w:color="auto" w:fill="auto"/>
            <w:noWrap w:val="0"/>
            <w:vAlign w:val="center"/>
          </w:tcPr>
          <w:p w14:paraId="2A4AAD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0DDD58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76B831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00B578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F24822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28CA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D2ED253">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F8E6F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4E95E1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九运街镇棉花产区水利灌溉基础设施建设项目金额</w:t>
            </w:r>
          </w:p>
        </w:tc>
        <w:tc>
          <w:tcPr>
            <w:tcW w:w="2141" w:type="dxa"/>
            <w:shd w:val="clear" w:color="auto" w:fill="auto"/>
            <w:noWrap w:val="0"/>
            <w:vAlign w:val="center"/>
          </w:tcPr>
          <w:p w14:paraId="206AB10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A30A13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748FBF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F51E78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AF677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44D086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7749DD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D027A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B9F5A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488EFD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64537E2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促进镇区社会和谐、经济发展、民生改善</w:t>
            </w:r>
          </w:p>
        </w:tc>
        <w:tc>
          <w:tcPr>
            <w:tcW w:w="2141" w:type="dxa"/>
            <w:shd w:val="clear" w:color="auto" w:fill="auto"/>
            <w:noWrap w:val="0"/>
            <w:vAlign w:val="center"/>
          </w:tcPr>
          <w:p w14:paraId="6385C1E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0BA867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A5E2C7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F50E39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9E5F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1865E78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4D7ED5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A1AF57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提高村民生存质量和生活条</w:t>
            </w:r>
          </w:p>
        </w:tc>
        <w:tc>
          <w:tcPr>
            <w:tcW w:w="2141" w:type="dxa"/>
            <w:shd w:val="clear" w:color="auto" w:fill="auto"/>
            <w:noWrap w:val="0"/>
            <w:vAlign w:val="center"/>
          </w:tcPr>
          <w:p w14:paraId="481D9E2D">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193C261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D1450F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F15CBD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CAE1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2C9D31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DF1F85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022257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涉及村庄村民</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6A679E8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4896A9B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613A6EC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458523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r>
      <w:tr w14:paraId="4DC02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4439C83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5AB64CB">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1A2D284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8C1AF1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97</w:t>
            </w:r>
          </w:p>
        </w:tc>
      </w:tr>
    </w:tbl>
    <w:p w14:paraId="551CBF4F">
      <w:pPr>
        <w:spacing w:line="240" w:lineRule="auto"/>
        <w:ind w:firstLine="0" w:firstLineChars="0"/>
        <w:rPr>
          <w:rFonts w:ascii="Times New Roman" w:hAnsi="Times New Roman" w:eastAsia="仿宋_GB2312" w:cs="Times New Roman"/>
          <w:color w:val="auto"/>
          <w:sz w:val="30"/>
          <w:szCs w:val="24"/>
          <w:highlight w:val="none"/>
        </w:rPr>
      </w:pPr>
    </w:p>
    <w:p w14:paraId="5DC6E677">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E8F9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F927B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F927B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58AC00B7"/>
    <w:multiLevelType w:val="singleLevel"/>
    <w:tmpl w:val="58AC00B7"/>
    <w:lvl w:ilvl="0" w:tentative="0">
      <w:start w:val="3"/>
      <w:numFmt w:val="decimal"/>
      <w:suff w:val="nothing"/>
      <w:lvlText w:val="（%1）"/>
      <w:lvlJc w:val="left"/>
    </w:lvl>
  </w:abstractNum>
  <w:abstractNum w:abstractNumId="3">
    <w:nsid w:val="6F5825E9"/>
    <w:multiLevelType w:val="singleLevel"/>
    <w:tmpl w:val="6F5825E9"/>
    <w:lvl w:ilvl="0" w:tentative="0">
      <w:start w:val="7"/>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3D00B8"/>
    <w:rsid w:val="04D12EE4"/>
    <w:rsid w:val="04D63993"/>
    <w:rsid w:val="07890F4F"/>
    <w:rsid w:val="083121FB"/>
    <w:rsid w:val="08892439"/>
    <w:rsid w:val="08EB30F3"/>
    <w:rsid w:val="09237408"/>
    <w:rsid w:val="095E2608"/>
    <w:rsid w:val="09781BD6"/>
    <w:rsid w:val="09F359DF"/>
    <w:rsid w:val="0A575E65"/>
    <w:rsid w:val="0ACA0AB6"/>
    <w:rsid w:val="0C032502"/>
    <w:rsid w:val="0C27698C"/>
    <w:rsid w:val="0D4452F3"/>
    <w:rsid w:val="0F5E5042"/>
    <w:rsid w:val="0FE95707"/>
    <w:rsid w:val="102336DD"/>
    <w:rsid w:val="10510571"/>
    <w:rsid w:val="10787A20"/>
    <w:rsid w:val="108672DE"/>
    <w:rsid w:val="10EC685A"/>
    <w:rsid w:val="11FA6155"/>
    <w:rsid w:val="12CF0947"/>
    <w:rsid w:val="12F1313F"/>
    <w:rsid w:val="136C678E"/>
    <w:rsid w:val="13EB2FF5"/>
    <w:rsid w:val="1537146E"/>
    <w:rsid w:val="15A46B04"/>
    <w:rsid w:val="165825BC"/>
    <w:rsid w:val="16BC5D73"/>
    <w:rsid w:val="176F36D7"/>
    <w:rsid w:val="1795226D"/>
    <w:rsid w:val="18456B1E"/>
    <w:rsid w:val="19FE490D"/>
    <w:rsid w:val="1A4C0F1B"/>
    <w:rsid w:val="1C1171C5"/>
    <w:rsid w:val="1D265138"/>
    <w:rsid w:val="1D7B6BCA"/>
    <w:rsid w:val="1DA41A79"/>
    <w:rsid w:val="1DF32A07"/>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7CB7921"/>
    <w:rsid w:val="286F545C"/>
    <w:rsid w:val="29314FBC"/>
    <w:rsid w:val="2A443812"/>
    <w:rsid w:val="2BE27B69"/>
    <w:rsid w:val="2C024B86"/>
    <w:rsid w:val="2C927671"/>
    <w:rsid w:val="2D7C5CD6"/>
    <w:rsid w:val="2E483E7E"/>
    <w:rsid w:val="2E690493"/>
    <w:rsid w:val="2E9854BD"/>
    <w:rsid w:val="2F0957D2"/>
    <w:rsid w:val="2F0D407F"/>
    <w:rsid w:val="2F454B19"/>
    <w:rsid w:val="310224D9"/>
    <w:rsid w:val="31B4621C"/>
    <w:rsid w:val="31E3230A"/>
    <w:rsid w:val="32463124"/>
    <w:rsid w:val="330957E0"/>
    <w:rsid w:val="33356F64"/>
    <w:rsid w:val="33944516"/>
    <w:rsid w:val="34B62907"/>
    <w:rsid w:val="36BD137C"/>
    <w:rsid w:val="385D37E7"/>
    <w:rsid w:val="38782EDD"/>
    <w:rsid w:val="3B42664A"/>
    <w:rsid w:val="3D836A4E"/>
    <w:rsid w:val="3EA37E97"/>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49081C"/>
    <w:rsid w:val="4C89637B"/>
    <w:rsid w:val="4E6E48A8"/>
    <w:rsid w:val="4EEC036B"/>
    <w:rsid w:val="4FCB0362"/>
    <w:rsid w:val="501D2673"/>
    <w:rsid w:val="50C80BF1"/>
    <w:rsid w:val="51852833"/>
    <w:rsid w:val="51891574"/>
    <w:rsid w:val="52F11AC8"/>
    <w:rsid w:val="534F49D9"/>
    <w:rsid w:val="53555F0F"/>
    <w:rsid w:val="535D23D5"/>
    <w:rsid w:val="54D9161F"/>
    <w:rsid w:val="56F4341A"/>
    <w:rsid w:val="575A7321"/>
    <w:rsid w:val="57A14B99"/>
    <w:rsid w:val="580C3AB9"/>
    <w:rsid w:val="583C7AE0"/>
    <w:rsid w:val="58402D34"/>
    <w:rsid w:val="586C1E9A"/>
    <w:rsid w:val="586E0800"/>
    <w:rsid w:val="59216F96"/>
    <w:rsid w:val="598C4145"/>
    <w:rsid w:val="59957D1B"/>
    <w:rsid w:val="59D4294E"/>
    <w:rsid w:val="5B634312"/>
    <w:rsid w:val="5B9D2CCD"/>
    <w:rsid w:val="5B9E71EA"/>
    <w:rsid w:val="5E226FBC"/>
    <w:rsid w:val="5EAD5D18"/>
    <w:rsid w:val="5FE72BD2"/>
    <w:rsid w:val="60120613"/>
    <w:rsid w:val="618D5292"/>
    <w:rsid w:val="61F05580"/>
    <w:rsid w:val="622E78FA"/>
    <w:rsid w:val="63343F70"/>
    <w:rsid w:val="63C643CB"/>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77748A"/>
    <w:rsid w:val="77813724"/>
    <w:rsid w:val="77861774"/>
    <w:rsid w:val="78F31435"/>
    <w:rsid w:val="79300B45"/>
    <w:rsid w:val="794D3E18"/>
    <w:rsid w:val="79F3729A"/>
    <w:rsid w:val="7A880722"/>
    <w:rsid w:val="7ACB0498"/>
    <w:rsid w:val="7AED0B4D"/>
    <w:rsid w:val="7C1E4487"/>
    <w:rsid w:val="7C215E02"/>
    <w:rsid w:val="7CF23764"/>
    <w:rsid w:val="7E133C5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5130</Words>
  <Characters>5302</Characters>
  <Lines>0</Lines>
  <Paragraphs>0</Paragraphs>
  <TotalTime>3</TotalTime>
  <ScaleCrop>false</ScaleCrop>
  <LinksUpToDate>false</LinksUpToDate>
  <CharactersWithSpaces>5366</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2024-10-10T06:25:47Z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