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C1149">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5" w:name="_GoBack"/>
      <w:bookmarkEnd w:id="85"/>
    </w:p>
    <w:p w14:paraId="03FA2CC3">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CE03609">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D0933A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ascii="宋体" w:hAnsi="宋体" w:eastAsia="宋体" w:cs="宋体"/>
          <w:b/>
          <w:bCs/>
          <w:color w:val="auto"/>
          <w:sz w:val="40"/>
          <w:szCs w:val="40"/>
          <w:highlight w:val="none"/>
          <w:shd w:val="clear" w:color="auto" w:fill="auto"/>
          <w:lang w:val="en-US" w:eastAsia="zh-CN"/>
        </w:rPr>
        <w:t>2022年博格达公交运营补贴项目</w:t>
      </w:r>
    </w:p>
    <w:p w14:paraId="6E3DB88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支出绩效评价报告</w:t>
      </w:r>
      <w:bookmarkEnd w:id="0"/>
    </w:p>
    <w:p w14:paraId="7C54797C">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D6810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B33612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5FB74D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9D29A1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FB74A6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8C4F0B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7B2B31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项目名称：2022年博格达公交运营补贴</w:t>
      </w:r>
    </w:p>
    <w:p w14:paraId="45B154B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阜康市交通运输局</w:t>
      </w:r>
    </w:p>
    <w:p w14:paraId="587D189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阜康市交通运输局</w:t>
      </w:r>
    </w:p>
    <w:p w14:paraId="272A6298">
      <w:pPr>
        <w:pStyle w:val="12"/>
        <w:outlineLvl w:val="9"/>
        <w:rPr>
          <w:rFonts w:hint="eastAsia" w:ascii="宋体" w:hAnsi="宋体" w:eastAsia="宋体" w:cs="宋体"/>
          <w:b/>
          <w:color w:val="auto"/>
          <w:kern w:val="2"/>
          <w:sz w:val="28"/>
          <w:szCs w:val="28"/>
          <w:highlight w:val="none"/>
          <w:shd w:val="clear" w:color="auto" w:fill="auto"/>
          <w:lang w:val="en-US" w:eastAsia="zh-CN"/>
        </w:rPr>
      </w:pPr>
    </w:p>
    <w:p w14:paraId="580509EF">
      <w:pPr>
        <w:rPr>
          <w:rFonts w:hint="eastAsia"/>
          <w:color w:val="auto"/>
          <w:lang w:val="en-US" w:eastAsia="zh-CN"/>
        </w:rPr>
      </w:pPr>
      <w:r>
        <w:rPr>
          <w:rFonts w:hint="eastAsia"/>
          <w:color w:val="auto"/>
          <w:lang w:val="en-US" w:eastAsia="zh-CN"/>
        </w:rPr>
        <w:br w:type="page"/>
      </w:r>
    </w:p>
    <w:p w14:paraId="2ABD3271">
      <w:pPr>
        <w:rPr>
          <w:rFonts w:hint="eastAsia"/>
          <w:color w:val="auto"/>
          <w:lang w:val="en-US" w:eastAsia="zh-CN"/>
        </w:rPr>
      </w:pP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14:paraId="000FC435">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14:paraId="7355501D">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14:paraId="27E33CBB">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14:paraId="2C48402F">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14:paraId="3C3CF211">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2</w:t>
          </w:r>
          <w:r>
            <w:rPr>
              <w:color w:val="auto"/>
              <w:sz w:val="28"/>
              <w:szCs w:val="28"/>
            </w:rPr>
            <w:fldChar w:fldCharType="end"/>
          </w:r>
          <w:r>
            <w:rPr>
              <w:rFonts w:hint="eastAsia"/>
              <w:color w:val="auto"/>
              <w:sz w:val="28"/>
              <w:szCs w:val="28"/>
              <w:lang w:val="en-US" w:eastAsia="zh-CN"/>
            </w:rPr>
            <w:fldChar w:fldCharType="end"/>
          </w:r>
        </w:p>
        <w:p w14:paraId="0F6908A4">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3</w:t>
          </w:r>
          <w:r>
            <w:rPr>
              <w:b/>
              <w:bCs/>
              <w:color w:val="auto"/>
              <w:sz w:val="28"/>
              <w:szCs w:val="28"/>
            </w:rPr>
            <w:fldChar w:fldCharType="end"/>
          </w:r>
          <w:r>
            <w:rPr>
              <w:rFonts w:hint="eastAsia"/>
              <w:b/>
              <w:bCs/>
              <w:color w:val="auto"/>
              <w:sz w:val="28"/>
              <w:szCs w:val="28"/>
              <w:lang w:val="en-US" w:eastAsia="zh-CN"/>
            </w:rPr>
            <w:fldChar w:fldCharType="end"/>
          </w:r>
        </w:p>
        <w:p w14:paraId="5E84F562">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14:paraId="7DBB99C9">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5</w:t>
          </w:r>
          <w:r>
            <w:rPr>
              <w:color w:val="auto"/>
              <w:sz w:val="28"/>
              <w:szCs w:val="28"/>
            </w:rPr>
            <w:fldChar w:fldCharType="end"/>
          </w:r>
          <w:r>
            <w:rPr>
              <w:rFonts w:hint="eastAsia"/>
              <w:color w:val="auto"/>
              <w:sz w:val="28"/>
              <w:szCs w:val="28"/>
              <w:lang w:val="en-US" w:eastAsia="zh-CN"/>
            </w:rPr>
            <w:fldChar w:fldCharType="end"/>
          </w:r>
        </w:p>
        <w:p w14:paraId="4867FBE7">
          <w:pPr>
            <w:pStyle w:val="21"/>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9</w:t>
          </w:r>
          <w:r>
            <w:rPr>
              <w:color w:val="auto"/>
              <w:sz w:val="28"/>
              <w:szCs w:val="28"/>
            </w:rPr>
            <w:fldChar w:fldCharType="end"/>
          </w:r>
          <w:r>
            <w:rPr>
              <w:rFonts w:hint="eastAsia"/>
              <w:color w:val="auto"/>
              <w:sz w:val="28"/>
              <w:szCs w:val="28"/>
              <w:lang w:val="en-US" w:eastAsia="zh-CN"/>
            </w:rPr>
            <w:fldChar w:fldCharType="end"/>
          </w:r>
        </w:p>
        <w:p w14:paraId="00B1F2E9">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14:paraId="7520C966">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14:paraId="173BF7FC">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11</w:t>
          </w:r>
          <w:r>
            <w:rPr>
              <w:color w:val="auto"/>
              <w:sz w:val="28"/>
              <w:szCs w:val="28"/>
            </w:rPr>
            <w:fldChar w:fldCharType="end"/>
          </w:r>
          <w:r>
            <w:rPr>
              <w:rFonts w:hint="eastAsia"/>
              <w:color w:val="auto"/>
              <w:sz w:val="28"/>
              <w:szCs w:val="28"/>
              <w:lang w:val="en-US" w:eastAsia="zh-CN"/>
            </w:rPr>
            <w:fldChar w:fldCharType="end"/>
          </w:r>
        </w:p>
        <w:p w14:paraId="1DF618B2">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14</w:t>
          </w:r>
          <w:r>
            <w:rPr>
              <w:color w:val="auto"/>
              <w:sz w:val="28"/>
              <w:szCs w:val="28"/>
            </w:rPr>
            <w:fldChar w:fldCharType="end"/>
          </w:r>
          <w:r>
            <w:rPr>
              <w:rFonts w:hint="eastAsia"/>
              <w:color w:val="auto"/>
              <w:sz w:val="28"/>
              <w:szCs w:val="28"/>
              <w:lang w:val="en-US" w:eastAsia="zh-CN"/>
            </w:rPr>
            <w:fldChar w:fldCharType="end"/>
          </w:r>
        </w:p>
        <w:p w14:paraId="347BBAD5">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15</w:t>
          </w:r>
          <w:r>
            <w:rPr>
              <w:color w:val="auto"/>
              <w:sz w:val="28"/>
              <w:szCs w:val="28"/>
            </w:rPr>
            <w:fldChar w:fldCharType="end"/>
          </w:r>
          <w:r>
            <w:rPr>
              <w:rFonts w:hint="eastAsia"/>
              <w:color w:val="auto"/>
              <w:sz w:val="28"/>
              <w:szCs w:val="28"/>
              <w:lang w:val="en-US" w:eastAsia="zh-CN"/>
            </w:rPr>
            <w:fldChar w:fldCharType="end"/>
          </w:r>
        </w:p>
        <w:p w14:paraId="77D2C041">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17</w:t>
          </w:r>
          <w:r>
            <w:rPr>
              <w:color w:val="auto"/>
              <w:sz w:val="28"/>
              <w:szCs w:val="28"/>
            </w:rPr>
            <w:fldChar w:fldCharType="end"/>
          </w:r>
          <w:r>
            <w:rPr>
              <w:rFonts w:hint="eastAsia"/>
              <w:color w:val="auto"/>
              <w:sz w:val="28"/>
              <w:szCs w:val="28"/>
              <w:lang w:val="en-US" w:eastAsia="zh-CN"/>
            </w:rPr>
            <w:fldChar w:fldCharType="end"/>
          </w:r>
        </w:p>
        <w:p w14:paraId="22D3C58D">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bCs/>
              <w:color w:val="auto"/>
              <w:sz w:val="28"/>
              <w:szCs w:val="28"/>
            </w:rPr>
            <w:t>17</w:t>
          </w:r>
          <w:r>
            <w:rPr>
              <w:b/>
              <w:bCs/>
              <w:color w:val="auto"/>
              <w:sz w:val="28"/>
              <w:szCs w:val="28"/>
            </w:rPr>
            <w:fldChar w:fldCharType="end"/>
          </w:r>
          <w:r>
            <w:rPr>
              <w:rFonts w:hint="eastAsia"/>
              <w:b/>
              <w:bCs/>
              <w:color w:val="auto"/>
              <w:sz w:val="28"/>
              <w:szCs w:val="28"/>
              <w:lang w:val="en-US" w:eastAsia="zh-CN"/>
            </w:rPr>
            <w:fldChar w:fldCharType="end"/>
          </w:r>
        </w:p>
        <w:p w14:paraId="766D6B4F">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14:paraId="09ACFC99">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14:paraId="255ABDD5">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14:paraId="694D558A">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14:paraId="35ABFB4A">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19</w:t>
          </w:r>
          <w:r>
            <w:rPr>
              <w:b/>
              <w:bCs/>
              <w:color w:val="auto"/>
              <w:sz w:val="28"/>
              <w:szCs w:val="28"/>
            </w:rPr>
            <w:fldChar w:fldCharType="end"/>
          </w:r>
          <w:r>
            <w:rPr>
              <w:rFonts w:hint="eastAsia"/>
              <w:b/>
              <w:bCs/>
              <w:color w:val="auto"/>
              <w:sz w:val="28"/>
              <w:szCs w:val="28"/>
              <w:lang w:val="en-US" w:eastAsia="zh-CN"/>
            </w:rPr>
            <w:fldChar w:fldCharType="end"/>
          </w:r>
        </w:p>
        <w:p w14:paraId="6D7CF235">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14:paraId="1802FF9A">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lang w:val="en-US" w:eastAsia="zh-CN"/>
            </w:rPr>
            <w:fldChar w:fldCharType="end"/>
          </w:r>
        </w:p>
      </w:sdtContent>
    </w:sdt>
    <w:p w14:paraId="201857C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2022年博格达公交运营补贴</w:t>
      </w:r>
      <w:r>
        <w:rPr>
          <w:rFonts w:hint="eastAsia" w:ascii="宋体" w:hAnsi="宋体" w:eastAsia="宋体" w:cs="宋体"/>
          <w:b/>
          <w:bCs/>
          <w:color w:val="auto"/>
          <w:sz w:val="36"/>
          <w:szCs w:val="36"/>
          <w:highlight w:val="none"/>
          <w:shd w:val="clear" w:color="auto" w:fill="auto"/>
        </w:rPr>
        <w:t>支出绩效评价报告</w:t>
      </w:r>
      <w:bookmarkEnd w:id="1"/>
    </w:p>
    <w:p w14:paraId="1F6735D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2225F40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45B3EAD7">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7C6243F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2017年5月8日阜康市博格达公交有限责任公司（以下简称博格达公交公司）正式成立，注册资本480万元，阜康市海通市政服务有限公司投资336万元，持股比例70%，西域旅游开发股份有限公司投资144万元，持股比例30%。2022年8月按照阜政办[2021]101号文件要求，阜康市海通市政服务有限公司将投资的336万元，持股比例70%的股权无偿转让给阜康市双通客运站有限公司,2023年2月完成市场监督管理局股东变更备案登记。</w:t>
      </w:r>
    </w:p>
    <w:p w14:paraId="28EC80F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公司目前有公交车59辆（其中气电混动7辆、纯电动公交车29辆，燃气车23辆），运营8条公交线路，平均运营46辆公交车，平均发车时间20分钟一班，最长发车间隔40分钟一班（7路），最短发车间隔10分钟一班（9路）。</w:t>
      </w:r>
    </w:p>
    <w:p w14:paraId="0FD5031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目前在册员工总数74人（其中管理人员2人、办公室4人、财务2人、车队队长1人、安全员2人、维修工3人、劳动用工驾驶员29人、劳务派遣用工驾驶员24人、安保员2人、点钞员5人）。</w:t>
      </w:r>
    </w:p>
    <w:p w14:paraId="1025AD0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公交车为具有公益属性，阜康市交通运输局负责项目监督管理工作，按季度进行绩效考核，向市财政局申请安排对应补贴。阜康市博格达公交有限公司利用财政运营补贴保障阜康市城市公共交通正常运行。</w:t>
      </w:r>
    </w:p>
    <w:p w14:paraId="360DA606">
      <w:pPr>
        <w:bidi w:val="0"/>
        <w:rPr>
          <w:rFonts w:hint="eastAsia"/>
          <w:color w:val="auto"/>
          <w:lang w:val="en-US" w:eastAsia="zh-CN"/>
        </w:rPr>
      </w:pPr>
    </w:p>
    <w:p w14:paraId="238DD82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0BD969D">
      <w:pPr>
        <w:pStyle w:val="5"/>
        <w:pageBreakBefore w:val="0"/>
        <w:kinsoku/>
        <w:wordWrap/>
        <w:overflowPunct/>
        <w:topLinePunct w:val="0"/>
        <w:autoSpaceDE/>
        <w:autoSpaceDN/>
        <w:bidi w:val="0"/>
        <w:adjustRightInd/>
        <w:spacing w:line="360" w:lineRule="auto"/>
        <w:textAlignment w:val="auto"/>
        <w:rPr>
          <w:rFonts w:hint="eastAsia"/>
          <w:color w:va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阜康市交通运输局负责项目监督管理工作，按季度进行绩效考核，向市财政局申请安排对应补贴。阜康市博格达公交有限公司利用财政运营补贴保障阜康市城市公共交通正常运行。</w:t>
      </w:r>
    </w:p>
    <w:p w14:paraId="5F41D3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2017</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26</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阜人常字[2017]30号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市人大常委</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赵明宝</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任重洋</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项目负责人为薛建忠,</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叶尔开江</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田甜</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薛建忠</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叶尔开江</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田甜</w:t>
      </w:r>
      <w:r>
        <w:rPr>
          <w:rFonts w:hint="eastAsia" w:ascii="宋体" w:hAnsi="宋体" w:eastAsia="宋体" w:cs="宋体"/>
          <w:color w:val="auto"/>
          <w:highlight w:val="none"/>
          <w:shd w:val="clear" w:color="auto" w:fill="auto"/>
          <w:lang w:val="en-US" w:eastAsia="zh-CN"/>
        </w:rPr>
        <w:t>负责资金拨付工作。</w:t>
      </w:r>
    </w:p>
    <w:p w14:paraId="1E08EBB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4B62FC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62576D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博格达公交运营补贴项目</w:t>
      </w:r>
      <w:r>
        <w:rPr>
          <w:rFonts w:hint="eastAsia" w:ascii="宋体" w:hAnsi="宋体" w:eastAsia="宋体" w:cs="宋体"/>
          <w:color w:val="auto"/>
          <w:highlight w:val="none"/>
          <w:shd w:val="clear" w:color="auto" w:fill="auto"/>
          <w:lang w:val="en-US" w:eastAsia="zh-CN"/>
        </w:rPr>
        <w:t>预算安排总额为977.45万元，其中财政资</w:t>
      </w:r>
      <w:r>
        <w:rPr>
          <w:rFonts w:hint="eastAsia" w:cs="宋体"/>
          <w:color w:val="auto"/>
          <w:highlight w:val="none"/>
          <w:shd w:val="clear" w:color="auto" w:fill="auto"/>
          <w:lang w:val="en-US" w:eastAsia="zh-CN"/>
        </w:rPr>
        <w:t>金</w:t>
      </w:r>
      <w:r>
        <w:rPr>
          <w:rFonts w:hint="eastAsia" w:ascii="宋体" w:hAnsi="宋体" w:eastAsia="宋体" w:cs="宋体"/>
          <w:color w:val="auto"/>
          <w:highlight w:val="none"/>
          <w:shd w:val="clear" w:color="auto" w:fill="auto"/>
          <w:lang w:val="en-US" w:eastAsia="zh-CN"/>
        </w:rPr>
        <w:t>977.45万元，其他资金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年实际收到预算资金977.45万元，预算资金到位率为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A78C0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2B6A1D4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截至2023年12月31日，博格达公交运营补贴项目</w:t>
      </w:r>
      <w:r>
        <w:rPr>
          <w:rFonts w:hint="eastAsia" w:ascii="宋体" w:hAnsi="宋体" w:eastAsia="宋体" w:cs="宋体"/>
          <w:color w:val="auto"/>
          <w:highlight w:val="none"/>
          <w:shd w:val="clear" w:color="auto" w:fill="auto"/>
        </w:rPr>
        <w:t>实际支付资金</w:t>
      </w:r>
      <w:r>
        <w:rPr>
          <w:rFonts w:hint="eastAsia" w:ascii="宋体" w:hAnsi="宋体" w:eastAsia="宋体" w:cs="宋体"/>
          <w:color w:val="auto"/>
          <w:highlight w:val="none"/>
          <w:shd w:val="clear" w:color="auto" w:fill="auto"/>
          <w:lang w:val="en-US" w:eastAsia="zh-CN"/>
        </w:rPr>
        <w:t>977.45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公交公司运营等方面。</w:t>
      </w:r>
    </w:p>
    <w:p w14:paraId="1263340A">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6B1008C3">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71EBADE6">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博格达公交运营补贴项目绩效总体目标为：</w:t>
      </w:r>
    </w:p>
    <w:p w14:paraId="39F1A14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阜康市交通运输局承担阜康市农村公路建设、管理、养护以及城市客运管理工作，为保障阜康市城市公共交通正常运行，补贴公交线路8条，维持线路正常运行，通过对博格达公交公司补贴，能够有效维持线路正常运行数。</w:t>
      </w:r>
    </w:p>
    <w:p w14:paraId="044E5D68">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6F21C41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792D5C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6E0786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31C5FB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补贴公交线路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指标，预期指标值为≥8条；</w:t>
      </w:r>
    </w:p>
    <w:p w14:paraId="212D66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5C5E32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项目补贴考核达标率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95%</w:t>
      </w:r>
      <w:r>
        <w:rPr>
          <w:rFonts w:hint="eastAsia" w:ascii="宋体" w:hAnsi="宋体" w:eastAsia="宋体" w:cs="宋体"/>
          <w:color w:val="auto"/>
          <w:highlight w:val="none"/>
          <w:shd w:val="clear" w:color="auto" w:fill="auto"/>
          <w:lang w:val="en-US" w:eastAsia="zh-CN"/>
        </w:rPr>
        <w:t>；</w:t>
      </w:r>
    </w:p>
    <w:p w14:paraId="247453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6DE613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补贴发放及时率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F9935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④成本指标</w:t>
      </w:r>
    </w:p>
    <w:p w14:paraId="78933C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补贴发放完成时间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2023年12月31日</w:t>
      </w:r>
      <w:r>
        <w:rPr>
          <w:rFonts w:hint="eastAsia" w:ascii="宋体" w:hAnsi="宋体" w:eastAsia="宋体" w:cs="宋体"/>
          <w:color w:val="auto"/>
          <w:highlight w:val="none"/>
          <w:shd w:val="clear" w:color="auto" w:fill="auto"/>
          <w:lang w:val="en-US" w:eastAsia="zh-CN"/>
        </w:rPr>
        <w:t>；</w:t>
      </w:r>
    </w:p>
    <w:p w14:paraId="1E8A769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bookmarkStart w:id="11" w:name="_Toc2549"/>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620222C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06DD7AD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补贴公交运营线路单位成本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122.18</w:t>
      </w:r>
      <w:r>
        <w:rPr>
          <w:rFonts w:hint="eastAsia" w:ascii="宋体" w:hAnsi="宋体" w:eastAsia="宋体" w:cs="宋体"/>
          <w:color w:val="auto"/>
          <w:highlight w:val="none"/>
          <w:shd w:val="clear" w:color="auto" w:fill="auto"/>
          <w:lang w:val="en-US" w:eastAsia="zh-CN"/>
        </w:rPr>
        <w:t>万元/条；</w:t>
      </w:r>
    </w:p>
    <w:p w14:paraId="0D54BEA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085981E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维持线路正常运行数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B95703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4513CB4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本项目不存在生态效益</w:t>
      </w:r>
      <w:r>
        <w:rPr>
          <w:rFonts w:hint="eastAsia" w:ascii="宋体" w:hAnsi="宋体" w:eastAsia="宋体" w:cs="宋体"/>
          <w:color w:val="auto"/>
          <w:highlight w:val="none"/>
          <w:shd w:val="clear" w:color="auto" w:fill="auto"/>
          <w:lang w:val="en-US" w:eastAsia="zh-CN"/>
        </w:rPr>
        <w:t>；</w:t>
      </w:r>
    </w:p>
    <w:p w14:paraId="49F9B9E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A09ACD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本项目不存在可持续影响</w:t>
      </w:r>
      <w:r>
        <w:rPr>
          <w:rFonts w:hint="eastAsia" w:ascii="宋体" w:hAnsi="宋体" w:eastAsia="宋体" w:cs="宋体"/>
          <w:color w:val="auto"/>
          <w:highlight w:val="none"/>
          <w:shd w:val="clear" w:color="auto" w:fill="auto"/>
          <w:lang w:val="en-US" w:eastAsia="zh-CN"/>
        </w:rPr>
        <w:t>；</w:t>
      </w:r>
    </w:p>
    <w:p w14:paraId="49C437D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1C0F83F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市民满意度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指标，预期指标值为≥95%</w:t>
      </w:r>
      <w:r>
        <w:rPr>
          <w:rFonts w:hint="eastAsia" w:cs="宋体"/>
          <w:color w:val="auto"/>
          <w:highlight w:val="none"/>
          <w:shd w:val="clear" w:color="auto" w:fill="auto"/>
          <w:lang w:val="en-US" w:eastAsia="zh-CN"/>
        </w:rPr>
        <w:t>。</w:t>
      </w:r>
    </w:p>
    <w:p w14:paraId="1C89DA8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14:paraId="47674B90">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480473081"/>
      <w:bookmarkStart w:id="13" w:name="_Toc22922"/>
      <w:bookmarkStart w:id="14" w:name="_Toc12868"/>
      <w:bookmarkStart w:id="15" w:name="_Toc21664"/>
      <w:bookmarkStart w:id="16" w:name="_Toc5462343"/>
      <w:bookmarkStart w:id="17" w:name="_Toc5258"/>
      <w:bookmarkStart w:id="18" w:name="_Toc2663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267932B6">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314BAE89">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3F73DDC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1E8980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年度我单位实施的博格达公交运营补贴</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开展部门绩效评价。</w:t>
      </w:r>
    </w:p>
    <w:p w14:paraId="09A595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05487BAF">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355840D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5B24C6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博格达公交运营补贴</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20242FC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70DD1D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60135B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6A7E5F6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08D82F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03902BCA">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19984722"/>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2CC552D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9371B36">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4"/>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3164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FD727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13222B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387D11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7F7A0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7FB3C4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3F203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ED233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D4327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3B5B00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653326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66540A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609988E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93E1CA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53A624B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2454B8C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E9EF08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88EAA0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42B8C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22AA565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6F55D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4FE8E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00A115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CB4B4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06A7A4E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97204A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675F616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13F1EB6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6076F8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3DE2EDD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FA08F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2EA53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08FC2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1A3A1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2D7F781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490287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2642F9C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535AD43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67BC4F3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21828EE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FACD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1629B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826EA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94B94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CF77F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1C7680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D1343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BC8C9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08C74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13BD75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59ACE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CEEECA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1F6BF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CB6F4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330FA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2CA517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300E2F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822CE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3DD11A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486FEF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742CA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4872B9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ACBDF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DD9A5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4C357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3AA265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27B3A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0BC725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DECA4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60984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2DA05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41B4FA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59309F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F5595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756597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B995F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6B9427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2AB0A1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6C85C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5BFB245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25411D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F2DDC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52F994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75C057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48D8B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A0E2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0247B0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FB334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1BCFB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7D8F3D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AAF05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097863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2159D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2F0213A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300C3A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63461D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DB9A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362972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D2372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7B165C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70932C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649935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57BF97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A3982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09B19B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2AC53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95346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C0D92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E8614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ED78C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61E70E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69CE96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A842F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73A9E6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62F1D3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40D73F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6F9D2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9DC3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67924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72465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BAD9F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006603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73A6AC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634E9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45143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E11DA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4AE88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26CC65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5B8301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47CD69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18D836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20218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E792A9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5D50DE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4EC21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43A7A0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5B03E6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44C4C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5662B0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B1FC4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C31A8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132EF3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347F66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0BE569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561250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6F27C7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195910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5EDD31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05C220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51DE88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5729B22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5D8A08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209447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75358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13A25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41B8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3EEA32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312067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33CB35D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11EB500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与实施情况进行比较，以及采取公众问卷及抽样调查等方式进行评判的方法对博格达公交运营补贴</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进行评价。</w:t>
      </w:r>
    </w:p>
    <w:p w14:paraId="6957D4A3">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3A9120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0B60C1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3FBA9F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51D19C9">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4ADAA10A">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17ABD4F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22DA510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615DCF4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64ACAB3B">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00A2CE9">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博格达公交运营补贴项目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1C4FB6A5">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09AD1FA2">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A33C9CF">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0A14380A">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5BB2A44C">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06685DBB">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9B480F6">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423AF3B2">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3BF6828E">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42B51BD6">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49A73A00">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5705F938">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7B82A669">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2CBAC4D2">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6BA48FF7">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5290B643">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1721728D">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BA105C3">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49B9E03B">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16AB0A8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0C1E2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博格达公交运营补贴项目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4"/>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A3D80B6">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7A05A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博格达公交运营补贴项目</w:t>
            </w:r>
            <w:r>
              <w:rPr>
                <w:rFonts w:hint="eastAsia" w:ascii="宋体" w:hAnsi="宋体" w:eastAsia="宋体" w:cs="宋体"/>
                <w:b/>
                <w:bCs/>
                <w:color w:val="auto"/>
                <w:kern w:val="0"/>
                <w:sz w:val="28"/>
                <w:szCs w:val="28"/>
                <w:highlight w:val="none"/>
                <w:shd w:val="clear" w:color="auto" w:fill="auto"/>
                <w:lang w:val="en-US" w:eastAsia="zh-CN"/>
              </w:rPr>
              <w:t>得分表</w:t>
            </w:r>
          </w:p>
        </w:tc>
      </w:tr>
      <w:tr w14:paraId="7904E55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2C2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A83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615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BAF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90E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502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1B6C15B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60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9B8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7CF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601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29A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B11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r>
      <w:tr w14:paraId="7636589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FF7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F67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C3A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85E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C6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0EE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p>
        </w:tc>
      </w:tr>
      <w:tr w14:paraId="5406A4A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AC2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31B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1EA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5A2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C31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B19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03795BC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0B6E035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7794749B">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254636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4"/>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21A7A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427EF6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19C25B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37DC2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573BAA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66732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13C50D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13AC1E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B29A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57391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336843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527690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274122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233FAB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48AA09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6AC28D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F347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406FB3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A325A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0DA47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762CDF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1C62A7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42C390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54333C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2.8</w:t>
            </w:r>
          </w:p>
        </w:tc>
      </w:tr>
      <w:tr w14:paraId="208E93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29D052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721D6C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706C7E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1BE8B3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297896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74D6B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3FFFF8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4CD1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4BBBC1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54A95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73053F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37FFFB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3D000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3ADCD6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2C11CC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BDD7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CCD0E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36C1FA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7514AD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3D9437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241CF0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4E64D6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629C47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0E96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38A93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3CF745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7A9A26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559B80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520077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61B3B6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1CEA4C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EA89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139BE3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505439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1E02A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42B93E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771C3A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r>
    </w:tbl>
    <w:p w14:paraId="2B73B92D">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148BF61B">
      <w:pPr>
        <w:bidi w:val="0"/>
        <w:rPr>
          <w:rFonts w:hint="eastAsia"/>
          <w:color w:val="auto"/>
          <w:highlight w:val="none"/>
          <w:lang w:val="en-US" w:eastAsia="zh-CN"/>
        </w:rPr>
      </w:pPr>
      <w:r>
        <w:rPr>
          <w:rFonts w:hint="eastAsia"/>
          <w:color w:val="auto"/>
          <w:highlight w:val="none"/>
          <w:lang w:val="en-US" w:eastAsia="zh-CN"/>
        </w:rPr>
        <w:t>①项目立项</w:t>
      </w:r>
      <w:r>
        <w:rPr>
          <w:rFonts w:hint="eastAsia"/>
          <w:color w:val="auto"/>
          <w:highlight w:val="none"/>
          <w:lang w:eastAsia="zh-CN"/>
        </w:rPr>
        <w:t>主要依据有《中华人民共和国招标投标法》 《国家发展改革委关于印发审批地方政府投资项目有关规定（暂行）的通知》 《国务院办公厅关于加强和规范新开工项目管理的通知》；</w:t>
      </w:r>
    </w:p>
    <w:p w14:paraId="21374045">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阜康市交通</w:t>
      </w:r>
      <w:r>
        <w:rPr>
          <w:rFonts w:hint="eastAsia"/>
          <w:color w:val="auto"/>
          <w:highlight w:val="none"/>
          <w:lang w:eastAsia="zh-CN"/>
        </w:rPr>
        <w:t>行业发展规划和</w:t>
      </w:r>
      <w:r>
        <w:rPr>
          <w:rFonts w:hint="eastAsia"/>
          <w:color w:val="auto"/>
          <w:highlight w:val="none"/>
          <w:lang w:val="en-US" w:eastAsia="zh-CN"/>
        </w:rPr>
        <w:t>城市公共交通健康可持续发展</w:t>
      </w:r>
      <w:r>
        <w:rPr>
          <w:rFonts w:hint="eastAsia"/>
          <w:color w:val="auto"/>
          <w:highlight w:val="none"/>
          <w:lang w:eastAsia="zh-CN"/>
        </w:rPr>
        <w:t>政策要求；</w:t>
      </w:r>
    </w:p>
    <w:p w14:paraId="50261E2B">
      <w:pPr>
        <w:bidi w:val="0"/>
        <w:rPr>
          <w:rFonts w:hint="eastAsia"/>
          <w:color w:val="auto"/>
          <w:highlight w:val="none"/>
          <w:lang w:eastAsia="zh-CN"/>
        </w:rPr>
      </w:pPr>
      <w:r>
        <w:rPr>
          <w:rFonts w:hint="eastAsia"/>
          <w:color w:val="auto"/>
          <w:highlight w:val="none"/>
          <w:lang w:eastAsia="zh-CN"/>
        </w:rPr>
        <w:t>③项目立项与阜康市交通运输局承担阜康市农村公路建设、管理、养护以及城市客运管理工作，2022年为保障阜康市城市公共交通正常运行，补贴公交线路8条，维持线路正常运行，通过对博格达公交公司补贴，能够有效维持线路正常运行数，属于部门履职所需；</w:t>
      </w:r>
    </w:p>
    <w:p w14:paraId="4B22D4AF">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567907CA">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197CD659">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55CBE402">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62762102">
      <w:pPr>
        <w:bidi w:val="0"/>
        <w:rPr>
          <w:rFonts w:hint="eastAsia"/>
          <w:color w:val="auto"/>
          <w:highlight w:val="none"/>
          <w:lang w:eastAsia="zh-CN"/>
        </w:rPr>
      </w:pPr>
      <w:r>
        <w:rPr>
          <w:rFonts w:hint="eastAsia"/>
          <w:color w:val="auto"/>
          <w:highlight w:val="none"/>
          <w:lang w:eastAsia="zh-CN"/>
        </w:rPr>
        <w:t>①项目按照规定的程序申请设立；</w:t>
      </w:r>
    </w:p>
    <w:p w14:paraId="7E9CA1B7">
      <w:pPr>
        <w:bidi w:val="0"/>
        <w:rPr>
          <w:rFonts w:hint="eastAsia"/>
          <w:color w:val="auto"/>
          <w:highlight w:val="none"/>
          <w:lang w:eastAsia="zh-CN"/>
        </w:rPr>
      </w:pPr>
      <w:r>
        <w:rPr>
          <w:rFonts w:hint="eastAsia"/>
          <w:color w:val="auto"/>
          <w:highlight w:val="none"/>
          <w:lang w:eastAsia="zh-CN"/>
        </w:rPr>
        <w:t>②审批文件、材料符合相关要求；</w:t>
      </w:r>
    </w:p>
    <w:p w14:paraId="04858DBA">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w:t>
      </w:r>
      <w:r>
        <w:rPr>
          <w:rFonts w:hint="eastAsia"/>
          <w:color w:val="auto"/>
          <w:highlight w:val="none"/>
          <w:lang w:val="en-US" w:eastAsia="zh-CN"/>
        </w:rPr>
        <w:t>有</w:t>
      </w:r>
      <w:r>
        <w:rPr>
          <w:rFonts w:hint="eastAsia"/>
          <w:color w:val="auto"/>
          <w:highlight w:val="none"/>
          <w:lang w:eastAsia="zh-CN"/>
        </w:rPr>
        <w:t>专家论证、风险评估、绩效评估、集体决策，</w:t>
      </w:r>
      <w:r>
        <w:rPr>
          <w:rFonts w:hint="eastAsia"/>
          <w:color w:val="auto"/>
          <w:highlight w:val="none"/>
          <w:lang w:val="en-US" w:eastAsia="zh-CN"/>
        </w:rPr>
        <w:t>扣1分</w:t>
      </w:r>
      <w:r>
        <w:rPr>
          <w:rFonts w:hint="eastAsia"/>
          <w:color w:val="auto"/>
          <w:highlight w:val="none"/>
          <w:lang w:eastAsia="zh-CN"/>
        </w:rPr>
        <w:t>。</w:t>
      </w:r>
    </w:p>
    <w:p w14:paraId="7F93188F">
      <w:pPr>
        <w:bidi w:val="0"/>
        <w:rPr>
          <w:rFonts w:hint="eastAsia"/>
          <w:color w:val="auto"/>
          <w:highlight w:val="none"/>
          <w:lang w:eastAsia="zh-CN"/>
        </w:rPr>
      </w:pPr>
      <w:r>
        <w:rPr>
          <w:rFonts w:hint="eastAsia"/>
          <w:b/>
          <w:bCs/>
          <w:color w:val="auto"/>
          <w:highlight w:val="none"/>
          <w:lang w:val="en-US" w:eastAsia="zh-CN"/>
        </w:rPr>
        <w:t>综上，该项指标满分3分，得分2.8分。</w:t>
      </w:r>
    </w:p>
    <w:p w14:paraId="061736DE">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2704E87C">
      <w:pPr>
        <w:bidi w:val="0"/>
        <w:rPr>
          <w:rFonts w:hint="eastAsia"/>
          <w:color w:val="auto"/>
          <w:lang w:eastAsia="zh-CN"/>
        </w:rPr>
      </w:pPr>
      <w:r>
        <w:rPr>
          <w:rFonts w:hint="eastAsia"/>
          <w:color w:val="auto"/>
          <w:lang w:eastAsia="zh-CN"/>
        </w:rPr>
        <w:t>①项目有绩效目标；</w:t>
      </w:r>
    </w:p>
    <w:p w14:paraId="52744F02">
      <w:pPr>
        <w:bidi w:val="0"/>
        <w:rPr>
          <w:rFonts w:hint="eastAsia"/>
          <w:color w:val="auto"/>
          <w:lang w:eastAsia="zh-CN"/>
        </w:rPr>
      </w:pPr>
      <w:r>
        <w:rPr>
          <w:rFonts w:hint="eastAsia"/>
          <w:color w:val="auto"/>
          <w:lang w:eastAsia="zh-CN"/>
        </w:rPr>
        <w:t>②项目绩效目标与实际工作内容具有相关性；</w:t>
      </w:r>
    </w:p>
    <w:p w14:paraId="3A3DB54F">
      <w:pPr>
        <w:bidi w:val="0"/>
        <w:rPr>
          <w:rFonts w:hint="eastAsia"/>
          <w:color w:val="auto"/>
          <w:lang w:eastAsia="zh-CN"/>
        </w:rPr>
      </w:pPr>
      <w:r>
        <w:rPr>
          <w:rFonts w:hint="eastAsia"/>
          <w:color w:val="auto"/>
          <w:lang w:eastAsia="zh-CN"/>
        </w:rPr>
        <w:t>③项目预期产出效益和效果符合正常的业绩水平；</w:t>
      </w:r>
    </w:p>
    <w:p w14:paraId="2A75E7A8">
      <w:pPr>
        <w:bidi w:val="0"/>
        <w:rPr>
          <w:rFonts w:hint="eastAsia"/>
          <w:color w:val="auto"/>
          <w:lang w:eastAsia="zh-CN"/>
        </w:rPr>
      </w:pPr>
      <w:r>
        <w:rPr>
          <w:rFonts w:hint="eastAsia"/>
          <w:color w:val="auto"/>
          <w:lang w:eastAsia="zh-CN"/>
        </w:rPr>
        <w:t>④与预算确定的项目投资额或资金量相匹配。</w:t>
      </w:r>
    </w:p>
    <w:p w14:paraId="4F476946">
      <w:pPr>
        <w:bidi w:val="0"/>
        <w:rPr>
          <w:rFonts w:hint="eastAsia"/>
          <w:color w:val="auto"/>
          <w:highlight w:val="none"/>
          <w:lang w:eastAsia="zh-CN"/>
        </w:rPr>
      </w:pPr>
      <w:r>
        <w:rPr>
          <w:rFonts w:hint="eastAsia"/>
          <w:b/>
          <w:bCs/>
          <w:color w:val="auto"/>
          <w:lang w:val="en-US" w:eastAsia="zh-CN"/>
        </w:rPr>
        <w:t>综</w:t>
      </w:r>
      <w:r>
        <w:rPr>
          <w:rFonts w:hint="eastAsia"/>
          <w:b/>
          <w:bCs/>
          <w:color w:val="auto"/>
          <w:highlight w:val="none"/>
          <w:lang w:val="en-US" w:eastAsia="zh-CN"/>
        </w:rPr>
        <w:t>上，该项指标满分5分，得分5分。</w:t>
      </w:r>
    </w:p>
    <w:p w14:paraId="4F996786">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0BE792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个二级指标和</w:t>
      </w:r>
      <w:r>
        <w:rPr>
          <w:rFonts w:hint="eastAsia" w:cs="宋体"/>
          <w:color w:val="auto"/>
          <w:highlight w:val="none"/>
          <w:shd w:val="clear" w:color="auto" w:fill="auto"/>
          <w:lang w:val="en-US" w:eastAsia="zh-CN"/>
        </w:rPr>
        <w:t>7</w:t>
      </w:r>
      <w:r>
        <w:rPr>
          <w:rFonts w:hint="eastAsia" w:ascii="宋体" w:hAnsi="宋体" w:eastAsia="宋体" w:cs="宋体"/>
          <w:color w:val="auto"/>
          <w:highlight w:val="none"/>
          <w:shd w:val="clear" w:color="auto" w:fill="auto"/>
          <w:lang w:val="en-US" w:eastAsia="zh-CN"/>
        </w:rPr>
        <w:t>个三级指标构成</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数量指标</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质量指标</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成本指标</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社会效益指标</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14:paraId="778FA45F">
      <w:pPr>
        <w:bidi w:val="0"/>
        <w:rPr>
          <w:rFonts w:hint="default"/>
          <w:color w:val="auto"/>
          <w:highlight w:val="none"/>
          <w:lang w:val="en-US" w:eastAsia="zh-CN"/>
        </w:rPr>
      </w:pPr>
      <w:r>
        <w:rPr>
          <w:rFonts w:hint="eastAsia"/>
          <w:color w:val="auto"/>
          <w:highlight w:val="none"/>
          <w:lang w:eastAsia="zh-CN"/>
        </w:rPr>
        <w:t>②通过清晰、可衡量的指标值予以体现；</w:t>
      </w:r>
      <w:r>
        <w:rPr>
          <w:rFonts w:hint="eastAsia"/>
          <w:color w:val="auto"/>
          <w:highlight w:val="none"/>
          <w:lang w:val="en-US" w:eastAsia="zh-CN"/>
        </w:rPr>
        <w:t>量化率100%；</w:t>
      </w:r>
    </w:p>
    <w:p w14:paraId="5096559C">
      <w:pPr>
        <w:bidi w:val="0"/>
        <w:rPr>
          <w:rFonts w:hint="eastAsia"/>
          <w:color w:val="auto"/>
          <w:highlight w:val="none"/>
          <w:lang w:eastAsia="zh-CN"/>
        </w:rPr>
      </w:pPr>
      <w:r>
        <w:rPr>
          <w:rFonts w:hint="eastAsia"/>
          <w:color w:val="auto"/>
          <w:highlight w:val="none"/>
          <w:lang w:eastAsia="zh-CN"/>
        </w:rPr>
        <w:t>③与项目目标任务数或计划数相对应。</w:t>
      </w:r>
    </w:p>
    <w:p w14:paraId="180A268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62DDC92">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01355752">
      <w:pPr>
        <w:bidi w:val="0"/>
        <w:rPr>
          <w:rFonts w:hint="eastAsia"/>
          <w:color w:val="auto"/>
          <w:highlight w:val="none"/>
          <w:lang w:eastAsia="zh-CN"/>
        </w:rPr>
      </w:pPr>
      <w:r>
        <w:rPr>
          <w:rFonts w:hint="eastAsia"/>
          <w:color w:val="auto"/>
          <w:highlight w:val="none"/>
          <w:lang w:eastAsia="zh-CN"/>
        </w:rPr>
        <w:t>①预算编制经过科学论证；</w:t>
      </w:r>
    </w:p>
    <w:p w14:paraId="12E91C14">
      <w:pPr>
        <w:bidi w:val="0"/>
        <w:rPr>
          <w:rFonts w:hint="eastAsia"/>
          <w:color w:val="auto"/>
          <w:highlight w:val="none"/>
          <w:lang w:eastAsia="zh-CN"/>
        </w:rPr>
      </w:pPr>
      <w:r>
        <w:rPr>
          <w:rFonts w:hint="eastAsia"/>
          <w:color w:val="auto"/>
          <w:highlight w:val="none"/>
          <w:lang w:eastAsia="zh-CN"/>
        </w:rPr>
        <w:t>②预算内容与项目内容匹配；</w:t>
      </w:r>
    </w:p>
    <w:p w14:paraId="786C75F3">
      <w:pPr>
        <w:bidi w:val="0"/>
        <w:rPr>
          <w:rFonts w:hint="eastAsia"/>
          <w:color w:val="auto"/>
          <w:lang w:eastAsia="zh-CN"/>
        </w:rPr>
      </w:pPr>
      <w:r>
        <w:rPr>
          <w:rFonts w:hint="eastAsia"/>
          <w:color w:val="auto"/>
          <w:lang w:eastAsia="zh-CN"/>
        </w:rPr>
        <w:t>③预算额度测算依据充分，按照标准编制；</w:t>
      </w:r>
    </w:p>
    <w:p w14:paraId="4645B1E1">
      <w:pPr>
        <w:bidi w:val="0"/>
        <w:rPr>
          <w:rFonts w:hint="eastAsia"/>
          <w:color w:val="auto"/>
          <w:lang w:eastAsia="zh-CN"/>
        </w:rPr>
      </w:pPr>
      <w:r>
        <w:rPr>
          <w:rFonts w:hint="eastAsia"/>
          <w:color w:val="auto"/>
          <w:lang w:eastAsia="zh-CN"/>
        </w:rPr>
        <w:t>④预算确定的项目投资额或资金量与工作任务相匹配。</w:t>
      </w:r>
    </w:p>
    <w:p w14:paraId="1EE76236">
      <w:pPr>
        <w:bidi w:val="0"/>
        <w:rPr>
          <w:rFonts w:hint="eastAsia"/>
          <w:color w:val="auto"/>
          <w:lang w:eastAsia="zh-CN"/>
        </w:rPr>
      </w:pPr>
      <w:r>
        <w:rPr>
          <w:rFonts w:hint="eastAsia"/>
          <w:b/>
          <w:bCs/>
          <w:color w:val="auto"/>
          <w:lang w:val="en-US" w:eastAsia="zh-CN"/>
        </w:rPr>
        <w:t>综上，该项指标满分2分，得分2分。</w:t>
      </w:r>
    </w:p>
    <w:p w14:paraId="7B5BEB5B">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2D9E4F2D">
      <w:pPr>
        <w:bidi w:val="0"/>
        <w:rPr>
          <w:rFonts w:hint="eastAsia"/>
          <w:color w:val="auto"/>
          <w:lang w:eastAsia="zh-CN"/>
        </w:rPr>
      </w:pPr>
      <w:r>
        <w:rPr>
          <w:rFonts w:hint="eastAsia"/>
          <w:color w:val="auto"/>
          <w:lang w:eastAsia="zh-CN"/>
        </w:rPr>
        <w:t>①预算资金分配依据充分；</w:t>
      </w:r>
    </w:p>
    <w:p w14:paraId="6BC8C74D">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384DB752">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FA77F23">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75FC5FE3">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CA390E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4F0EF681">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9B12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56E8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F8E9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3454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8A0C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B824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41D7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5F32B46">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80EF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8785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28FD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8AA5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F5AA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27FD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7F6F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56314FD">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4E9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369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4182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5E50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350A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B672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ABB9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F9F6BEC">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DAAA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F536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FBBC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301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3204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D1A5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CCF5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23DD2D8">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FD92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4388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7C13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1AF0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6C4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4A3B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35DD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239EE1F">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9508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0B29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00DE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2BCC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5CB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9DFE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12A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9A72E47">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90F1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E2FF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D8C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EC98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85C5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247ADFAB">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31F61551">
      <w:pPr>
        <w:bidi w:val="0"/>
        <w:rPr>
          <w:rFonts w:hint="default"/>
          <w:b/>
          <w:bCs/>
          <w:color w:val="auto"/>
          <w:highlight w:val="none"/>
          <w:lang w:val="en-US" w:eastAsia="zh-CN"/>
        </w:rPr>
      </w:pPr>
      <w:r>
        <w:rPr>
          <w:rFonts w:hint="eastAsia"/>
          <w:color w:val="auto"/>
          <w:highlight w:val="none"/>
          <w:lang w:eastAsia="zh-CN"/>
        </w:rPr>
        <w:t>资金到位率=（977.45万元/977.45万元）</w:t>
      </w:r>
      <w:r>
        <w:rPr>
          <w:rFonts w:hint="eastAsia"/>
          <w:color w:val="auto"/>
          <w:highlight w:val="none"/>
          <w:lang w:val="en-US" w:eastAsia="zh-CN"/>
        </w:rPr>
        <w:t>=</w:t>
      </w:r>
      <w:r>
        <w:rPr>
          <w:rFonts w:hint="eastAsia"/>
          <w:color w:val="auto"/>
          <w:highlight w:val="none"/>
          <w:lang w:eastAsia="zh-CN"/>
        </w:rPr>
        <w:t>100%</w:t>
      </w:r>
    </w:p>
    <w:p w14:paraId="1A21C52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9858146">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3EB804C5">
      <w:pPr>
        <w:bidi w:val="0"/>
        <w:rPr>
          <w:rFonts w:hint="default"/>
          <w:color w:val="auto"/>
          <w:highlight w:val="none"/>
          <w:lang w:val="en-US" w:eastAsia="zh-CN"/>
        </w:rPr>
      </w:pPr>
      <w:r>
        <w:rPr>
          <w:rFonts w:hint="eastAsia"/>
          <w:color w:val="auto"/>
          <w:highlight w:val="none"/>
          <w:lang w:eastAsia="zh-CN"/>
        </w:rPr>
        <w:t>预算执行率=（977.45万元/977.45万元）</w:t>
      </w:r>
      <w:r>
        <w:rPr>
          <w:rFonts w:hint="eastAsia"/>
          <w:color w:val="auto"/>
          <w:highlight w:val="none"/>
          <w:lang w:val="en-US" w:eastAsia="zh-CN"/>
        </w:rPr>
        <w:t>=</w:t>
      </w:r>
      <w:r>
        <w:rPr>
          <w:rFonts w:hint="eastAsia"/>
          <w:color w:val="auto"/>
          <w:highlight w:val="none"/>
          <w:lang w:eastAsia="zh-CN"/>
        </w:rPr>
        <w:t>100%</w:t>
      </w:r>
    </w:p>
    <w:p w14:paraId="0D0F1A7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1CF359F">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34C48962">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符合国家关于印发《国务院关于推进中央地方财政权和支出责任划分改革的知道意见》的规定</w:t>
      </w:r>
      <w:r>
        <w:rPr>
          <w:rFonts w:hint="eastAsia"/>
          <w:color w:val="auto"/>
          <w:highlight w:val="none"/>
          <w:lang w:eastAsia="zh-CN"/>
        </w:rPr>
        <w:t>；</w:t>
      </w:r>
    </w:p>
    <w:p w14:paraId="60D2A2BD">
      <w:pPr>
        <w:bidi w:val="0"/>
        <w:rPr>
          <w:rFonts w:hint="eastAsia"/>
          <w:color w:val="auto"/>
          <w:highlight w:val="none"/>
          <w:lang w:eastAsia="zh-CN"/>
        </w:rPr>
      </w:pPr>
      <w:r>
        <w:rPr>
          <w:rFonts w:hint="eastAsia"/>
          <w:color w:val="auto"/>
          <w:highlight w:val="none"/>
          <w:lang w:eastAsia="zh-CN"/>
        </w:rPr>
        <w:t>②资金的拨付有完整的审批程序和手续；</w:t>
      </w:r>
    </w:p>
    <w:p w14:paraId="3B8BF74A">
      <w:pPr>
        <w:bidi w:val="0"/>
        <w:rPr>
          <w:rFonts w:hint="eastAsia"/>
          <w:color w:val="auto"/>
          <w:highlight w:val="none"/>
          <w:lang w:eastAsia="zh-CN"/>
        </w:rPr>
      </w:pPr>
      <w:r>
        <w:rPr>
          <w:rFonts w:hint="eastAsia"/>
          <w:color w:val="auto"/>
          <w:highlight w:val="none"/>
          <w:lang w:eastAsia="zh-CN"/>
        </w:rPr>
        <w:t>③符合项目预算批复或合同规定的用途；</w:t>
      </w:r>
    </w:p>
    <w:p w14:paraId="221B77D5">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19A43C4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04B3336">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1599FA49">
      <w:pPr>
        <w:bidi w:val="0"/>
        <w:rPr>
          <w:rFonts w:hint="eastAsia"/>
          <w:color w:val="auto"/>
          <w:highlight w:val="yellow"/>
          <w:lang w:eastAsia="zh-CN"/>
        </w:rPr>
      </w:pPr>
      <w:r>
        <w:rPr>
          <w:rFonts w:hint="eastAsia"/>
          <w:color w:val="auto"/>
          <w:highlight w:val="none"/>
          <w:lang w:eastAsia="zh-CN"/>
        </w:rPr>
        <w:t>①已制定《</w:t>
      </w:r>
      <w:r>
        <w:rPr>
          <w:rFonts w:hint="eastAsia"/>
          <w:color w:val="auto"/>
          <w:highlight w:val="none"/>
          <w:lang w:val="en-US" w:eastAsia="zh-CN"/>
        </w:rPr>
        <w:t>阜康市交通运输局</w:t>
      </w:r>
      <w:r>
        <w:rPr>
          <w:rFonts w:hint="eastAsia"/>
          <w:color w:val="auto"/>
          <w:highlight w:val="none"/>
          <w:lang w:eastAsia="zh-CN"/>
        </w:rPr>
        <w:t>财务管理制度》、《</w:t>
      </w:r>
      <w:r>
        <w:rPr>
          <w:rFonts w:hint="eastAsia"/>
          <w:color w:val="auto"/>
          <w:highlight w:val="none"/>
          <w:lang w:val="en-US" w:eastAsia="zh-CN"/>
        </w:rPr>
        <w:t>据阜康市交通运输局业务管理制度》结合上级文件开展工作，规范了资金制度，确保了各项资金使用的合理合规；</w:t>
      </w:r>
    </w:p>
    <w:p w14:paraId="22C2E5CD">
      <w:pPr>
        <w:bidi w:val="0"/>
        <w:rPr>
          <w:rFonts w:hint="eastAsia"/>
          <w:color w:val="auto"/>
          <w:lang w:eastAsia="zh-CN"/>
        </w:rPr>
      </w:pPr>
      <w:r>
        <w:rPr>
          <w:rFonts w:hint="eastAsia"/>
          <w:color w:val="auto"/>
          <w:highlight w:val="none"/>
          <w:lang w:eastAsia="zh-CN"/>
        </w:rPr>
        <w:t>②财务和业务管理制度合法、合规、完整。</w:t>
      </w:r>
    </w:p>
    <w:p w14:paraId="6A57FFAC">
      <w:pPr>
        <w:bidi w:val="0"/>
        <w:rPr>
          <w:rFonts w:hint="eastAsia"/>
          <w:color w:val="auto"/>
          <w:lang w:eastAsia="zh-CN"/>
        </w:rPr>
      </w:pPr>
      <w:r>
        <w:rPr>
          <w:rFonts w:hint="eastAsia"/>
          <w:b/>
          <w:bCs/>
          <w:color w:val="auto"/>
          <w:lang w:val="en-US" w:eastAsia="zh-CN"/>
        </w:rPr>
        <w:t>综上，该项指标满分4分，得分4分。</w:t>
      </w:r>
    </w:p>
    <w:p w14:paraId="5E5EF465">
      <w:pPr>
        <w:bidi w:val="0"/>
        <w:ind w:left="1403" w:leftChars="200" w:hanging="843" w:hangingChars="300"/>
        <w:outlineLvl w:val="2"/>
        <w:rPr>
          <w:rFonts w:hint="eastAsia"/>
          <w:b/>
          <w:bCs/>
          <w:color w:val="auto"/>
          <w:lang w:val="en-US" w:eastAsia="zh-CN"/>
        </w:rPr>
      </w:pPr>
      <w:bookmarkStart w:id="68" w:name="_Toc31684"/>
      <w:r>
        <w:rPr>
          <w:rFonts w:hint="eastAsia"/>
          <w:b/>
          <w:bCs/>
          <w:color w:val="auto"/>
          <w:lang w:val="en-US" w:eastAsia="zh-CN"/>
        </w:rPr>
        <w:t>5.制度执行有效性</w:t>
      </w:r>
      <w:bookmarkEnd w:id="68"/>
    </w:p>
    <w:p w14:paraId="4301632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0" w:firstLineChars="200"/>
        <w:textAlignment w:val="auto"/>
        <w:outlineLvl w:val="9"/>
        <w:rPr>
          <w:rFonts w:hint="eastAsia"/>
          <w:color w:val="auto"/>
          <w:highlight w:val="none"/>
          <w:lang w:eastAsia="zh-CN"/>
        </w:rPr>
      </w:pPr>
      <w:r>
        <w:rPr>
          <w:rFonts w:hint="eastAsia"/>
          <w:color w:val="auto"/>
          <w:highlight w:val="none"/>
          <w:lang w:eastAsia="zh-CN"/>
        </w:rPr>
        <w:t>①遵守相关法律法规和相关管理规定；</w:t>
      </w:r>
    </w:p>
    <w:p w14:paraId="36C405A6">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不涉及</w:t>
      </w:r>
      <w:r>
        <w:rPr>
          <w:rFonts w:hint="eastAsia"/>
          <w:color w:val="auto"/>
          <w:highlight w:val="none"/>
          <w:lang w:eastAsia="zh-CN"/>
        </w:rPr>
        <w:t>调整；</w:t>
      </w:r>
    </w:p>
    <w:p w14:paraId="2C105E76">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阜康市交通运输局《关于将阜康市市政公交PPP项目可行性缺口补助支出分年度列入财政预算的通知》（阜财经办字[2017]121号），</w:t>
      </w:r>
      <w:r>
        <w:rPr>
          <w:rFonts w:hint="eastAsia"/>
          <w:color w:val="auto"/>
          <w:highlight w:val="none"/>
          <w:lang w:eastAsia="zh-CN"/>
        </w:rPr>
        <w:t>项目合同书、验收报告、技术鉴定等资料齐全并及时归档；</w:t>
      </w:r>
    </w:p>
    <w:p w14:paraId="732022D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0" w:firstLineChars="200"/>
        <w:textAlignment w:val="auto"/>
        <w:outlineLvl w:val="9"/>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博格达公交运公司</w:t>
      </w:r>
      <w:r>
        <w:rPr>
          <w:rFonts w:hint="eastAsia"/>
          <w:color w:val="auto"/>
          <w:highlight w:val="none"/>
          <w:lang w:eastAsia="zh-CN"/>
        </w:rPr>
        <w:t>项目实施人员条件、场地设备、信息支撑等落实到位。</w:t>
      </w:r>
      <w:r>
        <w:rPr>
          <w:rFonts w:hint="eastAsia"/>
          <w:color w:val="auto"/>
          <w:highlight w:val="none"/>
          <w:lang w:val="en-US" w:eastAsia="zh-CN"/>
        </w:rPr>
        <w:t>阜康市</w:t>
      </w:r>
      <w:r>
        <w:rPr>
          <w:rFonts w:hint="default"/>
          <w:color w:val="auto"/>
          <w:highlight w:val="none"/>
          <w:lang w:val="en-US" w:eastAsia="zh-CN"/>
        </w:rPr>
        <w:t>博格达公交</w:t>
      </w:r>
      <w:r>
        <w:rPr>
          <w:rFonts w:hint="eastAsia"/>
          <w:color w:val="auto"/>
          <w:highlight w:val="none"/>
          <w:lang w:val="en-US" w:eastAsia="zh-CN"/>
        </w:rPr>
        <w:t>有限责任</w:t>
      </w:r>
      <w:r>
        <w:rPr>
          <w:rFonts w:hint="default"/>
          <w:color w:val="auto"/>
          <w:highlight w:val="none"/>
          <w:lang w:val="en-US" w:eastAsia="zh-CN"/>
        </w:rPr>
        <w:t>公司实际运营线路8条，</w:t>
      </w:r>
      <w:r>
        <w:rPr>
          <w:rFonts w:hint="eastAsia"/>
          <w:color w:val="auto"/>
          <w:highlight w:val="none"/>
          <w:lang w:val="en-US" w:eastAsia="zh-CN"/>
        </w:rPr>
        <w:t>现</w:t>
      </w:r>
      <w:r>
        <w:rPr>
          <w:rFonts w:hint="default"/>
          <w:color w:val="auto"/>
          <w:highlight w:val="none"/>
          <w:lang w:val="en-US" w:eastAsia="zh-CN"/>
        </w:rPr>
        <w:t>有公交车</w:t>
      </w:r>
      <w:r>
        <w:rPr>
          <w:rFonts w:hint="eastAsia"/>
          <w:color w:val="auto"/>
          <w:highlight w:val="none"/>
          <w:lang w:val="en-US" w:eastAsia="zh-CN"/>
        </w:rPr>
        <w:t>56</w:t>
      </w:r>
      <w:r>
        <w:rPr>
          <w:rFonts w:hint="default"/>
          <w:color w:val="auto"/>
          <w:highlight w:val="none"/>
          <w:lang w:val="en-US" w:eastAsia="zh-CN"/>
        </w:rPr>
        <w:t>辆</w:t>
      </w:r>
      <w:r>
        <w:rPr>
          <w:rFonts w:hint="eastAsia"/>
          <w:color w:val="auto"/>
          <w:highlight w:val="none"/>
          <w:lang w:val="en-US" w:eastAsia="zh-CN"/>
        </w:rPr>
        <w:t>，</w:t>
      </w:r>
      <w:r>
        <w:rPr>
          <w:rFonts w:hint="default"/>
          <w:color w:val="auto"/>
          <w:highlight w:val="none"/>
          <w:lang w:val="en-US" w:eastAsia="zh-CN"/>
        </w:rPr>
        <w:t>其中新能源公交车36辆，燃气公交车</w:t>
      </w:r>
      <w:r>
        <w:rPr>
          <w:rFonts w:hint="eastAsia"/>
          <w:color w:val="auto"/>
          <w:highlight w:val="none"/>
          <w:lang w:val="en-US" w:eastAsia="zh-CN"/>
        </w:rPr>
        <w:t>20</w:t>
      </w:r>
      <w:r>
        <w:rPr>
          <w:rFonts w:hint="default"/>
          <w:color w:val="auto"/>
          <w:highlight w:val="none"/>
          <w:lang w:val="en-US" w:eastAsia="zh-CN"/>
        </w:rPr>
        <w:t>辆，</w:t>
      </w:r>
      <w:r>
        <w:rPr>
          <w:rFonts w:hint="eastAsia"/>
          <w:color w:val="auto"/>
          <w:highlight w:val="none"/>
          <w:lang w:val="en-US" w:eastAsia="zh-CN"/>
        </w:rPr>
        <w:t>公交车驾驶员54人</w:t>
      </w:r>
      <w:r>
        <w:rPr>
          <w:rFonts w:hint="default"/>
          <w:color w:val="auto"/>
          <w:highlight w:val="none"/>
          <w:lang w:val="en-US" w:eastAsia="zh-CN"/>
        </w:rPr>
        <w:t>每日实际</w:t>
      </w:r>
      <w:r>
        <w:rPr>
          <w:rFonts w:hint="eastAsia"/>
          <w:color w:val="auto"/>
          <w:highlight w:val="none"/>
          <w:lang w:val="en-US" w:eastAsia="zh-CN"/>
        </w:rPr>
        <w:t>在线</w:t>
      </w:r>
      <w:r>
        <w:rPr>
          <w:rFonts w:hint="default"/>
          <w:color w:val="auto"/>
          <w:highlight w:val="none"/>
          <w:lang w:val="en-US" w:eastAsia="zh-CN"/>
        </w:rPr>
        <w:t>运营车辆约45辆</w:t>
      </w:r>
      <w:r>
        <w:rPr>
          <w:rFonts w:hint="eastAsia"/>
          <w:color w:val="auto"/>
          <w:highlight w:val="none"/>
          <w:lang w:val="en-US" w:eastAsia="zh-CN"/>
        </w:rPr>
        <w:t>。</w:t>
      </w:r>
    </w:p>
    <w:p w14:paraId="12FC89E6">
      <w:pPr>
        <w:bidi w:val="0"/>
        <w:rPr>
          <w:rFonts w:hint="eastAsia"/>
          <w:color w:val="auto"/>
          <w:lang w:eastAsia="zh-CN"/>
        </w:rPr>
      </w:pPr>
      <w:r>
        <w:rPr>
          <w:rFonts w:hint="eastAsia"/>
          <w:b/>
          <w:bCs/>
          <w:color w:val="auto"/>
          <w:lang w:val="en-US" w:eastAsia="zh-CN"/>
        </w:rPr>
        <w:t>综上，该项指标满分4分，得分4分。</w:t>
      </w:r>
    </w:p>
    <w:p w14:paraId="6EF61995">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249B33A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tbl>
      <w:tblPr>
        <w:tblStyle w:val="14"/>
        <w:tblpPr w:leftFromText="180" w:rightFromText="180" w:vertAnchor="text" w:horzAnchor="page" w:tblpX="1799" w:tblpY="534"/>
        <w:tblOverlap w:val="never"/>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6EA43D5">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0CA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322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F2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55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A50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7D1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2C0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85D59AD">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B96A0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9A6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15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补贴公交线路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40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490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55C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C56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9CA1003">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70AC9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669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A20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项目补贴考核达标率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63D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33A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899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98%</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612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B7AC5BF">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67501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8AB3C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F92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补贴发放及时率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54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941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E47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D0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1ED2E47">
        <w:tblPrEx>
          <w:tblCellMar>
            <w:top w:w="0" w:type="dxa"/>
            <w:left w:w="0" w:type="dxa"/>
            <w:bottom w:w="0" w:type="dxa"/>
            <w:right w:w="0" w:type="dxa"/>
          </w:tblCellMar>
        </w:tblPrEx>
        <w:trPr>
          <w:trHeight w:val="410"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EF3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C41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A5C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补贴发放完成时间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0DF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2023年12月31日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77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0B0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2023年12月31日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C13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A98343F">
        <w:tblPrEx>
          <w:tblCellMar>
            <w:top w:w="0" w:type="dxa"/>
            <w:left w:w="0" w:type="dxa"/>
            <w:bottom w:w="0" w:type="dxa"/>
            <w:right w:w="0" w:type="dxa"/>
          </w:tblCellMar>
        </w:tblPrEx>
        <w:trPr>
          <w:trHeight w:val="410" w:hRule="atLeast"/>
        </w:trPr>
        <w:tc>
          <w:tcPr>
            <w:tcW w:w="634"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BBA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928"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67E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A78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补贴公交运营线路单位成本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63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≤122.18万元/条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0E3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82D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≤122.18万元/条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BE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1220576">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1C0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583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BEC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8A9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30</w:t>
            </w:r>
          </w:p>
        </w:tc>
      </w:tr>
    </w:tbl>
    <w:p w14:paraId="030FFB2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p w14:paraId="2D4420B4">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0B7FB773">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补贴公交线路</w:t>
      </w:r>
      <w:r>
        <w:rPr>
          <w:rFonts w:hint="eastAsia"/>
          <w:color w:val="auto"/>
          <w:highlight w:val="none"/>
          <w:lang w:eastAsia="zh-CN"/>
        </w:rPr>
        <w:t>”</w:t>
      </w:r>
      <w:r>
        <w:rPr>
          <w:rFonts w:hint="eastAsia" w:ascii="宋体" w:hAnsi="宋体" w:eastAsia="宋体" w:cs="宋体"/>
          <w:color w:val="auto"/>
          <w:highlight w:val="none"/>
          <w:lang w:val="en-US" w:eastAsia="zh-CN"/>
        </w:rPr>
        <w:t>指标</w:t>
      </w:r>
      <w:r>
        <w:rPr>
          <w:rFonts w:hint="eastAsia"/>
          <w:color w:val="auto"/>
          <w:highlight w:val="none"/>
          <w:lang w:val="en-US" w:eastAsia="zh-CN"/>
        </w:rPr>
        <w:t>，预期指标值为8条，实际完成为8条。实际完成率=100%</w:t>
      </w:r>
    </w:p>
    <w:p w14:paraId="2979F7AC">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0CC281CC">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647C8875">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项目补贴考核达标率</w:t>
      </w:r>
      <w:r>
        <w:rPr>
          <w:rFonts w:hint="eastAsia"/>
          <w:color w:val="auto"/>
          <w:highlight w:val="none"/>
          <w:lang w:eastAsia="zh-CN"/>
        </w:rPr>
        <w:t>”</w:t>
      </w:r>
      <w:r>
        <w:rPr>
          <w:rFonts w:hint="eastAsia" w:ascii="宋体" w:hAnsi="宋体" w:eastAsia="宋体" w:cs="宋体"/>
          <w:color w:val="auto"/>
          <w:highlight w:val="none"/>
          <w:lang w:val="en-US" w:eastAsia="zh-CN"/>
        </w:rPr>
        <w:t>指标</w:t>
      </w:r>
      <w:r>
        <w:rPr>
          <w:rFonts w:hint="eastAsia"/>
          <w:color w:val="auto"/>
          <w:highlight w:val="none"/>
          <w:lang w:val="en-US" w:eastAsia="zh-CN"/>
        </w:rPr>
        <w:t>，预期指标值为</w:t>
      </w:r>
      <w:r>
        <w:rPr>
          <w:rFonts w:hint="eastAsia" w:ascii="宋体" w:hAnsi="宋体" w:eastAsia="宋体" w:cs="宋体"/>
          <w:color w:val="auto"/>
          <w:highlight w:val="none"/>
          <w:lang w:val="en-US" w:eastAsia="zh-CN"/>
        </w:rPr>
        <w:t>≥95%</w:t>
      </w:r>
      <w:r>
        <w:rPr>
          <w:rFonts w:hint="eastAsia"/>
          <w:color w:val="auto"/>
          <w:highlight w:val="none"/>
          <w:lang w:val="en-US" w:eastAsia="zh-CN"/>
        </w:rPr>
        <w:t>，实际完成为98%。实际完成率=100%</w:t>
      </w:r>
    </w:p>
    <w:p w14:paraId="1AF1CC9E">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D5F7B6C">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1D2DC982">
      <w:pPr>
        <w:bidi w:val="0"/>
        <w:rPr>
          <w:rFonts w:hint="eastAsia" w:ascii="宋体" w:hAnsi="宋体" w:eastAsia="宋体" w:cs="宋体"/>
          <w:color w:val="auto"/>
          <w:highlight w:val="none"/>
          <w:lang w:val="en-US" w:eastAsia="zh-CN"/>
        </w:rPr>
      </w:pPr>
      <w:bookmarkStart w:id="73" w:name="_Toc32765"/>
      <w:r>
        <w:rPr>
          <w:rFonts w:hint="eastAsia" w:ascii="宋体" w:hAnsi="宋体" w:eastAsia="宋体" w:cs="宋体"/>
          <w:color w:val="auto"/>
          <w:highlight w:val="none"/>
          <w:lang w:val="en-US" w:eastAsia="zh-CN"/>
        </w:rPr>
        <w:t>“补贴发放及时率”指标，预期指标值为100%，实际完成为100%。实际完成率=100%</w:t>
      </w:r>
    </w:p>
    <w:p w14:paraId="34D3F7E9">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“补贴发放完成时间”指标，预期指标值为2023年12月31日，实际完成为2023年12月31日。</w:t>
      </w:r>
    </w:p>
    <w:p w14:paraId="415FBB99">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77BCA64D">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4.项目完成成本</w:t>
      </w:r>
    </w:p>
    <w:p w14:paraId="3AED55DE">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“成本指标”指标，预期目标值为≤122.18万元/条，实际完成为≤122.18万元/条。</w:t>
      </w:r>
    </w:p>
    <w:p w14:paraId="78381B3C">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bookmarkEnd w:id="73"/>
    <w:p w14:paraId="3264B66D">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64FE7898">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357C089">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7890748">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7608A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0A786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C19D8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FB8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997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08EE63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70F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04C13D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827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4A3F26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E11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7DBC3F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79C4D53">
        <w:tblPrEx>
          <w:tblCellMar>
            <w:top w:w="0" w:type="dxa"/>
            <w:left w:w="0" w:type="dxa"/>
            <w:bottom w:w="0" w:type="dxa"/>
            <w:right w:w="0" w:type="dxa"/>
          </w:tblCellMar>
        </w:tblPrEx>
        <w:trPr>
          <w:trHeight w:val="436" w:hRule="atLeast"/>
          <w:jc w:val="center"/>
        </w:trPr>
        <w:tc>
          <w:tcPr>
            <w:tcW w:w="685" w:type="dxa"/>
            <w:tcBorders>
              <w:left w:val="single" w:color="auto" w:sz="4" w:space="0"/>
              <w:right w:val="single" w:color="000000" w:sz="4" w:space="0"/>
            </w:tcBorders>
            <w:shd w:val="clear" w:color="auto" w:fill="auto"/>
            <w:tcMar>
              <w:top w:w="15" w:type="dxa"/>
              <w:left w:w="15" w:type="dxa"/>
              <w:right w:w="15" w:type="dxa"/>
            </w:tcMar>
            <w:vAlign w:val="center"/>
          </w:tcPr>
          <w:p w14:paraId="518543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效益指标</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8E7B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061E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维持线路正常运行数</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DB4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BD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CF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8条</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591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77FBA416">
        <w:tblPrEx>
          <w:tblCellMar>
            <w:top w:w="0" w:type="dxa"/>
            <w:left w:w="0" w:type="dxa"/>
            <w:bottom w:w="0" w:type="dxa"/>
            <w:right w:w="0" w:type="dxa"/>
          </w:tblCellMar>
        </w:tblPrEx>
        <w:trPr>
          <w:trHeight w:val="436" w:hRule="atLeast"/>
          <w:jc w:val="center"/>
        </w:trPr>
        <w:tc>
          <w:tcPr>
            <w:tcW w:w="685" w:type="dxa"/>
            <w:tcBorders>
              <w:left w:val="single" w:color="auto" w:sz="4" w:space="0"/>
              <w:right w:val="single" w:color="000000" w:sz="4" w:space="0"/>
            </w:tcBorders>
            <w:shd w:val="clear" w:color="auto" w:fill="auto"/>
            <w:tcMar>
              <w:top w:w="15" w:type="dxa"/>
              <w:left w:w="15" w:type="dxa"/>
              <w:right w:w="15" w:type="dxa"/>
            </w:tcMar>
            <w:vAlign w:val="center"/>
          </w:tcPr>
          <w:p w14:paraId="195D72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CCC5C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693D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市民满意度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C5C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60C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80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816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6B2C3C66">
        <w:tblPrEx>
          <w:tblCellMar>
            <w:top w:w="0" w:type="dxa"/>
            <w:left w:w="0" w:type="dxa"/>
            <w:bottom w:w="0" w:type="dxa"/>
            <w:right w:w="0" w:type="dxa"/>
          </w:tblCellMar>
        </w:tblPrEx>
        <w:trPr>
          <w:trHeight w:val="436" w:hRule="atLeast"/>
          <w:jc w:val="center"/>
        </w:trPr>
        <w:tc>
          <w:tcPr>
            <w:tcW w:w="6024" w:type="dxa"/>
            <w:gridSpan w:val="4"/>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AB92D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251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C20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51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C6E2057">
      <w:pPr>
        <w:bidi w:val="0"/>
        <w:rPr>
          <w:rFonts w:hint="eastAsia"/>
          <w:b/>
          <w:bCs/>
          <w:color w:val="auto"/>
          <w:highlight w:val="none"/>
          <w:lang w:val="en-US" w:eastAsia="zh-CN"/>
        </w:rPr>
      </w:pPr>
      <w:bookmarkStart w:id="75" w:name="_Toc19962"/>
      <w:r>
        <w:rPr>
          <w:rFonts w:hint="eastAsia"/>
          <w:b/>
          <w:bCs/>
          <w:color w:val="auto"/>
          <w:highlight w:val="none"/>
          <w:lang w:val="en-US" w:eastAsia="zh-CN"/>
        </w:rPr>
        <w:t>1.社会效益指标</w:t>
      </w:r>
    </w:p>
    <w:p w14:paraId="661174EB">
      <w:pPr>
        <w:bidi w:val="0"/>
        <w:rPr>
          <w:rFonts w:hint="eastAsia"/>
          <w:color w:val="auto"/>
          <w:highlight w:val="none"/>
          <w:lang w:val="en-US" w:eastAsia="zh-CN"/>
        </w:rPr>
      </w:pPr>
      <w:r>
        <w:rPr>
          <w:rFonts w:hint="eastAsia"/>
          <w:color w:val="auto"/>
          <w:highlight w:val="none"/>
          <w:lang w:eastAsia="zh-CN"/>
        </w:rPr>
        <w:t>“</w:t>
      </w:r>
      <w:r>
        <w:rPr>
          <w:rFonts w:hint="default" w:ascii="宋体" w:hAnsi="宋体" w:eastAsia="宋体" w:cs="宋体"/>
          <w:color w:val="auto"/>
          <w:highlight w:val="none"/>
          <w:lang w:val="en-US" w:eastAsia="zh-CN"/>
        </w:rPr>
        <w:t>维持线路正常运行数</w:t>
      </w:r>
      <w:r>
        <w:rPr>
          <w:rFonts w:hint="eastAsia"/>
          <w:color w:val="auto"/>
          <w:highlight w:val="none"/>
          <w:lang w:eastAsia="zh-CN"/>
        </w:rPr>
        <w:t>”</w:t>
      </w:r>
      <w:r>
        <w:rPr>
          <w:rFonts w:hint="eastAsia"/>
          <w:color w:val="auto"/>
          <w:highlight w:val="none"/>
          <w:lang w:val="en-US" w:eastAsia="zh-CN"/>
        </w:rPr>
        <w:t>指标，预期指标值为100%，实际完成为100%。</w:t>
      </w:r>
    </w:p>
    <w:p w14:paraId="600FBBB8">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截至2023年12月31日已补贴公交线路8条，维持线路正常运行，通过对博格达公交公司补贴，有效维持线路正常运行数。</w:t>
      </w:r>
    </w:p>
    <w:p w14:paraId="1A6F821F">
      <w:pPr>
        <w:bidi w:val="0"/>
        <w:rPr>
          <w:rFonts w:hint="eastAsia"/>
          <w:b/>
          <w:bCs/>
          <w:color w:val="auto"/>
          <w:highlight w:val="none"/>
          <w:lang w:val="en-US" w:eastAsia="zh-CN"/>
        </w:rPr>
      </w:pPr>
      <w:r>
        <w:rPr>
          <w:rFonts w:hint="eastAsia"/>
          <w:b/>
          <w:bCs/>
          <w:color w:val="auto"/>
          <w:highlight w:val="none"/>
          <w:lang w:val="en-US" w:eastAsia="zh-CN"/>
        </w:rPr>
        <w:t>综上，该项指标满分</w:t>
      </w:r>
      <w:r>
        <w:rPr>
          <w:rFonts w:hint="eastAsia" w:cs="宋体"/>
          <w:color w:val="auto"/>
          <w:highlight w:val="none"/>
          <w:lang w:val="en-US" w:eastAsia="zh-CN"/>
        </w:rPr>
        <w:t>15</w:t>
      </w:r>
      <w:r>
        <w:rPr>
          <w:rFonts w:hint="eastAsia"/>
          <w:b/>
          <w:bCs/>
          <w:color w:val="auto"/>
          <w:highlight w:val="none"/>
          <w:lang w:val="en-US" w:eastAsia="zh-CN"/>
        </w:rPr>
        <w:t>分，得分15分。</w:t>
      </w:r>
    </w:p>
    <w:p w14:paraId="7EC5CC38">
      <w:pPr>
        <w:bidi w:val="0"/>
        <w:rPr>
          <w:rFonts w:hint="eastAsia"/>
          <w:b/>
          <w:bCs/>
          <w:color w:val="auto"/>
          <w:highlight w:val="none"/>
          <w:lang w:val="en-US" w:eastAsia="zh-CN"/>
        </w:rPr>
      </w:pPr>
      <w:r>
        <w:rPr>
          <w:rFonts w:hint="eastAsia"/>
          <w:b/>
          <w:bCs/>
          <w:color w:val="auto"/>
          <w:highlight w:val="none"/>
          <w:lang w:val="en-US" w:eastAsia="zh-CN"/>
        </w:rPr>
        <w:t>2.满意度指标</w:t>
      </w:r>
    </w:p>
    <w:p w14:paraId="0B29A93E">
      <w:pPr>
        <w:bidi w:val="0"/>
        <w:rPr>
          <w:rFonts w:hint="eastAsia"/>
          <w:color w:val="auto"/>
          <w:highlight w:val="none"/>
          <w:lang w:val="en-US" w:eastAsia="zh-CN"/>
        </w:rPr>
      </w:pPr>
      <w:r>
        <w:rPr>
          <w:rFonts w:hint="eastAsia"/>
          <w:color w:val="auto"/>
          <w:highlight w:val="none"/>
          <w:lang w:val="en-US" w:eastAsia="zh-CN"/>
        </w:rPr>
        <w:t>“市民满意度”指标，预期目标值为≥95%，实际完成为95%。</w:t>
      </w:r>
    </w:p>
    <w:p w14:paraId="013F6630">
      <w:pPr>
        <w:bidi w:val="0"/>
        <w:rPr>
          <w:rFonts w:hint="eastAsia"/>
          <w:color w:val="auto"/>
          <w:highlight w:val="none"/>
          <w:lang w:val="en-US" w:eastAsia="zh-CN"/>
        </w:rPr>
      </w:pPr>
      <w:r>
        <w:rPr>
          <w:rFonts w:hint="eastAsia"/>
          <w:b/>
          <w:bCs/>
          <w:color w:val="auto"/>
          <w:highlight w:val="none"/>
          <w:lang w:val="en-US" w:eastAsia="zh-CN"/>
        </w:rPr>
        <w:t>综上，该项指标满分</w:t>
      </w:r>
      <w:r>
        <w:rPr>
          <w:rFonts w:hint="eastAsia" w:cs="宋体"/>
          <w:color w:val="auto"/>
          <w:highlight w:val="none"/>
          <w:lang w:val="en-US" w:eastAsia="zh-CN"/>
        </w:rPr>
        <w:t>15</w:t>
      </w:r>
      <w:r>
        <w:rPr>
          <w:rFonts w:hint="eastAsia"/>
          <w:b/>
          <w:bCs/>
          <w:color w:val="auto"/>
          <w:highlight w:val="none"/>
          <w:lang w:val="en-US" w:eastAsia="zh-CN"/>
        </w:rPr>
        <w:t>分，得分15分。</w:t>
      </w:r>
    </w:p>
    <w:p w14:paraId="4DD2B0C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5"/>
    </w:p>
    <w:p w14:paraId="1EF66CF0">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rPr>
      </w:pPr>
      <w:r>
        <w:rPr>
          <w:rFonts w:hint="eastAsia" w:cs="仿宋_GB2312"/>
          <w:color w:val="auto"/>
          <w:sz w:val="28"/>
          <w:szCs w:val="28"/>
          <w:lang w:val="en-US" w:eastAsia="zh-CN"/>
        </w:rPr>
        <w:t>该</w:t>
      </w:r>
      <w:r>
        <w:rPr>
          <w:rFonts w:hint="eastAsia" w:cs="仿宋_GB2312"/>
          <w:color w:val="auto"/>
          <w:sz w:val="28"/>
          <w:szCs w:val="28"/>
          <w:lang w:eastAsia="zh-CN"/>
        </w:rPr>
        <w:t>项</w:t>
      </w:r>
      <w:r>
        <w:rPr>
          <w:rFonts w:hint="eastAsia" w:cs="仿宋_GB2312"/>
          <w:b w:val="0"/>
          <w:bCs w:val="0"/>
          <w:color w:val="auto"/>
          <w:sz w:val="28"/>
          <w:szCs w:val="28"/>
          <w:lang w:eastAsia="zh-CN"/>
        </w:rPr>
        <w:t>目预算资金总额为</w:t>
      </w:r>
      <w:r>
        <w:rPr>
          <w:rFonts w:hint="eastAsia"/>
          <w:b w:val="0"/>
          <w:bCs w:val="0"/>
          <w:color w:val="auto"/>
          <w:lang w:val="en-US" w:eastAsia="zh-CN"/>
        </w:rPr>
        <w:t>977.45</w:t>
      </w:r>
      <w:r>
        <w:rPr>
          <w:rFonts w:hint="eastAsia" w:cs="仿宋_GB2312"/>
          <w:b w:val="0"/>
          <w:bCs w:val="0"/>
          <w:color w:val="auto"/>
          <w:sz w:val="28"/>
          <w:szCs w:val="28"/>
          <w:lang w:val="en-US" w:eastAsia="zh-CN"/>
        </w:rPr>
        <w:t>万元，全年执行数为</w:t>
      </w:r>
      <w:r>
        <w:rPr>
          <w:rFonts w:hint="eastAsia"/>
          <w:b w:val="0"/>
          <w:bCs w:val="0"/>
          <w:color w:val="auto"/>
          <w:lang w:val="en-US" w:eastAsia="zh-CN"/>
        </w:rPr>
        <w:t>977.45</w:t>
      </w:r>
      <w:r>
        <w:rPr>
          <w:rFonts w:hint="eastAsia" w:cs="仿宋_GB2312"/>
          <w:b w:val="0"/>
          <w:bCs w:val="0"/>
          <w:color w:val="auto"/>
          <w:sz w:val="28"/>
          <w:szCs w:val="28"/>
          <w:lang w:val="en-US" w:eastAsia="zh-CN"/>
        </w:rPr>
        <w:t>万元，预算执行率为</w:t>
      </w:r>
      <w:r>
        <w:rPr>
          <w:rFonts w:hint="eastAsia"/>
          <w:b w:val="0"/>
          <w:bCs w:val="0"/>
          <w:color w:val="auto"/>
          <w:lang w:val="en-US" w:eastAsia="zh-CN"/>
        </w:rPr>
        <w:t>100</w:t>
      </w:r>
      <w:r>
        <w:rPr>
          <w:rFonts w:hint="eastAsia" w:cs="仿宋_GB2312"/>
          <w:b w:val="0"/>
          <w:bCs w:val="0"/>
          <w:color w:val="auto"/>
          <w:sz w:val="28"/>
          <w:szCs w:val="28"/>
          <w:lang w:val="en-US" w:eastAsia="zh-CN"/>
        </w:rPr>
        <w:t>%，</w:t>
      </w:r>
      <w:r>
        <w:rPr>
          <w:rFonts w:hint="eastAsia" w:cs="仿宋_GB2312"/>
          <w:b w:val="0"/>
          <w:bCs w:val="0"/>
          <w:color w:val="auto"/>
          <w:sz w:val="28"/>
          <w:szCs w:val="28"/>
          <w:lang w:eastAsia="zh-CN"/>
        </w:rPr>
        <w:t>总体完成率为</w:t>
      </w:r>
      <w:r>
        <w:rPr>
          <w:rFonts w:hint="eastAsia"/>
          <w:b w:val="0"/>
          <w:bCs w:val="0"/>
          <w:color w:val="auto"/>
          <w:lang w:val="en-US" w:eastAsia="zh-CN"/>
        </w:rPr>
        <w:t>100</w:t>
      </w:r>
      <w:r>
        <w:rPr>
          <w:rFonts w:hint="eastAsia" w:cs="仿宋_GB2312"/>
          <w:b w:val="0"/>
          <w:bCs w:val="0"/>
          <w:color w:val="auto"/>
          <w:sz w:val="28"/>
          <w:szCs w:val="28"/>
          <w:lang w:val="zh-TW" w:eastAsia="zh-TW"/>
        </w:rPr>
        <w:t>%。</w:t>
      </w:r>
      <w:r>
        <w:rPr>
          <w:rFonts w:hint="eastAsia" w:cs="仿宋_GB2312"/>
          <w:b w:val="0"/>
          <w:bCs w:val="0"/>
          <w:color w:val="auto"/>
          <w:sz w:val="28"/>
          <w:szCs w:val="28"/>
          <w:lang w:val="en-US" w:eastAsia="zh-CN"/>
        </w:rPr>
        <w:t>预算执行率与总体完成率之间的偏差为</w:t>
      </w:r>
      <w:r>
        <w:rPr>
          <w:rFonts w:hint="eastAsia"/>
          <w:b w:val="0"/>
          <w:bCs w:val="0"/>
          <w:color w:val="auto"/>
          <w:lang w:val="en-US" w:eastAsia="zh-CN"/>
        </w:rPr>
        <w:t>0</w:t>
      </w:r>
      <w:r>
        <w:rPr>
          <w:rFonts w:hint="eastAsia" w:cs="仿宋_GB2312"/>
          <w:b w:val="0"/>
          <w:bCs w:val="0"/>
          <w:color w:val="auto"/>
          <w:sz w:val="28"/>
          <w:szCs w:val="28"/>
          <w:lang w:val="en-US" w:eastAsia="zh-CN"/>
        </w:rPr>
        <w:t>%，无</w:t>
      </w:r>
      <w:r>
        <w:rPr>
          <w:rFonts w:hint="eastAsia"/>
          <w:b w:val="0"/>
          <w:bCs w:val="0"/>
          <w:color w:val="auto"/>
        </w:rPr>
        <w:t>偏差</w:t>
      </w:r>
      <w:r>
        <w:rPr>
          <w:rFonts w:hint="eastAsia" w:ascii="仿宋_GB2312" w:hAnsi="仿宋_GB2312" w:cs="仿宋_GB2312"/>
          <w:b w:val="0"/>
          <w:bCs w:val="0"/>
          <w:color w:val="auto"/>
          <w:sz w:val="28"/>
          <w:szCs w:val="28"/>
        </w:rPr>
        <w:t>。</w:t>
      </w:r>
    </w:p>
    <w:p w14:paraId="043262C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6"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6"/>
    </w:p>
    <w:p w14:paraId="3C9D0406">
      <w:pPr>
        <w:numPr>
          <w:ilvl w:val="0"/>
          <w:numId w:val="0"/>
        </w:numPr>
        <w:bidi w:val="0"/>
        <w:ind w:left="560" w:leftChars="0"/>
        <w:outlineLvl w:val="1"/>
        <w:rPr>
          <w:rFonts w:hint="eastAsia"/>
          <w:b/>
          <w:bCs/>
          <w:color w:val="auto"/>
          <w:lang w:eastAsia="zh-CN"/>
        </w:rPr>
      </w:pPr>
      <w:bookmarkStart w:id="77" w:name="_Toc13160"/>
      <w:bookmarkStart w:id="78" w:name="_Toc1921"/>
      <w:bookmarkStart w:id="79" w:name="_Toc28290"/>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77"/>
    </w:p>
    <w:p w14:paraId="779BB0DD">
      <w:pPr>
        <w:bidi w:val="0"/>
        <w:rPr>
          <w:rFonts w:hint="eastAsia"/>
          <w:color w:val="auto"/>
          <w:lang w:eastAsia="zh-CN"/>
        </w:rPr>
      </w:pPr>
      <w:r>
        <w:rPr>
          <w:rFonts w:hint="eastAsia"/>
          <w:color w:val="auto"/>
          <w:lang w:val="en-US" w:eastAsia="zh-CN"/>
        </w:rPr>
        <w:t>博格达公交运营补贴项目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977.45</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977.45</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2ECCA6F8">
      <w:pPr>
        <w:bidi w:val="0"/>
        <w:rPr>
          <w:rFonts w:hint="eastAsia"/>
          <w:color w:val="auto"/>
          <w:lang w:eastAsia="zh-CN"/>
        </w:rPr>
      </w:pPr>
      <w:r>
        <w:rPr>
          <w:rFonts w:hint="eastAsia"/>
          <w:color w:val="auto"/>
          <w:lang w:val="en-US" w:eastAsia="zh-CN"/>
        </w:rPr>
        <w:t>阜康市交通运输局</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阜康市交通运输局</w:t>
      </w:r>
      <w:r>
        <w:rPr>
          <w:rFonts w:hint="eastAsia"/>
          <w:color w:val="auto"/>
          <w:lang w:eastAsia="zh-CN"/>
        </w:rPr>
        <w:t>事业发展中关系民生与稳定的项目，切实优化资源配置，提高了资金使用的效率和效果。</w:t>
      </w:r>
    </w:p>
    <w:bookmarkEnd w:id="78"/>
    <w:bookmarkEnd w:id="79"/>
    <w:p w14:paraId="6EDAC382">
      <w:pPr>
        <w:bidi w:val="0"/>
        <w:outlineLvl w:val="1"/>
        <w:rPr>
          <w:rFonts w:hint="eastAsia"/>
          <w:b/>
          <w:bCs/>
          <w:color w:val="auto"/>
          <w:lang w:eastAsia="zh-CN"/>
        </w:rPr>
      </w:pPr>
      <w:bookmarkStart w:id="80" w:name="_Toc9582"/>
      <w:r>
        <w:rPr>
          <w:rFonts w:hint="eastAsia"/>
          <w:b/>
          <w:bCs/>
          <w:color w:val="auto"/>
          <w:lang w:eastAsia="zh-CN"/>
        </w:rPr>
        <w:t>（</w:t>
      </w:r>
      <w:r>
        <w:rPr>
          <w:rFonts w:hint="eastAsia"/>
          <w:b/>
          <w:bCs/>
          <w:color w:val="auto"/>
          <w:lang w:val="en-US" w:eastAsia="zh-CN"/>
        </w:rPr>
        <w:t>二</w:t>
      </w:r>
      <w:r>
        <w:rPr>
          <w:rFonts w:hint="eastAsia"/>
          <w:b/>
          <w:bCs/>
          <w:color w:val="auto"/>
          <w:lang w:eastAsia="zh-CN"/>
        </w:rPr>
        <w:t>）</w:t>
      </w:r>
      <w:r>
        <w:rPr>
          <w:rFonts w:hint="eastAsia"/>
          <w:b/>
          <w:bCs/>
          <w:color w:val="auto"/>
        </w:rPr>
        <w:t>存在的问题及原因分析</w:t>
      </w:r>
      <w:bookmarkEnd w:id="80"/>
    </w:p>
    <w:p w14:paraId="1439538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color w:val="auto"/>
          <w:kern w:val="2"/>
          <w:sz w:val="28"/>
          <w:szCs w:val="28"/>
          <w:highlight w:val="none"/>
          <w:lang w:val="en-US" w:eastAsia="zh-CN" w:bidi="ar-SA"/>
        </w:rPr>
      </w:pPr>
      <w:bookmarkStart w:id="81" w:name="_Toc5230"/>
      <w:r>
        <w:rPr>
          <w:rFonts w:hint="eastAsia" w:ascii="宋体" w:hAnsi="宋体" w:eastAsia="宋体" w:cs="宋体"/>
          <w:color w:val="auto"/>
          <w:kern w:val="2"/>
          <w:sz w:val="28"/>
          <w:szCs w:val="28"/>
          <w:highlight w:val="none"/>
          <w:lang w:val="en-US" w:eastAsia="zh-CN" w:bidi="ar-SA"/>
        </w:rPr>
        <w:t>1、部分司乘人员在服务中缺乏应有的责任感和敬业精神，其主要表现形式一般有:进站不开门:车辆启动、刹车过猛;不能及时通报站名;对乘客问询不能正确、及时、全面地解答等，从中可以反映出服务工作不到位，服务意识淡薄，服务质量不高，缺乏应有的敬业精神。</w:t>
      </w:r>
    </w:p>
    <w:p w14:paraId="33354CFC">
      <w:pPr>
        <w:rPr>
          <w:rFonts w:hint="eastAsia"/>
          <w:color w:val="auto"/>
          <w:highlight w:val="none"/>
          <w:lang w:val="en-US" w:eastAsia="zh-CN"/>
        </w:rPr>
      </w:pPr>
      <w:r>
        <w:rPr>
          <w:rFonts w:hint="eastAsia" w:cs="宋体"/>
          <w:color w:val="auto"/>
          <w:kern w:val="2"/>
          <w:sz w:val="28"/>
          <w:szCs w:val="28"/>
          <w:highlight w:val="none"/>
          <w:lang w:val="en-US" w:eastAsia="zh-CN" w:bidi="ar-SA"/>
        </w:rPr>
        <w:t>2、公交服务质量下降，其中主要方面就是指司乘人员的服务态度不好。司乘人员在服务中的语言词句运用，声调高低，手足举止和面部表情等综合反映着服务中的态度。在现实服务中却有部分司乘人员说话的词语欠斟酌、不文明，声调过高不和谐，面部缺乏表情或表露不应有的某种表情，使乘客产生反感。</w:t>
      </w:r>
    </w:p>
    <w:p w14:paraId="2098B27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1"/>
    </w:p>
    <w:p w14:paraId="18B11C8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color w:val="auto"/>
          <w:kern w:val="2"/>
          <w:sz w:val="28"/>
          <w:szCs w:val="28"/>
          <w:highlight w:val="none"/>
          <w:lang w:val="en-US" w:eastAsia="zh-CN" w:bidi="ar-SA"/>
        </w:rPr>
      </w:pPr>
      <w:bookmarkStart w:id="82" w:name="_Toc15618"/>
      <w:r>
        <w:rPr>
          <w:rFonts w:hint="eastAsia" w:ascii="宋体" w:hAnsi="宋体" w:eastAsia="宋体" w:cs="宋体"/>
          <w:color w:val="auto"/>
          <w:kern w:val="2"/>
          <w:sz w:val="28"/>
          <w:szCs w:val="28"/>
          <w:highlight w:val="none"/>
          <w:lang w:val="en-US" w:eastAsia="zh-CN" w:bidi="ar-SA"/>
        </w:rPr>
        <w:t>（一）树立“以人为本、人性化服务”的服务理念，公共交通是一个服务行业，树立“以人为本、人性化服务”的服务理念是公共交通最基本的要求。“以人为本、人性化服务”的服务理念是对乘客服务深层本质的认识，是指导全员认识和处理乘客服务与企业利益关系的核心服务理念。“以人为本、人性化服务”就是以乘客为中心，为乘客提供他真正需要且能够提供的服务，以乘客的需要作为行业经营的出发点和归宿，忠诚于乘客，为乘客的利益负责。以平等、主动、热情、体贴周到等尽善尽美的服务，最大限度地提高乘客的满意度。</w:t>
      </w:r>
    </w:p>
    <w:p w14:paraId="4118C04F">
      <w:pPr>
        <w:rPr>
          <w:rFonts w:hint="default"/>
          <w:color w:val="auto"/>
          <w:highlight w:val="none"/>
          <w:lang w:val="en-US" w:eastAsia="zh-CN"/>
        </w:rPr>
      </w:pPr>
      <w:r>
        <w:rPr>
          <w:rFonts w:hint="eastAsia" w:cs="宋体"/>
          <w:color w:val="auto"/>
          <w:kern w:val="2"/>
          <w:sz w:val="28"/>
          <w:szCs w:val="28"/>
          <w:highlight w:val="none"/>
          <w:lang w:val="en-US" w:eastAsia="zh-CN" w:bidi="ar-SA"/>
        </w:rPr>
        <w:t>（二）始终把乘客的利益放在第一位，保持冷静、理智、客观、宽容的态度，站在乘客的立场上理解他们的想法和心情，在不伤害乘客感情的基础上做好说服和解释工作，处理好服务中的争执问题。</w:t>
      </w:r>
    </w:p>
    <w:p w14:paraId="436E5AA3">
      <w:pPr>
        <w:pStyle w:val="3"/>
        <w:pageBreakBefore w:val="0"/>
        <w:kinsoku/>
        <w:wordWrap/>
        <w:overflowPunct/>
        <w:topLinePunct w:val="0"/>
        <w:autoSpaceDE/>
        <w:autoSpaceDN/>
        <w:bidi w:val="0"/>
        <w:adjustRightInd/>
        <w:spacing w:beforeLines="0" w:afterLines="0" w:line="360" w:lineRule="auto"/>
        <w:ind w:right="-3732" w:rightChars="-1333"/>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2"/>
    </w:p>
    <w:p w14:paraId="01877057">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4374A4B9">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403795DA">
      <w:pPr>
        <w:tabs>
          <w:tab w:val="left" w:pos="5397"/>
        </w:tabs>
        <w:rPr>
          <w:rFonts w:hint="eastAsia" w:ascii="宋体" w:hAnsi="宋体" w:eastAsia="宋体" w:cs="宋体"/>
          <w:b/>
          <w:bCs/>
          <w:color w:val="auto"/>
          <w:highlight w:val="none"/>
          <w:shd w:val="clear" w:color="auto" w:fill="auto"/>
          <w:lang w:val="en-US" w:eastAsia="zh-CN"/>
        </w:rPr>
      </w:pPr>
      <w:bookmarkStart w:id="83" w:name="_Toc11349"/>
      <w:r>
        <w:rPr>
          <w:rFonts w:hint="eastAsia" w:ascii="宋体" w:hAnsi="宋体" w:eastAsia="宋体" w:cs="宋体"/>
          <w:b/>
          <w:bCs/>
          <w:color w:val="auto"/>
          <w:highlight w:val="none"/>
          <w:shd w:val="clear" w:color="auto" w:fill="auto"/>
          <w:lang w:val="en-US" w:eastAsia="zh-CN"/>
        </w:rPr>
        <w:t>附件一、项目支出绩效自评表</w:t>
      </w:r>
      <w:bookmarkEnd w:id="83"/>
    </w:p>
    <w:tbl>
      <w:tblPr>
        <w:tblStyle w:val="1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16"/>
        <w:gridCol w:w="716"/>
        <w:gridCol w:w="930"/>
        <w:gridCol w:w="1332"/>
        <w:gridCol w:w="1201"/>
        <w:gridCol w:w="940"/>
        <w:gridCol w:w="1149"/>
        <w:gridCol w:w="928"/>
        <w:gridCol w:w="1021"/>
        <w:gridCol w:w="998"/>
        <w:gridCol w:w="1033"/>
        <w:gridCol w:w="1077"/>
        <w:gridCol w:w="1087"/>
        <w:gridCol w:w="1046"/>
      </w:tblGrid>
      <w:tr w14:paraId="18573B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73FFAC95">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1001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118F9449">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6652F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32" w:type="dxa"/>
            <w:gridSpan w:val="2"/>
            <w:tcBorders>
              <w:top w:val="single" w:color="auto" w:sz="4" w:space="0"/>
              <w:tl2br w:val="nil"/>
              <w:tr2bl w:val="nil"/>
            </w:tcBorders>
            <w:shd w:val="clear" w:color="auto" w:fill="auto"/>
            <w:vAlign w:val="center"/>
          </w:tcPr>
          <w:p w14:paraId="1473CC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42" w:type="dxa"/>
            <w:gridSpan w:val="12"/>
            <w:tcBorders>
              <w:top w:val="single" w:color="auto" w:sz="4" w:space="0"/>
              <w:tl2br w:val="nil"/>
              <w:tr2bl w:val="nil"/>
            </w:tcBorders>
            <w:shd w:val="clear" w:color="auto" w:fill="auto"/>
            <w:vAlign w:val="center"/>
          </w:tcPr>
          <w:p w14:paraId="2B19A6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2022年博格达公交运营补贴</w:t>
            </w:r>
          </w:p>
        </w:tc>
      </w:tr>
      <w:tr w14:paraId="5C3BF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32" w:type="dxa"/>
            <w:gridSpan w:val="2"/>
            <w:tcBorders>
              <w:tl2br w:val="nil"/>
              <w:tr2bl w:val="nil"/>
            </w:tcBorders>
            <w:shd w:val="clear" w:color="auto" w:fill="auto"/>
            <w:vAlign w:val="center"/>
          </w:tcPr>
          <w:p w14:paraId="0026EE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552" w:type="dxa"/>
            <w:gridSpan w:val="5"/>
            <w:tcBorders>
              <w:tl2br w:val="nil"/>
              <w:tr2bl w:val="nil"/>
            </w:tcBorders>
            <w:shd w:val="clear" w:color="auto" w:fill="auto"/>
            <w:vAlign w:val="center"/>
          </w:tcPr>
          <w:p w14:paraId="460B1D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阜康市交通运输局</w:t>
            </w:r>
          </w:p>
        </w:tc>
        <w:tc>
          <w:tcPr>
            <w:tcW w:w="1949" w:type="dxa"/>
            <w:gridSpan w:val="2"/>
            <w:tcBorders>
              <w:tl2br w:val="nil"/>
              <w:tr2bl w:val="nil"/>
            </w:tcBorders>
            <w:shd w:val="clear" w:color="auto" w:fill="auto"/>
            <w:vAlign w:val="center"/>
          </w:tcPr>
          <w:p w14:paraId="36EEA0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241" w:type="dxa"/>
            <w:gridSpan w:val="5"/>
            <w:tcBorders>
              <w:tl2br w:val="nil"/>
              <w:tr2bl w:val="nil"/>
            </w:tcBorders>
            <w:shd w:val="clear" w:color="auto" w:fill="auto"/>
            <w:vAlign w:val="center"/>
          </w:tcPr>
          <w:p w14:paraId="188F42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阜康市交通运输局</w:t>
            </w:r>
          </w:p>
        </w:tc>
      </w:tr>
      <w:tr w14:paraId="2DA86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32" w:type="dxa"/>
            <w:gridSpan w:val="2"/>
            <w:vMerge w:val="restart"/>
            <w:tcBorders>
              <w:tl2br w:val="nil"/>
              <w:tr2bl w:val="nil"/>
            </w:tcBorders>
            <w:shd w:val="clear" w:color="auto" w:fill="auto"/>
            <w:vAlign w:val="center"/>
          </w:tcPr>
          <w:p w14:paraId="345F11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62" w:type="dxa"/>
            <w:gridSpan w:val="2"/>
            <w:tcBorders>
              <w:tl2br w:val="nil"/>
              <w:tr2bl w:val="nil"/>
            </w:tcBorders>
            <w:shd w:val="clear" w:color="auto" w:fill="auto"/>
            <w:vAlign w:val="center"/>
          </w:tcPr>
          <w:p w14:paraId="78AE93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01" w:type="dxa"/>
            <w:tcBorders>
              <w:tl2br w:val="nil"/>
              <w:tr2bl w:val="nil"/>
            </w:tcBorders>
            <w:shd w:val="clear" w:color="auto" w:fill="auto"/>
            <w:vAlign w:val="center"/>
          </w:tcPr>
          <w:p w14:paraId="570ED8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89" w:type="dxa"/>
            <w:gridSpan w:val="2"/>
            <w:tcBorders>
              <w:tl2br w:val="nil"/>
              <w:tr2bl w:val="nil"/>
            </w:tcBorders>
            <w:shd w:val="clear" w:color="auto" w:fill="auto"/>
            <w:vAlign w:val="center"/>
          </w:tcPr>
          <w:p w14:paraId="0F7D2E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49" w:type="dxa"/>
            <w:gridSpan w:val="2"/>
            <w:tcBorders>
              <w:tl2br w:val="nil"/>
              <w:tr2bl w:val="nil"/>
            </w:tcBorders>
            <w:shd w:val="clear" w:color="auto" w:fill="auto"/>
            <w:vAlign w:val="center"/>
          </w:tcPr>
          <w:p w14:paraId="0521CD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31" w:type="dxa"/>
            <w:gridSpan w:val="2"/>
            <w:tcBorders>
              <w:tl2br w:val="nil"/>
              <w:tr2bl w:val="nil"/>
            </w:tcBorders>
            <w:shd w:val="clear" w:color="auto" w:fill="auto"/>
            <w:vAlign w:val="center"/>
          </w:tcPr>
          <w:p w14:paraId="156838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64" w:type="dxa"/>
            <w:gridSpan w:val="2"/>
            <w:tcBorders>
              <w:tl2br w:val="nil"/>
              <w:tr2bl w:val="nil"/>
            </w:tcBorders>
            <w:shd w:val="clear" w:color="auto" w:fill="auto"/>
            <w:vAlign w:val="center"/>
          </w:tcPr>
          <w:p w14:paraId="52BAE7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46" w:type="dxa"/>
            <w:tcBorders>
              <w:tl2br w:val="nil"/>
              <w:tr2bl w:val="nil"/>
            </w:tcBorders>
            <w:shd w:val="clear" w:color="auto" w:fill="auto"/>
            <w:vAlign w:val="center"/>
          </w:tcPr>
          <w:p w14:paraId="5B79A1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AC65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32" w:type="dxa"/>
            <w:gridSpan w:val="2"/>
            <w:vMerge w:val="continue"/>
            <w:tcBorders>
              <w:tl2br w:val="nil"/>
              <w:tr2bl w:val="nil"/>
            </w:tcBorders>
            <w:shd w:val="clear" w:color="auto" w:fill="auto"/>
            <w:vAlign w:val="center"/>
          </w:tcPr>
          <w:p w14:paraId="096EA99E">
            <w:pPr>
              <w:jc w:val="center"/>
              <w:rPr>
                <w:rFonts w:hint="eastAsia" w:ascii="宋体" w:hAnsi="宋体" w:eastAsia="宋体" w:cs="宋体"/>
                <w:i w:val="0"/>
                <w:iCs w:val="0"/>
                <w:color w:val="000000"/>
                <w:sz w:val="20"/>
                <w:szCs w:val="20"/>
                <w:u w:val="none"/>
              </w:rPr>
            </w:pPr>
          </w:p>
        </w:tc>
        <w:tc>
          <w:tcPr>
            <w:tcW w:w="2262" w:type="dxa"/>
            <w:gridSpan w:val="2"/>
            <w:tcBorders>
              <w:tl2br w:val="nil"/>
              <w:tr2bl w:val="nil"/>
            </w:tcBorders>
            <w:shd w:val="clear" w:color="auto" w:fill="auto"/>
            <w:vAlign w:val="center"/>
          </w:tcPr>
          <w:p w14:paraId="1087F5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01" w:type="dxa"/>
            <w:tcBorders>
              <w:tl2br w:val="nil"/>
              <w:tr2bl w:val="nil"/>
            </w:tcBorders>
            <w:shd w:val="clear" w:color="auto" w:fill="auto"/>
            <w:vAlign w:val="center"/>
          </w:tcPr>
          <w:p w14:paraId="1BEC2F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977.45 </w:t>
            </w:r>
          </w:p>
        </w:tc>
        <w:tc>
          <w:tcPr>
            <w:tcW w:w="2089" w:type="dxa"/>
            <w:gridSpan w:val="2"/>
            <w:tcBorders>
              <w:tl2br w:val="nil"/>
              <w:tr2bl w:val="nil"/>
            </w:tcBorders>
            <w:shd w:val="clear" w:color="auto" w:fill="auto"/>
            <w:vAlign w:val="center"/>
          </w:tcPr>
          <w:p w14:paraId="01BAEB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977.45 </w:t>
            </w:r>
          </w:p>
        </w:tc>
        <w:tc>
          <w:tcPr>
            <w:tcW w:w="1949" w:type="dxa"/>
            <w:gridSpan w:val="2"/>
            <w:tcBorders>
              <w:tl2br w:val="nil"/>
              <w:tr2bl w:val="nil"/>
            </w:tcBorders>
            <w:shd w:val="clear" w:color="auto" w:fill="auto"/>
            <w:vAlign w:val="center"/>
          </w:tcPr>
          <w:p w14:paraId="6FE93E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977.45 </w:t>
            </w:r>
          </w:p>
        </w:tc>
        <w:tc>
          <w:tcPr>
            <w:tcW w:w="2031" w:type="dxa"/>
            <w:gridSpan w:val="2"/>
            <w:tcBorders>
              <w:tl2br w:val="nil"/>
              <w:tr2bl w:val="nil"/>
            </w:tcBorders>
            <w:shd w:val="clear" w:color="auto" w:fill="auto"/>
            <w:vAlign w:val="center"/>
          </w:tcPr>
          <w:p w14:paraId="134AED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64" w:type="dxa"/>
            <w:gridSpan w:val="2"/>
            <w:tcBorders>
              <w:tl2br w:val="nil"/>
              <w:tr2bl w:val="nil"/>
            </w:tcBorders>
            <w:shd w:val="clear" w:color="auto" w:fill="auto"/>
            <w:vAlign w:val="center"/>
          </w:tcPr>
          <w:p w14:paraId="1B9CA2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046" w:type="dxa"/>
            <w:tcBorders>
              <w:tl2br w:val="nil"/>
              <w:tr2bl w:val="nil"/>
            </w:tcBorders>
            <w:shd w:val="clear" w:color="auto" w:fill="auto"/>
            <w:vAlign w:val="center"/>
          </w:tcPr>
          <w:p w14:paraId="7D3FF7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B236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32" w:type="dxa"/>
            <w:gridSpan w:val="2"/>
            <w:vMerge w:val="continue"/>
            <w:tcBorders>
              <w:tl2br w:val="nil"/>
              <w:tr2bl w:val="nil"/>
            </w:tcBorders>
            <w:shd w:val="clear" w:color="auto" w:fill="auto"/>
            <w:vAlign w:val="center"/>
          </w:tcPr>
          <w:p w14:paraId="0E38F6EF">
            <w:pPr>
              <w:jc w:val="center"/>
              <w:rPr>
                <w:rFonts w:hint="eastAsia" w:ascii="宋体" w:hAnsi="宋体" w:eastAsia="宋体" w:cs="宋体"/>
                <w:i w:val="0"/>
                <w:iCs w:val="0"/>
                <w:color w:val="000000"/>
                <w:sz w:val="20"/>
                <w:szCs w:val="20"/>
                <w:u w:val="none"/>
              </w:rPr>
            </w:pPr>
          </w:p>
        </w:tc>
        <w:tc>
          <w:tcPr>
            <w:tcW w:w="2262" w:type="dxa"/>
            <w:gridSpan w:val="2"/>
            <w:tcBorders>
              <w:tl2br w:val="nil"/>
              <w:tr2bl w:val="nil"/>
            </w:tcBorders>
            <w:shd w:val="clear" w:color="auto" w:fill="auto"/>
            <w:vAlign w:val="center"/>
          </w:tcPr>
          <w:p w14:paraId="4E144D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01" w:type="dxa"/>
            <w:tcBorders>
              <w:tl2br w:val="nil"/>
              <w:tr2bl w:val="nil"/>
            </w:tcBorders>
            <w:shd w:val="clear" w:color="auto" w:fill="auto"/>
            <w:vAlign w:val="center"/>
          </w:tcPr>
          <w:p w14:paraId="1936D0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977.45 </w:t>
            </w:r>
          </w:p>
        </w:tc>
        <w:tc>
          <w:tcPr>
            <w:tcW w:w="2089" w:type="dxa"/>
            <w:gridSpan w:val="2"/>
            <w:tcBorders>
              <w:tl2br w:val="nil"/>
              <w:tr2bl w:val="nil"/>
            </w:tcBorders>
            <w:shd w:val="clear" w:color="auto" w:fill="auto"/>
            <w:vAlign w:val="center"/>
          </w:tcPr>
          <w:p w14:paraId="1D2C00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977.45 </w:t>
            </w:r>
          </w:p>
        </w:tc>
        <w:tc>
          <w:tcPr>
            <w:tcW w:w="1949" w:type="dxa"/>
            <w:gridSpan w:val="2"/>
            <w:tcBorders>
              <w:tl2br w:val="nil"/>
              <w:tr2bl w:val="nil"/>
            </w:tcBorders>
            <w:shd w:val="clear" w:color="auto" w:fill="auto"/>
            <w:vAlign w:val="center"/>
          </w:tcPr>
          <w:p w14:paraId="20FFDA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977.45 </w:t>
            </w:r>
          </w:p>
        </w:tc>
        <w:tc>
          <w:tcPr>
            <w:tcW w:w="2031" w:type="dxa"/>
            <w:gridSpan w:val="2"/>
            <w:tcBorders>
              <w:tl2br w:val="nil"/>
              <w:tr2bl w:val="nil"/>
            </w:tcBorders>
            <w:shd w:val="clear" w:color="auto" w:fill="auto"/>
            <w:vAlign w:val="center"/>
          </w:tcPr>
          <w:p w14:paraId="48AE39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64" w:type="dxa"/>
            <w:gridSpan w:val="2"/>
            <w:tcBorders>
              <w:tl2br w:val="nil"/>
              <w:tr2bl w:val="nil"/>
            </w:tcBorders>
            <w:shd w:val="clear" w:color="auto" w:fill="auto"/>
            <w:vAlign w:val="center"/>
          </w:tcPr>
          <w:p w14:paraId="4B7C87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l2br w:val="nil"/>
              <w:tr2bl w:val="nil"/>
            </w:tcBorders>
            <w:shd w:val="clear" w:color="auto" w:fill="auto"/>
            <w:vAlign w:val="center"/>
          </w:tcPr>
          <w:p w14:paraId="7AE7CE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5BF9A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0" w:hRule="atLeast"/>
        </w:trPr>
        <w:tc>
          <w:tcPr>
            <w:tcW w:w="1432" w:type="dxa"/>
            <w:gridSpan w:val="2"/>
            <w:vMerge w:val="continue"/>
            <w:tcBorders>
              <w:tl2br w:val="nil"/>
              <w:tr2bl w:val="nil"/>
            </w:tcBorders>
            <w:shd w:val="clear" w:color="auto" w:fill="auto"/>
            <w:vAlign w:val="center"/>
          </w:tcPr>
          <w:p w14:paraId="58737790">
            <w:pPr>
              <w:jc w:val="center"/>
              <w:rPr>
                <w:rFonts w:hint="eastAsia" w:ascii="宋体" w:hAnsi="宋体" w:eastAsia="宋体" w:cs="宋体"/>
                <w:i w:val="0"/>
                <w:iCs w:val="0"/>
                <w:color w:val="000000"/>
                <w:sz w:val="20"/>
                <w:szCs w:val="20"/>
                <w:u w:val="none"/>
              </w:rPr>
            </w:pPr>
          </w:p>
        </w:tc>
        <w:tc>
          <w:tcPr>
            <w:tcW w:w="2262" w:type="dxa"/>
            <w:gridSpan w:val="2"/>
            <w:tcBorders>
              <w:tl2br w:val="nil"/>
              <w:tr2bl w:val="nil"/>
            </w:tcBorders>
            <w:shd w:val="clear" w:color="auto" w:fill="auto"/>
            <w:vAlign w:val="center"/>
          </w:tcPr>
          <w:p w14:paraId="09FECF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01" w:type="dxa"/>
            <w:tcBorders>
              <w:tl2br w:val="nil"/>
              <w:tr2bl w:val="nil"/>
            </w:tcBorders>
            <w:shd w:val="clear" w:color="auto" w:fill="auto"/>
            <w:vAlign w:val="center"/>
          </w:tcPr>
          <w:p w14:paraId="4F8AFE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89" w:type="dxa"/>
            <w:gridSpan w:val="2"/>
            <w:tcBorders>
              <w:tl2br w:val="nil"/>
              <w:tr2bl w:val="nil"/>
            </w:tcBorders>
            <w:shd w:val="clear" w:color="auto" w:fill="auto"/>
            <w:vAlign w:val="center"/>
          </w:tcPr>
          <w:p w14:paraId="4B8BF8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49" w:type="dxa"/>
            <w:gridSpan w:val="2"/>
            <w:tcBorders>
              <w:tl2br w:val="nil"/>
              <w:tr2bl w:val="nil"/>
            </w:tcBorders>
            <w:shd w:val="clear" w:color="auto" w:fill="auto"/>
            <w:vAlign w:val="center"/>
          </w:tcPr>
          <w:p w14:paraId="43A720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31" w:type="dxa"/>
            <w:gridSpan w:val="2"/>
            <w:tcBorders>
              <w:tl2br w:val="nil"/>
              <w:tr2bl w:val="nil"/>
            </w:tcBorders>
            <w:shd w:val="clear" w:color="auto" w:fill="auto"/>
            <w:vAlign w:val="center"/>
          </w:tcPr>
          <w:p w14:paraId="4421CD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64" w:type="dxa"/>
            <w:gridSpan w:val="2"/>
            <w:tcBorders>
              <w:tl2br w:val="nil"/>
              <w:tr2bl w:val="nil"/>
            </w:tcBorders>
            <w:shd w:val="clear" w:color="auto" w:fill="auto"/>
            <w:vAlign w:val="center"/>
          </w:tcPr>
          <w:p w14:paraId="1D0C3E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l2br w:val="nil"/>
              <w:tr2bl w:val="nil"/>
            </w:tcBorders>
            <w:shd w:val="clear" w:color="auto" w:fill="auto"/>
            <w:vAlign w:val="center"/>
          </w:tcPr>
          <w:p w14:paraId="38D7A5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DCD8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716" w:type="dxa"/>
            <w:vMerge w:val="restart"/>
            <w:tcBorders>
              <w:tl2br w:val="nil"/>
              <w:tr2bl w:val="nil"/>
            </w:tcBorders>
            <w:shd w:val="clear" w:color="auto" w:fill="auto"/>
            <w:vAlign w:val="center"/>
          </w:tcPr>
          <w:p w14:paraId="455670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217" w:type="dxa"/>
            <w:gridSpan w:val="8"/>
            <w:tcBorders>
              <w:tl2br w:val="nil"/>
              <w:tr2bl w:val="nil"/>
            </w:tcBorders>
            <w:shd w:val="clear" w:color="auto" w:fill="auto"/>
            <w:vAlign w:val="center"/>
          </w:tcPr>
          <w:p w14:paraId="2FEF9E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241" w:type="dxa"/>
            <w:gridSpan w:val="5"/>
            <w:tcBorders>
              <w:tl2br w:val="nil"/>
              <w:tr2bl w:val="nil"/>
            </w:tcBorders>
            <w:shd w:val="clear" w:color="auto" w:fill="auto"/>
            <w:vAlign w:val="center"/>
          </w:tcPr>
          <w:p w14:paraId="6CC4E0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F2EF8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716" w:type="dxa"/>
            <w:vMerge w:val="continue"/>
            <w:tcBorders>
              <w:tl2br w:val="nil"/>
              <w:tr2bl w:val="nil"/>
            </w:tcBorders>
            <w:shd w:val="clear" w:color="auto" w:fill="auto"/>
            <w:vAlign w:val="center"/>
          </w:tcPr>
          <w:p w14:paraId="4B9CE8B1">
            <w:pPr>
              <w:jc w:val="center"/>
              <w:rPr>
                <w:rFonts w:hint="eastAsia" w:ascii="宋体" w:hAnsi="宋体" w:eastAsia="宋体" w:cs="宋体"/>
                <w:i w:val="0"/>
                <w:iCs w:val="0"/>
                <w:color w:val="000000"/>
                <w:sz w:val="20"/>
                <w:szCs w:val="20"/>
                <w:u w:val="none"/>
              </w:rPr>
            </w:pPr>
          </w:p>
        </w:tc>
        <w:tc>
          <w:tcPr>
            <w:tcW w:w="8217" w:type="dxa"/>
            <w:gridSpan w:val="8"/>
            <w:tcBorders>
              <w:tl2br w:val="nil"/>
              <w:tr2bl w:val="nil"/>
            </w:tcBorders>
            <w:shd w:val="clear" w:color="auto" w:fill="auto"/>
            <w:vAlign w:val="center"/>
          </w:tcPr>
          <w:p w14:paraId="052C2F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阜康市交通运输局承担阜康市农村公路建设、管理、养护以及城市客运管理工作，2022年为保障阜康市城市公共交通正常运行，补贴公交线路8条，维持线路正常运行，通过对博格达公交公司补贴，能够有效维持线路正常运行数，市民满意度达到95%以上。</w:t>
            </w:r>
          </w:p>
        </w:tc>
        <w:tc>
          <w:tcPr>
            <w:tcW w:w="5241" w:type="dxa"/>
            <w:gridSpan w:val="5"/>
            <w:tcBorders>
              <w:tl2br w:val="nil"/>
              <w:tr2bl w:val="nil"/>
            </w:tcBorders>
            <w:shd w:val="clear" w:color="auto" w:fill="auto"/>
            <w:vAlign w:val="center"/>
          </w:tcPr>
          <w:p w14:paraId="2D0B52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截至2023年12月31日已补贴公交线路8条，维持线路正常运行，通过对博格达公交公司补贴，有效维持线路正常运行数，市民满意度达到95%以上。</w:t>
            </w:r>
          </w:p>
        </w:tc>
      </w:tr>
      <w:tr w14:paraId="7ACC1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0" w:hRule="atLeast"/>
        </w:trPr>
        <w:tc>
          <w:tcPr>
            <w:tcW w:w="716" w:type="dxa"/>
            <w:tcBorders>
              <w:tl2br w:val="nil"/>
              <w:tr2bl w:val="nil"/>
            </w:tcBorders>
            <w:shd w:val="clear" w:color="auto" w:fill="auto"/>
            <w:vAlign w:val="center"/>
          </w:tcPr>
          <w:p w14:paraId="2FA8D02D">
            <w:pPr>
              <w:jc w:val="center"/>
              <w:rPr>
                <w:rFonts w:hint="eastAsia" w:ascii="宋体" w:hAnsi="宋体" w:eastAsia="宋体" w:cs="宋体"/>
                <w:i w:val="0"/>
                <w:iCs w:val="0"/>
                <w:color w:val="000000"/>
                <w:sz w:val="20"/>
                <w:szCs w:val="20"/>
                <w:u w:val="none"/>
              </w:rPr>
            </w:pPr>
          </w:p>
        </w:tc>
        <w:tc>
          <w:tcPr>
            <w:tcW w:w="716" w:type="dxa"/>
            <w:tcBorders>
              <w:tl2br w:val="nil"/>
              <w:tr2bl w:val="nil"/>
            </w:tcBorders>
            <w:shd w:val="clear" w:color="auto" w:fill="auto"/>
            <w:vAlign w:val="center"/>
          </w:tcPr>
          <w:p w14:paraId="60F505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30" w:type="dxa"/>
            <w:tcBorders>
              <w:tl2br w:val="nil"/>
              <w:tr2bl w:val="nil"/>
            </w:tcBorders>
            <w:shd w:val="clear" w:color="auto" w:fill="auto"/>
            <w:vAlign w:val="center"/>
          </w:tcPr>
          <w:p w14:paraId="7E3015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32" w:type="dxa"/>
            <w:tcBorders>
              <w:tl2br w:val="nil"/>
              <w:tr2bl w:val="nil"/>
            </w:tcBorders>
            <w:shd w:val="clear" w:color="auto" w:fill="auto"/>
            <w:vAlign w:val="center"/>
          </w:tcPr>
          <w:p w14:paraId="7F1C29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01" w:type="dxa"/>
            <w:tcBorders>
              <w:tl2br w:val="nil"/>
              <w:tr2bl w:val="nil"/>
            </w:tcBorders>
            <w:shd w:val="clear" w:color="auto" w:fill="auto"/>
            <w:vAlign w:val="center"/>
          </w:tcPr>
          <w:p w14:paraId="443F51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40" w:type="dxa"/>
            <w:tcBorders>
              <w:tl2br w:val="nil"/>
              <w:tr2bl w:val="nil"/>
            </w:tcBorders>
            <w:shd w:val="clear" w:color="auto" w:fill="auto"/>
            <w:vAlign w:val="center"/>
          </w:tcPr>
          <w:p w14:paraId="5A9F52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149" w:type="dxa"/>
            <w:tcBorders>
              <w:tl2br w:val="nil"/>
              <w:tr2bl w:val="nil"/>
            </w:tcBorders>
            <w:shd w:val="clear" w:color="auto" w:fill="auto"/>
            <w:vAlign w:val="center"/>
          </w:tcPr>
          <w:p w14:paraId="4F4167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28" w:type="dxa"/>
            <w:tcBorders>
              <w:tl2br w:val="nil"/>
              <w:tr2bl w:val="nil"/>
            </w:tcBorders>
            <w:shd w:val="clear" w:color="auto" w:fill="auto"/>
            <w:vAlign w:val="center"/>
          </w:tcPr>
          <w:p w14:paraId="633873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21" w:type="dxa"/>
            <w:tcBorders>
              <w:tl2br w:val="nil"/>
              <w:tr2bl w:val="nil"/>
            </w:tcBorders>
            <w:shd w:val="clear" w:color="auto" w:fill="auto"/>
            <w:vAlign w:val="center"/>
          </w:tcPr>
          <w:p w14:paraId="082A9D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98" w:type="dxa"/>
            <w:tcBorders>
              <w:tl2br w:val="nil"/>
              <w:tr2bl w:val="nil"/>
            </w:tcBorders>
            <w:shd w:val="clear" w:color="auto" w:fill="auto"/>
            <w:vAlign w:val="center"/>
          </w:tcPr>
          <w:p w14:paraId="37725A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33" w:type="dxa"/>
            <w:tcBorders>
              <w:tl2br w:val="nil"/>
              <w:tr2bl w:val="nil"/>
            </w:tcBorders>
            <w:shd w:val="clear" w:color="auto" w:fill="auto"/>
            <w:vAlign w:val="center"/>
          </w:tcPr>
          <w:p w14:paraId="64C00C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77" w:type="dxa"/>
            <w:tcBorders>
              <w:tl2br w:val="nil"/>
              <w:tr2bl w:val="nil"/>
            </w:tcBorders>
            <w:shd w:val="clear" w:color="auto" w:fill="auto"/>
            <w:vAlign w:val="center"/>
          </w:tcPr>
          <w:p w14:paraId="3F10A7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87" w:type="dxa"/>
            <w:tcBorders>
              <w:tl2br w:val="nil"/>
              <w:tr2bl w:val="nil"/>
            </w:tcBorders>
            <w:shd w:val="clear" w:color="auto" w:fill="auto"/>
            <w:vAlign w:val="center"/>
          </w:tcPr>
          <w:p w14:paraId="19FEC2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046" w:type="dxa"/>
            <w:tcBorders>
              <w:tl2br w:val="nil"/>
              <w:tr2bl w:val="nil"/>
            </w:tcBorders>
            <w:shd w:val="clear" w:color="auto" w:fill="auto"/>
            <w:vAlign w:val="center"/>
          </w:tcPr>
          <w:p w14:paraId="63F79D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2BD10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80" w:hRule="atLeast"/>
        </w:trPr>
        <w:tc>
          <w:tcPr>
            <w:tcW w:w="716" w:type="dxa"/>
            <w:vMerge w:val="restart"/>
            <w:tcBorders>
              <w:tl2br w:val="nil"/>
              <w:tr2bl w:val="nil"/>
            </w:tcBorders>
            <w:shd w:val="clear" w:color="auto" w:fill="auto"/>
            <w:vAlign w:val="center"/>
          </w:tcPr>
          <w:p w14:paraId="045A71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16" w:type="dxa"/>
            <w:vMerge w:val="restart"/>
            <w:tcBorders>
              <w:tl2br w:val="nil"/>
              <w:tr2bl w:val="nil"/>
            </w:tcBorders>
            <w:shd w:val="clear" w:color="auto" w:fill="auto"/>
            <w:vAlign w:val="center"/>
          </w:tcPr>
          <w:p w14:paraId="1CD4CE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30" w:type="dxa"/>
            <w:tcBorders>
              <w:tl2br w:val="nil"/>
              <w:tr2bl w:val="nil"/>
            </w:tcBorders>
            <w:shd w:val="clear" w:color="auto" w:fill="auto"/>
            <w:vAlign w:val="center"/>
          </w:tcPr>
          <w:p w14:paraId="7F0E32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32" w:type="dxa"/>
            <w:tcBorders>
              <w:tl2br w:val="nil"/>
              <w:tr2bl w:val="nil"/>
            </w:tcBorders>
            <w:shd w:val="clear" w:color="auto" w:fill="auto"/>
            <w:vAlign w:val="center"/>
          </w:tcPr>
          <w:p w14:paraId="7BD80647">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补贴公交线路</w:t>
            </w:r>
          </w:p>
        </w:tc>
        <w:tc>
          <w:tcPr>
            <w:tcW w:w="1201" w:type="dxa"/>
            <w:tcBorders>
              <w:tl2br w:val="nil"/>
              <w:tr2bl w:val="nil"/>
            </w:tcBorders>
            <w:shd w:val="clear" w:color="auto" w:fill="auto"/>
            <w:vAlign w:val="center"/>
          </w:tcPr>
          <w:p w14:paraId="10E2CB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≥8条</w:t>
            </w:r>
          </w:p>
        </w:tc>
        <w:tc>
          <w:tcPr>
            <w:tcW w:w="940" w:type="dxa"/>
            <w:tcBorders>
              <w:tl2br w:val="nil"/>
              <w:tr2bl w:val="nil"/>
            </w:tcBorders>
            <w:shd w:val="clear" w:color="auto" w:fill="auto"/>
            <w:vAlign w:val="center"/>
          </w:tcPr>
          <w:p w14:paraId="5F8216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49" w:type="dxa"/>
            <w:tcBorders>
              <w:tl2br w:val="nil"/>
              <w:tr2bl w:val="nil"/>
            </w:tcBorders>
            <w:shd w:val="clear" w:color="auto" w:fill="auto"/>
            <w:vAlign w:val="center"/>
          </w:tcPr>
          <w:p w14:paraId="5B6119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8条</w:t>
            </w:r>
          </w:p>
        </w:tc>
        <w:tc>
          <w:tcPr>
            <w:tcW w:w="928" w:type="dxa"/>
            <w:tcBorders>
              <w:tl2br w:val="nil"/>
              <w:tr2bl w:val="nil"/>
            </w:tcBorders>
            <w:shd w:val="clear" w:color="auto" w:fill="auto"/>
            <w:vAlign w:val="center"/>
          </w:tcPr>
          <w:p w14:paraId="5DC8AC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1" w:type="dxa"/>
            <w:tcBorders>
              <w:tl2br w:val="nil"/>
              <w:tr2bl w:val="nil"/>
            </w:tcBorders>
            <w:shd w:val="clear" w:color="auto" w:fill="auto"/>
            <w:vAlign w:val="center"/>
          </w:tcPr>
          <w:p w14:paraId="78CC79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98" w:type="dxa"/>
            <w:tcBorders>
              <w:tl2br w:val="nil"/>
              <w:tr2bl w:val="nil"/>
            </w:tcBorders>
            <w:shd w:val="clear" w:color="auto" w:fill="auto"/>
            <w:vAlign w:val="center"/>
          </w:tcPr>
          <w:p w14:paraId="1599E3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3" w:type="dxa"/>
            <w:tcBorders>
              <w:tl2br w:val="nil"/>
              <w:tr2bl w:val="nil"/>
            </w:tcBorders>
            <w:shd w:val="clear" w:color="auto" w:fill="auto"/>
            <w:vAlign w:val="center"/>
          </w:tcPr>
          <w:p w14:paraId="49B90E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8条</w:t>
            </w:r>
          </w:p>
        </w:tc>
        <w:tc>
          <w:tcPr>
            <w:tcW w:w="1077" w:type="dxa"/>
            <w:tcBorders>
              <w:tl2br w:val="nil"/>
              <w:tr2bl w:val="nil"/>
            </w:tcBorders>
            <w:shd w:val="clear" w:color="auto" w:fill="auto"/>
            <w:vAlign w:val="center"/>
          </w:tcPr>
          <w:p w14:paraId="3BB66B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7" w:type="dxa"/>
            <w:tcBorders>
              <w:tl2br w:val="nil"/>
              <w:tr2bl w:val="nil"/>
            </w:tcBorders>
            <w:shd w:val="clear" w:color="auto" w:fill="auto"/>
            <w:vAlign w:val="center"/>
          </w:tcPr>
          <w:p w14:paraId="131581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6" w:type="dxa"/>
            <w:tcBorders>
              <w:tl2br w:val="nil"/>
              <w:tr2bl w:val="nil"/>
            </w:tcBorders>
            <w:shd w:val="clear" w:color="auto" w:fill="auto"/>
            <w:vAlign w:val="center"/>
          </w:tcPr>
          <w:p w14:paraId="78547644">
            <w:pPr>
              <w:jc w:val="center"/>
              <w:rPr>
                <w:rFonts w:hint="eastAsia" w:ascii="宋体" w:hAnsi="宋体" w:eastAsia="宋体" w:cs="宋体"/>
                <w:i w:val="0"/>
                <w:iCs w:val="0"/>
                <w:color w:val="000000"/>
                <w:sz w:val="20"/>
                <w:szCs w:val="20"/>
                <w:u w:val="none"/>
              </w:rPr>
            </w:pPr>
          </w:p>
        </w:tc>
      </w:tr>
      <w:tr w14:paraId="778F0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716" w:type="dxa"/>
            <w:vMerge w:val="continue"/>
            <w:tcBorders>
              <w:tl2br w:val="nil"/>
              <w:tr2bl w:val="nil"/>
            </w:tcBorders>
            <w:shd w:val="clear" w:color="auto" w:fill="auto"/>
            <w:vAlign w:val="center"/>
          </w:tcPr>
          <w:p w14:paraId="0BF104D8">
            <w:pPr>
              <w:jc w:val="center"/>
              <w:rPr>
                <w:rFonts w:hint="eastAsia" w:ascii="宋体" w:hAnsi="宋体" w:eastAsia="宋体" w:cs="宋体"/>
                <w:i w:val="0"/>
                <w:iCs w:val="0"/>
                <w:color w:val="000000"/>
                <w:sz w:val="20"/>
                <w:szCs w:val="20"/>
                <w:u w:val="none"/>
              </w:rPr>
            </w:pPr>
          </w:p>
        </w:tc>
        <w:tc>
          <w:tcPr>
            <w:tcW w:w="716" w:type="dxa"/>
            <w:vMerge w:val="continue"/>
            <w:tcBorders>
              <w:tl2br w:val="nil"/>
              <w:tr2bl w:val="nil"/>
            </w:tcBorders>
            <w:shd w:val="clear" w:color="auto" w:fill="auto"/>
            <w:vAlign w:val="center"/>
          </w:tcPr>
          <w:p w14:paraId="6C7BF6DB">
            <w:pPr>
              <w:jc w:val="center"/>
              <w:rPr>
                <w:rFonts w:hint="eastAsia" w:ascii="宋体" w:hAnsi="宋体" w:eastAsia="宋体" w:cs="宋体"/>
                <w:i w:val="0"/>
                <w:iCs w:val="0"/>
                <w:color w:val="000000"/>
                <w:sz w:val="20"/>
                <w:szCs w:val="20"/>
                <w:u w:val="none"/>
              </w:rPr>
            </w:pPr>
          </w:p>
        </w:tc>
        <w:tc>
          <w:tcPr>
            <w:tcW w:w="930" w:type="dxa"/>
            <w:tcBorders>
              <w:tl2br w:val="nil"/>
              <w:tr2bl w:val="nil"/>
            </w:tcBorders>
            <w:shd w:val="clear" w:color="auto" w:fill="auto"/>
            <w:vAlign w:val="center"/>
          </w:tcPr>
          <w:p w14:paraId="38C005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32" w:type="dxa"/>
            <w:tcBorders>
              <w:tl2br w:val="nil"/>
              <w:tr2bl w:val="nil"/>
            </w:tcBorders>
            <w:shd w:val="clear" w:color="auto" w:fill="auto"/>
            <w:vAlign w:val="center"/>
          </w:tcPr>
          <w:p w14:paraId="463D4CD3">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项目补贴考核达标率</w:t>
            </w:r>
          </w:p>
        </w:tc>
        <w:tc>
          <w:tcPr>
            <w:tcW w:w="1201" w:type="dxa"/>
            <w:tcBorders>
              <w:tl2br w:val="nil"/>
              <w:tr2bl w:val="nil"/>
            </w:tcBorders>
            <w:shd w:val="clear" w:color="auto" w:fill="auto"/>
            <w:vAlign w:val="center"/>
          </w:tcPr>
          <w:p w14:paraId="10B8D0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40" w:type="dxa"/>
            <w:tcBorders>
              <w:tl2br w:val="nil"/>
              <w:tr2bl w:val="nil"/>
            </w:tcBorders>
            <w:shd w:val="clear" w:color="auto" w:fill="auto"/>
            <w:vAlign w:val="center"/>
          </w:tcPr>
          <w:p w14:paraId="375F11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49" w:type="dxa"/>
            <w:tcBorders>
              <w:tl2br w:val="nil"/>
              <w:tr2bl w:val="nil"/>
            </w:tcBorders>
            <w:shd w:val="clear" w:color="auto" w:fill="auto"/>
            <w:vAlign w:val="center"/>
          </w:tcPr>
          <w:p w14:paraId="62667E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28" w:type="dxa"/>
            <w:tcBorders>
              <w:tl2br w:val="nil"/>
              <w:tr2bl w:val="nil"/>
            </w:tcBorders>
            <w:shd w:val="clear" w:color="auto" w:fill="auto"/>
            <w:vAlign w:val="center"/>
          </w:tcPr>
          <w:p w14:paraId="5A2620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1" w:type="dxa"/>
            <w:tcBorders>
              <w:tl2br w:val="nil"/>
              <w:tr2bl w:val="nil"/>
            </w:tcBorders>
            <w:shd w:val="clear" w:color="auto" w:fill="auto"/>
            <w:vAlign w:val="center"/>
          </w:tcPr>
          <w:p w14:paraId="4F931E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98" w:type="dxa"/>
            <w:tcBorders>
              <w:tl2br w:val="nil"/>
              <w:tr2bl w:val="nil"/>
            </w:tcBorders>
            <w:shd w:val="clear" w:color="auto" w:fill="auto"/>
            <w:vAlign w:val="center"/>
          </w:tcPr>
          <w:p w14:paraId="1C39EE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3" w:type="dxa"/>
            <w:tcBorders>
              <w:tl2br w:val="nil"/>
              <w:tr2bl w:val="nil"/>
            </w:tcBorders>
            <w:shd w:val="clear" w:color="auto" w:fill="auto"/>
            <w:vAlign w:val="center"/>
          </w:tcPr>
          <w:p w14:paraId="4EF7B2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7" w:type="dxa"/>
            <w:tcBorders>
              <w:tl2br w:val="nil"/>
              <w:tr2bl w:val="nil"/>
            </w:tcBorders>
            <w:shd w:val="clear" w:color="auto" w:fill="auto"/>
            <w:vAlign w:val="center"/>
          </w:tcPr>
          <w:p w14:paraId="617EFA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87" w:type="dxa"/>
            <w:tcBorders>
              <w:tl2br w:val="nil"/>
              <w:tr2bl w:val="nil"/>
            </w:tcBorders>
            <w:shd w:val="clear" w:color="auto" w:fill="auto"/>
            <w:vAlign w:val="center"/>
          </w:tcPr>
          <w:p w14:paraId="57A6D6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6" w:type="dxa"/>
            <w:tcBorders>
              <w:tl2br w:val="nil"/>
              <w:tr2bl w:val="nil"/>
            </w:tcBorders>
            <w:shd w:val="clear" w:color="auto" w:fill="auto"/>
            <w:vAlign w:val="center"/>
          </w:tcPr>
          <w:p w14:paraId="1AA0750D">
            <w:pPr>
              <w:jc w:val="center"/>
              <w:rPr>
                <w:rFonts w:hint="eastAsia" w:ascii="宋体" w:hAnsi="宋体" w:eastAsia="宋体" w:cs="宋体"/>
                <w:i w:val="0"/>
                <w:iCs w:val="0"/>
                <w:color w:val="000000"/>
                <w:sz w:val="20"/>
                <w:szCs w:val="20"/>
                <w:u w:val="none"/>
              </w:rPr>
            </w:pPr>
          </w:p>
        </w:tc>
      </w:tr>
      <w:tr w14:paraId="7AC97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716" w:type="dxa"/>
            <w:vMerge w:val="continue"/>
            <w:tcBorders>
              <w:tl2br w:val="nil"/>
              <w:tr2bl w:val="nil"/>
            </w:tcBorders>
            <w:shd w:val="clear" w:color="auto" w:fill="auto"/>
            <w:vAlign w:val="center"/>
          </w:tcPr>
          <w:p w14:paraId="652520FC">
            <w:pPr>
              <w:jc w:val="center"/>
              <w:rPr>
                <w:rFonts w:hint="eastAsia" w:ascii="宋体" w:hAnsi="宋体" w:eastAsia="宋体" w:cs="宋体"/>
                <w:i w:val="0"/>
                <w:iCs w:val="0"/>
                <w:color w:val="000000"/>
                <w:sz w:val="20"/>
                <w:szCs w:val="20"/>
                <w:u w:val="none"/>
              </w:rPr>
            </w:pPr>
          </w:p>
        </w:tc>
        <w:tc>
          <w:tcPr>
            <w:tcW w:w="716" w:type="dxa"/>
            <w:vMerge w:val="continue"/>
            <w:tcBorders>
              <w:tl2br w:val="nil"/>
              <w:tr2bl w:val="nil"/>
            </w:tcBorders>
            <w:shd w:val="clear" w:color="auto" w:fill="auto"/>
            <w:vAlign w:val="center"/>
          </w:tcPr>
          <w:p w14:paraId="78B19965">
            <w:pPr>
              <w:jc w:val="center"/>
              <w:rPr>
                <w:rFonts w:hint="eastAsia" w:ascii="宋体" w:hAnsi="宋体" w:eastAsia="宋体" w:cs="宋体"/>
                <w:i w:val="0"/>
                <w:iCs w:val="0"/>
                <w:color w:val="000000"/>
                <w:sz w:val="20"/>
                <w:szCs w:val="20"/>
                <w:u w:val="none"/>
              </w:rPr>
            </w:pPr>
          </w:p>
        </w:tc>
        <w:tc>
          <w:tcPr>
            <w:tcW w:w="930" w:type="dxa"/>
            <w:vMerge w:val="restart"/>
            <w:tcBorders>
              <w:tl2br w:val="nil"/>
              <w:tr2bl w:val="nil"/>
            </w:tcBorders>
            <w:shd w:val="clear" w:color="auto" w:fill="auto"/>
            <w:vAlign w:val="center"/>
          </w:tcPr>
          <w:p w14:paraId="5A6971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32" w:type="dxa"/>
            <w:tcBorders>
              <w:tl2br w:val="nil"/>
              <w:tr2bl w:val="nil"/>
            </w:tcBorders>
            <w:shd w:val="clear" w:color="auto" w:fill="auto"/>
            <w:vAlign w:val="center"/>
          </w:tcPr>
          <w:p w14:paraId="33918B4A">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补贴发放及时率</w:t>
            </w:r>
          </w:p>
        </w:tc>
        <w:tc>
          <w:tcPr>
            <w:tcW w:w="1201" w:type="dxa"/>
            <w:tcBorders>
              <w:tl2br w:val="nil"/>
              <w:tr2bl w:val="nil"/>
            </w:tcBorders>
            <w:shd w:val="clear" w:color="auto" w:fill="auto"/>
            <w:vAlign w:val="center"/>
          </w:tcPr>
          <w:p w14:paraId="0D689F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tcBorders>
              <w:tl2br w:val="nil"/>
              <w:tr2bl w:val="nil"/>
            </w:tcBorders>
            <w:shd w:val="clear" w:color="auto" w:fill="auto"/>
            <w:vAlign w:val="center"/>
          </w:tcPr>
          <w:p w14:paraId="03F578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49" w:type="dxa"/>
            <w:tcBorders>
              <w:tl2br w:val="nil"/>
              <w:tr2bl w:val="nil"/>
            </w:tcBorders>
            <w:shd w:val="clear" w:color="auto" w:fill="auto"/>
            <w:vAlign w:val="center"/>
          </w:tcPr>
          <w:p w14:paraId="23ADCD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8" w:type="dxa"/>
            <w:tcBorders>
              <w:tl2br w:val="nil"/>
              <w:tr2bl w:val="nil"/>
            </w:tcBorders>
            <w:shd w:val="clear" w:color="auto" w:fill="auto"/>
            <w:vAlign w:val="center"/>
          </w:tcPr>
          <w:p w14:paraId="68DF0C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1" w:type="dxa"/>
            <w:tcBorders>
              <w:tl2br w:val="nil"/>
              <w:tr2bl w:val="nil"/>
            </w:tcBorders>
            <w:shd w:val="clear" w:color="auto" w:fill="auto"/>
            <w:vAlign w:val="center"/>
          </w:tcPr>
          <w:p w14:paraId="3D0B76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98" w:type="dxa"/>
            <w:tcBorders>
              <w:tl2br w:val="nil"/>
              <w:tr2bl w:val="nil"/>
            </w:tcBorders>
            <w:shd w:val="clear" w:color="auto" w:fill="auto"/>
            <w:vAlign w:val="center"/>
          </w:tcPr>
          <w:p w14:paraId="6BAABC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3" w:type="dxa"/>
            <w:tcBorders>
              <w:tl2br w:val="nil"/>
              <w:tr2bl w:val="nil"/>
            </w:tcBorders>
            <w:shd w:val="clear" w:color="auto" w:fill="auto"/>
            <w:vAlign w:val="center"/>
          </w:tcPr>
          <w:p w14:paraId="04B8D5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7" w:type="dxa"/>
            <w:tcBorders>
              <w:tl2br w:val="nil"/>
              <w:tr2bl w:val="nil"/>
            </w:tcBorders>
            <w:shd w:val="clear" w:color="auto" w:fill="auto"/>
            <w:vAlign w:val="center"/>
          </w:tcPr>
          <w:p w14:paraId="78157B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7" w:type="dxa"/>
            <w:tcBorders>
              <w:tl2br w:val="nil"/>
              <w:tr2bl w:val="nil"/>
            </w:tcBorders>
            <w:shd w:val="clear" w:color="auto" w:fill="auto"/>
            <w:vAlign w:val="center"/>
          </w:tcPr>
          <w:p w14:paraId="00F14A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6" w:type="dxa"/>
            <w:tcBorders>
              <w:tl2br w:val="nil"/>
              <w:tr2bl w:val="nil"/>
            </w:tcBorders>
            <w:shd w:val="clear" w:color="auto" w:fill="auto"/>
            <w:vAlign w:val="center"/>
          </w:tcPr>
          <w:p w14:paraId="0E9D00F2">
            <w:pPr>
              <w:jc w:val="center"/>
              <w:rPr>
                <w:rFonts w:hint="eastAsia" w:ascii="宋体" w:hAnsi="宋体" w:eastAsia="宋体" w:cs="宋体"/>
                <w:i w:val="0"/>
                <w:iCs w:val="0"/>
                <w:color w:val="000000"/>
                <w:sz w:val="20"/>
                <w:szCs w:val="20"/>
                <w:u w:val="none"/>
              </w:rPr>
            </w:pPr>
          </w:p>
        </w:tc>
      </w:tr>
      <w:tr w14:paraId="46DBD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40" w:hRule="atLeast"/>
        </w:trPr>
        <w:tc>
          <w:tcPr>
            <w:tcW w:w="716" w:type="dxa"/>
            <w:vMerge w:val="continue"/>
            <w:tcBorders>
              <w:tl2br w:val="nil"/>
              <w:tr2bl w:val="nil"/>
            </w:tcBorders>
            <w:shd w:val="clear" w:color="auto" w:fill="auto"/>
            <w:vAlign w:val="center"/>
          </w:tcPr>
          <w:p w14:paraId="285B8E35">
            <w:pPr>
              <w:jc w:val="center"/>
              <w:rPr>
                <w:rFonts w:hint="eastAsia" w:ascii="宋体" w:hAnsi="宋体" w:eastAsia="宋体" w:cs="宋体"/>
                <w:i w:val="0"/>
                <w:iCs w:val="0"/>
                <w:color w:val="000000"/>
                <w:sz w:val="20"/>
                <w:szCs w:val="20"/>
                <w:u w:val="none"/>
              </w:rPr>
            </w:pPr>
          </w:p>
        </w:tc>
        <w:tc>
          <w:tcPr>
            <w:tcW w:w="716" w:type="dxa"/>
            <w:vMerge w:val="continue"/>
            <w:tcBorders>
              <w:tl2br w:val="nil"/>
              <w:tr2bl w:val="nil"/>
            </w:tcBorders>
            <w:shd w:val="clear" w:color="auto" w:fill="auto"/>
            <w:vAlign w:val="center"/>
          </w:tcPr>
          <w:p w14:paraId="2AF0AC65">
            <w:pPr>
              <w:jc w:val="center"/>
              <w:rPr>
                <w:rFonts w:hint="eastAsia" w:ascii="宋体" w:hAnsi="宋体" w:eastAsia="宋体" w:cs="宋体"/>
                <w:i w:val="0"/>
                <w:iCs w:val="0"/>
                <w:color w:val="000000"/>
                <w:sz w:val="20"/>
                <w:szCs w:val="20"/>
                <w:u w:val="none"/>
              </w:rPr>
            </w:pPr>
          </w:p>
        </w:tc>
        <w:tc>
          <w:tcPr>
            <w:tcW w:w="930" w:type="dxa"/>
            <w:vMerge w:val="continue"/>
            <w:tcBorders>
              <w:tl2br w:val="nil"/>
              <w:tr2bl w:val="nil"/>
            </w:tcBorders>
            <w:shd w:val="clear" w:color="auto" w:fill="auto"/>
            <w:vAlign w:val="center"/>
          </w:tcPr>
          <w:p w14:paraId="6576CC3B">
            <w:pPr>
              <w:jc w:val="center"/>
              <w:rPr>
                <w:rFonts w:hint="eastAsia" w:ascii="宋体" w:hAnsi="宋体" w:eastAsia="宋体" w:cs="宋体"/>
                <w:i w:val="0"/>
                <w:iCs w:val="0"/>
                <w:color w:val="000000"/>
                <w:sz w:val="20"/>
                <w:szCs w:val="20"/>
                <w:u w:val="none"/>
              </w:rPr>
            </w:pPr>
          </w:p>
        </w:tc>
        <w:tc>
          <w:tcPr>
            <w:tcW w:w="1332" w:type="dxa"/>
            <w:tcBorders>
              <w:tl2br w:val="nil"/>
              <w:tr2bl w:val="nil"/>
            </w:tcBorders>
            <w:shd w:val="clear" w:color="auto" w:fill="auto"/>
            <w:vAlign w:val="center"/>
          </w:tcPr>
          <w:p w14:paraId="0CD3EA41">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补贴发放完成时间</w:t>
            </w:r>
          </w:p>
        </w:tc>
        <w:tc>
          <w:tcPr>
            <w:tcW w:w="1201" w:type="dxa"/>
            <w:tcBorders>
              <w:tl2br w:val="nil"/>
              <w:tr2bl w:val="nil"/>
            </w:tcBorders>
            <w:shd w:val="clear" w:color="auto" w:fill="auto"/>
            <w:vAlign w:val="center"/>
          </w:tcPr>
          <w:p w14:paraId="761835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2023年12月31日</w:t>
            </w:r>
          </w:p>
        </w:tc>
        <w:tc>
          <w:tcPr>
            <w:tcW w:w="940" w:type="dxa"/>
            <w:tcBorders>
              <w:tl2br w:val="nil"/>
              <w:tr2bl w:val="nil"/>
            </w:tcBorders>
            <w:shd w:val="clear" w:color="auto" w:fill="auto"/>
            <w:vAlign w:val="center"/>
          </w:tcPr>
          <w:p w14:paraId="6BA576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49" w:type="dxa"/>
            <w:tcBorders>
              <w:tl2br w:val="nil"/>
              <w:tr2bl w:val="nil"/>
            </w:tcBorders>
            <w:shd w:val="clear" w:color="auto" w:fill="auto"/>
            <w:vAlign w:val="center"/>
          </w:tcPr>
          <w:p w14:paraId="699E80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2022年12月31日</w:t>
            </w:r>
          </w:p>
        </w:tc>
        <w:tc>
          <w:tcPr>
            <w:tcW w:w="928" w:type="dxa"/>
            <w:tcBorders>
              <w:tl2br w:val="nil"/>
              <w:tr2bl w:val="nil"/>
            </w:tcBorders>
            <w:shd w:val="clear" w:color="auto" w:fill="auto"/>
            <w:vAlign w:val="center"/>
          </w:tcPr>
          <w:p w14:paraId="040F73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1" w:type="dxa"/>
            <w:tcBorders>
              <w:tl2br w:val="nil"/>
              <w:tr2bl w:val="nil"/>
            </w:tcBorders>
            <w:shd w:val="clear" w:color="auto" w:fill="auto"/>
            <w:vAlign w:val="center"/>
          </w:tcPr>
          <w:p w14:paraId="3DB738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98" w:type="dxa"/>
            <w:tcBorders>
              <w:tl2br w:val="nil"/>
              <w:tr2bl w:val="nil"/>
            </w:tcBorders>
            <w:shd w:val="clear" w:color="auto" w:fill="auto"/>
            <w:vAlign w:val="center"/>
          </w:tcPr>
          <w:p w14:paraId="4A04D9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3" w:type="dxa"/>
            <w:tcBorders>
              <w:tl2br w:val="nil"/>
              <w:tr2bl w:val="nil"/>
            </w:tcBorders>
            <w:shd w:val="clear" w:color="auto" w:fill="auto"/>
            <w:vAlign w:val="center"/>
          </w:tcPr>
          <w:p w14:paraId="01C079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2023年12月31日</w:t>
            </w:r>
          </w:p>
        </w:tc>
        <w:tc>
          <w:tcPr>
            <w:tcW w:w="1077" w:type="dxa"/>
            <w:tcBorders>
              <w:tl2br w:val="nil"/>
              <w:tr2bl w:val="nil"/>
            </w:tcBorders>
            <w:shd w:val="clear" w:color="auto" w:fill="auto"/>
            <w:vAlign w:val="center"/>
          </w:tcPr>
          <w:p w14:paraId="40978E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7" w:type="dxa"/>
            <w:tcBorders>
              <w:tl2br w:val="nil"/>
              <w:tr2bl w:val="nil"/>
            </w:tcBorders>
            <w:shd w:val="clear" w:color="auto" w:fill="auto"/>
            <w:vAlign w:val="center"/>
          </w:tcPr>
          <w:p w14:paraId="1F2655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6" w:type="dxa"/>
            <w:tcBorders>
              <w:tl2br w:val="nil"/>
              <w:tr2bl w:val="nil"/>
            </w:tcBorders>
            <w:shd w:val="clear" w:color="auto" w:fill="auto"/>
            <w:vAlign w:val="center"/>
          </w:tcPr>
          <w:p w14:paraId="44237271">
            <w:pPr>
              <w:jc w:val="center"/>
              <w:rPr>
                <w:rFonts w:hint="eastAsia" w:ascii="宋体" w:hAnsi="宋体" w:eastAsia="宋体" w:cs="宋体"/>
                <w:b/>
                <w:bCs/>
                <w:i w:val="0"/>
                <w:iCs w:val="0"/>
                <w:color w:val="000000"/>
                <w:sz w:val="20"/>
                <w:szCs w:val="20"/>
                <w:u w:val="none"/>
              </w:rPr>
            </w:pPr>
          </w:p>
        </w:tc>
      </w:tr>
      <w:tr w14:paraId="304E30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40" w:hRule="atLeast"/>
        </w:trPr>
        <w:tc>
          <w:tcPr>
            <w:tcW w:w="716" w:type="dxa"/>
            <w:vMerge w:val="continue"/>
            <w:tcBorders>
              <w:tl2br w:val="nil"/>
              <w:tr2bl w:val="nil"/>
            </w:tcBorders>
            <w:shd w:val="clear" w:color="auto" w:fill="auto"/>
            <w:vAlign w:val="center"/>
          </w:tcPr>
          <w:p w14:paraId="3AD28F61">
            <w:pPr>
              <w:jc w:val="center"/>
              <w:rPr>
                <w:rFonts w:hint="eastAsia" w:ascii="宋体" w:hAnsi="宋体" w:eastAsia="宋体" w:cs="宋体"/>
                <w:i w:val="0"/>
                <w:iCs w:val="0"/>
                <w:color w:val="000000"/>
                <w:sz w:val="20"/>
                <w:szCs w:val="20"/>
                <w:u w:val="none"/>
              </w:rPr>
            </w:pPr>
          </w:p>
        </w:tc>
        <w:tc>
          <w:tcPr>
            <w:tcW w:w="716" w:type="dxa"/>
            <w:tcBorders>
              <w:tl2br w:val="nil"/>
              <w:tr2bl w:val="nil"/>
            </w:tcBorders>
            <w:shd w:val="clear" w:color="auto" w:fill="auto"/>
            <w:vAlign w:val="center"/>
          </w:tcPr>
          <w:p w14:paraId="24D5E8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30" w:type="dxa"/>
            <w:tcBorders>
              <w:tl2br w:val="nil"/>
              <w:tr2bl w:val="nil"/>
            </w:tcBorders>
            <w:shd w:val="clear" w:color="auto" w:fill="auto"/>
            <w:vAlign w:val="center"/>
          </w:tcPr>
          <w:p w14:paraId="5B6DF0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32" w:type="dxa"/>
            <w:tcBorders>
              <w:tl2br w:val="nil"/>
              <w:tr2bl w:val="nil"/>
            </w:tcBorders>
            <w:shd w:val="clear" w:color="auto" w:fill="auto"/>
            <w:vAlign w:val="center"/>
          </w:tcPr>
          <w:p w14:paraId="383358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补贴公交运营线路单位成本</w:t>
            </w:r>
          </w:p>
        </w:tc>
        <w:tc>
          <w:tcPr>
            <w:tcW w:w="1201" w:type="dxa"/>
            <w:tcBorders>
              <w:tl2br w:val="nil"/>
              <w:tr2bl w:val="nil"/>
            </w:tcBorders>
            <w:shd w:val="clear" w:color="auto" w:fill="auto"/>
            <w:vAlign w:val="center"/>
          </w:tcPr>
          <w:p w14:paraId="5F7277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≤122.18万元/条</w:t>
            </w:r>
          </w:p>
        </w:tc>
        <w:tc>
          <w:tcPr>
            <w:tcW w:w="940" w:type="dxa"/>
            <w:tcBorders>
              <w:tl2br w:val="nil"/>
              <w:tr2bl w:val="nil"/>
            </w:tcBorders>
            <w:shd w:val="clear" w:color="auto" w:fill="auto"/>
            <w:vAlign w:val="center"/>
          </w:tcPr>
          <w:p w14:paraId="147B574D">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1149" w:type="dxa"/>
            <w:tcBorders>
              <w:tl2br w:val="nil"/>
              <w:tr2bl w:val="nil"/>
            </w:tcBorders>
            <w:shd w:val="clear" w:color="auto" w:fill="auto"/>
            <w:vAlign w:val="center"/>
          </w:tcPr>
          <w:p w14:paraId="025D6E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122.18万元/条</w:t>
            </w:r>
          </w:p>
        </w:tc>
        <w:tc>
          <w:tcPr>
            <w:tcW w:w="928" w:type="dxa"/>
            <w:tcBorders>
              <w:tl2br w:val="nil"/>
              <w:tr2bl w:val="nil"/>
            </w:tcBorders>
            <w:shd w:val="clear" w:color="auto" w:fill="auto"/>
            <w:vAlign w:val="center"/>
          </w:tcPr>
          <w:p w14:paraId="19B5FA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21" w:type="dxa"/>
            <w:tcBorders>
              <w:tl2br w:val="nil"/>
              <w:tr2bl w:val="nil"/>
            </w:tcBorders>
            <w:shd w:val="clear" w:color="auto" w:fill="auto"/>
            <w:vAlign w:val="center"/>
          </w:tcPr>
          <w:p w14:paraId="4A0113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98" w:type="dxa"/>
            <w:tcBorders>
              <w:tl2br w:val="nil"/>
              <w:tr2bl w:val="nil"/>
            </w:tcBorders>
            <w:shd w:val="clear" w:color="auto" w:fill="auto"/>
            <w:vAlign w:val="center"/>
          </w:tcPr>
          <w:p w14:paraId="095DD1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33" w:type="dxa"/>
            <w:tcBorders>
              <w:tl2br w:val="nil"/>
              <w:tr2bl w:val="nil"/>
            </w:tcBorders>
            <w:shd w:val="clear" w:color="auto" w:fill="auto"/>
            <w:vAlign w:val="center"/>
          </w:tcPr>
          <w:p w14:paraId="48D675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≤122.18万元/条</w:t>
            </w:r>
          </w:p>
        </w:tc>
        <w:tc>
          <w:tcPr>
            <w:tcW w:w="1077" w:type="dxa"/>
            <w:tcBorders>
              <w:tl2br w:val="nil"/>
              <w:tr2bl w:val="nil"/>
            </w:tcBorders>
            <w:shd w:val="clear" w:color="auto" w:fill="auto"/>
            <w:vAlign w:val="center"/>
          </w:tcPr>
          <w:p w14:paraId="5907F6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7" w:type="dxa"/>
            <w:tcBorders>
              <w:tl2br w:val="nil"/>
              <w:tr2bl w:val="nil"/>
            </w:tcBorders>
            <w:shd w:val="clear" w:color="auto" w:fill="auto"/>
            <w:vAlign w:val="center"/>
          </w:tcPr>
          <w:p w14:paraId="2F25D7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46" w:type="dxa"/>
            <w:tcBorders>
              <w:tl2br w:val="nil"/>
              <w:tr2bl w:val="nil"/>
            </w:tcBorders>
            <w:shd w:val="clear" w:color="auto" w:fill="auto"/>
            <w:vAlign w:val="center"/>
          </w:tcPr>
          <w:p w14:paraId="34ED1DBD">
            <w:pPr>
              <w:jc w:val="center"/>
              <w:rPr>
                <w:rFonts w:hint="eastAsia" w:ascii="宋体" w:hAnsi="宋体" w:eastAsia="宋体" w:cs="宋体"/>
                <w:i w:val="0"/>
                <w:iCs w:val="0"/>
                <w:color w:val="000000"/>
                <w:sz w:val="20"/>
                <w:szCs w:val="20"/>
                <w:u w:val="none"/>
              </w:rPr>
            </w:pPr>
          </w:p>
        </w:tc>
      </w:tr>
      <w:tr w14:paraId="6A402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0" w:hRule="atLeast"/>
        </w:trPr>
        <w:tc>
          <w:tcPr>
            <w:tcW w:w="716" w:type="dxa"/>
            <w:vMerge w:val="continue"/>
            <w:tcBorders>
              <w:tl2br w:val="nil"/>
              <w:tr2bl w:val="nil"/>
            </w:tcBorders>
            <w:shd w:val="clear" w:color="auto" w:fill="auto"/>
            <w:vAlign w:val="center"/>
          </w:tcPr>
          <w:p w14:paraId="2B06090C">
            <w:pPr>
              <w:jc w:val="center"/>
              <w:rPr>
                <w:rFonts w:hint="eastAsia" w:ascii="宋体" w:hAnsi="宋体" w:eastAsia="宋体" w:cs="宋体"/>
                <w:i w:val="0"/>
                <w:iCs w:val="0"/>
                <w:color w:val="000000"/>
                <w:sz w:val="20"/>
                <w:szCs w:val="20"/>
                <w:u w:val="none"/>
              </w:rPr>
            </w:pPr>
          </w:p>
        </w:tc>
        <w:tc>
          <w:tcPr>
            <w:tcW w:w="716" w:type="dxa"/>
            <w:tcBorders>
              <w:tl2br w:val="nil"/>
              <w:tr2bl w:val="nil"/>
            </w:tcBorders>
            <w:shd w:val="clear" w:color="auto" w:fill="auto"/>
            <w:vAlign w:val="center"/>
          </w:tcPr>
          <w:p w14:paraId="24B0D0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30" w:type="dxa"/>
            <w:tcBorders>
              <w:tl2br w:val="nil"/>
              <w:tr2bl w:val="nil"/>
            </w:tcBorders>
            <w:shd w:val="clear" w:color="auto" w:fill="auto"/>
            <w:vAlign w:val="center"/>
          </w:tcPr>
          <w:p w14:paraId="59CD4C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32" w:type="dxa"/>
            <w:tcBorders>
              <w:tl2br w:val="nil"/>
              <w:tr2bl w:val="nil"/>
            </w:tcBorders>
            <w:shd w:val="clear" w:color="auto" w:fill="auto"/>
            <w:vAlign w:val="center"/>
          </w:tcPr>
          <w:p w14:paraId="6E19A0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维持线路正常运行数</w:t>
            </w:r>
          </w:p>
        </w:tc>
        <w:tc>
          <w:tcPr>
            <w:tcW w:w="1201" w:type="dxa"/>
            <w:tcBorders>
              <w:tl2br w:val="nil"/>
              <w:tr2bl w:val="nil"/>
            </w:tcBorders>
            <w:shd w:val="clear" w:color="auto" w:fill="auto"/>
            <w:vAlign w:val="center"/>
          </w:tcPr>
          <w:p w14:paraId="6E1F01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tcBorders>
              <w:tl2br w:val="nil"/>
              <w:tr2bl w:val="nil"/>
            </w:tcBorders>
            <w:shd w:val="clear" w:color="auto" w:fill="auto"/>
            <w:vAlign w:val="center"/>
          </w:tcPr>
          <w:p w14:paraId="32B38A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49" w:type="dxa"/>
            <w:tcBorders>
              <w:tl2br w:val="nil"/>
              <w:tr2bl w:val="nil"/>
            </w:tcBorders>
            <w:shd w:val="clear" w:color="auto" w:fill="auto"/>
            <w:vAlign w:val="center"/>
          </w:tcPr>
          <w:p w14:paraId="03AB3F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8" w:type="dxa"/>
            <w:tcBorders>
              <w:tl2br w:val="nil"/>
              <w:tr2bl w:val="nil"/>
            </w:tcBorders>
            <w:shd w:val="clear" w:color="auto" w:fill="auto"/>
            <w:vAlign w:val="center"/>
          </w:tcPr>
          <w:p w14:paraId="3222D6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21" w:type="dxa"/>
            <w:tcBorders>
              <w:tl2br w:val="nil"/>
              <w:tr2bl w:val="nil"/>
            </w:tcBorders>
            <w:shd w:val="clear" w:color="auto" w:fill="auto"/>
            <w:vAlign w:val="center"/>
          </w:tcPr>
          <w:p w14:paraId="22E11D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98" w:type="dxa"/>
            <w:tcBorders>
              <w:tl2br w:val="nil"/>
              <w:tr2bl w:val="nil"/>
            </w:tcBorders>
            <w:shd w:val="clear" w:color="auto" w:fill="auto"/>
            <w:vAlign w:val="center"/>
          </w:tcPr>
          <w:p w14:paraId="1878BC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3" w:type="dxa"/>
            <w:tcBorders>
              <w:tl2br w:val="nil"/>
              <w:tr2bl w:val="nil"/>
            </w:tcBorders>
            <w:shd w:val="clear" w:color="auto" w:fill="auto"/>
            <w:vAlign w:val="center"/>
          </w:tcPr>
          <w:p w14:paraId="1BA454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8条</w:t>
            </w:r>
          </w:p>
        </w:tc>
        <w:tc>
          <w:tcPr>
            <w:tcW w:w="1077" w:type="dxa"/>
            <w:tcBorders>
              <w:tl2br w:val="nil"/>
              <w:tr2bl w:val="nil"/>
            </w:tcBorders>
            <w:shd w:val="clear" w:color="auto" w:fill="auto"/>
            <w:vAlign w:val="center"/>
          </w:tcPr>
          <w:p w14:paraId="3673BD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7" w:type="dxa"/>
            <w:tcBorders>
              <w:tl2br w:val="nil"/>
              <w:tr2bl w:val="nil"/>
            </w:tcBorders>
            <w:shd w:val="clear" w:color="auto" w:fill="auto"/>
            <w:vAlign w:val="center"/>
          </w:tcPr>
          <w:p w14:paraId="6B16E2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46" w:type="dxa"/>
            <w:tcBorders>
              <w:tl2br w:val="nil"/>
              <w:tr2bl w:val="nil"/>
            </w:tcBorders>
            <w:shd w:val="clear" w:color="auto" w:fill="auto"/>
            <w:vAlign w:val="center"/>
          </w:tcPr>
          <w:p w14:paraId="02E4E5A6">
            <w:pPr>
              <w:jc w:val="center"/>
              <w:rPr>
                <w:rFonts w:hint="eastAsia" w:ascii="宋体" w:hAnsi="宋体" w:eastAsia="宋体" w:cs="宋体"/>
                <w:i w:val="0"/>
                <w:iCs w:val="0"/>
                <w:color w:val="000000"/>
                <w:sz w:val="20"/>
                <w:szCs w:val="20"/>
                <w:u w:val="none"/>
              </w:rPr>
            </w:pPr>
          </w:p>
        </w:tc>
      </w:tr>
      <w:tr w14:paraId="142B3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716" w:type="dxa"/>
            <w:vMerge w:val="continue"/>
            <w:tcBorders>
              <w:tl2br w:val="nil"/>
              <w:tr2bl w:val="nil"/>
            </w:tcBorders>
            <w:shd w:val="clear" w:color="auto" w:fill="auto"/>
            <w:vAlign w:val="center"/>
          </w:tcPr>
          <w:p w14:paraId="544BC530">
            <w:pPr>
              <w:jc w:val="center"/>
              <w:rPr>
                <w:rFonts w:hint="eastAsia" w:ascii="宋体" w:hAnsi="宋体" w:eastAsia="宋体" w:cs="宋体"/>
                <w:i w:val="0"/>
                <w:iCs w:val="0"/>
                <w:color w:val="000000"/>
                <w:sz w:val="20"/>
                <w:szCs w:val="20"/>
                <w:u w:val="none"/>
              </w:rPr>
            </w:pPr>
          </w:p>
        </w:tc>
        <w:tc>
          <w:tcPr>
            <w:tcW w:w="716" w:type="dxa"/>
            <w:tcBorders>
              <w:tl2br w:val="nil"/>
              <w:tr2bl w:val="nil"/>
            </w:tcBorders>
            <w:shd w:val="clear" w:color="auto" w:fill="auto"/>
            <w:vAlign w:val="center"/>
          </w:tcPr>
          <w:p w14:paraId="4E0A6F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30" w:type="dxa"/>
            <w:tcBorders>
              <w:tl2br w:val="nil"/>
              <w:tr2bl w:val="nil"/>
            </w:tcBorders>
            <w:shd w:val="clear" w:color="auto" w:fill="auto"/>
            <w:vAlign w:val="center"/>
          </w:tcPr>
          <w:p w14:paraId="103867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32" w:type="dxa"/>
            <w:tcBorders>
              <w:tl2br w:val="nil"/>
              <w:tr2bl w:val="nil"/>
            </w:tcBorders>
            <w:shd w:val="clear" w:color="auto" w:fill="auto"/>
            <w:vAlign w:val="center"/>
          </w:tcPr>
          <w:p w14:paraId="749270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1201" w:type="dxa"/>
            <w:tcBorders>
              <w:tl2br w:val="nil"/>
              <w:tr2bl w:val="nil"/>
            </w:tcBorders>
            <w:shd w:val="clear" w:color="auto" w:fill="auto"/>
            <w:vAlign w:val="center"/>
          </w:tcPr>
          <w:p w14:paraId="502490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40" w:type="dxa"/>
            <w:tcBorders>
              <w:tl2br w:val="nil"/>
              <w:tr2bl w:val="nil"/>
            </w:tcBorders>
            <w:shd w:val="clear" w:color="auto" w:fill="auto"/>
            <w:vAlign w:val="center"/>
          </w:tcPr>
          <w:p w14:paraId="467671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社会公众们满意度</w:t>
            </w:r>
          </w:p>
        </w:tc>
        <w:tc>
          <w:tcPr>
            <w:tcW w:w="1149" w:type="dxa"/>
            <w:tcBorders>
              <w:tl2br w:val="nil"/>
              <w:tr2bl w:val="nil"/>
            </w:tcBorders>
            <w:shd w:val="clear" w:color="auto" w:fill="auto"/>
            <w:vAlign w:val="center"/>
          </w:tcPr>
          <w:p w14:paraId="61246D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8" w:type="dxa"/>
            <w:tcBorders>
              <w:tl2br w:val="nil"/>
              <w:tr2bl w:val="nil"/>
            </w:tcBorders>
            <w:shd w:val="clear" w:color="auto" w:fill="auto"/>
            <w:vAlign w:val="center"/>
          </w:tcPr>
          <w:p w14:paraId="37016C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1" w:type="dxa"/>
            <w:tcBorders>
              <w:tl2br w:val="nil"/>
              <w:tr2bl w:val="nil"/>
            </w:tcBorders>
            <w:shd w:val="clear" w:color="auto" w:fill="auto"/>
            <w:vAlign w:val="center"/>
          </w:tcPr>
          <w:p w14:paraId="2427B9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98" w:type="dxa"/>
            <w:tcBorders>
              <w:tl2br w:val="nil"/>
              <w:tr2bl w:val="nil"/>
            </w:tcBorders>
            <w:shd w:val="clear" w:color="auto" w:fill="auto"/>
            <w:vAlign w:val="center"/>
          </w:tcPr>
          <w:p w14:paraId="436E43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3" w:type="dxa"/>
            <w:tcBorders>
              <w:tl2br w:val="nil"/>
              <w:tr2bl w:val="nil"/>
            </w:tcBorders>
            <w:shd w:val="clear" w:color="auto" w:fill="auto"/>
            <w:vAlign w:val="center"/>
          </w:tcPr>
          <w:p w14:paraId="79B12C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7" w:type="dxa"/>
            <w:tcBorders>
              <w:tl2br w:val="nil"/>
              <w:tr2bl w:val="nil"/>
            </w:tcBorders>
            <w:shd w:val="clear" w:color="auto" w:fill="auto"/>
            <w:vAlign w:val="center"/>
          </w:tcPr>
          <w:p w14:paraId="29C7B1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87" w:type="dxa"/>
            <w:tcBorders>
              <w:tl2br w:val="nil"/>
              <w:tr2bl w:val="nil"/>
            </w:tcBorders>
            <w:shd w:val="clear" w:color="auto" w:fill="auto"/>
            <w:vAlign w:val="center"/>
          </w:tcPr>
          <w:p w14:paraId="16881F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6" w:type="dxa"/>
            <w:tcBorders>
              <w:tl2br w:val="nil"/>
              <w:tr2bl w:val="nil"/>
            </w:tcBorders>
            <w:shd w:val="clear" w:color="auto" w:fill="auto"/>
            <w:vAlign w:val="center"/>
          </w:tcPr>
          <w:p w14:paraId="48AD20AA">
            <w:pPr>
              <w:jc w:val="center"/>
              <w:rPr>
                <w:rFonts w:hint="eastAsia" w:ascii="宋体" w:hAnsi="宋体" w:eastAsia="宋体" w:cs="宋体"/>
                <w:i w:val="0"/>
                <w:iCs w:val="0"/>
                <w:color w:val="000000"/>
                <w:sz w:val="20"/>
                <w:szCs w:val="20"/>
                <w:u w:val="none"/>
              </w:rPr>
            </w:pPr>
          </w:p>
        </w:tc>
      </w:tr>
      <w:tr w14:paraId="069A4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0" w:hRule="atLeast"/>
        </w:trPr>
        <w:tc>
          <w:tcPr>
            <w:tcW w:w="3694" w:type="dxa"/>
            <w:gridSpan w:val="4"/>
            <w:tcBorders>
              <w:tl2br w:val="nil"/>
              <w:tr2bl w:val="nil"/>
            </w:tcBorders>
            <w:shd w:val="clear" w:color="auto" w:fill="auto"/>
            <w:vAlign w:val="center"/>
          </w:tcPr>
          <w:p w14:paraId="13A182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01" w:type="dxa"/>
            <w:tcBorders>
              <w:tl2br w:val="nil"/>
              <w:tr2bl w:val="nil"/>
            </w:tcBorders>
            <w:shd w:val="clear" w:color="auto" w:fill="auto"/>
            <w:vAlign w:val="center"/>
          </w:tcPr>
          <w:p w14:paraId="72842BB8">
            <w:pPr>
              <w:jc w:val="center"/>
              <w:rPr>
                <w:rFonts w:hint="eastAsia" w:ascii="宋体" w:hAnsi="宋体" w:eastAsia="宋体" w:cs="宋体"/>
                <w:i w:val="0"/>
                <w:iCs w:val="0"/>
                <w:color w:val="000000"/>
                <w:sz w:val="20"/>
                <w:szCs w:val="20"/>
                <w:u w:val="none"/>
              </w:rPr>
            </w:pPr>
          </w:p>
        </w:tc>
        <w:tc>
          <w:tcPr>
            <w:tcW w:w="940" w:type="dxa"/>
            <w:tcBorders>
              <w:tl2br w:val="nil"/>
              <w:tr2bl w:val="nil"/>
            </w:tcBorders>
            <w:shd w:val="clear" w:color="auto" w:fill="auto"/>
            <w:vAlign w:val="center"/>
          </w:tcPr>
          <w:p w14:paraId="2FF7B0AA">
            <w:pPr>
              <w:rPr>
                <w:rFonts w:hint="eastAsia" w:ascii="宋体" w:hAnsi="宋体" w:eastAsia="宋体" w:cs="宋体"/>
                <w:b/>
                <w:bCs/>
                <w:i w:val="0"/>
                <w:iCs w:val="0"/>
                <w:color w:val="000000"/>
                <w:sz w:val="20"/>
                <w:szCs w:val="20"/>
                <w:u w:val="none"/>
              </w:rPr>
            </w:pPr>
          </w:p>
        </w:tc>
        <w:tc>
          <w:tcPr>
            <w:tcW w:w="1149" w:type="dxa"/>
            <w:tcBorders>
              <w:tl2br w:val="nil"/>
              <w:tr2bl w:val="nil"/>
            </w:tcBorders>
            <w:shd w:val="clear" w:color="auto" w:fill="auto"/>
            <w:vAlign w:val="center"/>
          </w:tcPr>
          <w:p w14:paraId="43EC3949">
            <w:pPr>
              <w:jc w:val="center"/>
              <w:rPr>
                <w:rFonts w:hint="eastAsia" w:ascii="宋体" w:hAnsi="宋体" w:eastAsia="宋体" w:cs="宋体"/>
                <w:i w:val="0"/>
                <w:iCs w:val="0"/>
                <w:color w:val="000000"/>
                <w:sz w:val="20"/>
                <w:szCs w:val="20"/>
                <w:u w:val="none"/>
              </w:rPr>
            </w:pPr>
          </w:p>
        </w:tc>
        <w:tc>
          <w:tcPr>
            <w:tcW w:w="928" w:type="dxa"/>
            <w:tcBorders>
              <w:tl2br w:val="nil"/>
              <w:tr2bl w:val="nil"/>
            </w:tcBorders>
            <w:shd w:val="clear" w:color="auto" w:fill="auto"/>
            <w:vAlign w:val="center"/>
          </w:tcPr>
          <w:p w14:paraId="1BEAE1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21" w:type="dxa"/>
            <w:tcBorders>
              <w:tl2br w:val="nil"/>
              <w:tr2bl w:val="nil"/>
            </w:tcBorders>
            <w:shd w:val="clear" w:color="auto" w:fill="auto"/>
            <w:vAlign w:val="center"/>
          </w:tcPr>
          <w:p w14:paraId="25BB69AC">
            <w:pPr>
              <w:jc w:val="center"/>
              <w:rPr>
                <w:rFonts w:hint="eastAsia" w:ascii="宋体" w:hAnsi="宋体" w:eastAsia="宋体" w:cs="宋体"/>
                <w:i w:val="0"/>
                <w:iCs w:val="0"/>
                <w:color w:val="000000"/>
                <w:sz w:val="20"/>
                <w:szCs w:val="20"/>
                <w:u w:val="none"/>
              </w:rPr>
            </w:pPr>
          </w:p>
        </w:tc>
        <w:tc>
          <w:tcPr>
            <w:tcW w:w="998" w:type="dxa"/>
            <w:tcBorders>
              <w:tl2br w:val="nil"/>
              <w:tr2bl w:val="nil"/>
            </w:tcBorders>
            <w:shd w:val="clear" w:color="auto" w:fill="auto"/>
            <w:vAlign w:val="center"/>
          </w:tcPr>
          <w:p w14:paraId="01AC891C">
            <w:pPr>
              <w:jc w:val="center"/>
              <w:rPr>
                <w:rFonts w:hint="eastAsia" w:ascii="宋体" w:hAnsi="宋体" w:eastAsia="宋体" w:cs="宋体"/>
                <w:i w:val="0"/>
                <w:iCs w:val="0"/>
                <w:color w:val="000000"/>
                <w:sz w:val="20"/>
                <w:szCs w:val="20"/>
                <w:u w:val="none"/>
              </w:rPr>
            </w:pPr>
          </w:p>
        </w:tc>
        <w:tc>
          <w:tcPr>
            <w:tcW w:w="1033" w:type="dxa"/>
            <w:tcBorders>
              <w:tl2br w:val="nil"/>
              <w:tr2bl w:val="nil"/>
            </w:tcBorders>
            <w:shd w:val="clear" w:color="auto" w:fill="auto"/>
            <w:vAlign w:val="center"/>
          </w:tcPr>
          <w:p w14:paraId="459EE4FD">
            <w:pPr>
              <w:rPr>
                <w:rFonts w:hint="eastAsia" w:ascii="宋体" w:hAnsi="宋体" w:eastAsia="宋体" w:cs="宋体"/>
                <w:i w:val="0"/>
                <w:iCs w:val="0"/>
                <w:color w:val="000000"/>
                <w:sz w:val="20"/>
                <w:szCs w:val="20"/>
                <w:u w:val="none"/>
              </w:rPr>
            </w:pPr>
          </w:p>
        </w:tc>
        <w:tc>
          <w:tcPr>
            <w:tcW w:w="1077" w:type="dxa"/>
            <w:tcBorders>
              <w:tl2br w:val="nil"/>
              <w:tr2bl w:val="nil"/>
            </w:tcBorders>
            <w:shd w:val="clear" w:color="auto" w:fill="auto"/>
            <w:vAlign w:val="center"/>
          </w:tcPr>
          <w:p w14:paraId="36628CC7">
            <w:pPr>
              <w:jc w:val="center"/>
              <w:rPr>
                <w:rFonts w:hint="eastAsia" w:ascii="宋体" w:hAnsi="宋体" w:eastAsia="宋体" w:cs="宋体"/>
                <w:i w:val="0"/>
                <w:iCs w:val="0"/>
                <w:color w:val="000000"/>
                <w:sz w:val="20"/>
                <w:szCs w:val="20"/>
                <w:u w:val="none"/>
              </w:rPr>
            </w:pPr>
          </w:p>
        </w:tc>
        <w:tc>
          <w:tcPr>
            <w:tcW w:w="1087" w:type="dxa"/>
            <w:tcBorders>
              <w:tl2br w:val="nil"/>
              <w:tr2bl w:val="nil"/>
            </w:tcBorders>
            <w:shd w:val="clear" w:color="auto" w:fill="auto"/>
            <w:vAlign w:val="center"/>
          </w:tcPr>
          <w:p w14:paraId="3AFBE6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6" w:type="dxa"/>
            <w:tcBorders>
              <w:tl2br w:val="nil"/>
              <w:tr2bl w:val="nil"/>
            </w:tcBorders>
            <w:shd w:val="clear" w:color="auto" w:fill="auto"/>
            <w:vAlign w:val="center"/>
          </w:tcPr>
          <w:p w14:paraId="7A8BCC90">
            <w:pPr>
              <w:rPr>
                <w:rFonts w:hint="eastAsia" w:ascii="宋体" w:hAnsi="宋体" w:eastAsia="宋体" w:cs="宋体"/>
                <w:i w:val="0"/>
                <w:iCs w:val="0"/>
                <w:color w:val="000000"/>
                <w:sz w:val="20"/>
                <w:szCs w:val="20"/>
                <w:u w:val="none"/>
              </w:rPr>
            </w:pPr>
          </w:p>
        </w:tc>
      </w:tr>
    </w:tbl>
    <w:p w14:paraId="2F3F0682">
      <w:pPr>
        <w:tabs>
          <w:tab w:val="left" w:pos="5397"/>
        </w:tabs>
        <w:jc w:val="left"/>
        <w:rPr>
          <w:rFonts w:hint="default"/>
          <w:color w:val="auto"/>
          <w:highlight w:val="none"/>
          <w:lang w:val="en-US" w:eastAsia="zh-CN"/>
        </w:rPr>
      </w:pPr>
    </w:p>
    <w:p w14:paraId="62C1714F">
      <w:pPr>
        <w:pStyle w:val="2"/>
        <w:rPr>
          <w:rFonts w:hint="default"/>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4697B2A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4"/>
    </w:p>
    <w:tbl>
      <w:tblPr>
        <w:tblStyle w:val="14"/>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62BA22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0BACFE4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6A1A951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63DBB01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36C2ECB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69525C9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6B21AE2C">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32957BBC">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58F6C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5341FF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679841F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F35BF2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6848AE1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2E54E66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0809214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3597032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7867F63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FEC14B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44CED9F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5162DB5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00959D3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C80413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164AE6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27377C5">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5877B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2457651B">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80F0ADA">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7955D4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775C27D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79B8C3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78ED147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D0E46C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6ECBCE2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385DAEE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3BC1AA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74458779">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2.8</w:t>
            </w:r>
          </w:p>
        </w:tc>
      </w:tr>
      <w:tr w14:paraId="5D565E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47C6A46D">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D8B818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06A1EF3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4B2717B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5321820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13614F5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DD3C9D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32B9D70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33226BC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65EA17B8">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3CA5A58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5D0C8E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C53A1E6">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33117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0D91F6F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442606F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49B29CE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1EADAFE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205301D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2D3050F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5FFF45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FB6FDF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1570C49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4CB9E311">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18BDE2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3BD9811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A2CF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78A3F36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97A0A5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F2B695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03B8F0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740C4B0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254DD92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699767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E7C9F1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D3EA57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2A93D97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3CFF8E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20BC81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0D03C7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354E2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3442FB4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C2C7C8F">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1E6ADF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66084E9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3D86A65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298D666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663A1C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3B5A38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712D81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D5508D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7F7E1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74EFF9E">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319D853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6B3BCF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2A3F3FD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42A0328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7EC5CF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341A295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3CE010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EBD0AC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8223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3B1102E4">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A4C5321">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5F78AF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4C9B48C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181B37B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5EEFF2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1E34F2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EEF52B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99A4A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13FF499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767B084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5F8E770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6D3B6E3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5B6875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04F5E79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70219F8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E41F08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B02683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EC3A65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7AA0B10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4AA491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49DCBF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38E15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177929DA">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E5630D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3CA2AB4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5D16260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7C31A74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6A0FFB3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35A4B4F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107EB7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67B6A6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0F29F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3D4D1A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00B5F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40F81C5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1EB0079">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99B920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61600F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5D12760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078C05F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30D364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4DD89A9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75111F5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5AB50C4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487C8F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5AF6C3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3E3BD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5BB7D6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F60C79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15DEA39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补贴公交线路</w:t>
            </w:r>
          </w:p>
        </w:tc>
        <w:tc>
          <w:tcPr>
            <w:tcW w:w="2141" w:type="dxa"/>
            <w:shd w:val="clear" w:color="auto" w:fill="auto"/>
            <w:noWrap w:val="0"/>
            <w:vAlign w:val="center"/>
          </w:tcPr>
          <w:p w14:paraId="2AA3793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F8CBD3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8CD5BF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102A20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9A4162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EFBA78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7C9D9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63A4FA1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98EEB8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51C883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项目补贴考核达标率</w:t>
            </w:r>
          </w:p>
        </w:tc>
        <w:tc>
          <w:tcPr>
            <w:tcW w:w="2141" w:type="dxa"/>
            <w:shd w:val="clear" w:color="auto" w:fill="auto"/>
            <w:noWrap w:val="0"/>
            <w:vAlign w:val="center"/>
          </w:tcPr>
          <w:p w14:paraId="5D58566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0FC9F84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2409B36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652183F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EEFD44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97EA7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17B903CD">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D3294C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686E21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补贴发放及时率</w:t>
            </w:r>
          </w:p>
        </w:tc>
        <w:tc>
          <w:tcPr>
            <w:tcW w:w="2141" w:type="dxa"/>
            <w:shd w:val="clear" w:color="auto" w:fill="auto"/>
            <w:noWrap w:val="0"/>
            <w:vAlign w:val="center"/>
          </w:tcPr>
          <w:p w14:paraId="7D1AA39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A476B6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48ADF4A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557CA80">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0911DD6">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r>
      <w:tr w14:paraId="71F7C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65392F07">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C6DAB04">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18B88C4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补贴发放完成时间</w:t>
            </w:r>
          </w:p>
        </w:tc>
        <w:tc>
          <w:tcPr>
            <w:tcW w:w="2141" w:type="dxa"/>
            <w:shd w:val="clear" w:color="auto" w:fill="auto"/>
            <w:noWrap w:val="0"/>
            <w:vAlign w:val="center"/>
          </w:tcPr>
          <w:p w14:paraId="6C43ADE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393FA0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D616E90">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82F6ACB">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7C5DFDD">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r>
      <w:tr w14:paraId="33BF1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7F5467D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CE1C04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2E8E14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18"/>
                <w:szCs w:val="18"/>
                <w:highlight w:val="none"/>
                <w:u w:val="none"/>
                <w:lang w:val="en-US" w:eastAsia="zh-CN" w:bidi="ar"/>
              </w:rPr>
              <w:t>经济成本指标</w:t>
            </w:r>
          </w:p>
        </w:tc>
        <w:tc>
          <w:tcPr>
            <w:tcW w:w="2141" w:type="dxa"/>
            <w:shd w:val="clear" w:color="auto" w:fill="auto"/>
            <w:noWrap w:val="0"/>
            <w:vAlign w:val="center"/>
          </w:tcPr>
          <w:p w14:paraId="7FE4FB1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38C412E8">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155994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D904B5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18C05B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972C9D5">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0713DC2">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r>
      <w:tr w14:paraId="3704BB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298D485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115CF3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649906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18"/>
                <w:szCs w:val="18"/>
                <w:highlight w:val="none"/>
                <w:u w:val="none"/>
                <w:lang w:val="en-US" w:eastAsia="zh-CN" w:bidi="ar"/>
              </w:rPr>
              <w:t>社会效益指标</w:t>
            </w:r>
          </w:p>
        </w:tc>
        <w:tc>
          <w:tcPr>
            <w:tcW w:w="2141" w:type="dxa"/>
            <w:shd w:val="clear" w:color="auto" w:fill="auto"/>
            <w:noWrap w:val="0"/>
            <w:vAlign w:val="center"/>
          </w:tcPr>
          <w:p w14:paraId="292E88B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00B2D17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03884A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14:paraId="30D8F96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14:paraId="3A7FF2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2EE18FF4">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7379D9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29414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18"/>
                <w:szCs w:val="18"/>
                <w:highlight w:val="none"/>
                <w:u w:val="none"/>
                <w:lang w:val="en-US" w:eastAsia="zh-CN" w:bidi="ar"/>
              </w:rPr>
              <w:t>满意度指标</w:t>
            </w:r>
          </w:p>
        </w:tc>
        <w:tc>
          <w:tcPr>
            <w:tcW w:w="2141" w:type="dxa"/>
            <w:shd w:val="clear" w:color="auto" w:fill="auto"/>
            <w:noWrap w:val="0"/>
            <w:vAlign w:val="center"/>
          </w:tcPr>
          <w:p w14:paraId="570DEED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2272868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42D84D1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14:paraId="302B8A2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14:paraId="3B39CD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187D462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75517957">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464269D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0B57858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99.8</w:t>
            </w:r>
          </w:p>
        </w:tc>
      </w:tr>
    </w:tbl>
    <w:p w14:paraId="1EB668BD">
      <w:pPr>
        <w:spacing w:line="240" w:lineRule="auto"/>
        <w:ind w:firstLine="0" w:firstLineChars="0"/>
        <w:rPr>
          <w:rFonts w:ascii="Times New Roman" w:hAnsi="Times New Roman" w:eastAsia="仿宋_GB2312" w:cs="Times New Roman"/>
          <w:color w:val="auto"/>
          <w:sz w:val="30"/>
          <w:szCs w:val="24"/>
        </w:rPr>
      </w:pPr>
    </w:p>
    <w:p w14:paraId="0CCFF763">
      <w:pPr>
        <w:rPr>
          <w:rFonts w:hint="default"/>
          <w:color w:val="auto"/>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47FCD">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4960D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4960D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0EA557D"/>
    <w:rsid w:val="00F2799B"/>
    <w:rsid w:val="01253350"/>
    <w:rsid w:val="01282E62"/>
    <w:rsid w:val="014029CF"/>
    <w:rsid w:val="01470C4C"/>
    <w:rsid w:val="02200440"/>
    <w:rsid w:val="02284B43"/>
    <w:rsid w:val="02B015E2"/>
    <w:rsid w:val="02DC08FA"/>
    <w:rsid w:val="033B569D"/>
    <w:rsid w:val="039C3BA0"/>
    <w:rsid w:val="03A845BB"/>
    <w:rsid w:val="03B45AD1"/>
    <w:rsid w:val="04D12EE4"/>
    <w:rsid w:val="04D63993"/>
    <w:rsid w:val="04F14881"/>
    <w:rsid w:val="069827F7"/>
    <w:rsid w:val="07890F4F"/>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EC685A"/>
    <w:rsid w:val="11AD5C9A"/>
    <w:rsid w:val="11FA6155"/>
    <w:rsid w:val="12CF0947"/>
    <w:rsid w:val="12F1313F"/>
    <w:rsid w:val="136C678E"/>
    <w:rsid w:val="13EB2FF5"/>
    <w:rsid w:val="14FA389B"/>
    <w:rsid w:val="15A46B04"/>
    <w:rsid w:val="16275973"/>
    <w:rsid w:val="165825BC"/>
    <w:rsid w:val="16BC5D73"/>
    <w:rsid w:val="176F36D7"/>
    <w:rsid w:val="1795226D"/>
    <w:rsid w:val="17A65E8C"/>
    <w:rsid w:val="18456B1E"/>
    <w:rsid w:val="1886514F"/>
    <w:rsid w:val="19396215"/>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661469"/>
    <w:rsid w:val="27900EAD"/>
    <w:rsid w:val="279B538A"/>
    <w:rsid w:val="286F545C"/>
    <w:rsid w:val="29314FBC"/>
    <w:rsid w:val="2C024B86"/>
    <w:rsid w:val="2C927671"/>
    <w:rsid w:val="2D7C5CD6"/>
    <w:rsid w:val="2E483E7E"/>
    <w:rsid w:val="2E690493"/>
    <w:rsid w:val="2E9854BD"/>
    <w:rsid w:val="2F0D407F"/>
    <w:rsid w:val="2F454B19"/>
    <w:rsid w:val="310224D9"/>
    <w:rsid w:val="31B4621C"/>
    <w:rsid w:val="31E3230A"/>
    <w:rsid w:val="330957E0"/>
    <w:rsid w:val="33356F64"/>
    <w:rsid w:val="33944516"/>
    <w:rsid w:val="34B62907"/>
    <w:rsid w:val="36BD137C"/>
    <w:rsid w:val="385D37E7"/>
    <w:rsid w:val="38782EDD"/>
    <w:rsid w:val="3B42664A"/>
    <w:rsid w:val="3D836A4E"/>
    <w:rsid w:val="3EA37E97"/>
    <w:rsid w:val="3FBE0BC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6F4341A"/>
    <w:rsid w:val="575A7321"/>
    <w:rsid w:val="580C3AB9"/>
    <w:rsid w:val="583C7AE0"/>
    <w:rsid w:val="586C1E9A"/>
    <w:rsid w:val="586E0800"/>
    <w:rsid w:val="59216F96"/>
    <w:rsid w:val="592C2C48"/>
    <w:rsid w:val="598C4145"/>
    <w:rsid w:val="59957D1B"/>
    <w:rsid w:val="59D4294E"/>
    <w:rsid w:val="5B634312"/>
    <w:rsid w:val="5B9D2CCD"/>
    <w:rsid w:val="5B9E71EA"/>
    <w:rsid w:val="5BDB63EE"/>
    <w:rsid w:val="5E203F9B"/>
    <w:rsid w:val="5E226FBC"/>
    <w:rsid w:val="5FE72BD2"/>
    <w:rsid w:val="60120613"/>
    <w:rsid w:val="618D5292"/>
    <w:rsid w:val="622E78FA"/>
    <w:rsid w:val="63324564"/>
    <w:rsid w:val="63343F70"/>
    <w:rsid w:val="64296E1C"/>
    <w:rsid w:val="643C6A4F"/>
    <w:rsid w:val="649E64A2"/>
    <w:rsid w:val="65E5270A"/>
    <w:rsid w:val="663D3C54"/>
    <w:rsid w:val="66862C89"/>
    <w:rsid w:val="66BB486D"/>
    <w:rsid w:val="67394C7D"/>
    <w:rsid w:val="67E34C21"/>
    <w:rsid w:val="68126B38"/>
    <w:rsid w:val="68291A1A"/>
    <w:rsid w:val="68352BB8"/>
    <w:rsid w:val="691B1594"/>
    <w:rsid w:val="693A016B"/>
    <w:rsid w:val="6A17429C"/>
    <w:rsid w:val="6A567EA3"/>
    <w:rsid w:val="6B4B4368"/>
    <w:rsid w:val="6B79100E"/>
    <w:rsid w:val="6C844C00"/>
    <w:rsid w:val="6E10212C"/>
    <w:rsid w:val="6E43561A"/>
    <w:rsid w:val="6E557973"/>
    <w:rsid w:val="6E697D06"/>
    <w:rsid w:val="6E9568DB"/>
    <w:rsid w:val="6F0D6C22"/>
    <w:rsid w:val="6F47657F"/>
    <w:rsid w:val="6FAF23D9"/>
    <w:rsid w:val="70635CF6"/>
    <w:rsid w:val="70670707"/>
    <w:rsid w:val="71954A73"/>
    <w:rsid w:val="720E3691"/>
    <w:rsid w:val="724E244C"/>
    <w:rsid w:val="72DA6946"/>
    <w:rsid w:val="732764B3"/>
    <w:rsid w:val="74026044"/>
    <w:rsid w:val="74746410"/>
    <w:rsid w:val="75E5007C"/>
    <w:rsid w:val="77813724"/>
    <w:rsid w:val="77861774"/>
    <w:rsid w:val="78F31435"/>
    <w:rsid w:val="79300B45"/>
    <w:rsid w:val="794D3E18"/>
    <w:rsid w:val="79F3729A"/>
    <w:rsid w:val="7A1616C1"/>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8"/>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unhideWhenUsed/>
    <w:qFormat/>
    <w:uiPriority w:val="99"/>
    <w:pPr>
      <w:ind w:firstLine="420"/>
    </w:pPr>
    <w:rPr>
      <w:sz w:val="28"/>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3">
    <w:name w:val="Body Text First Indent"/>
    <w:basedOn w:val="7"/>
    <w:autoRedefine/>
    <w:qFormat/>
    <w:uiPriority w:val="0"/>
    <w:pPr>
      <w:ind w:firstLine="420" w:firstLineChars="100"/>
    </w:pPr>
  </w:style>
  <w:style w:type="character" w:styleId="16">
    <w:name w:val="Strong"/>
    <w:basedOn w:val="15"/>
    <w:autoRedefine/>
    <w:qFormat/>
    <w:uiPriority w:val="0"/>
    <w:rPr>
      <w:b/>
      <w:bCs/>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标题 2 Char"/>
    <w:link w:val="4"/>
    <w:autoRedefine/>
    <w:qFormat/>
    <w:uiPriority w:val="0"/>
    <w:rPr>
      <w:rFonts w:ascii="Arial" w:hAnsi="Arial" w:eastAsia="楷体"/>
      <w:b/>
      <w:sz w:val="32"/>
    </w:rPr>
  </w:style>
  <w:style w:type="paragraph" w:customStyle="1" w:styleId="19">
    <w:name w:val="WPSOffice手动目录 1"/>
    <w:autoRedefine/>
    <w:qFormat/>
    <w:uiPriority w:val="0"/>
    <w:pPr>
      <w:ind w:leftChars="0"/>
    </w:pPr>
    <w:rPr>
      <w:rFonts w:ascii="Times New Roman" w:hAnsi="Times New Roman" w:eastAsia="宋体" w:cs="Times New Roman"/>
      <w:sz w:val="20"/>
      <w:szCs w:val="20"/>
    </w:rPr>
  </w:style>
  <w:style w:type="paragraph" w:customStyle="1" w:styleId="20">
    <w:name w:val="WPSOffice手动目录 2"/>
    <w:autoRedefine/>
    <w:qFormat/>
    <w:uiPriority w:val="0"/>
    <w:pPr>
      <w:ind w:leftChars="200"/>
    </w:pPr>
    <w:rPr>
      <w:rFonts w:ascii="Times New Roman" w:hAnsi="Times New Roman" w:eastAsia="宋体" w:cs="Times New Roman"/>
      <w:sz w:val="20"/>
      <w:szCs w:val="20"/>
    </w:rPr>
  </w:style>
  <w:style w:type="paragraph" w:customStyle="1" w:styleId="21">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8406</Words>
  <Characters>8820</Characters>
  <Lines>0</Lines>
  <Paragraphs>0</Paragraphs>
  <TotalTime>2</TotalTime>
  <ScaleCrop>false</ScaleCrop>
  <LinksUpToDate>false</LinksUpToDate>
  <CharactersWithSpaces>8841</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2024-10-10T08:02:31Z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4D85A7C4882B486784B70555FD5502FF_13</vt:lpwstr>
  </property>
</Properties>
</file>