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FB3EE">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BC7BB8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43F2C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8485AA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阜康市机关事务服务中心</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w:t>
      </w:r>
    </w:p>
    <w:p w14:paraId="05AFF17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评价报告</w:t>
      </w:r>
      <w:bookmarkEnd w:id="0"/>
    </w:p>
    <w:p w14:paraId="17F11BF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99928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E627E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26DC6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6E674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02529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D85584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91D41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项目名称：经营性资产缴纳房产税项目</w:t>
      </w:r>
    </w:p>
    <w:p w14:paraId="70FD94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阜康市机关事务服务中心</w:t>
      </w:r>
    </w:p>
    <w:p w14:paraId="20F0C7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阜康市人民政府办公室</w:t>
      </w:r>
    </w:p>
    <w:p w14:paraId="0E7FE86D">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1AB21050">
      <w:pPr>
        <w:rPr>
          <w:rFonts w:hint="eastAsia"/>
          <w:color w:val="auto"/>
          <w:highlight w:val="none"/>
          <w:lang w:val="en-US" w:eastAsia="zh-CN"/>
        </w:rPr>
      </w:pPr>
      <w:r>
        <w:rPr>
          <w:rFonts w:hint="eastAsia"/>
          <w:color w:val="auto"/>
          <w:highlight w:val="none"/>
          <w:lang w:val="en-US" w:eastAsia="zh-CN"/>
        </w:rPr>
        <w:br w:type="page"/>
      </w:r>
    </w:p>
    <w:p w14:paraId="6FC8499C">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88464D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6461918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3C89C48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B0E90F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A93F92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0ED83A8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756015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0E3E7F7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F314EF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1B09A72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E173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BAEE53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58A7E1D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01C34D2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1E32B8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03137B6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B4A020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789484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ABB113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F3CE07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42868C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81BFB7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84309C4">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4B7599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经营性资产缴纳房产税项目</w:t>
      </w:r>
      <w:r>
        <w:rPr>
          <w:rFonts w:hint="eastAsia" w:ascii="宋体" w:hAnsi="宋体" w:eastAsia="宋体" w:cs="宋体"/>
          <w:b/>
          <w:bCs/>
          <w:color w:val="auto"/>
          <w:sz w:val="36"/>
          <w:szCs w:val="36"/>
          <w:highlight w:val="none"/>
          <w:shd w:val="clear" w:color="auto" w:fill="auto"/>
        </w:rPr>
        <w:t>支出绩效评价报告</w:t>
      </w:r>
      <w:bookmarkEnd w:id="1"/>
    </w:p>
    <w:p w14:paraId="347CE5A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D19B4BC">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799BF7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ECF9976">
      <w:pPr>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2022年</w:t>
      </w:r>
      <w:r>
        <w:rPr>
          <w:rFonts w:hint="eastAsia" w:asciiTheme="minorEastAsia" w:hAnsiTheme="minorEastAsia" w:eastAsiaTheme="minorEastAsia" w:cstheme="minorEastAsia"/>
          <w:color w:val="auto"/>
          <w:sz w:val="28"/>
          <w:szCs w:val="28"/>
          <w:highlight w:val="none"/>
          <w:lang w:eastAsia="zh-CN"/>
        </w:rPr>
        <w:t>市税务局通知我单位自</w:t>
      </w:r>
      <w:r>
        <w:rPr>
          <w:rFonts w:hint="eastAsia" w:asciiTheme="minorEastAsia" w:hAnsiTheme="minorEastAsia" w:eastAsiaTheme="minorEastAsia" w:cstheme="minorEastAsia"/>
          <w:color w:val="auto"/>
          <w:sz w:val="28"/>
          <w:szCs w:val="28"/>
          <w:highlight w:val="none"/>
          <w:lang w:val="en-US" w:eastAsia="zh-CN"/>
        </w:rPr>
        <w:t>2017年—2021年收取的经营性资产出租收入需要缴纳房产税、增值税等税费，经统计：2017年—2021年收取经营性资产出租收入共计2048.27万元，扣除2020年减免个体工商户和中小微企业租金退费262.13万元，实际租金收入1786.14万元。经测算，需要缴纳房产税等税费（含滞纳金）共计497.82万元。</w:t>
      </w:r>
    </w:p>
    <w:p w14:paraId="32E0E69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69CA16C3">
      <w:pPr>
        <w:pStyle w:val="5"/>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b w:val="0"/>
          <w:bCs w:val="0"/>
          <w:color w:val="auto"/>
          <w:kern w:val="2"/>
          <w:sz w:val="28"/>
          <w:szCs w:val="28"/>
          <w:highlight w:val="none"/>
          <w:lang w:val="en-US" w:eastAsia="zh-CN" w:bidi="ar-SA"/>
        </w:rPr>
      </w:pPr>
      <w:bookmarkStart w:id="6" w:name="_Toc16592"/>
      <w:r>
        <w:rPr>
          <w:rFonts w:hint="eastAsia" w:asciiTheme="minorEastAsia" w:hAnsiTheme="minorEastAsia" w:eastAsiaTheme="minorEastAsia" w:cstheme="minorEastAsia"/>
          <w:color w:val="auto"/>
          <w:sz w:val="28"/>
          <w:szCs w:val="28"/>
          <w:highlight w:val="none"/>
          <w:shd w:val="clear" w:color="auto" w:fill="auto"/>
          <w:lang w:val="en-US" w:eastAsia="zh-CN"/>
        </w:rPr>
        <w:t>主要内容：</w:t>
      </w:r>
      <w:bookmarkEnd w:id="6"/>
      <w:r>
        <w:rPr>
          <w:rFonts w:hint="eastAsia" w:asciiTheme="minorEastAsia" w:hAnsiTheme="minorEastAsia" w:eastAsiaTheme="minorEastAsia" w:cstheme="minorEastAsia"/>
          <w:b w:val="0"/>
          <w:bCs w:val="0"/>
          <w:color w:val="auto"/>
          <w:kern w:val="2"/>
          <w:sz w:val="28"/>
          <w:szCs w:val="28"/>
          <w:highlight w:val="none"/>
          <w:lang w:val="en-US" w:eastAsia="zh-CN" w:bidi="ar-SA"/>
        </w:rPr>
        <w:t>自2017年—2021年收取的经营性资产出租收入需要缴纳房产税、增值税等税费，经测算，需要缴纳房产税等税费（含滞纳金）共计497.82万元。</w:t>
      </w:r>
    </w:p>
    <w:p w14:paraId="32536936">
      <w:pPr>
        <w:ind w:firstLine="562"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shd w:val="clear" w:color="auto" w:fill="auto"/>
          <w:lang w:val="en-US" w:eastAsia="zh-CN"/>
        </w:rPr>
        <w:t>组织实施：</w:t>
      </w:r>
      <w:r>
        <w:rPr>
          <w:rFonts w:hint="eastAsia" w:asciiTheme="minorEastAsia" w:hAnsiTheme="minorEastAsia" w:eastAsiaTheme="minorEastAsia" w:cstheme="minorEastAsia"/>
          <w:color w:val="auto"/>
          <w:sz w:val="28"/>
          <w:szCs w:val="28"/>
          <w:highlight w:val="none"/>
          <w:lang w:val="en-US" w:eastAsia="zh-CN"/>
        </w:rPr>
        <w:t>本项目自2022年9月20日，根据国家税务总局阜康市税务局《税务事项通知书》，我单位自2017-2021年度取得房屋租赁收入未申报缴纳相应税费，需要补缴从租计征房产税。单位财务科室认真梳理统计：2017年—2021年收取经营性资产出租收入共计2048.27万元，扣除2020年减免个体工商户和中小微企业租金退费262.13万元，实际租金收入1786.14万元。经测算，需要缴纳房产税等税费（含滞纳金）共计497.82万元。</w:t>
      </w:r>
    </w:p>
    <w:p w14:paraId="749B8C4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505BDE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rPr>
      </w:pP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rPr>
        <w:t>项目资金安排落实、总投入等情况分析</w:t>
      </w:r>
    </w:p>
    <w:p w14:paraId="1C58F6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经营性资产缴纳房产税项目预算安排总额为500.84万元，其中财政资金500.84万元，其他资金0万元，2023年实际收到预算资金500.84万元，预算资金到位率为100%。</w:t>
      </w:r>
    </w:p>
    <w:p w14:paraId="71DC15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Theme="minorEastAsia" w:hAnsiTheme="minorEastAsia" w:eastAsiaTheme="minorEastAsia" w:cstheme="minorEastAsia"/>
          <w:bCs/>
          <w:color w:val="auto"/>
          <w:spacing w:val="-4"/>
          <w:sz w:val="28"/>
          <w:szCs w:val="28"/>
          <w:highlight w:val="none"/>
          <w:shd w:val="clear" w:color="auto" w:fill="auto"/>
        </w:rPr>
      </w:pPr>
      <w:r>
        <w:rPr>
          <w:rFonts w:hint="eastAsia" w:asciiTheme="minorEastAsia" w:hAnsiTheme="minorEastAsia" w:eastAsiaTheme="minorEastAsia" w:cstheme="minorEastAsia"/>
          <w:bCs/>
          <w:color w:val="auto"/>
          <w:spacing w:val="-4"/>
          <w:sz w:val="28"/>
          <w:szCs w:val="28"/>
          <w:highlight w:val="none"/>
          <w:shd w:val="clear" w:color="auto" w:fill="auto"/>
          <w:lang w:eastAsia="zh-CN"/>
        </w:rPr>
        <w:t>（</w:t>
      </w:r>
      <w:r>
        <w:rPr>
          <w:rFonts w:hint="eastAsia" w:asciiTheme="minorEastAsia" w:hAnsiTheme="minorEastAsia" w:eastAsiaTheme="minorEastAsia" w:cstheme="minorEastAsia"/>
          <w:bCs/>
          <w:color w:val="auto"/>
          <w:spacing w:val="-4"/>
          <w:sz w:val="28"/>
          <w:szCs w:val="28"/>
          <w:highlight w:val="none"/>
          <w:shd w:val="clear" w:color="auto" w:fill="auto"/>
          <w:lang w:val="en-US" w:eastAsia="zh-CN"/>
        </w:rPr>
        <w:t>2</w:t>
      </w:r>
      <w:r>
        <w:rPr>
          <w:rFonts w:hint="eastAsia" w:asciiTheme="minorEastAsia" w:hAnsiTheme="minorEastAsia" w:eastAsiaTheme="minorEastAsia" w:cstheme="minorEastAsia"/>
          <w:bCs/>
          <w:color w:val="auto"/>
          <w:spacing w:val="-4"/>
          <w:sz w:val="28"/>
          <w:szCs w:val="28"/>
          <w:highlight w:val="none"/>
          <w:shd w:val="clear" w:color="auto" w:fill="auto"/>
          <w:lang w:eastAsia="zh-CN"/>
        </w:rPr>
        <w:t>）</w:t>
      </w:r>
      <w:r>
        <w:rPr>
          <w:rFonts w:hint="eastAsia" w:asciiTheme="minorEastAsia" w:hAnsiTheme="minorEastAsia" w:eastAsiaTheme="minorEastAsia" w:cstheme="minorEastAsia"/>
          <w:bCs/>
          <w:color w:val="auto"/>
          <w:spacing w:val="-4"/>
          <w:sz w:val="28"/>
          <w:szCs w:val="28"/>
          <w:highlight w:val="none"/>
          <w:shd w:val="clear" w:color="auto" w:fill="auto"/>
        </w:rPr>
        <w:t>项目资金实际使用情况分析</w:t>
      </w:r>
    </w:p>
    <w:p w14:paraId="65B1C8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截至2023年12月31日，经营性资产缴纳房产税项目</w:t>
      </w:r>
      <w:r>
        <w:rPr>
          <w:rFonts w:hint="eastAsia" w:asciiTheme="minorEastAsia" w:hAnsiTheme="minorEastAsia" w:eastAsiaTheme="minorEastAsia" w:cstheme="minorEastAsia"/>
          <w:color w:val="auto"/>
          <w:sz w:val="28"/>
          <w:szCs w:val="28"/>
          <w:highlight w:val="none"/>
          <w:shd w:val="clear" w:color="auto" w:fill="auto"/>
        </w:rPr>
        <w:t>实际支付资金</w:t>
      </w:r>
      <w:r>
        <w:rPr>
          <w:rFonts w:hint="eastAsia" w:asciiTheme="minorEastAsia" w:hAnsiTheme="minorEastAsia" w:eastAsiaTheme="minorEastAsia" w:cstheme="minorEastAsia"/>
          <w:color w:val="auto"/>
          <w:sz w:val="28"/>
          <w:szCs w:val="28"/>
          <w:highlight w:val="none"/>
          <w:shd w:val="clear" w:color="auto" w:fill="auto"/>
          <w:lang w:val="en-US" w:eastAsia="zh-CN"/>
        </w:rPr>
        <w:t>497.82</w:t>
      </w:r>
      <w:r>
        <w:rPr>
          <w:rFonts w:hint="eastAsia" w:asciiTheme="minorEastAsia" w:hAnsiTheme="minorEastAsia" w:eastAsiaTheme="minorEastAsia" w:cstheme="minorEastAsia"/>
          <w:color w:val="auto"/>
          <w:sz w:val="28"/>
          <w:szCs w:val="28"/>
          <w:highlight w:val="none"/>
          <w:shd w:val="clear" w:color="auto" w:fill="auto"/>
        </w:rPr>
        <w:t>万元，预算执行率</w:t>
      </w:r>
      <w:r>
        <w:rPr>
          <w:rFonts w:hint="eastAsia" w:asciiTheme="minorEastAsia" w:hAnsiTheme="minorEastAsia" w:eastAsiaTheme="minorEastAsia" w:cstheme="minorEastAsia"/>
          <w:color w:val="auto"/>
          <w:sz w:val="28"/>
          <w:szCs w:val="28"/>
          <w:highlight w:val="none"/>
          <w:shd w:val="clear" w:color="auto" w:fill="auto"/>
          <w:lang w:val="en-US" w:eastAsia="zh-CN"/>
        </w:rPr>
        <w:t>99.4</w:t>
      </w:r>
      <w:r>
        <w:rPr>
          <w:rFonts w:hint="eastAsia" w:asciiTheme="minorEastAsia" w:hAnsiTheme="minorEastAsia" w:eastAsiaTheme="minorEastAsia" w:cstheme="minorEastAsia"/>
          <w:color w:val="auto"/>
          <w:sz w:val="28"/>
          <w:szCs w:val="28"/>
          <w:highlight w:val="none"/>
          <w:shd w:val="clear" w:color="auto" w:fill="auto"/>
        </w:rPr>
        <w:t>%</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rPr>
        <w:t>结</w:t>
      </w:r>
      <w:r>
        <w:rPr>
          <w:rFonts w:hint="eastAsia" w:asciiTheme="minorEastAsia" w:hAnsiTheme="minorEastAsia" w:eastAsiaTheme="minorEastAsia" w:cstheme="minorEastAsia"/>
          <w:color w:val="auto"/>
          <w:sz w:val="28"/>
          <w:szCs w:val="28"/>
          <w:highlight w:val="none"/>
          <w:shd w:val="clear" w:color="auto" w:fill="auto"/>
          <w:lang w:val="en-US" w:eastAsia="zh-CN"/>
        </w:rPr>
        <w:t>转</w:t>
      </w:r>
      <w:r>
        <w:rPr>
          <w:rFonts w:hint="eastAsia" w:asciiTheme="minorEastAsia" w:hAnsiTheme="minorEastAsia" w:eastAsiaTheme="minorEastAsia" w:cstheme="minorEastAsia"/>
          <w:color w:val="auto"/>
          <w:sz w:val="28"/>
          <w:szCs w:val="28"/>
          <w:highlight w:val="none"/>
          <w:shd w:val="clear" w:color="auto" w:fill="auto"/>
          <w:lang w:eastAsia="zh-CN"/>
        </w:rPr>
        <w:t>结余资金</w:t>
      </w:r>
      <w:r>
        <w:rPr>
          <w:rFonts w:hint="eastAsia" w:asciiTheme="minorEastAsia" w:hAnsiTheme="minorEastAsia" w:eastAsiaTheme="minorEastAsia" w:cstheme="minorEastAsia"/>
          <w:color w:val="auto"/>
          <w:sz w:val="28"/>
          <w:szCs w:val="28"/>
          <w:highlight w:val="none"/>
          <w:shd w:val="clear" w:color="auto" w:fill="auto"/>
          <w:lang w:val="en-US" w:eastAsia="zh-CN"/>
        </w:rPr>
        <w:t>3.02万元，已上缴国库。</w:t>
      </w:r>
      <w:r>
        <w:rPr>
          <w:rFonts w:hint="eastAsia" w:asciiTheme="minorEastAsia" w:hAnsiTheme="minorEastAsia" w:eastAsiaTheme="minorEastAsia" w:cstheme="minorEastAsia"/>
          <w:color w:val="auto"/>
          <w:sz w:val="28"/>
          <w:szCs w:val="28"/>
          <w:highlight w:val="none"/>
          <w:shd w:val="clear" w:color="auto" w:fill="auto"/>
        </w:rPr>
        <w:t>项目资金主要用于</w:t>
      </w:r>
      <w:r>
        <w:rPr>
          <w:rFonts w:hint="eastAsia" w:asciiTheme="minorEastAsia" w:hAnsiTheme="minorEastAsia" w:eastAsiaTheme="minorEastAsia" w:cstheme="minorEastAsia"/>
          <w:color w:val="auto"/>
          <w:sz w:val="28"/>
          <w:szCs w:val="28"/>
          <w:highlight w:val="none"/>
          <w:lang w:val="en-US" w:eastAsia="zh-CN"/>
        </w:rPr>
        <w:t>缴纳房产税、增值税等税费</w:t>
      </w:r>
      <w:r>
        <w:rPr>
          <w:rFonts w:hint="eastAsia" w:asciiTheme="minorEastAsia" w:hAnsiTheme="minorEastAsia" w:eastAsiaTheme="minorEastAsia" w:cstheme="minorEastAsia"/>
          <w:color w:val="auto"/>
          <w:sz w:val="28"/>
          <w:szCs w:val="28"/>
          <w:highlight w:val="none"/>
          <w:shd w:val="clear" w:color="auto" w:fill="auto"/>
          <w:lang w:val="en-US" w:eastAsia="zh-CN"/>
        </w:rPr>
        <w:t>等方面。</w:t>
      </w:r>
    </w:p>
    <w:p w14:paraId="1647665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AF3516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31970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经营性资产缴纳房产税项目绩效总体目标为：机关事务服务中心2023年预计完成补交2017-2021年经营性资产出租收入缴纳房产税500.84万元，项目的实施预计达到完成税收任务，促进平等竞争；调节经济总量，保持经济稳定。资金2023年1月17日支付到位，单位执行率100%，及时支付，确保资金预算支出率达到100%。</w:t>
      </w:r>
    </w:p>
    <w:p w14:paraId="4F76600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0DB1B6B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3739DB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5A250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FBA88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经营性资产数量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为≧20个；</w:t>
      </w:r>
    </w:p>
    <w:p w14:paraId="7BE976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E5996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资金支付合规率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1F554A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③质量指标</w:t>
      </w:r>
    </w:p>
    <w:p w14:paraId="65E0BE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资金执行率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72FD365C">
      <w:pPr>
        <w:tabs>
          <w:tab w:val="right" w:pos="9241"/>
        </w:tabs>
        <w:ind w:firstLine="560"/>
        <w:rPr>
          <w:color w:val="auto"/>
          <w:highlight w:val="none"/>
        </w:rPr>
      </w:pPr>
      <w:r>
        <w:rPr>
          <w:rFonts w:hint="eastAsia" w:ascii="宋体" w:hAnsi="宋体" w:eastAsia="宋体" w:cs="宋体"/>
          <w:color w:val="auto"/>
          <w:highlight w:val="none"/>
          <w:shd w:val="clear" w:color="auto" w:fill="auto"/>
          <w:lang w:val="en-US" w:eastAsia="zh-CN"/>
        </w:rPr>
        <w:t>④</w:t>
      </w:r>
      <w:r>
        <w:rPr>
          <w:rFonts w:hint="eastAsia"/>
          <w:color w:val="auto"/>
          <w:highlight w:val="none"/>
        </w:rPr>
        <w:t>时效指标</w:t>
      </w:r>
      <w:r>
        <w:rPr>
          <w:color w:val="auto"/>
          <w:highlight w:val="none"/>
        </w:rPr>
        <w:tab/>
      </w:r>
    </w:p>
    <w:p w14:paraId="28F0FD68">
      <w:pPr>
        <w:ind w:firstLine="560"/>
        <w:rPr>
          <w:color w:val="auto"/>
          <w:highlight w:val="none"/>
        </w:rPr>
      </w:pPr>
      <w:r>
        <w:rPr>
          <w:rFonts w:hint="eastAsia"/>
          <w:color w:val="auto"/>
          <w:highlight w:val="none"/>
        </w:rPr>
        <w:t>“</w:t>
      </w:r>
      <w:r>
        <w:rPr>
          <w:rFonts w:hint="eastAsia"/>
          <w:color w:val="auto"/>
          <w:highlight w:val="none"/>
          <w:lang w:eastAsia="zh-CN"/>
        </w:rPr>
        <w:t>资金支付时间</w:t>
      </w:r>
      <w:r>
        <w:rPr>
          <w:rFonts w:hint="eastAsia"/>
          <w:color w:val="auto"/>
          <w:highlight w:val="none"/>
        </w:rPr>
        <w:t>”指标，预期指标值为2023</w:t>
      </w:r>
      <w:r>
        <w:rPr>
          <w:rFonts w:hint="eastAsia"/>
          <w:color w:val="auto"/>
          <w:highlight w:val="none"/>
          <w:lang w:eastAsia="zh-CN"/>
        </w:rPr>
        <w:t>年</w:t>
      </w:r>
      <w:r>
        <w:rPr>
          <w:rFonts w:hint="eastAsia"/>
          <w:color w:val="auto"/>
          <w:highlight w:val="none"/>
        </w:rPr>
        <w:t>1</w:t>
      </w:r>
      <w:r>
        <w:rPr>
          <w:rFonts w:hint="eastAsia"/>
          <w:color w:val="auto"/>
          <w:highlight w:val="none"/>
          <w:lang w:eastAsia="zh-CN"/>
        </w:rPr>
        <w:t>月</w:t>
      </w:r>
      <w:r>
        <w:rPr>
          <w:rFonts w:hint="eastAsia"/>
          <w:color w:val="auto"/>
          <w:highlight w:val="none"/>
        </w:rPr>
        <w:t>17</w:t>
      </w:r>
      <w:r>
        <w:rPr>
          <w:rFonts w:hint="eastAsia"/>
          <w:color w:val="auto"/>
          <w:highlight w:val="none"/>
          <w:lang w:eastAsia="zh-CN"/>
        </w:rPr>
        <w:t>日</w:t>
      </w:r>
      <w:r>
        <w:rPr>
          <w:rFonts w:hint="eastAsia"/>
          <w:color w:val="auto"/>
          <w:highlight w:val="none"/>
        </w:rPr>
        <w:t>；</w:t>
      </w:r>
    </w:p>
    <w:p w14:paraId="38F85EB9">
      <w:pPr>
        <w:tabs>
          <w:tab w:val="right" w:pos="9241"/>
        </w:tabs>
        <w:ind w:firstLine="560"/>
        <w:rPr>
          <w:color w:val="auto"/>
          <w:highlight w:val="none"/>
        </w:rPr>
      </w:pPr>
      <w:r>
        <w:rPr>
          <w:rFonts w:hint="eastAsia" w:ascii="宋体" w:hAnsi="宋体" w:eastAsia="宋体" w:cs="宋体"/>
          <w:color w:val="auto"/>
          <w:highlight w:val="none"/>
          <w:shd w:val="clear" w:color="auto" w:fill="auto"/>
          <w:lang w:val="en-US" w:eastAsia="zh-CN"/>
        </w:rPr>
        <w:t>⑤</w:t>
      </w:r>
      <w:r>
        <w:rPr>
          <w:rFonts w:hint="eastAsia"/>
          <w:color w:val="auto"/>
          <w:highlight w:val="none"/>
        </w:rPr>
        <w:t>时效指标</w:t>
      </w:r>
      <w:r>
        <w:rPr>
          <w:color w:val="auto"/>
          <w:highlight w:val="none"/>
        </w:rPr>
        <w:tab/>
      </w:r>
    </w:p>
    <w:p w14:paraId="317BEDC8">
      <w:pPr>
        <w:ind w:firstLine="560"/>
        <w:rPr>
          <w:color w:val="auto"/>
          <w:highlight w:val="none"/>
        </w:rPr>
      </w:pPr>
      <w:r>
        <w:rPr>
          <w:rFonts w:hint="eastAsia"/>
          <w:color w:val="auto"/>
          <w:highlight w:val="none"/>
        </w:rPr>
        <w:t>“</w:t>
      </w:r>
      <w:r>
        <w:rPr>
          <w:rFonts w:hint="eastAsia"/>
          <w:color w:val="auto"/>
          <w:highlight w:val="none"/>
          <w:lang w:eastAsia="zh-CN"/>
        </w:rPr>
        <w:t>资金支出及时性</w:t>
      </w:r>
      <w:r>
        <w:rPr>
          <w:rFonts w:hint="eastAsia"/>
          <w:color w:val="auto"/>
          <w:highlight w:val="none"/>
        </w:rPr>
        <w:t>”指标，预期指标值为</w:t>
      </w:r>
      <w:r>
        <w:rPr>
          <w:rFonts w:hint="eastAsia" w:ascii="宋体" w:hAnsi="宋体" w:eastAsia="宋体" w:cs="宋体"/>
          <w:color w:val="auto"/>
          <w:highlight w:val="none"/>
          <w:shd w:val="clear" w:color="auto" w:fill="auto"/>
          <w:lang w:val="en-US" w:eastAsia="zh-CN"/>
        </w:rPr>
        <w:t>=100%；</w:t>
      </w:r>
    </w:p>
    <w:p w14:paraId="0595D95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0D007D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B8608F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促进平等竞争；调节经济总量，保持经济稳定</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为逐步提升；</w:t>
      </w:r>
    </w:p>
    <w:p w14:paraId="435E77E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338B34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提高纳税人纳税意识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14:paraId="54FBE06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33F1320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本项目不存在生态效益</w:t>
      </w:r>
    </w:p>
    <w:p w14:paraId="0BD383D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④满意度指标</w:t>
      </w:r>
    </w:p>
    <w:p w14:paraId="2C6C0A19">
      <w:pPr>
        <w:bidi w:val="0"/>
        <w:rPr>
          <w:rFonts w:hint="eastAsia"/>
          <w:color w:val="auto"/>
          <w:highlight w:val="none"/>
          <w:lang w:val="en-US" w:eastAsia="zh-CN"/>
        </w:rPr>
      </w:pPr>
      <w:bookmarkStart w:id="11" w:name="_Toc2549"/>
      <w:r>
        <w:rPr>
          <w:rFonts w:hint="eastAsia" w:ascii="宋体" w:hAnsi="宋体" w:eastAsia="宋体" w:cs="宋体"/>
          <w:i w:val="0"/>
          <w:iCs w:val="0"/>
          <w:color w:val="auto"/>
          <w:kern w:val="2"/>
          <w:sz w:val="28"/>
          <w:szCs w:val="28"/>
          <w:highlight w:val="none"/>
          <w:lang w:val="en-US" w:eastAsia="zh-CN" w:bidi="ar-SA"/>
        </w:rPr>
        <w:t>“税务人员满意度”指标</w:t>
      </w:r>
      <w:r>
        <w:rPr>
          <w:rFonts w:hint="eastAsia" w:cs="宋体"/>
          <w:i w:val="0"/>
          <w:iCs w:val="0"/>
          <w:color w:val="auto"/>
          <w:kern w:val="2"/>
          <w:sz w:val="28"/>
          <w:szCs w:val="28"/>
          <w:highlight w:val="none"/>
          <w:lang w:val="en-US" w:eastAsia="zh-CN" w:bidi="ar-SA"/>
        </w:rPr>
        <w:t>，</w:t>
      </w:r>
      <w:r>
        <w:rPr>
          <w:rFonts w:hint="eastAsia"/>
          <w:color w:val="auto"/>
          <w:highlight w:val="none"/>
          <w:lang w:val="en-US" w:eastAsia="zh-CN"/>
        </w:rPr>
        <w:t>预期目标值为100%，实际完成为100%。</w:t>
      </w:r>
    </w:p>
    <w:p w14:paraId="73BE634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4D8A8A97">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5258"/>
      <w:bookmarkStart w:id="14" w:name="_Toc26632"/>
      <w:bookmarkStart w:id="15" w:name="_Toc21664"/>
      <w:bookmarkStart w:id="16" w:name="_Toc22922"/>
      <w:bookmarkStart w:id="17" w:name="_Toc22169_WPSOffice_Level2"/>
      <w:bookmarkStart w:id="18" w:name="_Toc5462343"/>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2A274E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7C0038E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DB158F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64BC4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年度我单位实施的经营性资产缴纳房产税项目开展部门绩效评价。</w:t>
      </w:r>
    </w:p>
    <w:p w14:paraId="1F92A9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A198839">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65278E5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E2D1B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经营性资产缴纳房产税项目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5FB18B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623E4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71DAD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7B5427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FD80E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BC5988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26131"/>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695100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D2DE8F6">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6553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9C107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33065C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273AD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35F46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EAE7B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EEDE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F77A0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F5D0E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B38C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0C3C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7EDD86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428A8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F21C0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13C025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2460F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73A2222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4135CC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1C2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D2CD1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F489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9D03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394B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70E3C9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5A5087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C5E87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30BF4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26F99BE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444B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FC1BF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D0E6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9B42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067D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EB39B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8F724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424FC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BE3B60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7FDA9C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3C45FF7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DFC114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6C93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DB6D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9735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7E272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152AC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1C4D0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CB308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D0AE9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516D9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3AC5D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9D6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8AE739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C9DE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3F42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4A21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939B0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17801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5D36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6FBA0E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C108B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86F07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81E9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BD001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871F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EB13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7143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8C8A9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22EAA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B2FF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D9D11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B94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EFB21F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D82D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5801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23201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60BD2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B1216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6D735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0C4B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79E32B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044C0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5F55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E9BAA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720FA2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402D4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802B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C0F7F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3780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61D1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5871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A7D2B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09B96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710D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97403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6CBED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5E8C9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6C8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2B8771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02974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F3541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4B2EE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7BF27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46BB8B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EC0BF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A995A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577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CD5A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71A4A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8448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D667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83FC3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08A6F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9FC0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4C103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AB6CE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6EFF4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182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A56F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4E04A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2E32C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CDA86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3F6849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8D24A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B903E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9DE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8E558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5061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7A6BA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3D99C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761BB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1F2E0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1518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C98F95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558C96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7471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6735C9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4BDD46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E7983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C4CD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F09E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8B0B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72A4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78AA8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61864E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D6FDA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7D806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12CD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E04C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40B90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5290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7B34E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15317F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AA69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80E2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A2B4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957F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48447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C5972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1FC48E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00E45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与实施情况进行比较，以及采取公众问卷及抽样调查等方式进行评判的方法对经营性资产缴纳房产税项目进行评价。</w:t>
      </w:r>
    </w:p>
    <w:p w14:paraId="69A428E6">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2ECB2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D28A2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FBF1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237BD07A">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B1A34C4">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655DCB5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BE2B42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33891D9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7806F0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1D1025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经营性资产缴纳房产税项目实施内容、目标信息、预算信息以及其他的一些项目基本信息，有了初步了解，为制定绩效评价工作方案做好准备。</w:t>
      </w:r>
      <w:bookmarkEnd w:id="35"/>
    </w:p>
    <w:p w14:paraId="42C249D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1D1740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329384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830343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90096E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A453A1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E39312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699884A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19B763F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D0A031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1DCAC93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0202398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5DBD4FF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179E44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8E3984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015DFC1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35D1F2B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3FD9413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1EE5D06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4B1999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81CAB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经营性资产缴纳房产税项目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99.41</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b/>
          <w:bCs/>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CF2A4BF">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A479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bCs/>
                <w:color w:val="auto"/>
                <w:highlight w:val="none"/>
                <w:shd w:val="clear" w:color="auto" w:fill="auto"/>
                <w:lang w:val="en-US" w:eastAsia="zh-CN"/>
              </w:rPr>
              <w:t>经营性资产缴纳房产税项目</w:t>
            </w:r>
            <w:r>
              <w:rPr>
                <w:rFonts w:hint="eastAsia" w:ascii="宋体" w:hAnsi="宋体" w:eastAsia="宋体" w:cs="宋体"/>
                <w:b/>
                <w:bCs/>
                <w:color w:val="auto"/>
                <w:kern w:val="0"/>
                <w:sz w:val="28"/>
                <w:szCs w:val="28"/>
                <w:highlight w:val="none"/>
                <w:shd w:val="clear" w:color="auto" w:fill="auto"/>
                <w:lang w:val="en-US" w:eastAsia="zh-CN"/>
              </w:rPr>
              <w:t>得分表</w:t>
            </w:r>
          </w:p>
          <w:p w14:paraId="709DBF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4"/>
                <w:szCs w:val="24"/>
                <w:highlight w:val="none"/>
                <w:shd w:val="clear" w:color="auto" w:fill="auto"/>
              </w:rPr>
            </w:pPr>
          </w:p>
        </w:tc>
      </w:tr>
      <w:tr w14:paraId="08A6F20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2A7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0E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BB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09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6D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518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08372C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C3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9F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502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67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E83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EA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0F9872A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73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30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9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C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29.94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C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C1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99.41</w:t>
            </w:r>
          </w:p>
        </w:tc>
      </w:tr>
      <w:tr w14:paraId="5C28502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E44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CC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DD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AA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4C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EE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99.41</w:t>
            </w:r>
            <w:r>
              <w:rPr>
                <w:rFonts w:hint="eastAsia" w:ascii="宋体" w:hAnsi="宋体" w:eastAsia="宋体" w:cs="宋体"/>
                <w:color w:val="auto"/>
                <w:kern w:val="0"/>
                <w:sz w:val="21"/>
                <w:szCs w:val="21"/>
                <w:highlight w:val="none"/>
                <w:shd w:val="clear" w:color="auto" w:fill="auto"/>
                <w:lang w:val="en-US" w:eastAsia="zh-CN"/>
              </w:rPr>
              <w:t>%</w:t>
            </w:r>
          </w:p>
        </w:tc>
      </w:tr>
    </w:tbl>
    <w:p w14:paraId="790B557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B94D93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A7B03A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19.5</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F35B01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shd w:val="clear" w:color="auto" w:fill="auto"/>
        <w:tblLayout w:type="fixed"/>
        <w:tblCellMar>
          <w:top w:w="0" w:type="dxa"/>
          <w:left w:w="0" w:type="dxa"/>
          <w:bottom w:w="0" w:type="dxa"/>
          <w:right w:w="0" w:type="dxa"/>
        </w:tblCellMar>
      </w:tblPr>
      <w:tblGrid>
        <w:gridCol w:w="1077"/>
        <w:gridCol w:w="960"/>
        <w:gridCol w:w="1248"/>
        <w:gridCol w:w="794"/>
        <w:gridCol w:w="1871"/>
        <w:gridCol w:w="1417"/>
        <w:gridCol w:w="1077"/>
      </w:tblGrid>
      <w:tr w14:paraId="271D265C">
        <w:tblPrEx>
          <w:shd w:val="clear" w:color="auto" w:fill="auto"/>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D3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1B6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C3AA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02B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4D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F130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947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EFF2599">
        <w:tblPrEx>
          <w:tblCellMar>
            <w:top w:w="0" w:type="dxa"/>
            <w:left w:w="0" w:type="dxa"/>
            <w:bottom w:w="0" w:type="dxa"/>
            <w:right w:w="0" w:type="dxa"/>
          </w:tblCellMar>
        </w:tblPrEx>
        <w:trPr>
          <w:trHeight w:val="652"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E548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7909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4C167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4AAD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46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1CE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B0D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69F5FD5">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BF1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270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175F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2C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35C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69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67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14:paraId="7408090D">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1C60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1D15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E60D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E8B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BCF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69F7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F3D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A831F64">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9A7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B886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7208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F31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49A8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3E7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68F4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58CFCDF">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44E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32E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5F75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6D7A7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84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D79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CB2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5655EE0">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398A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1E4D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643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9ABF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D2B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5B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9A1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bl>
    <w:p w14:paraId="529405FA">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652B54E">
      <w:pPr>
        <w:ind w:firstLine="560" w:firstLineChars="0"/>
        <w:rPr>
          <w:color w:val="auto"/>
          <w:highlight w:val="none"/>
        </w:rPr>
      </w:pPr>
      <w:r>
        <w:rPr>
          <w:rFonts w:hint="eastAsia"/>
          <w:color w:val="auto"/>
          <w:highlight w:val="none"/>
          <w:lang w:eastAsia="zh-CN"/>
        </w:rPr>
        <w:t>①</w:t>
      </w:r>
      <w:r>
        <w:rPr>
          <w:rFonts w:hint="eastAsia" w:cs="宋体"/>
          <w:color w:val="auto"/>
          <w:highlight w:val="none"/>
          <w:shd w:val="clear" w:color="auto" w:fill="auto"/>
          <w:lang w:val="en-US" w:eastAsia="zh-CN"/>
        </w:rPr>
        <w:t>根据国家税务总局阜康市税务局《税务事项通知书》，</w:t>
      </w:r>
      <w:r>
        <w:rPr>
          <w:rFonts w:hint="eastAsia"/>
          <w:color w:val="auto"/>
          <w:highlight w:val="none"/>
          <w:lang w:eastAsia="zh-CN"/>
        </w:rPr>
        <w:t>项目立项符</w:t>
      </w:r>
      <w:r>
        <w:rPr>
          <w:rFonts w:hint="eastAsia" w:ascii="宋体" w:hAnsi="宋体" w:eastAsia="宋体" w:cs="宋体"/>
          <w:color w:val="auto"/>
          <w:highlight w:val="none"/>
          <w:shd w:val="clear" w:color="auto" w:fill="auto"/>
          <w:lang w:val="en-US" w:eastAsia="zh-CN"/>
        </w:rPr>
        <w:t>合国家法律法规、国民经济发展规划和相关政策，该项得分</w:t>
      </w:r>
      <w:r>
        <w:rPr>
          <w:rFonts w:hint="eastAsia"/>
          <w:color w:val="auto"/>
          <w:highlight w:val="none"/>
        </w:rPr>
        <w:t>0.5分；</w:t>
      </w:r>
      <w:r>
        <w:rPr>
          <w:color w:val="auto"/>
          <w:highlight w:val="none"/>
        </w:rPr>
        <w:t xml:space="preserve"> </w:t>
      </w:r>
    </w:p>
    <w:p w14:paraId="5F9DD439">
      <w:pPr>
        <w:ind w:firstLine="560" w:firstLineChars="0"/>
        <w:rPr>
          <w:color w:val="auto"/>
          <w:highlight w:val="none"/>
        </w:rPr>
      </w:pPr>
      <w:r>
        <w:rPr>
          <w:rFonts w:hint="eastAsia"/>
          <w:color w:val="auto"/>
          <w:highlight w:val="none"/>
          <w:lang w:eastAsia="zh-CN"/>
        </w:rPr>
        <w:t>②</w:t>
      </w:r>
      <w:r>
        <w:rPr>
          <w:rFonts w:hint="eastAsia"/>
          <w:color w:val="auto"/>
          <w:highlight w:val="none"/>
          <w:lang w:val="en-US" w:eastAsia="zh-CN"/>
        </w:rPr>
        <w:t>项目根据阜康市财经工作领导小组办公室会议纪要进行实施，</w:t>
      </w:r>
      <w:r>
        <w:rPr>
          <w:rFonts w:hint="eastAsia"/>
          <w:color w:val="auto"/>
          <w:highlight w:val="none"/>
          <w:lang w:eastAsia="zh-CN"/>
        </w:rPr>
        <w:t>项目立项符合行业发展规划和政策要求，</w:t>
      </w:r>
      <w:r>
        <w:rPr>
          <w:rFonts w:hint="eastAsia"/>
          <w:color w:val="auto"/>
          <w:highlight w:val="none"/>
        </w:rPr>
        <w:t>该项得分0.5分；</w:t>
      </w:r>
      <w:r>
        <w:rPr>
          <w:color w:val="auto"/>
          <w:highlight w:val="none"/>
        </w:rPr>
        <w:t xml:space="preserve"> </w:t>
      </w:r>
    </w:p>
    <w:p w14:paraId="41C37974">
      <w:pPr>
        <w:ind w:firstLine="560"/>
        <w:rPr>
          <w:color w:val="auto"/>
          <w:highlight w:val="none"/>
        </w:rPr>
      </w:pPr>
      <w:r>
        <w:rPr>
          <w:rFonts w:hint="eastAsia"/>
          <w:color w:val="auto"/>
          <w:highlight w:val="none"/>
          <w:lang w:eastAsia="zh-CN"/>
        </w:rPr>
        <w:t>③项目立项与</w:t>
      </w:r>
      <w:r>
        <w:rPr>
          <w:rFonts w:hint="eastAsia"/>
          <w:color w:val="auto"/>
          <w:highlight w:val="none"/>
          <w:lang w:val="en-US" w:eastAsia="zh-CN"/>
        </w:rPr>
        <w:t>本单位</w:t>
      </w:r>
      <w:r>
        <w:rPr>
          <w:rFonts w:hint="eastAsia"/>
          <w:color w:val="auto"/>
          <w:highlight w:val="none"/>
          <w:lang w:eastAsia="zh-CN"/>
        </w:rPr>
        <w:t>部门职责范</w:t>
      </w:r>
      <w:r>
        <w:rPr>
          <w:rFonts w:hint="eastAsia" w:ascii="宋体" w:hAnsi="宋体" w:eastAsia="宋体" w:cs="宋体"/>
          <w:color w:val="auto"/>
          <w:highlight w:val="none"/>
          <w:lang w:eastAsia="zh-CN"/>
        </w:rPr>
        <w:t>围“</w:t>
      </w:r>
      <w:r>
        <w:rPr>
          <w:rFonts w:hint="eastAsia" w:ascii="宋体" w:hAnsi="宋体" w:eastAsia="宋体" w:cs="宋体"/>
          <w:color w:val="auto"/>
          <w:highlight w:val="none"/>
          <w:lang w:val="en-US" w:eastAsia="zh-CN"/>
        </w:rPr>
        <w:t>负责市级机关、事业单位经营性资产的出租、出借事项”</w:t>
      </w:r>
      <w:r>
        <w:rPr>
          <w:rFonts w:hint="eastAsia" w:ascii="宋体" w:hAnsi="宋体" w:eastAsia="宋体" w:cs="宋体"/>
          <w:color w:val="auto"/>
          <w:highlight w:val="none"/>
          <w:lang w:eastAsia="zh-CN"/>
        </w:rPr>
        <w:t>相符，属于部门履职</w:t>
      </w:r>
      <w:r>
        <w:rPr>
          <w:rFonts w:hint="eastAsia"/>
          <w:color w:val="auto"/>
          <w:highlight w:val="none"/>
          <w:lang w:eastAsia="zh-CN"/>
        </w:rPr>
        <w:t>所需，</w:t>
      </w:r>
      <w:r>
        <w:rPr>
          <w:rFonts w:hint="eastAsia"/>
          <w:color w:val="auto"/>
          <w:highlight w:val="none"/>
        </w:rPr>
        <w:t>该项得分0.4分；</w:t>
      </w:r>
    </w:p>
    <w:p w14:paraId="1383F196">
      <w:pPr>
        <w:ind w:firstLine="560"/>
        <w:rPr>
          <w:color w:val="auto"/>
          <w:highlight w:val="none"/>
        </w:rPr>
      </w:pPr>
      <w:r>
        <w:rPr>
          <w:rFonts w:hint="eastAsia"/>
          <w:color w:val="auto"/>
          <w:highlight w:val="none"/>
          <w:lang w:eastAsia="zh-CN"/>
        </w:rPr>
        <w:t>④项目属于公共财政支持范围，符合中央、地方事权支出责任划分原则，</w:t>
      </w:r>
      <w:r>
        <w:rPr>
          <w:rFonts w:hint="eastAsia"/>
          <w:color w:val="auto"/>
          <w:highlight w:val="none"/>
        </w:rPr>
        <w:t>该项得分0.4分；</w:t>
      </w:r>
    </w:p>
    <w:p w14:paraId="3B847C70">
      <w:pPr>
        <w:ind w:firstLine="560"/>
        <w:rPr>
          <w:color w:val="auto"/>
          <w:highlight w:val="none"/>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r>
        <w:rPr>
          <w:rFonts w:hint="eastAsia"/>
          <w:color w:val="auto"/>
          <w:highlight w:val="none"/>
        </w:rPr>
        <w:t>该项得分0.2分。</w:t>
      </w:r>
    </w:p>
    <w:p w14:paraId="3A11E3CC">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5509FF2">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0FBB68D2">
      <w:pPr>
        <w:bidi w:val="0"/>
        <w:rPr>
          <w:rFonts w:hint="eastAsia"/>
          <w:color w:val="auto"/>
          <w:highlight w:val="none"/>
          <w:lang w:eastAsia="zh-CN"/>
        </w:rPr>
      </w:pPr>
      <w:r>
        <w:rPr>
          <w:rFonts w:hint="eastAsia"/>
          <w:color w:val="auto"/>
          <w:highlight w:val="none"/>
          <w:lang w:eastAsia="zh-CN"/>
        </w:rPr>
        <w:t>①项目按照规定的程序申请设立，</w:t>
      </w:r>
      <w:r>
        <w:rPr>
          <w:rFonts w:hint="eastAsia"/>
          <w:color w:val="auto"/>
          <w:highlight w:val="none"/>
          <w:lang w:val="en-US" w:eastAsia="zh-CN"/>
        </w:rPr>
        <w:t>经</w:t>
      </w:r>
      <w:r>
        <w:rPr>
          <w:rFonts w:hint="eastAsia"/>
          <w:color w:val="auto"/>
          <w:highlight w:val="none"/>
          <w:lang w:eastAsia="zh-CN"/>
        </w:rPr>
        <w:t>《阜康市党委财经会议审批表》</w:t>
      </w:r>
      <w:r>
        <w:rPr>
          <w:rFonts w:hint="eastAsia" w:ascii="宋体" w:hAnsi="宋体" w:eastAsia="宋体" w:cs="宋体"/>
          <w:color w:val="auto"/>
          <w:kern w:val="0"/>
          <w:szCs w:val="30"/>
          <w:highlight w:val="none"/>
          <w:lang w:eastAsia="zh-CN"/>
        </w:rPr>
        <w:t>领导审批，</w:t>
      </w:r>
      <w:r>
        <w:rPr>
          <w:rFonts w:hint="eastAsia" w:ascii="宋体" w:hAnsi="宋体" w:eastAsia="宋体" w:cs="宋体"/>
          <w:color w:val="auto"/>
          <w:kern w:val="0"/>
          <w:szCs w:val="30"/>
          <w:highlight w:val="none"/>
        </w:rPr>
        <w:t>立项资料齐全，立项程序规范</w:t>
      </w:r>
      <w:r>
        <w:rPr>
          <w:rFonts w:hint="eastAsia" w:ascii="宋体" w:hAnsi="宋体" w:eastAsia="宋体" w:cs="宋体"/>
          <w:color w:val="auto"/>
          <w:kern w:val="0"/>
          <w:szCs w:val="30"/>
          <w:highlight w:val="none"/>
          <w:lang w:eastAsia="zh-CN"/>
        </w:rPr>
        <w:t>，</w:t>
      </w:r>
      <w:r>
        <w:rPr>
          <w:rFonts w:hint="eastAsia"/>
          <w:color w:val="auto"/>
          <w:highlight w:val="none"/>
        </w:rPr>
        <w:t>该项得分1分；</w:t>
      </w:r>
    </w:p>
    <w:p w14:paraId="5D97DAEC">
      <w:pPr>
        <w:bidi w:val="0"/>
        <w:rPr>
          <w:rFonts w:hint="eastAsia"/>
          <w:color w:val="auto"/>
          <w:highlight w:val="none"/>
          <w:lang w:eastAsia="zh-CN"/>
        </w:rPr>
      </w:pPr>
      <w:r>
        <w:rPr>
          <w:rFonts w:hint="eastAsia"/>
          <w:color w:val="auto"/>
          <w:highlight w:val="none"/>
          <w:lang w:eastAsia="zh-CN"/>
        </w:rPr>
        <w:t>②项目审批</w:t>
      </w:r>
      <w:r>
        <w:rPr>
          <w:rFonts w:hint="eastAsia"/>
          <w:color w:val="auto"/>
          <w:highlight w:val="none"/>
          <w:lang w:val="en-US" w:eastAsia="zh-CN"/>
        </w:rPr>
        <w:t>依据</w:t>
      </w:r>
      <w:r>
        <w:rPr>
          <w:rFonts w:hint="eastAsia"/>
          <w:color w:val="auto"/>
          <w:highlight w:val="none"/>
          <w:lang w:eastAsia="zh-CN"/>
        </w:rPr>
        <w:t>《阜康市党委财经会议审批表》，</w:t>
      </w:r>
      <w:r>
        <w:rPr>
          <w:rFonts w:hint="eastAsia"/>
          <w:color w:val="auto"/>
          <w:highlight w:val="none"/>
          <w:lang w:val="en-US" w:eastAsia="zh-CN"/>
        </w:rPr>
        <w:t>材料</w:t>
      </w:r>
      <w:r>
        <w:rPr>
          <w:rFonts w:hint="eastAsia"/>
          <w:color w:val="auto"/>
          <w:highlight w:val="none"/>
          <w:lang w:eastAsia="zh-CN"/>
        </w:rPr>
        <w:t>符合相关要求，</w:t>
      </w:r>
      <w:r>
        <w:rPr>
          <w:rFonts w:hint="eastAsia"/>
          <w:color w:val="auto"/>
          <w:highlight w:val="none"/>
        </w:rPr>
        <w:t>该项得分1分；</w:t>
      </w:r>
    </w:p>
    <w:p w14:paraId="5D2CF7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w:t>
      </w:r>
      <w:r>
        <w:rPr>
          <w:rFonts w:hint="eastAsia"/>
          <w:b w:val="0"/>
          <w:bCs w:val="0"/>
          <w:color w:val="auto"/>
          <w:highlight w:val="none"/>
          <w:lang w:val="en-US" w:eastAsia="zh-CN"/>
        </w:rPr>
        <w:t>项目</w:t>
      </w:r>
      <w:r>
        <w:rPr>
          <w:rFonts w:hint="eastAsia"/>
          <w:color w:val="auto"/>
          <w:highlight w:val="none"/>
          <w:lang w:eastAsia="zh-CN"/>
        </w:rPr>
        <w:t>事前经过必要的集体决策，没有进行可行性研究、专家论证、风险评估、绩效评估，扣</w:t>
      </w:r>
      <w:r>
        <w:rPr>
          <w:rFonts w:hint="eastAsia"/>
          <w:color w:val="auto"/>
          <w:highlight w:val="none"/>
          <w:lang w:val="en-US" w:eastAsia="zh-CN"/>
        </w:rPr>
        <w:t>0.5分</w:t>
      </w:r>
      <w:r>
        <w:rPr>
          <w:rFonts w:hint="eastAsia"/>
          <w:color w:val="auto"/>
          <w:highlight w:val="none"/>
          <w:lang w:eastAsia="zh-CN"/>
        </w:rPr>
        <w:t>。</w:t>
      </w:r>
      <w:r>
        <w:rPr>
          <w:rFonts w:hint="eastAsia"/>
          <w:color w:val="auto"/>
          <w:highlight w:val="none"/>
        </w:rPr>
        <w:t>该项得分</w:t>
      </w:r>
      <w:r>
        <w:rPr>
          <w:rFonts w:hint="eastAsia"/>
          <w:color w:val="auto"/>
          <w:highlight w:val="none"/>
          <w:lang w:val="en-US" w:eastAsia="zh-CN"/>
        </w:rPr>
        <w:t>0.5</w:t>
      </w:r>
      <w:r>
        <w:rPr>
          <w:rFonts w:hint="eastAsia"/>
          <w:color w:val="auto"/>
          <w:highlight w:val="none"/>
        </w:rPr>
        <w:t>分；</w:t>
      </w:r>
    </w:p>
    <w:p w14:paraId="7C9403C4">
      <w:pPr>
        <w:bidi w:val="0"/>
        <w:rPr>
          <w:rFonts w:hint="eastAsia"/>
          <w:color w:val="auto"/>
          <w:highlight w:val="none"/>
          <w:lang w:eastAsia="zh-CN"/>
        </w:rPr>
      </w:pPr>
      <w:r>
        <w:rPr>
          <w:rFonts w:hint="eastAsia"/>
          <w:b/>
          <w:bCs/>
          <w:color w:val="auto"/>
          <w:highlight w:val="none"/>
          <w:lang w:val="en-US" w:eastAsia="zh-CN"/>
        </w:rPr>
        <w:t>综上，该项指标满分3分，得分2.5分。</w:t>
      </w:r>
    </w:p>
    <w:p w14:paraId="7E9D610B">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39B2B79">
      <w:pPr>
        <w:bidi w:val="0"/>
        <w:rPr>
          <w:rFonts w:hint="eastAsia" w:ascii="宋体" w:hAnsi="宋体" w:eastAsia="宋体" w:cs="宋体"/>
          <w:color w:val="auto"/>
          <w:highlight w:val="none"/>
          <w:lang w:eastAsia="zh-CN"/>
        </w:rPr>
      </w:pPr>
      <w:r>
        <w:rPr>
          <w:rFonts w:hint="eastAsia"/>
          <w:color w:val="auto"/>
          <w:highlight w:val="none"/>
          <w:lang w:eastAsia="zh-CN"/>
        </w:rPr>
        <w:t>①项目有绩效目标，</w:t>
      </w:r>
      <w:r>
        <w:rPr>
          <w:rFonts w:hint="eastAsia" w:ascii="宋体" w:hAnsi="宋体" w:eastAsia="宋体" w:cs="宋体"/>
          <w:color w:val="auto"/>
          <w:highlight w:val="none"/>
          <w:lang w:val="en-US" w:eastAsia="zh-CN"/>
        </w:rPr>
        <w:t>2023年完成补交2017-2021年经营性资产出租收入缴纳房产税500.84万元，项目的实施预计达到完成税收任务，促进平等竞争；调节经济总量，保持经济稳定。</w:t>
      </w:r>
      <w:r>
        <w:rPr>
          <w:rFonts w:hint="eastAsia" w:ascii="宋体" w:hAnsi="宋体" w:eastAsia="宋体" w:cs="宋体"/>
          <w:color w:val="auto"/>
          <w:highlight w:val="none"/>
        </w:rPr>
        <w:t>该项得分1分；</w:t>
      </w:r>
    </w:p>
    <w:p w14:paraId="4D26B51B">
      <w:pPr>
        <w:ind w:firstLine="560"/>
        <w:rPr>
          <w:color w:val="auto"/>
          <w:highlight w:val="none"/>
        </w:rPr>
      </w:pPr>
      <w:r>
        <w:rPr>
          <w:rFonts w:hint="eastAsia"/>
          <w:color w:val="auto"/>
          <w:highlight w:val="none"/>
          <w:lang w:eastAsia="zh-CN"/>
        </w:rPr>
        <w:t>②项目绩效目标</w:t>
      </w:r>
      <w:r>
        <w:rPr>
          <w:rFonts w:hint="eastAsia"/>
          <w:color w:val="auto"/>
          <w:highlight w:val="none"/>
          <w:lang w:val="en-US" w:eastAsia="zh-CN"/>
        </w:rPr>
        <w:t>为2023年</w:t>
      </w:r>
      <w:r>
        <w:rPr>
          <w:rFonts w:hint="eastAsia" w:ascii="宋体" w:hAnsi="宋体" w:eastAsia="宋体" w:cs="宋体"/>
          <w:color w:val="auto"/>
          <w:highlight w:val="none"/>
          <w:lang w:val="en-US" w:eastAsia="zh-CN"/>
        </w:rPr>
        <w:t>完成补交2017-2021年经营性资产出租收入缴纳房产税500.84万元，与实</w:t>
      </w:r>
      <w:r>
        <w:rPr>
          <w:rFonts w:hint="eastAsia"/>
          <w:color w:val="auto"/>
          <w:highlight w:val="none"/>
          <w:lang w:eastAsia="zh-CN"/>
        </w:rPr>
        <w:t>际工作内容具有相关性，</w:t>
      </w:r>
      <w:r>
        <w:rPr>
          <w:rFonts w:hint="eastAsia"/>
          <w:color w:val="auto"/>
          <w:highlight w:val="none"/>
        </w:rPr>
        <w:t>该项得分1.5分；</w:t>
      </w:r>
    </w:p>
    <w:p w14:paraId="65E540B4">
      <w:pPr>
        <w:ind w:firstLine="560"/>
        <w:rPr>
          <w:color w:val="auto"/>
          <w:highlight w:val="none"/>
        </w:rPr>
      </w:pPr>
      <w:r>
        <w:rPr>
          <w:rFonts w:hint="eastAsia"/>
          <w:color w:val="auto"/>
          <w:highlight w:val="none"/>
          <w:lang w:eastAsia="zh-CN"/>
        </w:rPr>
        <w:t>③项目预期产出效益</w:t>
      </w:r>
      <w:r>
        <w:rPr>
          <w:rFonts w:hint="eastAsia" w:ascii="宋体" w:hAnsi="宋体" w:eastAsia="宋体" w:cs="宋体"/>
          <w:color w:val="auto"/>
          <w:highlight w:val="none"/>
          <w:lang w:val="en-US" w:eastAsia="zh-CN"/>
        </w:rPr>
        <w:t>为项目的实施预计达到完成税收任务，促进平等竞争；调节经济总量，保持经济稳定。</w:t>
      </w:r>
      <w:r>
        <w:rPr>
          <w:rFonts w:hint="eastAsia" w:ascii="宋体" w:hAnsi="宋体" w:eastAsia="宋体" w:cs="宋体"/>
          <w:color w:val="auto"/>
          <w:highlight w:val="none"/>
          <w:lang w:eastAsia="zh-CN"/>
        </w:rPr>
        <w:t>符合正常</w:t>
      </w:r>
      <w:r>
        <w:rPr>
          <w:rFonts w:hint="eastAsia"/>
          <w:color w:val="auto"/>
          <w:highlight w:val="none"/>
          <w:lang w:eastAsia="zh-CN"/>
        </w:rPr>
        <w:t>的业绩水平，</w:t>
      </w:r>
      <w:r>
        <w:rPr>
          <w:rFonts w:hint="eastAsia"/>
          <w:color w:val="auto"/>
          <w:highlight w:val="none"/>
        </w:rPr>
        <w:t>该项得分1.5分；</w:t>
      </w:r>
    </w:p>
    <w:p w14:paraId="39E56CA6">
      <w:pPr>
        <w:bidi w:val="0"/>
        <w:rPr>
          <w:rFonts w:hint="eastAsia"/>
          <w:color w:val="auto"/>
          <w:highlight w:val="none"/>
          <w:lang w:eastAsia="zh-CN"/>
        </w:rPr>
      </w:pPr>
      <w:r>
        <w:rPr>
          <w:rFonts w:hint="eastAsia"/>
          <w:color w:val="auto"/>
          <w:highlight w:val="none"/>
          <w:lang w:eastAsia="zh-CN"/>
        </w:rPr>
        <w:t>④与预算确定</w:t>
      </w:r>
      <w:r>
        <w:rPr>
          <w:rFonts w:hint="eastAsia" w:ascii="宋体" w:hAnsi="宋体" w:eastAsia="宋体" w:cs="宋体"/>
          <w:color w:val="auto"/>
          <w:highlight w:val="none"/>
          <w:lang w:eastAsia="zh-CN"/>
        </w:rPr>
        <w:t>的</w:t>
      </w:r>
      <w:r>
        <w:rPr>
          <w:rFonts w:hint="eastAsia" w:ascii="宋体" w:hAnsi="宋体" w:eastAsia="宋体" w:cs="宋体"/>
          <w:color w:val="auto"/>
          <w:highlight w:val="none"/>
          <w:lang w:val="en-US" w:eastAsia="zh-CN"/>
        </w:rPr>
        <w:t>经营性资产出租收入缴纳房产税500.84万元，资金量</w:t>
      </w:r>
      <w:r>
        <w:rPr>
          <w:rFonts w:hint="eastAsia" w:ascii="宋体" w:hAnsi="宋体" w:eastAsia="宋体" w:cs="宋体"/>
          <w:color w:val="auto"/>
          <w:highlight w:val="none"/>
          <w:lang w:eastAsia="zh-CN"/>
        </w:rPr>
        <w:t>相匹配，该项得分1分。</w:t>
      </w:r>
    </w:p>
    <w:p w14:paraId="1614A96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788242">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2178CF76">
      <w:pPr>
        <w:ind w:firstLine="560"/>
        <w:rPr>
          <w:color w:val="auto"/>
          <w:highlight w:val="none"/>
        </w:rPr>
      </w:pPr>
      <w:r>
        <w:rPr>
          <w:rFonts w:hint="eastAsia"/>
          <w:color w:val="auto"/>
          <w:highlight w:val="none"/>
          <w:lang w:eastAsia="zh-CN"/>
        </w:rPr>
        <w:t>①将项目绩效目标细化分解为具体的绩效指标</w:t>
      </w:r>
      <w:r>
        <w:rPr>
          <w:rFonts w:hint="eastAsia"/>
          <w:color w:val="auto"/>
          <w:highlight w:val="none"/>
        </w:rPr>
        <w:t>，</w:t>
      </w:r>
      <w:r>
        <w:rPr>
          <w:rFonts w:hint="eastAsia"/>
          <w:color w:val="auto"/>
          <w:highlight w:val="none"/>
          <w:lang w:val="en-US" w:eastAsia="zh-CN"/>
        </w:rPr>
        <w:t>二级指标5个，三级指标7</w:t>
      </w:r>
      <w:r>
        <w:rPr>
          <w:rFonts w:hint="eastAsia"/>
          <w:color w:val="auto"/>
          <w:highlight w:val="none"/>
        </w:rPr>
        <w:t>个，该项得分2分；</w:t>
      </w:r>
    </w:p>
    <w:p w14:paraId="1EB2D927">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rPr>
        <w:t xml:space="preserve">②通过清晰、可衡量的指标值予以体现, </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5</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2个，量化率达到71.42%，</w:t>
      </w:r>
      <w:r>
        <w:rPr>
          <w:rFonts w:hint="eastAsia"/>
          <w:color w:val="auto"/>
          <w:highlight w:val="none"/>
        </w:rPr>
        <w:t>该项得分1.5分；</w:t>
      </w:r>
    </w:p>
    <w:p w14:paraId="73BBFBB2">
      <w:pPr>
        <w:ind w:firstLine="560"/>
        <w:rPr>
          <w:color w:val="auto"/>
          <w:highlight w:val="none"/>
        </w:rPr>
      </w:pPr>
      <w:r>
        <w:rPr>
          <w:rFonts w:hint="eastAsia"/>
          <w:color w:val="auto"/>
          <w:highlight w:val="none"/>
        </w:rPr>
        <w:t>③与项目目标任务数或计划数相对应, 该项得分1.5分。</w:t>
      </w:r>
    </w:p>
    <w:p w14:paraId="2E19F95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18CE7E0">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47ED2073">
      <w:pPr>
        <w:ind w:firstLine="560"/>
        <w:rPr>
          <w:color w:val="auto"/>
          <w:highlight w:val="none"/>
        </w:rPr>
      </w:pPr>
      <w:bookmarkStart w:id="63" w:name="_Toc697"/>
      <w:r>
        <w:rPr>
          <w:rFonts w:hint="eastAsia"/>
          <w:color w:val="auto"/>
          <w:highlight w:val="none"/>
        </w:rPr>
        <w:t>①</w:t>
      </w:r>
      <w:r>
        <w:rPr>
          <w:rFonts w:hint="eastAsia"/>
          <w:color w:val="auto"/>
          <w:highlight w:val="none"/>
          <w:lang w:val="en-US" w:eastAsia="zh-CN"/>
        </w:rPr>
        <w:t>经营性资产缴纳房产税项目</w:t>
      </w:r>
      <w:r>
        <w:rPr>
          <w:rFonts w:hint="eastAsia"/>
          <w:color w:val="auto"/>
          <w:highlight w:val="none"/>
        </w:rPr>
        <w:t>预算编制经过科学论证</w:t>
      </w:r>
      <w:r>
        <w:rPr>
          <w:rFonts w:hint="eastAsia"/>
          <w:color w:val="auto"/>
          <w:highlight w:val="none"/>
          <w:lang w:eastAsia="zh-CN"/>
        </w:rPr>
        <w:t>、</w:t>
      </w:r>
      <w:r>
        <w:rPr>
          <w:rFonts w:hint="eastAsia"/>
          <w:color w:val="auto"/>
          <w:highlight w:val="none"/>
          <w:lang w:val="en-US" w:eastAsia="zh-CN"/>
        </w:rPr>
        <w:t>测算</w:t>
      </w:r>
      <w:r>
        <w:rPr>
          <w:rFonts w:hint="eastAsia"/>
          <w:color w:val="auto"/>
          <w:highlight w:val="none"/>
        </w:rPr>
        <w:t>, 该项得分0.5分；</w:t>
      </w:r>
    </w:p>
    <w:p w14:paraId="01501627">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rPr>
        <w:t>②预算内容与</w:t>
      </w:r>
      <w:r>
        <w:rPr>
          <w:rFonts w:hint="eastAsia" w:ascii="宋体" w:hAnsi="宋体" w:eastAsia="宋体" w:cs="宋体"/>
          <w:color w:val="auto"/>
          <w:highlight w:val="none"/>
          <w:lang w:val="en-US" w:eastAsia="zh-CN"/>
        </w:rPr>
        <w:t>2023年完成补交2017-2021年经营性资产出租收入缴纳房产税500.84万元，</w:t>
      </w:r>
      <w:r>
        <w:rPr>
          <w:rFonts w:hint="eastAsia"/>
          <w:color w:val="auto"/>
          <w:highlight w:val="none"/>
        </w:rPr>
        <w:t>项目内容匹配, 该项得分0.5分；</w:t>
      </w:r>
    </w:p>
    <w:p w14:paraId="1C3E8DB8">
      <w:pPr>
        <w:ind w:firstLine="560"/>
        <w:rPr>
          <w:color w:val="auto"/>
          <w:highlight w:val="none"/>
        </w:rPr>
      </w:pPr>
      <w:r>
        <w:rPr>
          <w:rFonts w:hint="eastAsia"/>
          <w:color w:val="auto"/>
          <w:highlight w:val="none"/>
        </w:rPr>
        <w:t>③预算额度</w:t>
      </w:r>
      <w:r>
        <w:rPr>
          <w:rFonts w:hint="eastAsia"/>
          <w:color w:val="auto"/>
          <w:highlight w:val="none"/>
          <w:lang w:val="en-US" w:eastAsia="zh-CN"/>
        </w:rPr>
        <w:t>500.84万元，</w:t>
      </w:r>
      <w:r>
        <w:rPr>
          <w:rFonts w:hint="eastAsia"/>
          <w:color w:val="auto"/>
          <w:highlight w:val="none"/>
        </w:rPr>
        <w:t>测算</w:t>
      </w:r>
      <w:r>
        <w:rPr>
          <w:rFonts w:hint="eastAsia" w:asciiTheme="minorEastAsia" w:hAnsiTheme="minorEastAsia" w:eastAsiaTheme="minorEastAsia" w:cstheme="minorEastAsia"/>
          <w:color w:val="auto"/>
          <w:sz w:val="28"/>
          <w:szCs w:val="28"/>
          <w:highlight w:val="none"/>
          <w:lang w:val="en-US" w:eastAsia="zh-CN"/>
        </w:rPr>
        <w:t>根据国家税务总局阜康市税务局《税务事项通知书》，</w:t>
      </w:r>
      <w:r>
        <w:rPr>
          <w:rFonts w:hint="eastAsia"/>
          <w:color w:val="auto"/>
          <w:highlight w:val="none"/>
        </w:rPr>
        <w:t>依据充分，按照标准编制, 该项得分0.5分；</w:t>
      </w:r>
    </w:p>
    <w:p w14:paraId="337E16A8">
      <w:pPr>
        <w:ind w:firstLine="560"/>
        <w:rPr>
          <w:color w:val="auto"/>
          <w:highlight w:val="none"/>
        </w:rPr>
      </w:pPr>
      <w:r>
        <w:rPr>
          <w:rFonts w:hint="eastAsia"/>
          <w:color w:val="auto"/>
          <w:highlight w:val="none"/>
        </w:rPr>
        <w:t>④预算确定的项目投资额或资金量与工作任务相匹配,该项得分0.5分。</w:t>
      </w:r>
    </w:p>
    <w:p w14:paraId="21C804FF">
      <w:pPr>
        <w:ind w:firstLine="562"/>
        <w:rPr>
          <w:b/>
          <w:color w:val="auto"/>
          <w:highlight w:val="none"/>
        </w:rPr>
      </w:pPr>
      <w:r>
        <w:rPr>
          <w:rFonts w:hint="eastAsia"/>
          <w:b/>
          <w:bCs/>
          <w:color w:val="auto"/>
          <w:highlight w:val="none"/>
        </w:rPr>
        <w:t>综上，该项指标满分2分，得分2分。</w:t>
      </w:r>
    </w:p>
    <w:p w14:paraId="2FF1A268">
      <w:pPr>
        <w:bidi w:val="0"/>
        <w:outlineLvl w:val="2"/>
        <w:rPr>
          <w:rFonts w:hint="default"/>
          <w:b/>
          <w:bCs/>
          <w:color w:val="auto"/>
          <w:highlight w:val="none"/>
          <w:lang w:val="en-US" w:eastAsia="zh-CN"/>
        </w:rPr>
      </w:pPr>
      <w:r>
        <w:rPr>
          <w:rFonts w:hint="eastAsia"/>
          <w:b/>
          <w:bCs/>
          <w:color w:val="auto"/>
          <w:highlight w:val="none"/>
          <w:lang w:val="en-US" w:eastAsia="zh-CN"/>
        </w:rPr>
        <w:t>6.资金分配合理性</w:t>
      </w:r>
      <w:bookmarkEnd w:id="63"/>
    </w:p>
    <w:p w14:paraId="0D69CB0C">
      <w:pPr>
        <w:ind w:firstLine="560"/>
        <w:rPr>
          <w:color w:val="auto"/>
          <w:highlight w:val="none"/>
        </w:rPr>
      </w:pPr>
      <w:bookmarkStart w:id="64" w:name="_Toc11361"/>
      <w:r>
        <w:rPr>
          <w:rFonts w:hint="eastAsia"/>
          <w:color w:val="auto"/>
          <w:highlight w:val="none"/>
        </w:rPr>
        <w:t>①预算资金分配</w:t>
      </w:r>
      <w:r>
        <w:rPr>
          <w:rFonts w:hint="eastAsia" w:asciiTheme="minorEastAsia" w:hAnsiTheme="minorEastAsia" w:eastAsiaTheme="minorEastAsia" w:cstheme="minorEastAsia"/>
          <w:color w:val="auto"/>
          <w:sz w:val="28"/>
          <w:szCs w:val="28"/>
          <w:highlight w:val="none"/>
          <w:lang w:val="en-US" w:eastAsia="zh-CN"/>
        </w:rPr>
        <w:t>根据国家税务总局阜康市税务局《税务事项通知书》，</w:t>
      </w:r>
      <w:r>
        <w:rPr>
          <w:rFonts w:hint="eastAsia"/>
          <w:color w:val="auto"/>
          <w:highlight w:val="none"/>
        </w:rPr>
        <w:t>依据充分, 该项得分1.5分；</w:t>
      </w:r>
    </w:p>
    <w:p w14:paraId="68D39484">
      <w:pPr>
        <w:ind w:firstLine="560"/>
        <w:rPr>
          <w:color w:val="auto"/>
          <w:highlight w:val="none"/>
        </w:rPr>
      </w:pPr>
      <w:r>
        <w:rPr>
          <w:rFonts w:hint="eastAsia"/>
          <w:color w:val="auto"/>
          <w:highlight w:val="none"/>
        </w:rPr>
        <w:t>②资金分配</w:t>
      </w:r>
      <w:r>
        <w:rPr>
          <w:rFonts w:hint="eastAsia" w:asciiTheme="minorEastAsia" w:hAnsiTheme="minorEastAsia" w:eastAsiaTheme="minorEastAsia" w:cstheme="minorEastAsia"/>
          <w:color w:val="auto"/>
          <w:sz w:val="28"/>
          <w:szCs w:val="28"/>
          <w:highlight w:val="none"/>
          <w:lang w:val="en-US" w:eastAsia="zh-CN"/>
        </w:rPr>
        <w:t>根据国家税务总局阜康市税务局《税务事项通知书》，</w:t>
      </w:r>
      <w:r>
        <w:rPr>
          <w:rFonts w:hint="eastAsia"/>
          <w:color w:val="auto"/>
          <w:highlight w:val="none"/>
        </w:rPr>
        <w:t>额度合理，与项目单位或地方实际相适应, 该项得分1.5分。</w:t>
      </w:r>
    </w:p>
    <w:p w14:paraId="57F79FB9">
      <w:pPr>
        <w:ind w:firstLine="562"/>
        <w:rPr>
          <w:color w:val="auto"/>
          <w:highlight w:val="none"/>
        </w:rPr>
      </w:pPr>
      <w:r>
        <w:rPr>
          <w:rFonts w:hint="eastAsia"/>
          <w:b/>
          <w:bCs/>
          <w:color w:val="auto"/>
          <w:highlight w:val="none"/>
        </w:rPr>
        <w:t>综上，该项指标满分3分，得分3分。</w:t>
      </w:r>
    </w:p>
    <w:p w14:paraId="09D0CC4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78AF4A6">
      <w:pPr>
        <w:pageBreakBefore w:val="0"/>
        <w:widowControl w:val="0"/>
        <w:shd w:val="clear"/>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BFAD150">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30872F7E">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522D4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1F2B0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10AF5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3B54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C50C6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1738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128C9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B000A26">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136C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FC35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E741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FF80D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6E36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69942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7BB81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049417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264D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718E2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57069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CDDF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C7C7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A5FFC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D26EA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3.97</w:t>
            </w:r>
          </w:p>
        </w:tc>
      </w:tr>
      <w:tr w14:paraId="730E0E0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87E75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1C98C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036C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51C4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DB00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8AE0D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A3D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09A97B">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F1AA7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54501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266F5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49AD8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796D5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78F4E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88CB4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707EFE6">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3074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82BF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17F37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AEEBF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EEC5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28EA2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418B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4122F9">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DB1D5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C8B58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D20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0BCA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225A4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19.97</w:t>
            </w:r>
          </w:p>
        </w:tc>
      </w:tr>
    </w:tbl>
    <w:p w14:paraId="4371EF31">
      <w:pPr>
        <w:shd w:val="clea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245AC2C0">
      <w:pPr>
        <w:shd w:val="clea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500.84万元</w:t>
      </w:r>
      <w:r>
        <w:rPr>
          <w:rFonts w:hint="eastAsia"/>
          <w:color w:val="auto"/>
          <w:highlight w:val="none"/>
          <w:lang w:eastAsia="zh-CN"/>
        </w:rPr>
        <w:t>/</w:t>
      </w:r>
      <w:r>
        <w:rPr>
          <w:rFonts w:hint="eastAsia"/>
          <w:color w:val="auto"/>
          <w:highlight w:val="none"/>
          <w:lang w:val="en-US" w:eastAsia="zh-CN"/>
        </w:rPr>
        <w:t>500.84万元</w:t>
      </w:r>
      <w:r>
        <w:rPr>
          <w:rFonts w:hint="eastAsia"/>
          <w:color w:val="auto"/>
          <w:highlight w:val="none"/>
          <w:lang w:eastAsia="zh-CN"/>
        </w:rPr>
        <w:t>）×100%</w:t>
      </w:r>
      <w:r>
        <w:rPr>
          <w:rFonts w:hint="eastAsia"/>
          <w:b/>
          <w:bCs/>
          <w:color w:val="auto"/>
          <w:highlight w:val="none"/>
          <w:lang w:val="en-US" w:eastAsia="zh-CN"/>
        </w:rPr>
        <w:t>=100%</w:t>
      </w:r>
    </w:p>
    <w:p w14:paraId="6EF1CE87">
      <w:pPr>
        <w:shd w:val="clear"/>
        <w:bidi w:val="0"/>
        <w:rPr>
          <w:rFonts w:hint="eastAsia"/>
          <w:color w:val="auto"/>
          <w:highlight w:val="none"/>
          <w:lang w:eastAsia="zh-CN"/>
        </w:rPr>
      </w:pPr>
      <w:r>
        <w:rPr>
          <w:rFonts w:hint="eastAsia"/>
          <w:b/>
          <w:bCs/>
          <w:color w:val="auto"/>
          <w:highlight w:val="none"/>
          <w:lang w:val="en-US" w:eastAsia="zh-CN"/>
        </w:rPr>
        <w:t>综上，该项指标满分4分，得分4分。</w:t>
      </w:r>
    </w:p>
    <w:p w14:paraId="7AE9E975">
      <w:pPr>
        <w:shd w:val="clea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167A933">
      <w:pPr>
        <w:shd w:val="clea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497.82万元</w:t>
      </w:r>
      <w:r>
        <w:rPr>
          <w:rFonts w:hint="eastAsia"/>
          <w:color w:val="auto"/>
          <w:highlight w:val="none"/>
          <w:lang w:eastAsia="zh-CN"/>
        </w:rPr>
        <w:t>/</w:t>
      </w:r>
      <w:r>
        <w:rPr>
          <w:rFonts w:hint="eastAsia"/>
          <w:color w:val="auto"/>
          <w:highlight w:val="none"/>
          <w:lang w:val="en-US" w:eastAsia="zh-CN"/>
        </w:rPr>
        <w:t>500.84万元</w:t>
      </w:r>
      <w:r>
        <w:rPr>
          <w:rFonts w:hint="eastAsia"/>
          <w:color w:val="auto"/>
          <w:highlight w:val="none"/>
          <w:lang w:eastAsia="zh-CN"/>
        </w:rPr>
        <w:t>）×100%</w:t>
      </w:r>
      <w:r>
        <w:rPr>
          <w:rFonts w:hint="eastAsia"/>
          <w:b/>
          <w:bCs/>
          <w:color w:val="auto"/>
          <w:highlight w:val="none"/>
          <w:lang w:val="en-US" w:eastAsia="zh-CN"/>
        </w:rPr>
        <w:t>=99.4%</w:t>
      </w:r>
    </w:p>
    <w:p w14:paraId="419A06AF">
      <w:pPr>
        <w:shd w:val="clear"/>
        <w:bidi w:val="0"/>
        <w:rPr>
          <w:rFonts w:hint="eastAsia"/>
          <w:color w:val="auto"/>
          <w:highlight w:val="none"/>
          <w:lang w:eastAsia="zh-CN"/>
        </w:rPr>
      </w:pPr>
      <w:r>
        <w:rPr>
          <w:rFonts w:hint="eastAsia"/>
          <w:b/>
          <w:bCs/>
          <w:color w:val="auto"/>
          <w:highlight w:val="none"/>
          <w:lang w:val="en-US" w:eastAsia="zh-CN"/>
        </w:rPr>
        <w:t>综上，该项指标满分4分，得分3.97分。</w:t>
      </w:r>
    </w:p>
    <w:p w14:paraId="3475B05B">
      <w:pPr>
        <w:shd w:val="clea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52D185B7">
      <w:pPr>
        <w:bidi w:val="0"/>
        <w:rPr>
          <w:rFonts w:hint="default" w:eastAsia="宋体"/>
          <w:color w:val="auto"/>
          <w:highlight w:val="none"/>
          <w:lang w:val="en-US" w:eastAsia="zh-CN"/>
        </w:rPr>
      </w:pPr>
      <w:r>
        <w:rPr>
          <w:rFonts w:hint="eastAsia"/>
          <w:color w:val="auto"/>
          <w:highlight w:val="none"/>
          <w:lang w:eastAsia="zh-CN"/>
        </w:rPr>
        <w:t>①</w:t>
      </w:r>
      <w:r>
        <w:rPr>
          <w:rFonts w:hint="eastAsia"/>
          <w:color w:val="auto"/>
          <w:highlight w:val="none"/>
        </w:rPr>
        <w:t>单位制定了《阜康市机关事务服务中心财务收支审批制度》、《阜康市机关事务服务中心公务卡使用及报销管理办法》、《阜康市机关事务服务中心财务管理制度》等制度和工作程序，符合国家财经法规和财务管理制度以及有关专项资金管理办法的规定，该项得分</w:t>
      </w:r>
      <w:r>
        <w:rPr>
          <w:rFonts w:hint="eastAsia"/>
          <w:color w:val="auto"/>
          <w:highlight w:val="none"/>
          <w:lang w:val="en-US" w:eastAsia="zh-CN"/>
        </w:rPr>
        <w:t>1分；</w:t>
      </w:r>
    </w:p>
    <w:p w14:paraId="4409FF13">
      <w:pPr>
        <w:ind w:firstLine="560"/>
        <w:rPr>
          <w:color w:val="auto"/>
          <w:highlight w:val="none"/>
        </w:rPr>
      </w:pPr>
      <w:r>
        <w:rPr>
          <w:rFonts w:hint="eastAsia"/>
          <w:color w:val="auto"/>
          <w:highlight w:val="none"/>
          <w:lang w:eastAsia="zh-CN"/>
        </w:rPr>
        <w:t>②资金的拨付有《阜康市党委财经会议审批表》，审批程序和手续齐全；</w:t>
      </w:r>
      <w:r>
        <w:rPr>
          <w:rFonts w:hint="eastAsia"/>
          <w:color w:val="auto"/>
          <w:highlight w:val="none"/>
        </w:rPr>
        <w:t>该项得分1分；</w:t>
      </w:r>
    </w:p>
    <w:p w14:paraId="2D99C7F5">
      <w:pPr>
        <w:bidi w:val="0"/>
        <w:rPr>
          <w:rFonts w:hint="eastAsia"/>
          <w:color w:val="auto"/>
          <w:highlight w:val="none"/>
          <w:lang w:eastAsia="zh-CN"/>
        </w:rPr>
      </w:pPr>
      <w:r>
        <w:rPr>
          <w:rFonts w:hint="eastAsia"/>
          <w:color w:val="auto"/>
          <w:highlight w:val="none"/>
          <w:lang w:eastAsia="zh-CN"/>
        </w:rPr>
        <w:t>③符合项目预算批复或合同规定的</w:t>
      </w:r>
      <w:r>
        <w:rPr>
          <w:rFonts w:hint="eastAsia"/>
          <w:color w:val="auto"/>
          <w:highlight w:val="none"/>
          <w:lang w:val="en-US" w:eastAsia="zh-CN"/>
        </w:rPr>
        <w:t>缴纳经营性资产房产税相关税费的</w:t>
      </w:r>
      <w:r>
        <w:rPr>
          <w:rFonts w:hint="eastAsia"/>
          <w:color w:val="auto"/>
          <w:highlight w:val="none"/>
          <w:lang w:eastAsia="zh-CN"/>
        </w:rPr>
        <w:t>用途</w:t>
      </w:r>
      <w:r>
        <w:rPr>
          <w:rFonts w:hint="eastAsia"/>
          <w:color w:val="auto"/>
          <w:highlight w:val="none"/>
        </w:rPr>
        <w:t>，该项得分1分；</w:t>
      </w:r>
    </w:p>
    <w:p w14:paraId="615F7118">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r>
        <w:rPr>
          <w:rFonts w:hint="eastAsia"/>
          <w:color w:val="auto"/>
          <w:highlight w:val="none"/>
        </w:rPr>
        <w:t>，该项得分1分。</w:t>
      </w:r>
    </w:p>
    <w:p w14:paraId="284C28C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6393C9A">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7EFB46FF">
      <w:pPr>
        <w:tabs>
          <w:tab w:val="left" w:pos="2694"/>
        </w:tabs>
        <w:ind w:firstLine="560"/>
        <w:rPr>
          <w:color w:val="auto"/>
          <w:highlight w:val="none"/>
        </w:rPr>
      </w:pPr>
      <w:r>
        <w:rPr>
          <w:rFonts w:hint="eastAsia"/>
          <w:color w:val="auto"/>
          <w:highlight w:val="none"/>
        </w:rPr>
        <w:t>①已制定或具有相应的财务和业务管理制度，阜康市机关事务服务中心根据国家相关法规和内部控制等制度文件汇编，制定了《阜康市机关事务服务中心财务收支审批制度》、《阜康市机关事务服务中心财务管理制度》、《阜康市机关事务服务中心公务卡使用及报销管理办法》等制度和工作程序，从制度和程序上严把资金使用、管理、绩效等各环节关口，堵塞漏洞、消除隐患，切实加强资金监管，该项得分2分；</w:t>
      </w:r>
    </w:p>
    <w:p w14:paraId="318C5F96">
      <w:pPr>
        <w:ind w:firstLine="560"/>
        <w:rPr>
          <w:color w:val="auto"/>
          <w:highlight w:val="none"/>
        </w:rPr>
      </w:pPr>
      <w:r>
        <w:rPr>
          <w:rFonts w:hint="eastAsia"/>
          <w:color w:val="auto"/>
          <w:highlight w:val="none"/>
        </w:rPr>
        <w:t>②财务和业务管理制度合法、合规、完整，该项得分2分。</w:t>
      </w:r>
    </w:p>
    <w:p w14:paraId="3641400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4850AFD">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07FB845">
      <w:pPr>
        <w:ind w:firstLine="560"/>
        <w:rPr>
          <w:color w:val="auto"/>
          <w:highlight w:val="none"/>
        </w:rPr>
      </w:pPr>
      <w:r>
        <w:rPr>
          <w:rFonts w:hint="eastAsia"/>
          <w:color w:val="auto"/>
          <w:highlight w:val="none"/>
          <w:lang w:eastAsia="zh-CN"/>
        </w:rPr>
        <w:t>①</w:t>
      </w:r>
      <w:r>
        <w:rPr>
          <w:rFonts w:hint="eastAsia"/>
          <w:color w:val="auto"/>
          <w:highlight w:val="none"/>
          <w:lang w:val="en-US" w:eastAsia="zh-CN"/>
        </w:rPr>
        <w:t>经营性资产缴纳房产税项目</w:t>
      </w:r>
      <w:r>
        <w:rPr>
          <w:rFonts w:hint="eastAsia"/>
          <w:color w:val="auto"/>
          <w:highlight w:val="none"/>
          <w:lang w:eastAsia="zh-CN"/>
        </w:rPr>
        <w:t>遵守</w:t>
      </w:r>
      <w:r>
        <w:rPr>
          <w:rFonts w:hint="eastAsia"/>
          <w:color w:val="auto"/>
          <w:highlight w:val="none"/>
          <w:lang w:val="en-US" w:eastAsia="zh-CN"/>
        </w:rPr>
        <w:t>税务</w:t>
      </w:r>
      <w:r>
        <w:rPr>
          <w:rFonts w:hint="eastAsia"/>
          <w:color w:val="auto"/>
          <w:highlight w:val="none"/>
          <w:lang w:eastAsia="zh-CN"/>
        </w:rPr>
        <w:t>相关法律法规和相关管理规定</w:t>
      </w:r>
      <w:r>
        <w:rPr>
          <w:rFonts w:hint="eastAsia"/>
          <w:color w:val="auto"/>
          <w:highlight w:val="none"/>
        </w:rPr>
        <w:t>，该项得分1分；</w:t>
      </w:r>
    </w:p>
    <w:p w14:paraId="6298B66F">
      <w:pPr>
        <w:bidi w:val="0"/>
        <w:rPr>
          <w:rFonts w:hint="eastAsia"/>
          <w:color w:val="auto"/>
          <w:highlight w:val="none"/>
        </w:rPr>
      </w:pPr>
      <w:r>
        <w:rPr>
          <w:rFonts w:hint="eastAsia"/>
          <w:color w:val="auto"/>
          <w:highlight w:val="none"/>
          <w:lang w:eastAsia="zh-CN"/>
        </w:rPr>
        <w:t>②项目未调整；</w:t>
      </w:r>
    </w:p>
    <w:p w14:paraId="273AA2FC">
      <w:pPr>
        <w:bidi w:val="0"/>
        <w:rPr>
          <w:rFonts w:hint="eastAsia"/>
          <w:color w:val="auto"/>
          <w:highlight w:val="none"/>
          <w:lang w:eastAsia="zh-CN"/>
        </w:rPr>
      </w:pPr>
      <w:r>
        <w:rPr>
          <w:rFonts w:hint="eastAsia"/>
          <w:color w:val="auto"/>
          <w:highlight w:val="none"/>
          <w:lang w:eastAsia="zh-CN"/>
        </w:rPr>
        <w:t>③项目</w:t>
      </w:r>
      <w:r>
        <w:rPr>
          <w:rFonts w:hint="eastAsia" w:asciiTheme="minorEastAsia" w:hAnsiTheme="minorEastAsia" w:eastAsiaTheme="minorEastAsia" w:cstheme="minorEastAsia"/>
          <w:color w:val="auto"/>
          <w:sz w:val="28"/>
          <w:szCs w:val="28"/>
          <w:highlight w:val="none"/>
          <w:lang w:val="en-US" w:eastAsia="zh-CN"/>
        </w:rPr>
        <w:t>根据国家税务总局阜康市税务局《税务事项通知书》及税金测算表执行缴税，</w:t>
      </w:r>
      <w:r>
        <w:rPr>
          <w:rFonts w:hint="eastAsia"/>
          <w:color w:val="auto"/>
          <w:highlight w:val="none"/>
          <w:lang w:eastAsia="zh-CN"/>
        </w:rPr>
        <w:t>资料齐全并及时归档，</w:t>
      </w:r>
      <w:r>
        <w:rPr>
          <w:rFonts w:hint="eastAsia"/>
          <w:color w:val="auto"/>
          <w:highlight w:val="none"/>
        </w:rPr>
        <w:t>该项得分1分；</w:t>
      </w:r>
    </w:p>
    <w:p w14:paraId="549A1F6F">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rPr>
        <w:t>项目实施</w:t>
      </w:r>
      <w:r>
        <w:rPr>
          <w:rFonts w:hint="eastAsia"/>
          <w:color w:val="auto"/>
          <w:highlight w:val="none"/>
          <w:lang w:eastAsia="zh-CN"/>
        </w:rPr>
        <w:t>由阜康市机关事务服务中心根据阜康市财经领导小组会议纪要</w:t>
      </w:r>
      <w:r>
        <w:rPr>
          <w:rFonts w:hint="eastAsia"/>
          <w:color w:val="auto"/>
          <w:highlight w:val="none"/>
        </w:rPr>
        <w:t>、信息支撑等落实到位，该项得分1分。</w:t>
      </w:r>
    </w:p>
    <w:p w14:paraId="3EE1449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B2E4B6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1575CE2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29.94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1D07A6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63" w:type="dxa"/>
        <w:tblInd w:w="0" w:type="dxa"/>
        <w:shd w:val="clear" w:color="auto" w:fill="auto"/>
        <w:tblLayout w:type="fixed"/>
        <w:tblCellMar>
          <w:top w:w="0" w:type="dxa"/>
          <w:left w:w="0" w:type="dxa"/>
          <w:bottom w:w="0" w:type="dxa"/>
          <w:right w:w="0" w:type="dxa"/>
        </w:tblCellMar>
      </w:tblPr>
      <w:tblGrid>
        <w:gridCol w:w="634"/>
        <w:gridCol w:w="928"/>
        <w:gridCol w:w="2397"/>
        <w:gridCol w:w="1684"/>
        <w:gridCol w:w="558"/>
        <w:gridCol w:w="1574"/>
        <w:gridCol w:w="588"/>
      </w:tblGrid>
      <w:tr w14:paraId="281ECBA7">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A6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35C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7CE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29D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659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9D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CFA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6398295">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A34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2C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20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经营性资产数量</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331F">
            <w:pPr>
              <w:keepNext w:val="0"/>
              <w:keepLines w:val="0"/>
              <w:pageBreakBefore w:val="0"/>
              <w:widowControl/>
              <w:tabs>
                <w:tab w:val="left" w:pos="434"/>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r>
              <w:rPr>
                <w:rFonts w:hint="eastAsia" w:cs="宋体"/>
                <w:color w:val="auto"/>
                <w:kern w:val="0"/>
                <w:sz w:val="20"/>
                <w:szCs w:val="20"/>
                <w:highlight w:val="none"/>
                <w:shd w:val="clear" w:color="auto" w:fill="auto"/>
                <w:lang w:val="en-US" w:eastAsia="zh-CN"/>
              </w:rPr>
              <w:t>≧20个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78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36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 xml:space="preserve">20个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0F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6BD1689">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1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CE25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66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资金支付合规率</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4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F8F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4B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DE2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49FB780">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A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E0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089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资金执行率</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7E7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C7E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A00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32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4.97</w:t>
            </w:r>
          </w:p>
        </w:tc>
      </w:tr>
      <w:tr w14:paraId="6C5E97D8">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9C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FF1D0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D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资金支付时间</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07F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年1月17日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07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B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年1月17日</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B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F46E66A">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83D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5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CD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资金支出及时性</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F6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C4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E4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3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C07BD20">
        <w:tblPrEx>
          <w:shd w:val="clear" w:color="auto" w:fill="auto"/>
          <w:tblCellMar>
            <w:top w:w="0" w:type="dxa"/>
            <w:left w:w="0" w:type="dxa"/>
            <w:bottom w:w="0" w:type="dxa"/>
            <w:right w:w="0" w:type="dxa"/>
          </w:tblCellMar>
        </w:tblPrEx>
        <w:trPr>
          <w:trHeight w:val="428"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76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44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2D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缴纳经营性资产房产税成本</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9A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500.84</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A8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56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497.82</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489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4.97</w:t>
            </w:r>
          </w:p>
        </w:tc>
      </w:tr>
      <w:tr w14:paraId="6EBF57AC">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D64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6C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92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7BC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29.94</w:t>
            </w:r>
          </w:p>
        </w:tc>
      </w:tr>
    </w:tbl>
    <w:p w14:paraId="1ED3BDA0">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CE54DE1">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经营性资产数量</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cs="宋体"/>
          <w:color w:val="auto"/>
          <w:kern w:val="0"/>
          <w:sz w:val="28"/>
          <w:szCs w:val="28"/>
          <w:highlight w:val="none"/>
          <w:shd w:val="clear" w:color="auto" w:fill="auto"/>
          <w:lang w:val="en-US" w:eastAsia="zh-CN"/>
        </w:rPr>
        <w:t>≧20个</w:t>
      </w:r>
      <w:r>
        <w:rPr>
          <w:rFonts w:hint="eastAsia"/>
          <w:color w:val="auto"/>
          <w:sz w:val="28"/>
          <w:szCs w:val="28"/>
          <w:highlight w:val="none"/>
          <w:lang w:val="en-US" w:eastAsia="zh-CN"/>
        </w:rPr>
        <w:t>，实际完成为20个。实际完成率=（20/20）×100%=100%。</w:t>
      </w:r>
    </w:p>
    <w:p w14:paraId="09F2782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78F5563">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35E15294">
      <w:pPr>
        <w:bidi w:val="0"/>
        <w:rPr>
          <w:rFonts w:hint="eastAsia"/>
          <w:color w:val="auto"/>
          <w:sz w:val="28"/>
          <w:szCs w:val="28"/>
          <w:highlight w:val="none"/>
          <w:lang w:eastAsia="zh-CN"/>
        </w:rPr>
      </w:pPr>
      <w:r>
        <w:rPr>
          <w:rFonts w:hint="eastAsia"/>
          <w:color w:val="auto"/>
          <w:sz w:val="28"/>
          <w:szCs w:val="28"/>
          <w:highlight w:val="none"/>
          <w:lang w:eastAsia="zh-CN"/>
        </w:rPr>
        <w:t>①“</w:t>
      </w:r>
      <w:r>
        <w:rPr>
          <w:rFonts w:hint="eastAsia" w:ascii="宋体" w:hAnsi="宋体" w:eastAsia="宋体" w:cs="宋体"/>
          <w:color w:val="auto"/>
          <w:kern w:val="0"/>
          <w:sz w:val="28"/>
          <w:szCs w:val="28"/>
          <w:highlight w:val="none"/>
          <w:shd w:val="clear" w:color="auto" w:fill="auto"/>
          <w:lang w:val="en-US" w:eastAsia="zh-CN"/>
        </w:rPr>
        <w:t>资金支付合规率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73C377A5">
      <w:pPr>
        <w:bidi w:val="0"/>
        <w:rPr>
          <w:rFonts w:hint="eastAsia"/>
          <w:b/>
          <w:bCs/>
          <w:color w:val="auto"/>
          <w:sz w:val="28"/>
          <w:szCs w:val="28"/>
          <w:highlight w:val="none"/>
          <w:lang w:val="en-US" w:eastAsia="zh-CN"/>
        </w:rPr>
      </w:pPr>
      <w:r>
        <w:rPr>
          <w:rFonts w:hint="eastAsia"/>
          <w:b/>
          <w:bCs/>
          <w:color w:val="auto"/>
          <w:sz w:val="28"/>
          <w:szCs w:val="28"/>
          <w:highlight w:val="none"/>
          <w:lang w:val="en-US" w:eastAsia="zh-CN"/>
        </w:rPr>
        <w:t>综上，该项指标满分5分，得分5分。</w:t>
      </w:r>
    </w:p>
    <w:p w14:paraId="4939AA63">
      <w:pPr>
        <w:bidi w:val="0"/>
        <w:rPr>
          <w:rFonts w:hint="eastAsia"/>
          <w:color w:val="auto"/>
          <w:sz w:val="28"/>
          <w:szCs w:val="28"/>
          <w:highlight w:val="none"/>
          <w:lang w:eastAsia="zh-CN"/>
        </w:rPr>
      </w:pPr>
      <w:r>
        <w:rPr>
          <w:rFonts w:hint="eastAsia"/>
          <w:color w:val="auto"/>
          <w:sz w:val="28"/>
          <w:szCs w:val="28"/>
          <w:highlight w:val="none"/>
          <w:lang w:eastAsia="zh-CN"/>
        </w:rPr>
        <w:t>②“</w:t>
      </w:r>
      <w:r>
        <w:rPr>
          <w:rFonts w:hint="eastAsia" w:ascii="宋体" w:hAnsi="宋体" w:eastAsia="宋体" w:cs="宋体"/>
          <w:color w:val="auto"/>
          <w:kern w:val="0"/>
          <w:sz w:val="28"/>
          <w:szCs w:val="28"/>
          <w:highlight w:val="none"/>
          <w:shd w:val="clear" w:color="auto" w:fill="auto"/>
          <w:lang w:val="en-US" w:eastAsia="zh-CN"/>
        </w:rPr>
        <w:t>资金执行率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cs="宋体"/>
          <w:color w:val="auto"/>
          <w:kern w:val="0"/>
          <w:sz w:val="28"/>
          <w:szCs w:val="28"/>
          <w:highlight w:val="none"/>
          <w:shd w:val="clear" w:color="auto" w:fill="auto"/>
          <w:lang w:val="en-US" w:eastAsia="zh-CN"/>
        </w:rPr>
        <w:t>99.4</w:t>
      </w:r>
      <w:r>
        <w:rPr>
          <w:rFonts w:hint="eastAsia" w:ascii="宋体" w:hAnsi="宋体" w:eastAsia="宋体" w:cs="宋体"/>
          <w:color w:val="auto"/>
          <w:kern w:val="0"/>
          <w:sz w:val="28"/>
          <w:szCs w:val="28"/>
          <w:highlight w:val="none"/>
          <w:shd w:val="clear" w:color="auto" w:fill="auto"/>
          <w:lang w:val="en-US" w:eastAsia="zh-CN"/>
        </w:rPr>
        <w:t>%</w:t>
      </w:r>
      <w:r>
        <w:rPr>
          <w:rFonts w:hint="eastAsia"/>
          <w:color w:val="auto"/>
          <w:sz w:val="28"/>
          <w:szCs w:val="28"/>
          <w:highlight w:val="none"/>
          <w:lang w:val="en-US" w:eastAsia="zh-CN"/>
        </w:rPr>
        <w:t>。</w:t>
      </w:r>
    </w:p>
    <w:p w14:paraId="6F442941">
      <w:pPr>
        <w:bidi w:val="0"/>
        <w:rPr>
          <w:rFonts w:hint="eastAsia"/>
          <w:b/>
          <w:bCs/>
          <w:color w:val="auto"/>
          <w:sz w:val="28"/>
          <w:szCs w:val="28"/>
          <w:highlight w:val="none"/>
          <w:lang w:val="en-US" w:eastAsia="zh-CN"/>
        </w:rPr>
      </w:pPr>
      <w:r>
        <w:rPr>
          <w:rFonts w:hint="eastAsia"/>
          <w:b/>
          <w:bCs/>
          <w:color w:val="auto"/>
          <w:sz w:val="28"/>
          <w:szCs w:val="28"/>
          <w:highlight w:val="none"/>
          <w:lang w:val="en-US" w:eastAsia="zh-CN"/>
        </w:rPr>
        <w:t>综上，该项指标满分5分，得分4.97分。</w:t>
      </w:r>
    </w:p>
    <w:p w14:paraId="20D471B5">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3D68496">
      <w:pPr>
        <w:bidi w:val="0"/>
        <w:rPr>
          <w:rFonts w:hint="eastAsia"/>
          <w:color w:val="auto"/>
          <w:highlight w:val="none"/>
          <w:lang w:val="en-US" w:eastAsia="zh-CN"/>
        </w:rPr>
      </w:pPr>
      <w:r>
        <w:rPr>
          <w:rFonts w:hint="eastAsia"/>
          <w:color w:val="auto"/>
          <w:sz w:val="28"/>
          <w:szCs w:val="28"/>
          <w:highlight w:val="none"/>
          <w:lang w:eastAsia="zh-CN"/>
        </w:rPr>
        <w:t>①</w:t>
      </w:r>
      <w:r>
        <w:rPr>
          <w:rFonts w:hint="eastAsia"/>
          <w:color w:val="auto"/>
          <w:highlight w:val="none"/>
          <w:lang w:val="en-US" w:eastAsia="zh-CN"/>
        </w:rPr>
        <w:t>“资金支付时间”指标，预期目标值为2023年1月17日，实际完成为2023年1月17日。</w:t>
      </w:r>
    </w:p>
    <w:p w14:paraId="21DE3967">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24D53DA0">
      <w:pPr>
        <w:bidi w:val="0"/>
        <w:rPr>
          <w:rFonts w:hint="eastAsia"/>
          <w:color w:val="auto"/>
          <w:highlight w:val="none"/>
          <w:lang w:val="en-US" w:eastAsia="zh-CN"/>
        </w:rPr>
      </w:pPr>
      <w:r>
        <w:rPr>
          <w:rFonts w:hint="eastAsia"/>
          <w:color w:val="auto"/>
          <w:sz w:val="28"/>
          <w:szCs w:val="28"/>
          <w:highlight w:val="none"/>
          <w:lang w:eastAsia="zh-CN"/>
        </w:rPr>
        <w:t>②</w:t>
      </w:r>
      <w:r>
        <w:rPr>
          <w:rFonts w:hint="eastAsia"/>
          <w:color w:val="auto"/>
          <w:highlight w:val="none"/>
          <w:lang w:val="en-US" w:eastAsia="zh-CN"/>
        </w:rPr>
        <w:t>“资金支出及时性”指标，预期目标值为=100%，实际完成为100%。</w:t>
      </w:r>
    </w:p>
    <w:p w14:paraId="57559D47">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41762AE1">
      <w:pPr>
        <w:pageBreakBefore w:val="0"/>
        <w:widowControl w:val="0"/>
        <w:kinsoku/>
        <w:wordWrap/>
        <w:overflowPunct/>
        <w:topLinePunct w:val="0"/>
        <w:autoSpaceDE/>
        <w:autoSpaceDN/>
        <w:bidi w:val="0"/>
        <w:adjustRightInd/>
        <w:snapToGrid/>
        <w:spacing w:line="360" w:lineRule="auto"/>
        <w:textAlignment w:val="auto"/>
        <w:outlineLvl w:val="2"/>
        <w:rPr>
          <w:rFonts w:hint="eastAsia"/>
          <w:b/>
          <w:bCs/>
          <w:color w:val="auto"/>
          <w:highlight w:val="none"/>
          <w:lang w:val="en-US" w:eastAsia="zh-CN"/>
        </w:rPr>
      </w:pPr>
      <w:bookmarkStart w:id="73" w:name="_Toc32765"/>
      <w:bookmarkStart w:id="74" w:name="_Toc18446"/>
      <w:r>
        <w:rPr>
          <w:rFonts w:hint="eastAsia"/>
          <w:b/>
          <w:bCs/>
          <w:color w:val="auto"/>
          <w:highlight w:val="none"/>
          <w:lang w:val="en-US" w:eastAsia="zh-CN"/>
        </w:rPr>
        <w:t>4.项目完成成本</w:t>
      </w:r>
      <w:bookmarkEnd w:id="73"/>
    </w:p>
    <w:p w14:paraId="69B1BD86">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color w:val="auto"/>
          <w:highlight w:val="none"/>
          <w:lang w:val="en-US" w:eastAsia="zh-CN"/>
        </w:rPr>
      </w:pPr>
      <w:r>
        <w:rPr>
          <w:rFonts w:hint="eastAsia" w:ascii="宋体" w:hAnsi="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缴纳经营性资产房产税成本</w:t>
      </w:r>
      <w:r>
        <w:rPr>
          <w:rFonts w:hint="eastAsia" w:ascii="宋体" w:hAnsi="宋体" w:cs="宋体"/>
          <w:b w:val="0"/>
          <w:bCs w:val="0"/>
          <w:color w:val="auto"/>
          <w:kern w:val="2"/>
          <w:sz w:val="28"/>
          <w:szCs w:val="28"/>
          <w:highlight w:val="none"/>
          <w:lang w:val="en-US" w:eastAsia="zh-CN" w:bidi="ar-SA"/>
        </w:rPr>
        <w:t>”指标</w:t>
      </w:r>
      <w:r>
        <w:rPr>
          <w:rFonts w:hint="eastAsia"/>
          <w:color w:val="auto"/>
          <w:highlight w:val="none"/>
          <w:lang w:val="en-US" w:eastAsia="zh-CN"/>
        </w:rPr>
        <w:t>，预期指标值为500.84万元，实际完成值为497.82万元。实际完成率=（497.82万元/500.84万元）×100%=99.4%。</w:t>
      </w:r>
    </w:p>
    <w:p w14:paraId="2CE50B43">
      <w:pPr>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default"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综上，该项指标满分5分，得分</w:t>
      </w:r>
      <w:r>
        <w:rPr>
          <w:rFonts w:hint="eastAsia" w:cs="宋体"/>
          <w:b/>
          <w:bCs/>
          <w:color w:val="auto"/>
          <w:kern w:val="2"/>
          <w:sz w:val="28"/>
          <w:szCs w:val="28"/>
          <w:highlight w:val="none"/>
          <w:lang w:val="en-US" w:eastAsia="zh-CN" w:bidi="ar-SA"/>
        </w:rPr>
        <w:t>4.97</w:t>
      </w:r>
      <w:r>
        <w:rPr>
          <w:rFonts w:hint="eastAsia" w:ascii="宋体" w:hAnsi="宋体" w:eastAsia="宋体" w:cs="宋体"/>
          <w:b/>
          <w:bCs/>
          <w:color w:val="auto"/>
          <w:kern w:val="2"/>
          <w:sz w:val="28"/>
          <w:szCs w:val="28"/>
          <w:highlight w:val="none"/>
          <w:lang w:val="en-US" w:eastAsia="zh-CN" w:bidi="ar-SA"/>
        </w:rPr>
        <w:t>分。</w:t>
      </w:r>
    </w:p>
    <w:p w14:paraId="18210E3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4E5AEAC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B34523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7DEF911">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00E9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7E85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8FD2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7E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8B1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A70F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84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CA15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B12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1D121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7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E82B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2A6B37B">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F9E8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19CAD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DDD5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促进平等竞争；调节经济总量，保持经济稳定</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6C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逐步提升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A3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A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6F1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4426A2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57D2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517C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53AD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提高纳税人纳税意识</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22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63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EED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F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D02A2A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02FCD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F8B6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5E3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3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C18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A1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73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1902F4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607CF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E078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6DB0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4F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6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384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99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D1CA7C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94355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17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1A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税务人员满意度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9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87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917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7B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09CEB06">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D3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C5A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0CD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AB8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43F2FC2">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6E87E1D9">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default" w:ascii="宋体" w:hAnsi="宋体" w:eastAsia="宋体" w:cs="宋体"/>
          <w:color w:val="auto"/>
          <w:kern w:val="0"/>
          <w:sz w:val="28"/>
          <w:szCs w:val="28"/>
          <w:highlight w:val="none"/>
          <w:shd w:val="clear" w:color="auto" w:fill="auto"/>
          <w:lang w:val="en-US" w:eastAsia="zh-CN"/>
        </w:rPr>
        <w:t>促进平等竞争；调节经济总量，保持经济稳定</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逐步提升</w:t>
      </w:r>
      <w:r>
        <w:rPr>
          <w:rFonts w:hint="eastAsia" w:cs="宋体"/>
          <w:color w:val="auto"/>
          <w:kern w:val="0"/>
          <w:sz w:val="28"/>
          <w:szCs w:val="28"/>
          <w:highlight w:val="none"/>
          <w:shd w:val="clear" w:color="auto" w:fill="auto"/>
          <w:lang w:val="en-US" w:eastAsia="zh-CN"/>
        </w:rPr>
        <w:t>”</w:t>
      </w:r>
      <w:r>
        <w:rPr>
          <w:rFonts w:hint="eastAsia"/>
          <w:color w:val="auto"/>
          <w:sz w:val="28"/>
          <w:szCs w:val="28"/>
          <w:highlight w:val="none"/>
          <w:lang w:val="en-US" w:eastAsia="zh-CN"/>
        </w:rPr>
        <w:t>，实际完成为100%。</w:t>
      </w:r>
    </w:p>
    <w:p w14:paraId="22C6FBE0">
      <w:pPr>
        <w:bidi w:val="0"/>
        <w:rPr>
          <w:rFonts w:hint="eastAsia" w:eastAsia="宋体"/>
          <w:color w:val="auto"/>
          <w:highlight w:val="none"/>
          <w:lang w:eastAsia="zh-CN"/>
        </w:rPr>
      </w:pPr>
      <w:r>
        <w:rPr>
          <w:rFonts w:hint="eastAsia"/>
          <w:b w:val="0"/>
          <w:bCs w:val="0"/>
          <w:color w:val="auto"/>
          <w:highlight w:val="none"/>
          <w:lang w:val="en-US" w:eastAsia="zh-CN"/>
        </w:rPr>
        <w:t>通过项目的实施，</w:t>
      </w:r>
      <w:r>
        <w:rPr>
          <w:rFonts w:hint="eastAsia"/>
          <w:color w:val="auto"/>
          <w:highlight w:val="none"/>
        </w:rPr>
        <w:t>实现税收增收，体现公平税负</w:t>
      </w:r>
      <w:r>
        <w:rPr>
          <w:rFonts w:hint="eastAsia"/>
          <w:color w:val="auto"/>
          <w:highlight w:val="none"/>
          <w:lang w:eastAsia="zh-CN"/>
        </w:rPr>
        <w:t>，</w:t>
      </w:r>
      <w:r>
        <w:rPr>
          <w:rFonts w:hint="eastAsia"/>
          <w:color w:val="auto"/>
          <w:highlight w:val="none"/>
          <w:lang w:val="en-US" w:eastAsia="zh-CN"/>
        </w:rPr>
        <w:t>保持经济稳定</w:t>
      </w:r>
      <w:r>
        <w:rPr>
          <w:rFonts w:hint="eastAsia"/>
          <w:color w:val="auto"/>
          <w:highlight w:val="none"/>
          <w:lang w:eastAsia="zh-CN"/>
        </w:rPr>
        <w:t>。</w:t>
      </w:r>
    </w:p>
    <w:p w14:paraId="26D11DB4">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41FCFA9C">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0E9A03D3">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提高纳税人纳税意识</w:t>
      </w:r>
      <w:r>
        <w:rPr>
          <w:rFonts w:hint="eastAsia"/>
          <w:color w:val="auto"/>
          <w:highlight w:val="none"/>
          <w:lang w:eastAsia="zh-CN"/>
        </w:rPr>
        <w:t>”</w:t>
      </w:r>
      <w:r>
        <w:rPr>
          <w:rFonts w:hint="eastAsia"/>
          <w:color w:val="auto"/>
          <w:highlight w:val="none"/>
          <w:lang w:val="en-US" w:eastAsia="zh-CN"/>
        </w:rPr>
        <w:t>指标，预期目标值为“提高”，实际完成为100%。</w:t>
      </w:r>
    </w:p>
    <w:p w14:paraId="27C5B7F6">
      <w:pPr>
        <w:bidi w:val="0"/>
        <w:rPr>
          <w:rFonts w:hint="eastAsia" w:eastAsia="宋体"/>
          <w:b w:val="0"/>
          <w:bCs w:val="0"/>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提高了纳税人纳税意识，实现税收增收。</w:t>
      </w:r>
    </w:p>
    <w:p w14:paraId="6CA48D49">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07279F9">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C132A02">
      <w:pPr>
        <w:pStyle w:val="9"/>
        <w:ind w:left="0" w:leftChars="0" w:firstLine="560" w:firstLineChars="200"/>
        <w:rPr>
          <w:rFonts w:hint="eastAsia" w:ascii="宋体" w:hAnsi="宋体" w:eastAsia="宋体" w:cs="宋体"/>
          <w:i w:val="0"/>
          <w:iCs w:val="0"/>
          <w:color w:val="auto"/>
          <w:kern w:val="2"/>
          <w:sz w:val="28"/>
          <w:szCs w:val="28"/>
          <w:highlight w:val="none"/>
          <w:lang w:val="en-US" w:eastAsia="zh-CN" w:bidi="ar-SA"/>
        </w:rPr>
      </w:pPr>
      <w:bookmarkStart w:id="78" w:name="_Toc3271"/>
      <w:r>
        <w:rPr>
          <w:rFonts w:hint="eastAsia" w:ascii="宋体" w:hAnsi="宋体" w:eastAsia="宋体" w:cs="宋体"/>
          <w:i w:val="0"/>
          <w:iCs w:val="0"/>
          <w:color w:val="auto"/>
          <w:kern w:val="2"/>
          <w:sz w:val="28"/>
          <w:szCs w:val="28"/>
          <w:highlight w:val="none"/>
          <w:lang w:val="en-US" w:eastAsia="zh-CN" w:bidi="ar-SA"/>
        </w:rPr>
        <w:t>本单位无此指标</w:t>
      </w:r>
    </w:p>
    <w:p w14:paraId="252B9525">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746E8A26">
      <w:pPr>
        <w:bidi w:val="0"/>
        <w:rPr>
          <w:rFonts w:hint="eastAsia"/>
          <w:color w:val="auto"/>
          <w:highlight w:val="none"/>
          <w:lang w:val="en-US" w:eastAsia="zh-CN"/>
        </w:rPr>
      </w:pPr>
      <w:bookmarkStart w:id="79" w:name="_Toc19962"/>
      <w:r>
        <w:rPr>
          <w:rFonts w:hint="eastAsia" w:ascii="宋体" w:hAnsi="宋体" w:eastAsia="宋体" w:cs="宋体"/>
          <w:i w:val="0"/>
          <w:iCs w:val="0"/>
          <w:color w:val="auto"/>
          <w:kern w:val="2"/>
          <w:sz w:val="28"/>
          <w:szCs w:val="28"/>
          <w:highlight w:val="none"/>
          <w:lang w:val="en-US" w:eastAsia="zh-CN" w:bidi="ar-SA"/>
        </w:rPr>
        <w:t>“税务人员满意度”指标</w:t>
      </w:r>
      <w:r>
        <w:rPr>
          <w:rFonts w:hint="eastAsia" w:cs="宋体"/>
          <w:i w:val="0"/>
          <w:iCs w:val="0"/>
          <w:color w:val="auto"/>
          <w:kern w:val="2"/>
          <w:sz w:val="28"/>
          <w:szCs w:val="28"/>
          <w:highlight w:val="none"/>
          <w:lang w:val="en-US" w:eastAsia="zh-CN" w:bidi="ar-SA"/>
        </w:rPr>
        <w:t>，</w:t>
      </w:r>
      <w:r>
        <w:rPr>
          <w:rFonts w:hint="eastAsia"/>
          <w:color w:val="auto"/>
          <w:highlight w:val="none"/>
          <w:lang w:val="en-US" w:eastAsia="zh-CN"/>
        </w:rPr>
        <w:t>预期目标值为100%，实际完成为100%。</w:t>
      </w:r>
    </w:p>
    <w:p w14:paraId="77A3FF67">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B9095D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14:paraId="091123C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w:t>
      </w:r>
      <w:r>
        <w:rPr>
          <w:rFonts w:hint="eastAsia" w:cs="仿宋_GB2312"/>
          <w:b w:val="0"/>
          <w:bCs w:val="0"/>
          <w:color w:val="auto"/>
          <w:sz w:val="28"/>
          <w:szCs w:val="28"/>
          <w:highlight w:val="none"/>
          <w:lang w:eastAsia="zh-CN"/>
        </w:rPr>
        <w:t>目预算资金总额为</w:t>
      </w:r>
      <w:r>
        <w:rPr>
          <w:rFonts w:hint="eastAsia"/>
          <w:b w:val="0"/>
          <w:bCs w:val="0"/>
          <w:color w:val="auto"/>
          <w:highlight w:val="none"/>
          <w:lang w:val="en-US" w:eastAsia="zh-CN"/>
        </w:rPr>
        <w:t>500.84</w:t>
      </w:r>
      <w:r>
        <w:rPr>
          <w:rFonts w:hint="eastAsia" w:cs="仿宋_GB2312"/>
          <w:b w:val="0"/>
          <w:bCs w:val="0"/>
          <w:color w:val="auto"/>
          <w:sz w:val="28"/>
          <w:szCs w:val="28"/>
          <w:highlight w:val="none"/>
          <w:lang w:val="en-US" w:eastAsia="zh-CN"/>
        </w:rPr>
        <w:t>万元，全年</w:t>
      </w:r>
      <w:bookmarkStart w:id="89" w:name="_GoBack"/>
      <w:r>
        <w:rPr>
          <w:rFonts w:hint="eastAsia" w:cs="仿宋_GB2312"/>
          <w:b w:val="0"/>
          <w:bCs w:val="0"/>
          <w:color w:val="auto"/>
          <w:sz w:val="28"/>
          <w:szCs w:val="28"/>
          <w:highlight w:val="none"/>
          <w:lang w:val="en-US" w:eastAsia="zh-CN"/>
        </w:rPr>
        <w:t>执行数</w:t>
      </w:r>
      <w:bookmarkEnd w:id="89"/>
      <w:r>
        <w:rPr>
          <w:rFonts w:hint="eastAsia" w:cs="仿宋_GB2312"/>
          <w:b w:val="0"/>
          <w:bCs w:val="0"/>
          <w:color w:val="auto"/>
          <w:sz w:val="28"/>
          <w:szCs w:val="28"/>
          <w:highlight w:val="none"/>
          <w:lang w:val="en-US" w:eastAsia="zh-CN"/>
        </w:rPr>
        <w:t>为</w:t>
      </w:r>
      <w:r>
        <w:rPr>
          <w:rFonts w:hint="eastAsia"/>
          <w:b w:val="0"/>
          <w:bCs w:val="0"/>
          <w:color w:val="auto"/>
          <w:highlight w:val="none"/>
          <w:lang w:val="en-US" w:eastAsia="zh-CN"/>
        </w:rPr>
        <w:t>497.82</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99.4</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0.6</w:t>
      </w:r>
      <w:r>
        <w:rPr>
          <w:rFonts w:hint="eastAsia" w:cs="仿宋_GB2312"/>
          <w:b w:val="0"/>
          <w:bCs w:val="0"/>
          <w:color w:val="auto"/>
          <w:sz w:val="28"/>
          <w:szCs w:val="28"/>
          <w:highlight w:val="none"/>
          <w:lang w:val="en-US" w:eastAsia="zh-CN"/>
        </w:rPr>
        <w:t>%</w:t>
      </w:r>
      <w:r>
        <w:rPr>
          <w:rFonts w:hint="eastAsia" w:ascii="仿宋_GB2312" w:hAnsi="仿宋_GB2312" w:cs="仿宋_GB2312"/>
          <w:b w:val="0"/>
          <w:bCs w:val="0"/>
          <w:color w:val="auto"/>
          <w:sz w:val="28"/>
          <w:szCs w:val="28"/>
          <w:highlight w:val="none"/>
        </w:rPr>
        <w:t>。</w:t>
      </w:r>
    </w:p>
    <w:p w14:paraId="51FC3CA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存在偏差情况的原因是：</w:t>
      </w:r>
    </w:p>
    <w:p w14:paraId="312DCB0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b w:val="0"/>
          <w:bCs w:val="0"/>
          <w:color w:val="auto"/>
          <w:sz w:val="28"/>
          <w:szCs w:val="28"/>
          <w:highlight w:val="none"/>
          <w:lang w:val="en-US" w:eastAsia="zh-CN"/>
        </w:rPr>
        <w:t>该项目年初预算数500.84万元，实际执行数497.82万元，根据税务局按照缴费时点计</w:t>
      </w:r>
      <w:r>
        <w:rPr>
          <w:rFonts w:hint="eastAsia" w:cs="仿宋_GB2312"/>
          <w:color w:val="auto"/>
          <w:sz w:val="28"/>
          <w:szCs w:val="28"/>
          <w:highlight w:val="none"/>
          <w:lang w:val="en-US" w:eastAsia="zh-CN"/>
        </w:rPr>
        <w:t>算的税费，实际缴纳税费为497.82万元，财政预算多拨款3.02万元，于年底退回该资金。</w:t>
      </w:r>
    </w:p>
    <w:p w14:paraId="71D80DD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6CE19D74">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473AFC4A">
      <w:pPr>
        <w:bidi w:val="0"/>
        <w:rPr>
          <w:rFonts w:hint="eastAsia"/>
          <w:color w:val="auto"/>
          <w:highlight w:val="none"/>
          <w:lang w:eastAsia="zh-CN"/>
        </w:rPr>
      </w:pPr>
      <w:r>
        <w:rPr>
          <w:rFonts w:hint="eastAsia" w:cs="宋体"/>
          <w:color w:val="auto"/>
          <w:highlight w:val="none"/>
          <w:shd w:val="clear" w:color="auto" w:fill="auto"/>
          <w:lang w:val="en-US" w:eastAsia="zh-CN"/>
        </w:rPr>
        <w:t>经营性资产缴纳房产税项目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500.84</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497.82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99.4</w:t>
      </w:r>
      <w:r>
        <w:rPr>
          <w:rFonts w:hint="eastAsia"/>
          <w:color w:val="auto"/>
          <w:highlight w:val="none"/>
          <w:lang w:eastAsia="zh-CN"/>
        </w:rPr>
        <w:t>%。</w:t>
      </w:r>
    </w:p>
    <w:p w14:paraId="4E54CDE4">
      <w:pPr>
        <w:bidi w:val="0"/>
        <w:rPr>
          <w:rFonts w:hint="eastAsia"/>
          <w:color w:val="auto"/>
          <w:highlight w:val="none"/>
          <w:lang w:eastAsia="zh-CN"/>
        </w:rPr>
      </w:pPr>
      <w:r>
        <w:rPr>
          <w:rFonts w:hint="eastAsia"/>
          <w:color w:val="auto"/>
          <w:highlight w:val="none"/>
          <w:lang w:val="en-US" w:eastAsia="zh-CN"/>
        </w:rPr>
        <w:t>阜康市机关事务服务中心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w:t>
      </w:r>
      <w:r>
        <w:rPr>
          <w:rFonts w:hint="eastAsia" w:ascii="宋体" w:hAnsi="宋体" w:eastAsia="宋体" w:cs="宋体"/>
          <w:color w:val="auto"/>
          <w:highlight w:val="none"/>
          <w:lang w:eastAsia="zh-CN"/>
        </w:rPr>
        <w:t>先安排了</w:t>
      </w:r>
      <w:r>
        <w:rPr>
          <w:rFonts w:hint="eastAsia" w:ascii="宋体" w:hAnsi="宋体" w:eastAsia="宋体" w:cs="宋体"/>
          <w:color w:val="auto"/>
          <w:highlight w:val="none"/>
          <w:lang w:val="en-US" w:eastAsia="zh-CN"/>
        </w:rPr>
        <w:t>阜康市机关事务服务中心</w:t>
      </w:r>
      <w:r>
        <w:rPr>
          <w:rFonts w:hint="eastAsia" w:ascii="宋体" w:hAnsi="宋体" w:eastAsia="宋体" w:cs="宋体"/>
          <w:color w:val="auto"/>
          <w:highlight w:val="none"/>
          <w:lang w:eastAsia="zh-CN"/>
        </w:rPr>
        <w:t>事业发展中关系民</w:t>
      </w:r>
      <w:r>
        <w:rPr>
          <w:rFonts w:hint="eastAsia"/>
          <w:color w:val="auto"/>
          <w:highlight w:val="none"/>
          <w:lang w:eastAsia="zh-CN"/>
        </w:rPr>
        <w:t>生与稳定的项目，切实优化资源配置，提高了资金使用的效率和效果。</w:t>
      </w:r>
    </w:p>
    <w:bookmarkEnd w:id="82"/>
    <w:bookmarkEnd w:id="83"/>
    <w:p w14:paraId="2AE79AEC">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90D9486">
      <w:pPr>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bookmarkStart w:id="85" w:name="_Toc5230"/>
      <w:r>
        <w:rPr>
          <w:rFonts w:hint="eastAsia"/>
          <w:color w:val="auto"/>
          <w:highlight w:val="none"/>
        </w:rPr>
        <w:t>1.</w:t>
      </w:r>
      <w:r>
        <w:rPr>
          <w:rFonts w:hint="eastAsia" w:cs="宋体"/>
          <w:color w:val="auto"/>
          <w:kern w:val="2"/>
          <w:sz w:val="28"/>
          <w:szCs w:val="28"/>
          <w:highlight w:val="none"/>
          <w:lang w:val="en-US" w:eastAsia="zh-CN" w:bidi="ar-SA"/>
        </w:rPr>
        <w:t>项目前期决策不充分，</w:t>
      </w:r>
      <w:r>
        <w:rPr>
          <w:rFonts w:hint="eastAsia"/>
          <w:b w:val="0"/>
          <w:bCs w:val="0"/>
          <w:color w:val="auto"/>
          <w:highlight w:val="none"/>
          <w:lang w:val="en-US" w:eastAsia="zh-CN"/>
        </w:rPr>
        <w:t>项目事前未经过必要的可行性研究、专家论证、风险评估、绩效评估、集体决策等</w:t>
      </w:r>
      <w:r>
        <w:rPr>
          <w:rFonts w:hint="eastAsia" w:ascii="宋体" w:hAnsi="宋体" w:eastAsia="宋体" w:cs="宋体"/>
          <w:color w:val="auto"/>
          <w:kern w:val="2"/>
          <w:sz w:val="28"/>
          <w:szCs w:val="28"/>
          <w:highlight w:val="none"/>
          <w:lang w:val="en-US" w:eastAsia="zh-CN" w:bidi="ar-SA"/>
        </w:rPr>
        <w:t>。</w:t>
      </w:r>
    </w:p>
    <w:p w14:paraId="6A76535C">
      <w:pPr>
        <w:ind w:firstLine="560"/>
        <w:rPr>
          <w:color w:val="auto"/>
          <w:highlight w:val="none"/>
        </w:rPr>
      </w:pPr>
      <w:r>
        <w:rPr>
          <w:rFonts w:hint="eastAsia"/>
          <w:color w:val="auto"/>
          <w:highlight w:val="none"/>
        </w:rPr>
        <w:t>2.单位内控职责不够细化，项目预算的绩效设定与实际的项目支出存在些许差距，争取在今后工作中准确把握项目资金支出，达到资金的最大效益。</w:t>
      </w:r>
    </w:p>
    <w:p w14:paraId="314FFDC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4F123488">
      <w:pPr>
        <w:ind w:firstLine="560"/>
        <w:rPr>
          <w:color w:val="auto"/>
          <w:highlight w:val="none"/>
        </w:rPr>
      </w:pPr>
      <w:bookmarkStart w:id="86" w:name="_Toc15618"/>
      <w:r>
        <w:rPr>
          <w:rFonts w:hint="eastAsia"/>
          <w:color w:val="auto"/>
          <w:highlight w:val="none"/>
        </w:rPr>
        <w:t>（一）</w:t>
      </w:r>
      <w:r>
        <w:rPr>
          <w:rFonts w:hint="eastAsia" w:ascii="宋体" w:hAnsi="宋体" w:eastAsia="宋体" w:cs="宋体"/>
          <w:color w:val="auto"/>
          <w:kern w:val="2"/>
          <w:sz w:val="28"/>
          <w:szCs w:val="28"/>
          <w:highlight w:val="none"/>
          <w:lang w:val="en-US" w:eastAsia="zh-CN" w:bidi="ar-SA"/>
        </w:rPr>
        <w:t>加强项目事前评估。建议委托第三方对项目前期申报资金进行预算评审，加强项目事前必要的可行性研究、专家论证、风险评估、集体决策，从立项必要性、投入经济性、绩效目标</w:t>
      </w:r>
    </w:p>
    <w:p w14:paraId="530050EE">
      <w:pPr>
        <w:ind w:firstLine="560"/>
        <w:rPr>
          <w:color w:val="auto"/>
          <w:highlight w:val="none"/>
        </w:rPr>
      </w:pPr>
      <w:r>
        <w:rPr>
          <w:rFonts w:hint="eastAsia"/>
          <w:color w:val="auto"/>
          <w:highlight w:val="none"/>
        </w:rPr>
        <w:t>（二）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4363736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45167E71">
      <w:pPr>
        <w:bidi w:val="0"/>
        <w:rPr>
          <w:rFonts w:hint="eastAsia" w:ascii="宋体" w:hAnsi="宋体" w:eastAsia="宋体" w:cs="宋体"/>
          <w:color w:val="auto"/>
          <w:highlight w:val="none"/>
          <w:lang w:val="en-US" w:eastAsia="zh-CN"/>
        </w:rPr>
        <w:sectPr>
          <w:footerReference r:id="rId5" w:type="default"/>
          <w:pgSz w:w="11906" w:h="16838"/>
          <w:pgMar w:top="1440" w:right="1179" w:bottom="1157" w:left="1463" w:header="737" w:footer="850" w:gutter="0"/>
          <w:pgNumType w:fmt="decimal" w:start="1"/>
          <w:cols w:space="0" w:num="1"/>
          <w:rtlGutter w:val="0"/>
          <w:docGrid w:type="lines" w:linePitch="408" w:charSpace="0"/>
        </w:sectPr>
      </w:pPr>
      <w:r>
        <w:rPr>
          <w:rFonts w:hint="eastAsia" w:ascii="宋体" w:hAnsi="宋体" w:eastAsia="宋体" w:cs="宋体"/>
          <w:color w:val="auto"/>
          <w:highlight w:val="none"/>
          <w:lang w:val="en-US" w:eastAsia="zh-CN"/>
        </w:rPr>
        <w:t>无其他需要说明的问题。</w:t>
      </w:r>
    </w:p>
    <w:p w14:paraId="7AE4DC7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pPr w:leftFromText="180" w:rightFromText="180" w:vertAnchor="text" w:horzAnchor="page" w:tblpX="1443" w:tblpY="835"/>
        <w:tblOverlap w:val="never"/>
        <w:tblW w:w="142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2"/>
        <w:gridCol w:w="643"/>
        <w:gridCol w:w="987"/>
        <w:gridCol w:w="1196"/>
        <w:gridCol w:w="1077"/>
        <w:gridCol w:w="1071"/>
        <w:gridCol w:w="845"/>
        <w:gridCol w:w="915"/>
        <w:gridCol w:w="916"/>
        <w:gridCol w:w="1022"/>
        <w:gridCol w:w="978"/>
        <w:gridCol w:w="1083"/>
        <w:gridCol w:w="1205"/>
        <w:gridCol w:w="1685"/>
      </w:tblGrid>
      <w:tr w14:paraId="44EE6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4265" w:type="dxa"/>
            <w:gridSpan w:val="14"/>
            <w:tcBorders>
              <w:top w:val="nil"/>
              <w:left w:val="nil"/>
              <w:bottom w:val="nil"/>
              <w:right w:val="nil"/>
            </w:tcBorders>
            <w:shd w:val="clear" w:color="auto" w:fill="auto"/>
            <w:tcMar>
              <w:top w:w="12" w:type="dxa"/>
              <w:left w:w="12" w:type="dxa"/>
              <w:right w:w="12" w:type="dxa"/>
            </w:tcMar>
            <w:vAlign w:val="center"/>
          </w:tcPr>
          <w:p w14:paraId="415B4F3E">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5BB9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14265" w:type="dxa"/>
            <w:gridSpan w:val="14"/>
            <w:tcBorders>
              <w:top w:val="nil"/>
              <w:left w:val="nil"/>
              <w:bottom w:val="single" w:color="auto" w:sz="4" w:space="0"/>
              <w:right w:val="nil"/>
            </w:tcBorders>
            <w:shd w:val="clear" w:color="auto" w:fill="auto"/>
            <w:tcMar>
              <w:top w:w="12" w:type="dxa"/>
              <w:left w:w="12" w:type="dxa"/>
              <w:right w:w="12" w:type="dxa"/>
            </w:tcMar>
            <w:vAlign w:val="center"/>
          </w:tcPr>
          <w:p w14:paraId="6A0B9534">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16D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28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888CCA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80"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5BA44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经营性资产缴纳房产税项目</w:t>
            </w:r>
          </w:p>
        </w:tc>
      </w:tr>
      <w:tr w14:paraId="2096E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28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ACF1E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17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A2DED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阜康市人民政府办公室</w:t>
            </w:r>
          </w:p>
        </w:tc>
        <w:tc>
          <w:tcPr>
            <w:tcW w:w="183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92B18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97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4CD8E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阜康市机关事务服务中心</w:t>
            </w:r>
          </w:p>
        </w:tc>
      </w:tr>
      <w:tr w14:paraId="3E19D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28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2CCF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8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9697F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174EF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1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7BDAB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3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0BBCB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22137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28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633B72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4A76D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3997E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28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6AE070">
            <w:pPr>
              <w:jc w:val="center"/>
              <w:rPr>
                <w:rFonts w:hint="eastAsia" w:ascii="宋体" w:hAnsi="宋体" w:eastAsia="宋体" w:cs="宋体"/>
                <w:i w:val="0"/>
                <w:color w:val="auto"/>
                <w:sz w:val="20"/>
                <w:szCs w:val="20"/>
                <w:highlight w:val="none"/>
                <w:u w:val="none"/>
              </w:rPr>
            </w:pPr>
          </w:p>
        </w:tc>
        <w:tc>
          <w:tcPr>
            <w:tcW w:w="218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16F65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92AA0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500.84 </w:t>
            </w:r>
          </w:p>
        </w:tc>
        <w:tc>
          <w:tcPr>
            <w:tcW w:w="191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66158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500.84 </w:t>
            </w:r>
          </w:p>
        </w:tc>
        <w:tc>
          <w:tcPr>
            <w:tcW w:w="183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294F3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497.82 </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FFB553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28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2977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99.40%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A01E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09942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2" w:hRule="atLeast"/>
        </w:trPr>
        <w:tc>
          <w:tcPr>
            <w:tcW w:w="128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110247">
            <w:pPr>
              <w:jc w:val="center"/>
              <w:rPr>
                <w:rFonts w:hint="eastAsia" w:ascii="宋体" w:hAnsi="宋体" w:eastAsia="宋体" w:cs="宋体"/>
                <w:i w:val="0"/>
                <w:color w:val="auto"/>
                <w:sz w:val="20"/>
                <w:szCs w:val="20"/>
                <w:highlight w:val="none"/>
                <w:u w:val="none"/>
              </w:rPr>
            </w:pPr>
          </w:p>
        </w:tc>
        <w:tc>
          <w:tcPr>
            <w:tcW w:w="218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DD60A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82157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500.84 </w:t>
            </w:r>
          </w:p>
        </w:tc>
        <w:tc>
          <w:tcPr>
            <w:tcW w:w="191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78D275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500.84 </w:t>
            </w:r>
          </w:p>
        </w:tc>
        <w:tc>
          <w:tcPr>
            <w:tcW w:w="183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8ADD1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497.82 </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13B1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8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0A7840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3F446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6F500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4" w:hRule="atLeast"/>
        </w:trPr>
        <w:tc>
          <w:tcPr>
            <w:tcW w:w="128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909FAB">
            <w:pPr>
              <w:jc w:val="center"/>
              <w:rPr>
                <w:rFonts w:hint="eastAsia" w:ascii="宋体" w:hAnsi="宋体" w:eastAsia="宋体" w:cs="宋体"/>
                <w:i w:val="0"/>
                <w:color w:val="auto"/>
                <w:sz w:val="20"/>
                <w:szCs w:val="20"/>
                <w:highlight w:val="none"/>
                <w:u w:val="none"/>
              </w:rPr>
            </w:pPr>
          </w:p>
        </w:tc>
        <w:tc>
          <w:tcPr>
            <w:tcW w:w="218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E0F0A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19601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1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DD14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3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8DB5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F0B8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8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E774D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5BA7E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7F84E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64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9AD807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5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2E156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97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80119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464A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6"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3A8204">
            <w:pPr>
              <w:jc w:val="center"/>
              <w:rPr>
                <w:rFonts w:hint="eastAsia" w:ascii="宋体" w:hAnsi="宋体" w:eastAsia="宋体" w:cs="宋体"/>
                <w:i w:val="0"/>
                <w:color w:val="auto"/>
                <w:sz w:val="20"/>
                <w:szCs w:val="20"/>
                <w:highlight w:val="none"/>
                <w:u w:val="none"/>
              </w:rPr>
            </w:pPr>
          </w:p>
        </w:tc>
        <w:tc>
          <w:tcPr>
            <w:tcW w:w="765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D4E7D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机关事务服务中心2023年预计完成补交2017-2021年经营性资产出租收入缴纳房产税500.84万元，项目的实施预计达到完成税收任务，促进平等竞争；调节经济总量，保持经济稳定。资金2023年1月17日支付到位，单位执行率100%，及时支付，确保资金预算支出率达到100%。</w:t>
            </w:r>
          </w:p>
        </w:tc>
        <w:tc>
          <w:tcPr>
            <w:tcW w:w="597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B3A85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完成补交2017-2021年经营性资产出租收入缴纳房产税497.82万元，经营性资产数量20个，资金支付合规率，资金执行率，资金支付时间，资金支出及时性，项目的实施促进平等竞争；调节经济总量，保持经济稳定。</w:t>
            </w:r>
          </w:p>
        </w:tc>
      </w:tr>
      <w:tr w14:paraId="098C5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64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4A3BFC">
            <w:pPr>
              <w:jc w:val="center"/>
              <w:rPr>
                <w:rFonts w:hint="eastAsia" w:ascii="宋体" w:hAnsi="宋体" w:eastAsia="宋体" w:cs="宋体"/>
                <w:i w:val="0"/>
                <w:color w:val="auto"/>
                <w:sz w:val="20"/>
                <w:szCs w:val="20"/>
                <w:highlight w:val="none"/>
                <w:u w:val="none"/>
              </w:rPr>
            </w:pPr>
          </w:p>
        </w:tc>
        <w:tc>
          <w:tcPr>
            <w:tcW w:w="6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099ED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E3D5E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EA10E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BD1EF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451E8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59806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5CF25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19BF2D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47093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4EA957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C51E8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28BE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9B550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DF4D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2" w:hRule="atLeast"/>
        </w:trPr>
        <w:tc>
          <w:tcPr>
            <w:tcW w:w="64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ACFCB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20148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FAD2B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87934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经营性资产数量</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5E8D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≧20个</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5DF5B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FCA482">
            <w:pPr>
              <w:keepNext w:val="0"/>
              <w:keepLines w:val="0"/>
              <w:widowControl/>
              <w:suppressLineNumbers w:val="0"/>
              <w:ind w:firstLine="48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4"/>
                <w:szCs w:val="24"/>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772B0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F1653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D408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3209C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BE611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439BA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FDDA22">
            <w:pPr>
              <w:jc w:val="center"/>
              <w:rPr>
                <w:rFonts w:hint="eastAsia" w:ascii="宋体" w:hAnsi="宋体" w:eastAsia="宋体" w:cs="宋体"/>
                <w:i w:val="0"/>
                <w:color w:val="auto"/>
                <w:sz w:val="20"/>
                <w:szCs w:val="20"/>
                <w:highlight w:val="none"/>
                <w:u w:val="none"/>
              </w:rPr>
            </w:pPr>
          </w:p>
        </w:tc>
      </w:tr>
      <w:tr w14:paraId="5AD6E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4"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9C8D7A">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CD7DBF">
            <w:pPr>
              <w:jc w:val="center"/>
              <w:rPr>
                <w:rFonts w:hint="eastAsia" w:ascii="宋体" w:hAnsi="宋体" w:eastAsia="宋体" w:cs="宋体"/>
                <w:i w:val="0"/>
                <w:color w:val="auto"/>
                <w:sz w:val="20"/>
                <w:szCs w:val="20"/>
                <w:highlight w:val="none"/>
                <w:u w:val="none"/>
              </w:rPr>
            </w:pPr>
          </w:p>
        </w:tc>
        <w:tc>
          <w:tcPr>
            <w:tcW w:w="98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9D3D7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632EE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资金支付合规率</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07F36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53CD7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2F2161">
            <w:pPr>
              <w:keepNext w:val="0"/>
              <w:keepLines w:val="0"/>
              <w:widowControl/>
              <w:suppressLineNumbers w:val="0"/>
              <w:ind w:firstLine="48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4"/>
                <w:szCs w:val="24"/>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4958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C2B46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4CB6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6488F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24642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4AF74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6CA75C3">
            <w:pPr>
              <w:jc w:val="center"/>
              <w:rPr>
                <w:rFonts w:hint="eastAsia" w:ascii="宋体" w:hAnsi="宋体" w:eastAsia="宋体" w:cs="宋体"/>
                <w:i w:val="0"/>
                <w:color w:val="auto"/>
                <w:sz w:val="20"/>
                <w:szCs w:val="20"/>
                <w:highlight w:val="none"/>
                <w:u w:val="none"/>
              </w:rPr>
            </w:pPr>
          </w:p>
        </w:tc>
      </w:tr>
      <w:tr w14:paraId="3724F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485AFA">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0E4B07">
            <w:pPr>
              <w:jc w:val="center"/>
              <w:rPr>
                <w:rFonts w:hint="eastAsia" w:ascii="宋体" w:hAnsi="宋体" w:eastAsia="宋体" w:cs="宋体"/>
                <w:i w:val="0"/>
                <w:color w:val="auto"/>
                <w:sz w:val="20"/>
                <w:szCs w:val="20"/>
                <w:highlight w:val="none"/>
                <w:u w:val="none"/>
              </w:rPr>
            </w:pPr>
          </w:p>
        </w:tc>
        <w:tc>
          <w:tcPr>
            <w:tcW w:w="98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87FD802">
            <w:pPr>
              <w:jc w:val="center"/>
              <w:rPr>
                <w:rFonts w:hint="eastAsia" w:ascii="宋体" w:hAnsi="宋体" w:eastAsia="宋体" w:cs="宋体"/>
                <w:i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78CB3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资金执行率</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ABACA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F2A3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8BF3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CC5F2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96AC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34F61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7F6C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961DC3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615A1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C6C911">
            <w:pPr>
              <w:jc w:val="center"/>
              <w:rPr>
                <w:rFonts w:hint="eastAsia" w:ascii="宋体" w:hAnsi="宋体" w:eastAsia="宋体" w:cs="宋体"/>
                <w:i w:val="0"/>
                <w:color w:val="auto"/>
                <w:sz w:val="20"/>
                <w:szCs w:val="20"/>
                <w:highlight w:val="none"/>
                <w:u w:val="none"/>
              </w:rPr>
            </w:pPr>
          </w:p>
        </w:tc>
      </w:tr>
      <w:tr w14:paraId="75CC1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0"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E09580">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E47E6F">
            <w:pPr>
              <w:jc w:val="center"/>
              <w:rPr>
                <w:rFonts w:hint="eastAsia" w:ascii="宋体" w:hAnsi="宋体" w:eastAsia="宋体" w:cs="宋体"/>
                <w:i w:val="0"/>
                <w:color w:val="auto"/>
                <w:sz w:val="20"/>
                <w:szCs w:val="20"/>
                <w:highlight w:val="none"/>
                <w:u w:val="none"/>
              </w:rPr>
            </w:pPr>
          </w:p>
        </w:tc>
        <w:tc>
          <w:tcPr>
            <w:tcW w:w="98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D0FCA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A3321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资金支付时间</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811F1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2023年1月17日</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014C0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2023年1月17日</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70B1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7BD9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4956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24EDA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268B5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2023年1月17日</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5F735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BF76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BFB995">
            <w:pPr>
              <w:jc w:val="center"/>
              <w:rPr>
                <w:rFonts w:hint="eastAsia" w:ascii="宋体" w:hAnsi="宋体" w:eastAsia="宋体" w:cs="宋体"/>
                <w:b/>
                <w:i w:val="0"/>
                <w:color w:val="auto"/>
                <w:sz w:val="20"/>
                <w:szCs w:val="20"/>
                <w:highlight w:val="none"/>
                <w:u w:val="none"/>
              </w:rPr>
            </w:pPr>
          </w:p>
        </w:tc>
      </w:tr>
      <w:tr w14:paraId="40BFD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8"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7B02C9">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EE3C85">
            <w:pPr>
              <w:jc w:val="center"/>
              <w:rPr>
                <w:rFonts w:hint="eastAsia" w:ascii="宋体" w:hAnsi="宋体" w:eastAsia="宋体" w:cs="宋体"/>
                <w:i w:val="0"/>
                <w:color w:val="auto"/>
                <w:sz w:val="20"/>
                <w:szCs w:val="20"/>
                <w:highlight w:val="none"/>
                <w:u w:val="none"/>
              </w:rPr>
            </w:pPr>
          </w:p>
        </w:tc>
        <w:tc>
          <w:tcPr>
            <w:tcW w:w="98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D94164">
            <w:pPr>
              <w:jc w:val="center"/>
              <w:rPr>
                <w:rFonts w:hint="eastAsia" w:ascii="宋体" w:hAnsi="宋体" w:eastAsia="宋体" w:cs="宋体"/>
                <w:i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4ADAB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资金支出及时性</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4203E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56AE1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24095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BA136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29D3A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E60C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C243C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0DE8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B4A47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369BAF">
            <w:pPr>
              <w:jc w:val="center"/>
              <w:rPr>
                <w:rFonts w:hint="eastAsia" w:ascii="宋体" w:hAnsi="宋体" w:eastAsia="宋体" w:cs="宋体"/>
                <w:b/>
                <w:i w:val="0"/>
                <w:color w:val="auto"/>
                <w:sz w:val="20"/>
                <w:szCs w:val="20"/>
                <w:highlight w:val="none"/>
                <w:u w:val="none"/>
              </w:rPr>
            </w:pPr>
          </w:p>
        </w:tc>
      </w:tr>
      <w:tr w14:paraId="10AFE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6"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2AE816">
            <w:pPr>
              <w:jc w:val="center"/>
              <w:rPr>
                <w:rFonts w:hint="eastAsia" w:ascii="宋体" w:hAnsi="宋体" w:eastAsia="宋体" w:cs="宋体"/>
                <w:i w:val="0"/>
                <w:color w:val="auto"/>
                <w:sz w:val="20"/>
                <w:szCs w:val="20"/>
                <w:highlight w:val="none"/>
                <w:u w:val="none"/>
              </w:rPr>
            </w:pP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0059B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645CF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D667D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7493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958E7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08357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56FCA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8279D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F0F32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AFD17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2E5B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7DB4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BD34A7">
            <w:pPr>
              <w:jc w:val="center"/>
              <w:rPr>
                <w:rFonts w:hint="eastAsia" w:ascii="宋体" w:hAnsi="宋体" w:eastAsia="宋体" w:cs="宋体"/>
                <w:i w:val="0"/>
                <w:color w:val="auto"/>
                <w:sz w:val="20"/>
                <w:szCs w:val="20"/>
                <w:highlight w:val="none"/>
                <w:u w:val="none"/>
              </w:rPr>
            </w:pPr>
          </w:p>
        </w:tc>
      </w:tr>
      <w:tr w14:paraId="5752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2"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CB07C6">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7728A9">
            <w:pPr>
              <w:jc w:val="center"/>
              <w:rPr>
                <w:rFonts w:hint="eastAsia" w:ascii="宋体" w:hAnsi="宋体" w:eastAsia="宋体" w:cs="宋体"/>
                <w:i w:val="0"/>
                <w:color w:val="auto"/>
                <w:sz w:val="20"/>
                <w:szCs w:val="20"/>
                <w:highlight w:val="none"/>
                <w:u w:val="none"/>
              </w:rPr>
            </w:pP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A3E8E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1F75F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28FEE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7948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8B0D89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465D1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2897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06C48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56F7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12B24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3A5A3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4BA39C">
            <w:pPr>
              <w:jc w:val="center"/>
              <w:rPr>
                <w:rFonts w:hint="eastAsia" w:ascii="宋体" w:hAnsi="宋体" w:eastAsia="宋体" w:cs="宋体"/>
                <w:i w:val="0"/>
                <w:color w:val="auto"/>
                <w:sz w:val="20"/>
                <w:szCs w:val="20"/>
                <w:highlight w:val="none"/>
                <w:u w:val="none"/>
              </w:rPr>
            </w:pPr>
          </w:p>
        </w:tc>
      </w:tr>
      <w:tr w14:paraId="1050D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6"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A42753">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AC1E80">
            <w:pPr>
              <w:jc w:val="center"/>
              <w:rPr>
                <w:rFonts w:hint="eastAsia" w:ascii="宋体" w:hAnsi="宋体" w:eastAsia="宋体" w:cs="宋体"/>
                <w:i w:val="0"/>
                <w:color w:val="auto"/>
                <w:sz w:val="20"/>
                <w:szCs w:val="20"/>
                <w:highlight w:val="none"/>
                <w:u w:val="none"/>
              </w:rPr>
            </w:pP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F52A8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AE2BD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8C462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7A38A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3DBAC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B732C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F9A6B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20272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05A32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15027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CAFDB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FF612F">
            <w:pPr>
              <w:jc w:val="center"/>
              <w:rPr>
                <w:rFonts w:hint="eastAsia" w:ascii="宋体" w:hAnsi="宋体" w:eastAsia="宋体" w:cs="宋体"/>
                <w:i w:val="0"/>
                <w:color w:val="auto"/>
                <w:sz w:val="20"/>
                <w:szCs w:val="20"/>
                <w:highlight w:val="none"/>
                <w:u w:val="none"/>
              </w:rPr>
            </w:pPr>
          </w:p>
        </w:tc>
      </w:tr>
      <w:tr w14:paraId="2973F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73D67E">
            <w:pPr>
              <w:jc w:val="center"/>
              <w:rPr>
                <w:rFonts w:hint="eastAsia" w:ascii="宋体" w:hAnsi="宋体" w:eastAsia="宋体" w:cs="宋体"/>
                <w:i w:val="0"/>
                <w:color w:val="auto"/>
                <w:sz w:val="20"/>
                <w:szCs w:val="20"/>
                <w:highlight w:val="none"/>
                <w:u w:val="none"/>
              </w:rPr>
            </w:pP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BD5E8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6428D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0E354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促进平等竞争；调节经济总量，保持经济稳定</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A8087C">
            <w:pPr>
              <w:keepNext w:val="0"/>
              <w:keepLines w:val="0"/>
              <w:widowControl/>
              <w:suppressLineNumbers w:val="0"/>
              <w:ind w:firstLine="48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4"/>
                <w:szCs w:val="24"/>
                <w:u w:val="none"/>
                <w:lang w:val="en-US" w:eastAsia="zh-CN" w:bidi="ar"/>
              </w:rPr>
              <w:t>逐步提升</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AD7BB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D64DB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0557F6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5C7B0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EAB67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D2865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FE69C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28657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5C9B22">
            <w:pPr>
              <w:jc w:val="center"/>
              <w:rPr>
                <w:rFonts w:hint="eastAsia" w:ascii="宋体" w:hAnsi="宋体" w:eastAsia="宋体" w:cs="宋体"/>
                <w:i w:val="0"/>
                <w:color w:val="auto"/>
                <w:sz w:val="20"/>
                <w:szCs w:val="20"/>
                <w:highlight w:val="none"/>
                <w:u w:val="none"/>
              </w:rPr>
            </w:pPr>
          </w:p>
        </w:tc>
      </w:tr>
      <w:tr w14:paraId="775A7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FCF021">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C93A5D">
            <w:pPr>
              <w:jc w:val="center"/>
              <w:rPr>
                <w:rFonts w:hint="eastAsia" w:ascii="宋体" w:hAnsi="宋体" w:eastAsia="宋体" w:cs="宋体"/>
                <w:i w:val="0"/>
                <w:color w:val="auto"/>
                <w:sz w:val="20"/>
                <w:szCs w:val="20"/>
                <w:highlight w:val="none"/>
                <w:u w:val="none"/>
              </w:rPr>
            </w:pP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8456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85E9B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提高纳税人纳税意识</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1A84D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提高</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063B6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24CE0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6E00DA">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CB042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25F18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FF345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DD71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3D360D">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749777">
            <w:pPr>
              <w:jc w:val="center"/>
              <w:rPr>
                <w:rFonts w:hint="eastAsia" w:ascii="宋体" w:hAnsi="宋体" w:eastAsia="宋体" w:cs="宋体"/>
                <w:i w:val="0"/>
                <w:color w:val="auto"/>
                <w:sz w:val="20"/>
                <w:szCs w:val="20"/>
                <w:highlight w:val="none"/>
                <w:u w:val="none"/>
              </w:rPr>
            </w:pPr>
          </w:p>
        </w:tc>
      </w:tr>
      <w:tr w14:paraId="52BEC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00D2F8C">
            <w:pPr>
              <w:jc w:val="center"/>
              <w:rPr>
                <w:rFonts w:hint="eastAsia" w:ascii="宋体" w:hAnsi="宋体" w:eastAsia="宋体" w:cs="宋体"/>
                <w:i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83D92C">
            <w:pPr>
              <w:jc w:val="center"/>
              <w:rPr>
                <w:rFonts w:hint="eastAsia" w:ascii="宋体" w:hAnsi="宋体" w:eastAsia="宋体" w:cs="宋体"/>
                <w:i w:val="0"/>
                <w:color w:val="auto"/>
                <w:sz w:val="20"/>
                <w:szCs w:val="20"/>
                <w:highlight w:val="none"/>
                <w:u w:val="none"/>
              </w:rPr>
            </w:pP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95FE7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5C44E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DE2A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C7AB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7FB0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4A4F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FA32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7F415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46C670">
            <w:pPr>
              <w:jc w:val="center"/>
              <w:rPr>
                <w:rFonts w:hint="eastAsia" w:ascii="宋体" w:hAnsi="宋体" w:eastAsia="宋体" w:cs="宋体"/>
                <w:i w:val="0"/>
                <w:color w:val="auto"/>
                <w:sz w:val="20"/>
                <w:szCs w:val="20"/>
                <w:highlight w:val="none"/>
                <w:u w:val="none"/>
              </w:rPr>
            </w:pP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3F9F1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09FFA2">
            <w:pPr>
              <w:keepNext w:val="0"/>
              <w:keepLines w:val="0"/>
              <w:widowControl/>
              <w:suppressLineNumbers w:val="0"/>
              <w:ind w:firstLine="400" w:firstLineChars="200"/>
              <w:jc w:val="center"/>
              <w:textAlignment w:val="center"/>
              <w:rPr>
                <w:rFonts w:hint="eastAsia" w:ascii="微软雅黑 Light" w:hAnsi="微软雅黑 Light" w:eastAsia="微软雅黑 Light" w:cs="微软雅黑 Light"/>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CCA9EC">
            <w:pPr>
              <w:jc w:val="center"/>
              <w:rPr>
                <w:rFonts w:hint="eastAsia" w:ascii="宋体" w:hAnsi="宋体" w:eastAsia="宋体" w:cs="宋体"/>
                <w:i w:val="0"/>
                <w:color w:val="auto"/>
                <w:sz w:val="20"/>
                <w:szCs w:val="20"/>
                <w:highlight w:val="none"/>
                <w:u w:val="none"/>
              </w:rPr>
            </w:pPr>
          </w:p>
        </w:tc>
      </w:tr>
      <w:tr w14:paraId="7B094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4" w:hRule="atLeast"/>
        </w:trPr>
        <w:tc>
          <w:tcPr>
            <w:tcW w:w="64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33EF50">
            <w:pPr>
              <w:jc w:val="center"/>
              <w:rPr>
                <w:rFonts w:hint="eastAsia" w:ascii="宋体" w:hAnsi="宋体" w:eastAsia="宋体" w:cs="宋体"/>
                <w:i w:val="0"/>
                <w:color w:val="auto"/>
                <w:sz w:val="20"/>
                <w:szCs w:val="20"/>
                <w:highlight w:val="none"/>
                <w:u w:val="none"/>
              </w:rPr>
            </w:pPr>
          </w:p>
        </w:tc>
        <w:tc>
          <w:tcPr>
            <w:tcW w:w="6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EFF4F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4B095B">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满意度指标</w:t>
            </w:r>
          </w:p>
        </w:tc>
        <w:tc>
          <w:tcPr>
            <w:tcW w:w="11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4CB52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65EC4D">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126D66">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EBB7D6">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BDE1A1">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37C6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461B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0D55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5DE70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675A57">
            <w:pPr>
              <w:keepNext w:val="0"/>
              <w:keepLines w:val="0"/>
              <w:widowControl/>
              <w:suppressLineNumbers w:val="0"/>
              <w:ind w:firstLine="400" w:firstLineChars="200"/>
              <w:jc w:val="center"/>
              <w:textAlignment w:val="center"/>
              <w:rPr>
                <w:rFonts w:hint="eastAsia" w:ascii="微软雅黑 Light" w:hAnsi="微软雅黑 Light" w:eastAsia="微软雅黑 Light" w:cs="微软雅黑 Light"/>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09643D">
            <w:pPr>
              <w:jc w:val="center"/>
              <w:rPr>
                <w:rFonts w:hint="eastAsia" w:ascii="宋体" w:hAnsi="宋体" w:eastAsia="宋体" w:cs="宋体"/>
                <w:i w:val="0"/>
                <w:color w:val="auto"/>
                <w:sz w:val="20"/>
                <w:szCs w:val="20"/>
                <w:highlight w:val="none"/>
                <w:u w:val="none"/>
              </w:rPr>
            </w:pPr>
          </w:p>
        </w:tc>
      </w:tr>
      <w:tr w14:paraId="6F0A3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atLeast"/>
        </w:trPr>
        <w:tc>
          <w:tcPr>
            <w:tcW w:w="3468"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A8BCA6">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总分</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32D71D">
            <w:pPr>
              <w:jc w:val="center"/>
              <w:rPr>
                <w:rFonts w:hint="default" w:ascii="宋体" w:hAnsi="宋体" w:eastAsia="宋体" w:cs="宋体"/>
                <w:i w:val="0"/>
                <w:color w:val="auto"/>
                <w:sz w:val="20"/>
                <w:szCs w:val="20"/>
                <w:highlight w:val="none"/>
                <w:u w:val="none"/>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0D3F34">
            <w:pPr>
              <w:jc w:val="center"/>
              <w:rPr>
                <w:rFonts w:hint="default" w:ascii="宋体" w:hAnsi="宋体" w:eastAsia="宋体" w:cs="宋体"/>
                <w:b/>
                <w:i w:val="0"/>
                <w:color w:val="auto"/>
                <w:sz w:val="20"/>
                <w:szCs w:val="20"/>
                <w:highlight w:val="none"/>
                <w:u w:val="none"/>
                <w:lang w:val="en-US"/>
              </w:rPr>
            </w:pPr>
          </w:p>
        </w:tc>
        <w:tc>
          <w:tcPr>
            <w:tcW w:w="8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6CC696">
            <w:pPr>
              <w:jc w:val="center"/>
              <w:rPr>
                <w:rFonts w:hint="default" w:ascii="宋体" w:hAnsi="宋体" w:eastAsia="宋体" w:cs="宋体"/>
                <w:i w:val="0"/>
                <w:color w:val="auto"/>
                <w:sz w:val="20"/>
                <w:szCs w:val="20"/>
                <w:highlight w:val="none"/>
                <w:u w:val="none"/>
                <w:lang w:val="en-US"/>
              </w:rPr>
            </w:pPr>
          </w:p>
        </w:tc>
        <w:tc>
          <w:tcPr>
            <w:tcW w:w="9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262117">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100分</w:t>
            </w:r>
          </w:p>
        </w:tc>
        <w:tc>
          <w:tcPr>
            <w:tcW w:w="9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3199FD">
            <w:pPr>
              <w:jc w:val="center"/>
              <w:rPr>
                <w:rFonts w:hint="default" w:ascii="宋体" w:hAnsi="宋体" w:eastAsia="宋体" w:cs="宋体"/>
                <w:i w:val="0"/>
                <w:color w:val="auto"/>
                <w:sz w:val="20"/>
                <w:szCs w:val="20"/>
                <w:highlight w:val="none"/>
                <w:u w:val="none"/>
                <w:lang w:val="en-US"/>
              </w:rPr>
            </w:pPr>
          </w:p>
        </w:tc>
        <w:tc>
          <w:tcPr>
            <w:tcW w:w="10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08F2D7">
            <w:pPr>
              <w:jc w:val="center"/>
              <w:rPr>
                <w:rFonts w:hint="default" w:ascii="宋体" w:hAnsi="宋体" w:eastAsia="宋体" w:cs="宋体"/>
                <w:i w:val="0"/>
                <w:color w:val="auto"/>
                <w:sz w:val="20"/>
                <w:szCs w:val="20"/>
                <w:highlight w:val="none"/>
                <w:u w:val="none"/>
                <w:lang w:val="en-US"/>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591687">
            <w:pPr>
              <w:jc w:val="center"/>
              <w:rPr>
                <w:rFonts w:hint="default" w:ascii="宋体" w:hAnsi="宋体" w:eastAsia="宋体" w:cs="宋体"/>
                <w:i w:val="0"/>
                <w:color w:val="auto"/>
                <w:sz w:val="20"/>
                <w:szCs w:val="20"/>
                <w:highlight w:val="none"/>
                <w:u w:val="none"/>
                <w:lang w:val="en-US"/>
              </w:rPr>
            </w:pPr>
          </w:p>
        </w:tc>
        <w:tc>
          <w:tcPr>
            <w:tcW w:w="10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61465F">
            <w:pPr>
              <w:jc w:val="center"/>
              <w:rPr>
                <w:rFonts w:hint="default" w:ascii="宋体" w:hAnsi="宋体" w:eastAsia="宋体" w:cs="宋体"/>
                <w:i w:val="0"/>
                <w:color w:val="auto"/>
                <w:sz w:val="20"/>
                <w:szCs w:val="20"/>
                <w:highlight w:val="none"/>
                <w:u w:val="none"/>
                <w:lang w:val="en-US"/>
              </w:rPr>
            </w:pPr>
          </w:p>
        </w:tc>
        <w:tc>
          <w:tcPr>
            <w:tcW w:w="120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794CD2">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16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A95C19">
            <w:pPr>
              <w:rPr>
                <w:rFonts w:hint="default" w:ascii="宋体" w:hAnsi="宋体" w:eastAsia="宋体" w:cs="宋体"/>
                <w:i w:val="0"/>
                <w:color w:val="auto"/>
                <w:sz w:val="20"/>
                <w:szCs w:val="20"/>
                <w:highlight w:val="none"/>
                <w:u w:val="none"/>
                <w:lang w:val="en-US"/>
              </w:rPr>
            </w:pPr>
          </w:p>
        </w:tc>
      </w:tr>
    </w:tbl>
    <w:p w14:paraId="61C201A9">
      <w:pPr>
        <w:ind w:left="0" w:leftChars="0" w:firstLine="0" w:firstLineChars="0"/>
        <w:rPr>
          <w:color w:val="auto"/>
          <w:highlight w:val="none"/>
        </w:rPr>
      </w:pPr>
    </w:p>
    <w:p w14:paraId="2273BD20">
      <w:pPr>
        <w:rPr>
          <w:color w:val="auto"/>
          <w:highlight w:val="none"/>
        </w:rPr>
      </w:pPr>
    </w:p>
    <w:p w14:paraId="216F2442">
      <w:pPr>
        <w:pStyle w:val="2"/>
        <w:ind w:left="0" w:leftChars="0" w:firstLine="0" w:firstLineChars="0"/>
        <w:rPr>
          <w:rFonts w:hint="default"/>
          <w:color w:val="auto"/>
          <w:highlight w:val="none"/>
          <w:lang w:val="en-US" w:eastAsia="zh-CN"/>
        </w:rPr>
        <w:sectPr>
          <w:pgSz w:w="16838" w:h="11906" w:orient="landscape"/>
          <w:pgMar w:top="1463" w:right="1440" w:bottom="1179" w:left="1157" w:header="737" w:footer="850" w:gutter="0"/>
          <w:pgNumType w:fmt="decimal" w:start="1"/>
          <w:cols w:space="0" w:num="1"/>
          <w:rtlGutter w:val="0"/>
          <w:docGrid w:type="lines" w:linePitch="408" w:charSpace="0"/>
        </w:sectPr>
      </w:pPr>
    </w:p>
    <w:p w14:paraId="3E1AAE8F">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950"/>
        <w:gridCol w:w="2011"/>
        <w:gridCol w:w="7821"/>
        <w:gridCol w:w="785"/>
        <w:gridCol w:w="769"/>
      </w:tblGrid>
      <w:tr w14:paraId="29C8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4D8A42A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76EA41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950" w:type="dxa"/>
            <w:shd w:val="clear" w:color="auto" w:fill="auto"/>
            <w:noWrap w:val="0"/>
            <w:vAlign w:val="center"/>
          </w:tcPr>
          <w:p w14:paraId="32BA97E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011" w:type="dxa"/>
            <w:shd w:val="clear" w:color="auto" w:fill="auto"/>
            <w:noWrap w:val="0"/>
            <w:vAlign w:val="center"/>
          </w:tcPr>
          <w:p w14:paraId="434351C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0C451B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2D493EE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045CBF0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A399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59F13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780068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7DEAF0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81154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950" w:type="dxa"/>
            <w:shd w:val="clear" w:color="auto" w:fill="auto"/>
            <w:noWrap w:val="0"/>
            <w:vAlign w:val="center"/>
          </w:tcPr>
          <w:p w14:paraId="5E4626E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78F1D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011" w:type="dxa"/>
            <w:shd w:val="clear" w:color="auto" w:fill="auto"/>
            <w:noWrap w:val="0"/>
            <w:vAlign w:val="center"/>
          </w:tcPr>
          <w:p w14:paraId="0F5153B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5A290B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9B979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01D327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33CD4B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DA5244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BAA4F7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BF97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352E452">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4AD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0165FA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D6781B9">
            <w:pPr>
              <w:widowControl/>
              <w:spacing w:line="0" w:lineRule="atLeast"/>
              <w:ind w:firstLine="0" w:firstLineChars="0"/>
              <w:jc w:val="center"/>
              <w:rPr>
                <w:rFonts w:ascii="宋体" w:hAnsi="宋体" w:eastAsia="宋体" w:cs="宋体"/>
                <w:color w:val="auto"/>
                <w:kern w:val="0"/>
                <w:sz w:val="22"/>
                <w:szCs w:val="22"/>
                <w:highlight w:val="none"/>
              </w:rPr>
            </w:pPr>
          </w:p>
        </w:tc>
        <w:tc>
          <w:tcPr>
            <w:tcW w:w="950" w:type="dxa"/>
            <w:shd w:val="clear" w:color="auto" w:fill="auto"/>
            <w:noWrap w:val="0"/>
            <w:vAlign w:val="center"/>
          </w:tcPr>
          <w:p w14:paraId="2403FD8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6CB7E8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011" w:type="dxa"/>
            <w:shd w:val="clear" w:color="auto" w:fill="auto"/>
            <w:noWrap w:val="0"/>
            <w:vAlign w:val="center"/>
          </w:tcPr>
          <w:p w14:paraId="69C762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32439B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0716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26D948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28C513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7383E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58E4D66">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2.5</w:t>
            </w:r>
          </w:p>
        </w:tc>
      </w:tr>
      <w:tr w14:paraId="2A62B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036CB0B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35E68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950" w:type="dxa"/>
            <w:shd w:val="clear" w:color="auto" w:fill="auto"/>
            <w:noWrap w:val="0"/>
            <w:vAlign w:val="center"/>
          </w:tcPr>
          <w:p w14:paraId="0BB853F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7A2D4A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011" w:type="dxa"/>
            <w:shd w:val="clear" w:color="auto" w:fill="auto"/>
            <w:noWrap w:val="0"/>
            <w:vAlign w:val="center"/>
          </w:tcPr>
          <w:p w14:paraId="43DA77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57E39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BDC096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9E6CB6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66FA7BA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CC6DA15">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5EB08A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1871F9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A90056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AA0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39297D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715FB9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950" w:type="dxa"/>
            <w:shd w:val="clear" w:color="auto" w:fill="auto"/>
            <w:noWrap w:val="0"/>
            <w:vAlign w:val="center"/>
          </w:tcPr>
          <w:p w14:paraId="1CF55FD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AF6273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011" w:type="dxa"/>
            <w:shd w:val="clear" w:color="auto" w:fill="auto"/>
            <w:noWrap w:val="0"/>
            <w:vAlign w:val="center"/>
          </w:tcPr>
          <w:p w14:paraId="38865C3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1CFC07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614AC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5DAC47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308AA8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157536A">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0955A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5E350B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DF93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05F976E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2401D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CCE4CA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950" w:type="dxa"/>
            <w:shd w:val="clear" w:color="auto" w:fill="auto"/>
            <w:noWrap w:val="0"/>
            <w:vAlign w:val="center"/>
          </w:tcPr>
          <w:p w14:paraId="02876D1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3CBD15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011" w:type="dxa"/>
            <w:shd w:val="clear" w:color="auto" w:fill="auto"/>
            <w:noWrap w:val="0"/>
            <w:vAlign w:val="center"/>
          </w:tcPr>
          <w:p w14:paraId="4FB80A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55E48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7DC60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3F1D12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7B655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76B0D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49AA40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A99524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757A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569BCD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A4F7A74">
            <w:pPr>
              <w:widowControl/>
              <w:spacing w:line="0" w:lineRule="atLeast"/>
              <w:ind w:firstLine="0" w:firstLineChars="0"/>
              <w:jc w:val="center"/>
              <w:rPr>
                <w:rFonts w:ascii="宋体" w:hAnsi="宋体" w:eastAsia="宋体" w:cs="宋体"/>
                <w:color w:val="auto"/>
                <w:kern w:val="0"/>
                <w:sz w:val="22"/>
                <w:szCs w:val="22"/>
                <w:highlight w:val="none"/>
              </w:rPr>
            </w:pPr>
          </w:p>
        </w:tc>
        <w:tc>
          <w:tcPr>
            <w:tcW w:w="950" w:type="dxa"/>
            <w:shd w:val="clear" w:color="auto" w:fill="auto"/>
            <w:noWrap w:val="0"/>
            <w:vAlign w:val="center"/>
          </w:tcPr>
          <w:p w14:paraId="0634272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B0753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011" w:type="dxa"/>
            <w:shd w:val="clear" w:color="auto" w:fill="auto"/>
            <w:noWrap w:val="0"/>
            <w:vAlign w:val="center"/>
          </w:tcPr>
          <w:p w14:paraId="633966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F59A0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5E52A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351C36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1F9A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3FE761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2488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3777AD7B">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698B28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950" w:type="dxa"/>
            <w:shd w:val="clear" w:color="auto" w:fill="auto"/>
            <w:noWrap w:val="0"/>
            <w:vAlign w:val="center"/>
          </w:tcPr>
          <w:p w14:paraId="15D559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011" w:type="dxa"/>
            <w:shd w:val="clear" w:color="auto" w:fill="auto"/>
            <w:noWrap w:val="0"/>
            <w:vAlign w:val="center"/>
          </w:tcPr>
          <w:p w14:paraId="1CA7967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5C1B49D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25C0EC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CC8E3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45C8C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3FD529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5371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173896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61CAE5D">
            <w:pPr>
              <w:spacing w:line="0" w:lineRule="atLeast"/>
              <w:ind w:firstLine="0" w:firstLineChars="0"/>
              <w:jc w:val="center"/>
              <w:rPr>
                <w:rFonts w:hint="eastAsia" w:ascii="宋体" w:hAnsi="宋体" w:eastAsia="宋体" w:cs="宋体"/>
                <w:color w:val="auto"/>
                <w:kern w:val="0"/>
                <w:sz w:val="22"/>
                <w:szCs w:val="22"/>
                <w:highlight w:val="none"/>
              </w:rPr>
            </w:pPr>
          </w:p>
        </w:tc>
        <w:tc>
          <w:tcPr>
            <w:tcW w:w="950" w:type="dxa"/>
            <w:shd w:val="clear" w:color="auto" w:fill="auto"/>
            <w:noWrap w:val="0"/>
            <w:vAlign w:val="center"/>
          </w:tcPr>
          <w:p w14:paraId="7EAF189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011" w:type="dxa"/>
            <w:shd w:val="clear" w:color="auto" w:fill="auto"/>
            <w:noWrap w:val="0"/>
            <w:vAlign w:val="center"/>
          </w:tcPr>
          <w:p w14:paraId="593F2BF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391CA1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5B65C5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07437E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DF1DEF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3.97</w:t>
            </w:r>
          </w:p>
        </w:tc>
      </w:tr>
      <w:tr w14:paraId="55211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FA3852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6176F3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C8ED5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950" w:type="dxa"/>
            <w:shd w:val="clear" w:color="auto" w:fill="auto"/>
            <w:noWrap w:val="0"/>
            <w:vAlign w:val="center"/>
          </w:tcPr>
          <w:p w14:paraId="0A68057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7A40D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011" w:type="dxa"/>
            <w:shd w:val="clear" w:color="auto" w:fill="auto"/>
            <w:noWrap w:val="0"/>
            <w:vAlign w:val="center"/>
          </w:tcPr>
          <w:p w14:paraId="76C322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0CE8A6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6DD36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4B9FFB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AECAA6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EF8F7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65746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CF9C98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AEE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33008B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76ABF6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30ADB0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950" w:type="dxa"/>
            <w:shd w:val="clear" w:color="auto" w:fill="auto"/>
            <w:noWrap w:val="0"/>
            <w:vAlign w:val="center"/>
          </w:tcPr>
          <w:p w14:paraId="5E48E70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3C032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011" w:type="dxa"/>
            <w:shd w:val="clear" w:color="auto" w:fill="auto"/>
            <w:noWrap w:val="0"/>
            <w:vAlign w:val="center"/>
          </w:tcPr>
          <w:p w14:paraId="05A14F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4BCB86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119C2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9ECDC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7609E8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E0D7E3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3AED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C136B2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6782DC">
            <w:pPr>
              <w:widowControl/>
              <w:spacing w:line="0" w:lineRule="atLeast"/>
              <w:ind w:firstLine="0" w:firstLineChars="0"/>
              <w:jc w:val="center"/>
              <w:rPr>
                <w:rFonts w:ascii="宋体" w:hAnsi="宋体" w:eastAsia="宋体" w:cs="宋体"/>
                <w:color w:val="auto"/>
                <w:kern w:val="0"/>
                <w:sz w:val="22"/>
                <w:szCs w:val="22"/>
                <w:highlight w:val="none"/>
              </w:rPr>
            </w:pPr>
          </w:p>
        </w:tc>
        <w:tc>
          <w:tcPr>
            <w:tcW w:w="950" w:type="dxa"/>
            <w:shd w:val="clear" w:color="auto" w:fill="auto"/>
            <w:noWrap w:val="0"/>
            <w:vAlign w:val="center"/>
          </w:tcPr>
          <w:p w14:paraId="12BD099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F7B0C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011" w:type="dxa"/>
            <w:shd w:val="clear" w:color="auto" w:fill="auto"/>
            <w:noWrap w:val="0"/>
            <w:vAlign w:val="center"/>
          </w:tcPr>
          <w:p w14:paraId="036A57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0205B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149E6B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9D56B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0588D1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76D36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D4BB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04AB9A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9F67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42B71F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D05E9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950" w:type="dxa"/>
            <w:shd w:val="clear" w:color="auto" w:fill="auto"/>
            <w:noWrap w:val="0"/>
            <w:vAlign w:val="center"/>
          </w:tcPr>
          <w:p w14:paraId="21E622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经营性资产数量</w:t>
            </w:r>
          </w:p>
        </w:tc>
        <w:tc>
          <w:tcPr>
            <w:tcW w:w="2011" w:type="dxa"/>
            <w:shd w:val="clear" w:color="auto" w:fill="auto"/>
            <w:noWrap w:val="0"/>
            <w:vAlign w:val="center"/>
          </w:tcPr>
          <w:p w14:paraId="7B5DC38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E01CDE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4C42D6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214A8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FDC38B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9BEEA9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533E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7D3804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109E5D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950" w:type="dxa"/>
            <w:shd w:val="clear" w:color="auto" w:fill="auto"/>
            <w:noWrap w:val="0"/>
            <w:vAlign w:val="center"/>
          </w:tcPr>
          <w:p w14:paraId="13F6A1A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i w:val="0"/>
                <w:color w:val="auto"/>
                <w:kern w:val="0"/>
                <w:sz w:val="20"/>
                <w:szCs w:val="20"/>
                <w:highlight w:val="none"/>
                <w:u w:val="none"/>
                <w:lang w:val="en-US" w:eastAsia="zh-CN" w:bidi="ar"/>
              </w:rPr>
              <w:t>资金支付合规率</w:t>
            </w:r>
          </w:p>
        </w:tc>
        <w:tc>
          <w:tcPr>
            <w:tcW w:w="2011" w:type="dxa"/>
            <w:shd w:val="clear" w:color="auto" w:fill="auto"/>
            <w:noWrap w:val="0"/>
            <w:vAlign w:val="center"/>
          </w:tcPr>
          <w:p w14:paraId="43359D9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5F22253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DC43AF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C88719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92B726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554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75FF623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C8ACE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950" w:type="dxa"/>
            <w:shd w:val="clear" w:color="auto" w:fill="auto"/>
            <w:noWrap w:val="0"/>
            <w:vAlign w:val="center"/>
          </w:tcPr>
          <w:p w14:paraId="0E8368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i w:val="0"/>
                <w:color w:val="auto"/>
                <w:kern w:val="0"/>
                <w:sz w:val="20"/>
                <w:szCs w:val="20"/>
                <w:highlight w:val="none"/>
                <w:u w:val="none"/>
                <w:lang w:val="en-US" w:eastAsia="zh-CN" w:bidi="ar"/>
              </w:rPr>
              <w:t>资金执行率</w:t>
            </w:r>
          </w:p>
        </w:tc>
        <w:tc>
          <w:tcPr>
            <w:tcW w:w="2011" w:type="dxa"/>
            <w:shd w:val="clear" w:color="auto" w:fill="auto"/>
            <w:noWrap w:val="0"/>
            <w:vAlign w:val="center"/>
          </w:tcPr>
          <w:p w14:paraId="095FE3D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4BB847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324DD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C68E13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1AF86E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4.97</w:t>
            </w:r>
          </w:p>
        </w:tc>
      </w:tr>
      <w:tr w14:paraId="5A07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755266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50EA8B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950" w:type="dxa"/>
            <w:shd w:val="clear" w:color="auto" w:fill="auto"/>
            <w:noWrap w:val="0"/>
            <w:vAlign w:val="center"/>
          </w:tcPr>
          <w:p w14:paraId="0C5A239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资金支付时间</w:t>
            </w:r>
          </w:p>
        </w:tc>
        <w:tc>
          <w:tcPr>
            <w:tcW w:w="2011" w:type="dxa"/>
            <w:shd w:val="clear" w:color="auto" w:fill="auto"/>
            <w:noWrap w:val="0"/>
            <w:vAlign w:val="center"/>
          </w:tcPr>
          <w:p w14:paraId="756310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145A3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C2CEA2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ADE59B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9D588E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EE3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C34CE6C">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FF637D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950" w:type="dxa"/>
            <w:shd w:val="clear" w:color="auto" w:fill="auto"/>
            <w:noWrap w:val="0"/>
            <w:vAlign w:val="center"/>
          </w:tcPr>
          <w:p w14:paraId="143FE11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资金支出及时性</w:t>
            </w:r>
          </w:p>
        </w:tc>
        <w:tc>
          <w:tcPr>
            <w:tcW w:w="2011" w:type="dxa"/>
            <w:shd w:val="clear" w:color="auto" w:fill="auto"/>
            <w:noWrap w:val="0"/>
            <w:vAlign w:val="center"/>
          </w:tcPr>
          <w:p w14:paraId="7FD4EBE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9F95FA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666B01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CFAA25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8DD926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668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614208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E0C818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950" w:type="dxa"/>
            <w:shd w:val="clear" w:color="auto" w:fill="auto"/>
            <w:noWrap w:val="0"/>
            <w:vAlign w:val="center"/>
          </w:tcPr>
          <w:p w14:paraId="035CB3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缴纳经营性资产房产税成本</w:t>
            </w:r>
          </w:p>
        </w:tc>
        <w:tc>
          <w:tcPr>
            <w:tcW w:w="2011" w:type="dxa"/>
            <w:shd w:val="clear" w:color="auto" w:fill="auto"/>
            <w:noWrap w:val="0"/>
            <w:vAlign w:val="center"/>
          </w:tcPr>
          <w:p w14:paraId="4980D04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ED8BA6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335835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1C1E40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9FDAA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EB7DCC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645128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4.97</w:t>
            </w:r>
          </w:p>
        </w:tc>
      </w:tr>
      <w:tr w14:paraId="0BEB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C1BE7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5BEEC5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950" w:type="dxa"/>
            <w:shd w:val="clear" w:color="auto" w:fill="auto"/>
            <w:noWrap w:val="0"/>
            <w:vAlign w:val="center"/>
          </w:tcPr>
          <w:p w14:paraId="1A45451B">
            <w:pPr>
              <w:widowControl/>
              <w:spacing w:line="0" w:lineRule="atLeast"/>
              <w:ind w:firstLine="0" w:firstLineChars="0"/>
              <w:jc w:val="center"/>
              <w:rPr>
                <w:rFonts w:ascii="宋体" w:hAnsi="宋体" w:eastAsia="宋体" w:cs="宋体"/>
                <w:color w:val="auto"/>
                <w:kern w:val="0"/>
                <w:sz w:val="22"/>
                <w:szCs w:val="22"/>
                <w:highlight w:val="none"/>
              </w:rPr>
            </w:pPr>
            <w:r>
              <w:rPr>
                <w:rFonts w:hint="default" w:ascii="宋体" w:hAnsi="宋体" w:eastAsia="宋体" w:cs="宋体"/>
                <w:color w:val="auto"/>
                <w:kern w:val="0"/>
                <w:sz w:val="20"/>
                <w:szCs w:val="20"/>
                <w:highlight w:val="none"/>
                <w:shd w:val="clear" w:color="auto" w:fill="auto"/>
                <w:lang w:val="en-US" w:eastAsia="zh-CN"/>
              </w:rPr>
              <w:t>促进平等竞争；调节经济总量，保持经济稳定</w:t>
            </w:r>
          </w:p>
        </w:tc>
        <w:tc>
          <w:tcPr>
            <w:tcW w:w="2011" w:type="dxa"/>
            <w:shd w:val="clear" w:color="auto" w:fill="auto"/>
            <w:noWrap w:val="0"/>
            <w:vAlign w:val="center"/>
          </w:tcPr>
          <w:p w14:paraId="7755D58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E69391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A47F4C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484BF8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4747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7111E5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331E48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50" w:type="dxa"/>
            <w:shd w:val="clear" w:color="auto" w:fill="auto"/>
            <w:noWrap w:val="0"/>
            <w:vAlign w:val="center"/>
          </w:tcPr>
          <w:p w14:paraId="177E39D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提高纳税人纳税意识</w:t>
            </w:r>
          </w:p>
        </w:tc>
        <w:tc>
          <w:tcPr>
            <w:tcW w:w="2011" w:type="dxa"/>
            <w:shd w:val="clear" w:color="auto" w:fill="auto"/>
            <w:noWrap w:val="0"/>
            <w:vAlign w:val="center"/>
          </w:tcPr>
          <w:p w14:paraId="1C97B6C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C281A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C4118D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CBB370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92F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1AA692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4BD006C">
            <w:pPr>
              <w:widowControl/>
              <w:spacing w:line="0" w:lineRule="atLeast"/>
              <w:ind w:firstLine="0" w:firstLineChars="0"/>
              <w:jc w:val="center"/>
              <w:rPr>
                <w:rFonts w:ascii="宋体" w:hAnsi="宋体" w:eastAsia="宋体" w:cs="宋体"/>
                <w:color w:val="auto"/>
                <w:kern w:val="0"/>
                <w:sz w:val="22"/>
                <w:szCs w:val="22"/>
                <w:highlight w:val="none"/>
              </w:rPr>
            </w:pPr>
          </w:p>
        </w:tc>
        <w:tc>
          <w:tcPr>
            <w:tcW w:w="950" w:type="dxa"/>
            <w:shd w:val="clear" w:color="auto" w:fill="auto"/>
            <w:noWrap w:val="0"/>
            <w:vAlign w:val="center"/>
          </w:tcPr>
          <w:p w14:paraId="394A1744">
            <w:pPr>
              <w:widowControl/>
              <w:spacing w:line="0" w:lineRule="atLeast"/>
              <w:ind w:firstLine="0" w:firstLineChars="0"/>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税务 人员</w:t>
            </w:r>
            <w:r>
              <w:rPr>
                <w:rFonts w:hint="eastAsia" w:ascii="宋体" w:hAnsi="宋体" w:eastAsia="宋体" w:cs="宋体"/>
                <w:color w:val="auto"/>
                <w:kern w:val="0"/>
                <w:sz w:val="22"/>
                <w:szCs w:val="22"/>
                <w:highlight w:val="none"/>
              </w:rPr>
              <w:t>满意度</w:t>
            </w:r>
          </w:p>
        </w:tc>
        <w:tc>
          <w:tcPr>
            <w:tcW w:w="2011" w:type="dxa"/>
            <w:shd w:val="clear" w:color="auto" w:fill="auto"/>
            <w:noWrap w:val="0"/>
            <w:vAlign w:val="center"/>
          </w:tcPr>
          <w:p w14:paraId="52B4D5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20CE92F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E241CE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7D5E80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6BA7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549" w:type="dxa"/>
            <w:gridSpan w:val="4"/>
            <w:shd w:val="clear" w:color="auto" w:fill="auto"/>
            <w:noWrap w:val="0"/>
            <w:vAlign w:val="center"/>
          </w:tcPr>
          <w:p w14:paraId="47DCB0B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F4FA2CC">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258C2F2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24B5CEB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99.41</w:t>
            </w:r>
          </w:p>
        </w:tc>
      </w:tr>
    </w:tbl>
    <w:p w14:paraId="31034451">
      <w:pPr>
        <w:spacing w:line="240" w:lineRule="auto"/>
        <w:ind w:firstLine="0" w:firstLineChars="0"/>
        <w:rPr>
          <w:rFonts w:ascii="Times New Roman" w:hAnsi="Times New Roman" w:eastAsia="仿宋_GB2312" w:cs="Times New Roman"/>
          <w:color w:val="auto"/>
          <w:sz w:val="30"/>
          <w:szCs w:val="24"/>
          <w:highlight w:val="none"/>
        </w:rPr>
      </w:pPr>
    </w:p>
    <w:p w14:paraId="55CF32AD">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微软雅黑 Light">
    <w:panose1 w:val="020B0502040204020203"/>
    <w:charset w:val="86"/>
    <w:family w:val="auto"/>
    <w:pitch w:val="default"/>
    <w:sig w:usb0="80000287" w:usb1="2ACF001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222F4">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DA13F">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CDA13F">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AA1031"/>
    <w:rsid w:val="02B015E2"/>
    <w:rsid w:val="02DC08FA"/>
    <w:rsid w:val="02DE7705"/>
    <w:rsid w:val="030C0160"/>
    <w:rsid w:val="033B569D"/>
    <w:rsid w:val="039C3BA0"/>
    <w:rsid w:val="03A845BB"/>
    <w:rsid w:val="03B45AD1"/>
    <w:rsid w:val="03EE3D82"/>
    <w:rsid w:val="04D12EE4"/>
    <w:rsid w:val="04D63993"/>
    <w:rsid w:val="04D72899"/>
    <w:rsid w:val="05382A78"/>
    <w:rsid w:val="053A3624"/>
    <w:rsid w:val="062A6448"/>
    <w:rsid w:val="062D2A47"/>
    <w:rsid w:val="067D6E85"/>
    <w:rsid w:val="06C0439B"/>
    <w:rsid w:val="076A6787"/>
    <w:rsid w:val="07890F4F"/>
    <w:rsid w:val="078F38D2"/>
    <w:rsid w:val="07AB43AB"/>
    <w:rsid w:val="08892439"/>
    <w:rsid w:val="08EB30F3"/>
    <w:rsid w:val="09237408"/>
    <w:rsid w:val="09781BD6"/>
    <w:rsid w:val="09D3356E"/>
    <w:rsid w:val="09F359DF"/>
    <w:rsid w:val="0A5238BF"/>
    <w:rsid w:val="0A575E65"/>
    <w:rsid w:val="0A70262A"/>
    <w:rsid w:val="0AB56D60"/>
    <w:rsid w:val="0ACA0AB6"/>
    <w:rsid w:val="0AD82045"/>
    <w:rsid w:val="0AE01A39"/>
    <w:rsid w:val="0BBB6355"/>
    <w:rsid w:val="0BCB469B"/>
    <w:rsid w:val="0BFA64AA"/>
    <w:rsid w:val="0C022510"/>
    <w:rsid w:val="0C032502"/>
    <w:rsid w:val="0C27698C"/>
    <w:rsid w:val="0C6F3020"/>
    <w:rsid w:val="0D4452F3"/>
    <w:rsid w:val="0E303313"/>
    <w:rsid w:val="0E850108"/>
    <w:rsid w:val="0F5E5042"/>
    <w:rsid w:val="0FC75725"/>
    <w:rsid w:val="0FE95707"/>
    <w:rsid w:val="0FFE1CC7"/>
    <w:rsid w:val="10510571"/>
    <w:rsid w:val="10787A20"/>
    <w:rsid w:val="108672DE"/>
    <w:rsid w:val="10EC685A"/>
    <w:rsid w:val="11F05745"/>
    <w:rsid w:val="11FA6155"/>
    <w:rsid w:val="1202615D"/>
    <w:rsid w:val="1244716D"/>
    <w:rsid w:val="12697963"/>
    <w:rsid w:val="12BB0C18"/>
    <w:rsid w:val="12CF0947"/>
    <w:rsid w:val="12F1313F"/>
    <w:rsid w:val="13274638"/>
    <w:rsid w:val="132C4F84"/>
    <w:rsid w:val="136C678E"/>
    <w:rsid w:val="137166E3"/>
    <w:rsid w:val="13EB2FF5"/>
    <w:rsid w:val="13ED0C2C"/>
    <w:rsid w:val="142F3067"/>
    <w:rsid w:val="145B0599"/>
    <w:rsid w:val="14F22934"/>
    <w:rsid w:val="15A46B04"/>
    <w:rsid w:val="15A91C48"/>
    <w:rsid w:val="165825BC"/>
    <w:rsid w:val="16BC5D73"/>
    <w:rsid w:val="16E03E26"/>
    <w:rsid w:val="176F36D7"/>
    <w:rsid w:val="1795226D"/>
    <w:rsid w:val="17C45AE5"/>
    <w:rsid w:val="181A4824"/>
    <w:rsid w:val="182B39FA"/>
    <w:rsid w:val="18427C29"/>
    <w:rsid w:val="18456B1E"/>
    <w:rsid w:val="186D13E5"/>
    <w:rsid w:val="198218CF"/>
    <w:rsid w:val="1A2C1380"/>
    <w:rsid w:val="1A33727D"/>
    <w:rsid w:val="1ABC577B"/>
    <w:rsid w:val="1B037CC8"/>
    <w:rsid w:val="1B42134A"/>
    <w:rsid w:val="1B9937BD"/>
    <w:rsid w:val="1C1171C5"/>
    <w:rsid w:val="1CAF4D60"/>
    <w:rsid w:val="1CDE5BFE"/>
    <w:rsid w:val="1D265138"/>
    <w:rsid w:val="1D3872FC"/>
    <w:rsid w:val="1D613FBE"/>
    <w:rsid w:val="1D7B6BCA"/>
    <w:rsid w:val="1DA41A79"/>
    <w:rsid w:val="1DF53469"/>
    <w:rsid w:val="1E2F24F2"/>
    <w:rsid w:val="1E58492F"/>
    <w:rsid w:val="1E5B6757"/>
    <w:rsid w:val="1E671384"/>
    <w:rsid w:val="1ED10AC6"/>
    <w:rsid w:val="1F89225F"/>
    <w:rsid w:val="1F900A1F"/>
    <w:rsid w:val="1F905F07"/>
    <w:rsid w:val="1FC0575D"/>
    <w:rsid w:val="206132C7"/>
    <w:rsid w:val="20FE0142"/>
    <w:rsid w:val="210B63F6"/>
    <w:rsid w:val="21B00C1D"/>
    <w:rsid w:val="21D05079"/>
    <w:rsid w:val="22180D0D"/>
    <w:rsid w:val="228234A2"/>
    <w:rsid w:val="22A2597A"/>
    <w:rsid w:val="23031BEB"/>
    <w:rsid w:val="23212F6F"/>
    <w:rsid w:val="236D109A"/>
    <w:rsid w:val="23917691"/>
    <w:rsid w:val="240257B2"/>
    <w:rsid w:val="244D65B8"/>
    <w:rsid w:val="244F4F49"/>
    <w:rsid w:val="24591ACD"/>
    <w:rsid w:val="245E1E24"/>
    <w:rsid w:val="256D4F8A"/>
    <w:rsid w:val="25AD5E5D"/>
    <w:rsid w:val="26495B1A"/>
    <w:rsid w:val="271B6D6B"/>
    <w:rsid w:val="27231125"/>
    <w:rsid w:val="2732478D"/>
    <w:rsid w:val="27661469"/>
    <w:rsid w:val="27676668"/>
    <w:rsid w:val="276E495C"/>
    <w:rsid w:val="277901AB"/>
    <w:rsid w:val="27900EAD"/>
    <w:rsid w:val="279B538A"/>
    <w:rsid w:val="27C43057"/>
    <w:rsid w:val="286F545C"/>
    <w:rsid w:val="288D7631"/>
    <w:rsid w:val="28D81B5C"/>
    <w:rsid w:val="29314FBC"/>
    <w:rsid w:val="296E4472"/>
    <w:rsid w:val="298B3D23"/>
    <w:rsid w:val="29F17D8D"/>
    <w:rsid w:val="2A8B0CB7"/>
    <w:rsid w:val="2A8C11F7"/>
    <w:rsid w:val="2B4D42BC"/>
    <w:rsid w:val="2B4F22EB"/>
    <w:rsid w:val="2B5977CD"/>
    <w:rsid w:val="2BFA1CCE"/>
    <w:rsid w:val="2C024B86"/>
    <w:rsid w:val="2C927671"/>
    <w:rsid w:val="2D7C5CD6"/>
    <w:rsid w:val="2E483E7E"/>
    <w:rsid w:val="2E690493"/>
    <w:rsid w:val="2E9854BD"/>
    <w:rsid w:val="2EE6791F"/>
    <w:rsid w:val="2EFD0538"/>
    <w:rsid w:val="2F09419C"/>
    <w:rsid w:val="2F0D407F"/>
    <w:rsid w:val="2F454B19"/>
    <w:rsid w:val="2FE168A8"/>
    <w:rsid w:val="2FEC7BF1"/>
    <w:rsid w:val="302C344E"/>
    <w:rsid w:val="3047636C"/>
    <w:rsid w:val="309B1EFA"/>
    <w:rsid w:val="310224D9"/>
    <w:rsid w:val="31372268"/>
    <w:rsid w:val="318E62A0"/>
    <w:rsid w:val="31B4621C"/>
    <w:rsid w:val="31E3230A"/>
    <w:rsid w:val="31F50C2A"/>
    <w:rsid w:val="320F1351"/>
    <w:rsid w:val="32985037"/>
    <w:rsid w:val="330957E0"/>
    <w:rsid w:val="33356F64"/>
    <w:rsid w:val="33944516"/>
    <w:rsid w:val="34B62907"/>
    <w:rsid w:val="34BC4A33"/>
    <w:rsid w:val="36010939"/>
    <w:rsid w:val="36BD137C"/>
    <w:rsid w:val="385D37E7"/>
    <w:rsid w:val="38782EDD"/>
    <w:rsid w:val="39A259BD"/>
    <w:rsid w:val="3B42664A"/>
    <w:rsid w:val="3B7F0FD4"/>
    <w:rsid w:val="3B9A66CA"/>
    <w:rsid w:val="3BD47395"/>
    <w:rsid w:val="3C14046D"/>
    <w:rsid w:val="3C196EF5"/>
    <w:rsid w:val="3C917C32"/>
    <w:rsid w:val="3D4B2B51"/>
    <w:rsid w:val="3D836A4E"/>
    <w:rsid w:val="3DA64433"/>
    <w:rsid w:val="3DD72C64"/>
    <w:rsid w:val="3E103D59"/>
    <w:rsid w:val="3E26188F"/>
    <w:rsid w:val="3EA37E97"/>
    <w:rsid w:val="3ECA1D5E"/>
    <w:rsid w:val="3F4C225C"/>
    <w:rsid w:val="3FBE0BC5"/>
    <w:rsid w:val="4033445D"/>
    <w:rsid w:val="4048103A"/>
    <w:rsid w:val="40736643"/>
    <w:rsid w:val="40D24A7A"/>
    <w:rsid w:val="40E23116"/>
    <w:rsid w:val="410D65B0"/>
    <w:rsid w:val="41EB329C"/>
    <w:rsid w:val="41F67420"/>
    <w:rsid w:val="42621029"/>
    <w:rsid w:val="42634B52"/>
    <w:rsid w:val="42883FF4"/>
    <w:rsid w:val="435241E2"/>
    <w:rsid w:val="43975C51"/>
    <w:rsid w:val="439E3FA7"/>
    <w:rsid w:val="43EF0364"/>
    <w:rsid w:val="44815C3E"/>
    <w:rsid w:val="44B32266"/>
    <w:rsid w:val="44FC64F4"/>
    <w:rsid w:val="454C0F65"/>
    <w:rsid w:val="456F228E"/>
    <w:rsid w:val="4570708E"/>
    <w:rsid w:val="45B40E4E"/>
    <w:rsid w:val="45E05D9D"/>
    <w:rsid w:val="462B3C1A"/>
    <w:rsid w:val="462C0D6C"/>
    <w:rsid w:val="46411F21"/>
    <w:rsid w:val="464A77AB"/>
    <w:rsid w:val="467F4585"/>
    <w:rsid w:val="46D729DD"/>
    <w:rsid w:val="46E96052"/>
    <w:rsid w:val="470628CB"/>
    <w:rsid w:val="47555BD4"/>
    <w:rsid w:val="47E96399"/>
    <w:rsid w:val="47FD6196"/>
    <w:rsid w:val="486F1364"/>
    <w:rsid w:val="48E12B50"/>
    <w:rsid w:val="497C34B7"/>
    <w:rsid w:val="499441BE"/>
    <w:rsid w:val="499A6C1C"/>
    <w:rsid w:val="4A2138F0"/>
    <w:rsid w:val="4A3577D5"/>
    <w:rsid w:val="4A4F068E"/>
    <w:rsid w:val="4A583887"/>
    <w:rsid w:val="4A5F586F"/>
    <w:rsid w:val="4B207A02"/>
    <w:rsid w:val="4B8C61C9"/>
    <w:rsid w:val="4B9F6E02"/>
    <w:rsid w:val="4BC2571D"/>
    <w:rsid w:val="4C89637B"/>
    <w:rsid w:val="4CB06012"/>
    <w:rsid w:val="4DA76D14"/>
    <w:rsid w:val="4DF44258"/>
    <w:rsid w:val="4E5600E5"/>
    <w:rsid w:val="4E6E48A8"/>
    <w:rsid w:val="4EEC036B"/>
    <w:rsid w:val="4EF135EC"/>
    <w:rsid w:val="4F1F1780"/>
    <w:rsid w:val="4F63438D"/>
    <w:rsid w:val="501D2673"/>
    <w:rsid w:val="506448C2"/>
    <w:rsid w:val="50C80BF1"/>
    <w:rsid w:val="51852833"/>
    <w:rsid w:val="525E2395"/>
    <w:rsid w:val="52F11AC8"/>
    <w:rsid w:val="530927F7"/>
    <w:rsid w:val="534F49D9"/>
    <w:rsid w:val="53555F0F"/>
    <w:rsid w:val="535D23D5"/>
    <w:rsid w:val="53715B65"/>
    <w:rsid w:val="538810AA"/>
    <w:rsid w:val="543D5CBC"/>
    <w:rsid w:val="544F55AE"/>
    <w:rsid w:val="54F42644"/>
    <w:rsid w:val="555200E7"/>
    <w:rsid w:val="555F2EF7"/>
    <w:rsid w:val="55A023BC"/>
    <w:rsid w:val="55A05DAE"/>
    <w:rsid w:val="55EC0079"/>
    <w:rsid w:val="569B6EE2"/>
    <w:rsid w:val="56C91F3B"/>
    <w:rsid w:val="56D66C2F"/>
    <w:rsid w:val="56F4341A"/>
    <w:rsid w:val="575A7321"/>
    <w:rsid w:val="578E1B05"/>
    <w:rsid w:val="580C3AB9"/>
    <w:rsid w:val="583C7AE0"/>
    <w:rsid w:val="586C1E9A"/>
    <w:rsid w:val="586E0800"/>
    <w:rsid w:val="58D02DB8"/>
    <w:rsid w:val="59216F96"/>
    <w:rsid w:val="59371858"/>
    <w:rsid w:val="598C4145"/>
    <w:rsid w:val="59957D1B"/>
    <w:rsid w:val="59D4294E"/>
    <w:rsid w:val="5A9650A4"/>
    <w:rsid w:val="5AC27A73"/>
    <w:rsid w:val="5B183090"/>
    <w:rsid w:val="5B5F32C8"/>
    <w:rsid w:val="5B634312"/>
    <w:rsid w:val="5B9D2CCD"/>
    <w:rsid w:val="5B9E71EA"/>
    <w:rsid w:val="5BA6248F"/>
    <w:rsid w:val="5C542D5D"/>
    <w:rsid w:val="5D4A779F"/>
    <w:rsid w:val="5D6A0941"/>
    <w:rsid w:val="5DFD2C36"/>
    <w:rsid w:val="5E226FBC"/>
    <w:rsid w:val="5E6A3570"/>
    <w:rsid w:val="5E8F1E78"/>
    <w:rsid w:val="5F10778D"/>
    <w:rsid w:val="5F3B490A"/>
    <w:rsid w:val="5F740369"/>
    <w:rsid w:val="5F9758AC"/>
    <w:rsid w:val="5FE72BD2"/>
    <w:rsid w:val="60120613"/>
    <w:rsid w:val="601C42DE"/>
    <w:rsid w:val="60296E59"/>
    <w:rsid w:val="603C2DF4"/>
    <w:rsid w:val="60527F66"/>
    <w:rsid w:val="609728E3"/>
    <w:rsid w:val="61097DAA"/>
    <w:rsid w:val="615D7D9C"/>
    <w:rsid w:val="618D5292"/>
    <w:rsid w:val="621871B5"/>
    <w:rsid w:val="622E78FA"/>
    <w:rsid w:val="62963335"/>
    <w:rsid w:val="62D60F21"/>
    <w:rsid w:val="63343F70"/>
    <w:rsid w:val="64002DF5"/>
    <w:rsid w:val="64140F10"/>
    <w:rsid w:val="64296E1C"/>
    <w:rsid w:val="6464244D"/>
    <w:rsid w:val="64751469"/>
    <w:rsid w:val="648C72CF"/>
    <w:rsid w:val="649E64A2"/>
    <w:rsid w:val="64B94A12"/>
    <w:rsid w:val="65E5270A"/>
    <w:rsid w:val="663D3C54"/>
    <w:rsid w:val="66862C89"/>
    <w:rsid w:val="66BB486D"/>
    <w:rsid w:val="67394C7D"/>
    <w:rsid w:val="674E1B9F"/>
    <w:rsid w:val="67744284"/>
    <w:rsid w:val="6780010E"/>
    <w:rsid w:val="68045D16"/>
    <w:rsid w:val="68126B38"/>
    <w:rsid w:val="68291A1A"/>
    <w:rsid w:val="68352BB8"/>
    <w:rsid w:val="68440A9F"/>
    <w:rsid w:val="691047CD"/>
    <w:rsid w:val="691B1594"/>
    <w:rsid w:val="692B54C7"/>
    <w:rsid w:val="693A016B"/>
    <w:rsid w:val="6A17429C"/>
    <w:rsid w:val="6A180477"/>
    <w:rsid w:val="6A567EA3"/>
    <w:rsid w:val="6A916EA7"/>
    <w:rsid w:val="6AB47D7A"/>
    <w:rsid w:val="6ACE710A"/>
    <w:rsid w:val="6B4B4368"/>
    <w:rsid w:val="6B79100E"/>
    <w:rsid w:val="6BB93C75"/>
    <w:rsid w:val="6BE26BBC"/>
    <w:rsid w:val="6C844C00"/>
    <w:rsid w:val="6D3A0EC2"/>
    <w:rsid w:val="6D606C51"/>
    <w:rsid w:val="6E10212C"/>
    <w:rsid w:val="6E182961"/>
    <w:rsid w:val="6E43561A"/>
    <w:rsid w:val="6E557973"/>
    <w:rsid w:val="6E6D4379"/>
    <w:rsid w:val="6E9568DB"/>
    <w:rsid w:val="6EC41DE0"/>
    <w:rsid w:val="6F0D6C22"/>
    <w:rsid w:val="6F47657F"/>
    <w:rsid w:val="6FAF23D9"/>
    <w:rsid w:val="6FC54B7E"/>
    <w:rsid w:val="6FF95AC4"/>
    <w:rsid w:val="703B4846"/>
    <w:rsid w:val="70635CF6"/>
    <w:rsid w:val="70670707"/>
    <w:rsid w:val="70DC1EEA"/>
    <w:rsid w:val="71772945"/>
    <w:rsid w:val="720E3691"/>
    <w:rsid w:val="7231166D"/>
    <w:rsid w:val="724E244C"/>
    <w:rsid w:val="72DA6946"/>
    <w:rsid w:val="730C1E48"/>
    <w:rsid w:val="732764B3"/>
    <w:rsid w:val="733E0DF1"/>
    <w:rsid w:val="734B2AF4"/>
    <w:rsid w:val="73DF2602"/>
    <w:rsid w:val="74026044"/>
    <w:rsid w:val="744A6798"/>
    <w:rsid w:val="74746410"/>
    <w:rsid w:val="74C7476C"/>
    <w:rsid w:val="75B6138B"/>
    <w:rsid w:val="75E5007C"/>
    <w:rsid w:val="75E66F7B"/>
    <w:rsid w:val="76604C3D"/>
    <w:rsid w:val="76B63F68"/>
    <w:rsid w:val="76C81CBC"/>
    <w:rsid w:val="76ED2819"/>
    <w:rsid w:val="77703E35"/>
    <w:rsid w:val="77813724"/>
    <w:rsid w:val="77861774"/>
    <w:rsid w:val="77FE2375"/>
    <w:rsid w:val="784C49C7"/>
    <w:rsid w:val="78F31435"/>
    <w:rsid w:val="79300B45"/>
    <w:rsid w:val="794D3E18"/>
    <w:rsid w:val="797F3DBA"/>
    <w:rsid w:val="79902D93"/>
    <w:rsid w:val="79F3729A"/>
    <w:rsid w:val="7A4B43D3"/>
    <w:rsid w:val="7A7116EC"/>
    <w:rsid w:val="7A880722"/>
    <w:rsid w:val="7ACB0498"/>
    <w:rsid w:val="7AED0B4D"/>
    <w:rsid w:val="7B0E7FD8"/>
    <w:rsid w:val="7C1E4487"/>
    <w:rsid w:val="7C215E02"/>
    <w:rsid w:val="7C2160C8"/>
    <w:rsid w:val="7C7E1734"/>
    <w:rsid w:val="7CF23764"/>
    <w:rsid w:val="7CFB4EEC"/>
    <w:rsid w:val="7E5D1C35"/>
    <w:rsid w:val="7E797F74"/>
    <w:rsid w:val="7F1045C2"/>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HTML Address"/>
    <w:basedOn w:val="1"/>
    <w:autoRedefine/>
    <w:qFormat/>
    <w:uiPriority w:val="0"/>
    <w:rPr>
      <w:i/>
      <w:iCs/>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91"/>
    <w:basedOn w:val="13"/>
    <w:autoRedefine/>
    <w:qFormat/>
    <w:uiPriority w:val="0"/>
    <w:rPr>
      <w:rFonts w:hint="eastAsia" w:ascii="微软雅黑 Light" w:hAnsi="微软雅黑 Light" w:eastAsia="微软雅黑 Light" w:cs="微软雅黑 Light"/>
      <w:b/>
      <w:color w:val="000000"/>
      <w:sz w:val="20"/>
      <w:szCs w:val="20"/>
      <w:u w:val="none"/>
    </w:rPr>
  </w:style>
  <w:style w:type="character" w:customStyle="1" w:styleId="20">
    <w:name w:val="font11"/>
    <w:basedOn w:val="13"/>
    <w:autoRedefine/>
    <w:qFormat/>
    <w:uiPriority w:val="0"/>
    <w:rPr>
      <w:rFonts w:hint="eastAsia" w:ascii="微软雅黑 Light" w:hAnsi="微软雅黑 Light" w:eastAsia="微软雅黑 Light" w:cs="微软雅黑 Light"/>
      <w:b/>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8210</Words>
  <Characters>8724</Characters>
  <Lines>0</Lines>
  <Paragraphs>0</Paragraphs>
  <TotalTime>4</TotalTime>
  <ScaleCrop>false</ScaleCrop>
  <LinksUpToDate>false</LinksUpToDate>
  <CharactersWithSpaces>8756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