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28833">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B0173D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B70535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A3390D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阜康市供销社基层为农社会化服务中心改造提升项目</w:t>
      </w:r>
      <w:r>
        <w:rPr>
          <w:rFonts w:hint="eastAsia" w:ascii="宋体" w:hAnsi="宋体" w:eastAsia="宋体" w:cs="宋体"/>
          <w:b/>
          <w:bCs/>
          <w:color w:val="auto"/>
          <w:sz w:val="40"/>
          <w:szCs w:val="40"/>
          <w:highlight w:val="none"/>
          <w:shd w:val="clear" w:color="auto" w:fill="auto"/>
        </w:rPr>
        <w:t>支出绩效评价报告</w:t>
      </w:r>
      <w:bookmarkEnd w:id="0"/>
    </w:p>
    <w:p w14:paraId="2A0D661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96F59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CB87B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C7B42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7BE51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C0E9C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AE44CF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616676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项目名称：阜康市供销社基层为农社会化服务中心改造提升项目</w:t>
      </w:r>
    </w:p>
    <w:p w14:paraId="4D2A6F4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实施单位：阜康市供销合作社联合社</w:t>
      </w:r>
    </w:p>
    <w:p w14:paraId="2498DC1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主管部门：阜康市供销合作社联合社</w:t>
      </w:r>
    </w:p>
    <w:p w14:paraId="337A2C7D">
      <w:pPr>
        <w:pStyle w:val="12"/>
        <w:outlineLvl w:val="9"/>
        <w:rPr>
          <w:rFonts w:hint="eastAsia" w:ascii="宋体" w:hAnsi="宋体" w:eastAsia="宋体" w:cs="宋体"/>
          <w:b/>
          <w:color w:val="auto"/>
          <w:kern w:val="2"/>
          <w:sz w:val="28"/>
          <w:szCs w:val="28"/>
          <w:highlight w:val="none"/>
          <w:shd w:val="clear" w:color="auto" w:fill="auto"/>
          <w:lang w:val="en-US" w:eastAsia="zh-CN"/>
        </w:rPr>
      </w:pPr>
    </w:p>
    <w:p w14:paraId="5C66BD2E">
      <w:pPr>
        <w:rPr>
          <w:rFonts w:hint="eastAsia"/>
          <w:color w:val="auto"/>
          <w:lang w:val="en-US" w:eastAsia="zh-CN"/>
        </w:rPr>
      </w:pPr>
      <w:r>
        <w:rPr>
          <w:rFonts w:hint="eastAsia"/>
          <w:color w:val="auto"/>
          <w:lang w:val="en-US" w:eastAsia="zh-CN"/>
        </w:rPr>
        <w:br w:type="page"/>
      </w:r>
    </w:p>
    <w:p w14:paraId="0B88F977">
      <w:pPr>
        <w:rPr>
          <w:rFonts w:hint="eastAsia"/>
          <w:color w:val="auto"/>
          <w:lang w:val="en-US" w:eastAsia="zh-CN"/>
        </w:rPr>
      </w:pPr>
    </w:p>
    <w:sdt>
      <w:sdtPr>
        <w:rPr>
          <w:rFonts w:ascii="宋体" w:hAnsi="宋体" w:eastAsia="宋体" w:cs="宋体"/>
          <w:b/>
          <w:bCs/>
          <w:color w:val="auto"/>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lang w:val="en-US" w:eastAsia="zh-CN" w:bidi="ar-SA"/>
        </w:rPr>
      </w:sdtEndPr>
      <w:sdtContent>
        <w:p w14:paraId="2FF95DE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rPr>
          </w:pPr>
          <w:r>
            <w:rPr>
              <w:rFonts w:ascii="宋体" w:hAnsi="宋体" w:eastAsia="宋体"/>
              <w:b/>
              <w:bCs/>
              <w:color w:val="auto"/>
              <w:sz w:val="40"/>
              <w:szCs w:val="40"/>
            </w:rPr>
            <w:t>目录</w:t>
          </w:r>
        </w:p>
        <w:p w14:paraId="08CF9ACD">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TOC \o "1-3" \h \u </w:instrText>
          </w:r>
          <w:r>
            <w:rPr>
              <w:rFonts w:hint="eastAsia"/>
              <w:color w:val="auto"/>
              <w:sz w:val="28"/>
              <w:szCs w:val="28"/>
              <w:lang w:val="en-US" w:eastAsia="zh-CN"/>
            </w:rPr>
            <w:fldChar w:fldCharType="separate"/>
          </w:r>
        </w:p>
        <w:p w14:paraId="0FE7552B">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_Toc17540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rPr>
            <w:tab/>
          </w:r>
          <w:r>
            <w:rPr>
              <w:b/>
              <w:bCs/>
              <w:color w:val="auto"/>
              <w:sz w:val="28"/>
              <w:szCs w:val="28"/>
            </w:rPr>
            <w:fldChar w:fldCharType="begin"/>
          </w:r>
          <w:r>
            <w:rPr>
              <w:b/>
              <w:bCs/>
              <w:color w:val="auto"/>
              <w:sz w:val="28"/>
              <w:szCs w:val="28"/>
            </w:rPr>
            <w:instrText xml:space="preserve"> PAGEREF _Toc17540 \h </w:instrText>
          </w:r>
          <w:r>
            <w:rPr>
              <w:b/>
              <w:bCs/>
              <w:color w:val="auto"/>
              <w:sz w:val="28"/>
              <w:szCs w:val="28"/>
            </w:rPr>
            <w:fldChar w:fldCharType="separate"/>
          </w:r>
          <w:r>
            <w:rPr>
              <w:b/>
              <w:bCs/>
              <w:color w:val="auto"/>
              <w:sz w:val="28"/>
              <w:szCs w:val="28"/>
            </w:rPr>
            <w:t>1</w:t>
          </w:r>
          <w:r>
            <w:rPr>
              <w:b/>
              <w:bCs/>
              <w:color w:val="auto"/>
              <w:sz w:val="28"/>
              <w:szCs w:val="28"/>
            </w:rPr>
            <w:fldChar w:fldCharType="end"/>
          </w:r>
          <w:r>
            <w:rPr>
              <w:rFonts w:hint="eastAsia"/>
              <w:b/>
              <w:bCs/>
              <w:color w:val="auto"/>
              <w:sz w:val="28"/>
              <w:szCs w:val="28"/>
              <w:lang w:val="en-US" w:eastAsia="zh-CN"/>
            </w:rPr>
            <w:fldChar w:fldCharType="end"/>
          </w:r>
        </w:p>
        <w:p w14:paraId="1CE7B9FE">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_Toc18966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rPr>
            <w:tab/>
          </w:r>
          <w:r>
            <w:rPr>
              <w:color w:val="auto"/>
              <w:sz w:val="28"/>
              <w:szCs w:val="28"/>
            </w:rPr>
            <w:fldChar w:fldCharType="begin"/>
          </w:r>
          <w:r>
            <w:rPr>
              <w:color w:val="auto"/>
              <w:sz w:val="28"/>
              <w:szCs w:val="28"/>
            </w:rPr>
            <w:instrText xml:space="preserve"> PAGEREF _Toc18966 \h </w:instrText>
          </w:r>
          <w:r>
            <w:rPr>
              <w:color w:val="auto"/>
              <w:sz w:val="28"/>
              <w:szCs w:val="28"/>
            </w:rPr>
            <w:fldChar w:fldCharType="separate"/>
          </w:r>
          <w:r>
            <w:rPr>
              <w:color w:val="auto"/>
              <w:sz w:val="28"/>
              <w:szCs w:val="28"/>
            </w:rPr>
            <w:t>1</w:t>
          </w:r>
          <w:r>
            <w:rPr>
              <w:color w:val="auto"/>
              <w:sz w:val="28"/>
              <w:szCs w:val="28"/>
            </w:rPr>
            <w:fldChar w:fldCharType="end"/>
          </w:r>
          <w:r>
            <w:rPr>
              <w:rFonts w:hint="eastAsia"/>
              <w:color w:val="auto"/>
              <w:sz w:val="28"/>
              <w:szCs w:val="28"/>
              <w:lang w:val="en-US" w:eastAsia="zh-CN"/>
            </w:rPr>
            <w:fldChar w:fldCharType="end"/>
          </w:r>
        </w:p>
        <w:p w14:paraId="390A132A">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_Toc2879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rPr>
            <w:tab/>
          </w:r>
          <w:r>
            <w:rPr>
              <w:color w:val="auto"/>
              <w:sz w:val="28"/>
              <w:szCs w:val="28"/>
            </w:rPr>
            <w:fldChar w:fldCharType="begin"/>
          </w:r>
          <w:r>
            <w:rPr>
              <w:color w:val="auto"/>
              <w:sz w:val="28"/>
              <w:szCs w:val="28"/>
            </w:rPr>
            <w:instrText xml:space="preserve"> PAGEREF _Toc2879 \h </w:instrText>
          </w:r>
          <w:r>
            <w:rPr>
              <w:color w:val="auto"/>
              <w:sz w:val="28"/>
              <w:szCs w:val="28"/>
            </w:rPr>
            <w:fldChar w:fldCharType="separate"/>
          </w:r>
          <w:r>
            <w:rPr>
              <w:color w:val="auto"/>
              <w:sz w:val="28"/>
              <w:szCs w:val="28"/>
            </w:rPr>
            <w:t>2</w:t>
          </w:r>
          <w:r>
            <w:rPr>
              <w:color w:val="auto"/>
              <w:sz w:val="28"/>
              <w:szCs w:val="28"/>
            </w:rPr>
            <w:fldChar w:fldCharType="end"/>
          </w:r>
          <w:r>
            <w:rPr>
              <w:rFonts w:hint="eastAsia"/>
              <w:color w:val="auto"/>
              <w:sz w:val="28"/>
              <w:szCs w:val="28"/>
              <w:lang w:val="en-US" w:eastAsia="zh-CN"/>
            </w:rPr>
            <w:fldChar w:fldCharType="end"/>
          </w:r>
        </w:p>
        <w:p w14:paraId="1BB5C92A">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_Toc2549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rPr>
            <w:tab/>
          </w:r>
          <w:r>
            <w:rPr>
              <w:b/>
              <w:bCs/>
              <w:color w:val="auto"/>
              <w:sz w:val="28"/>
              <w:szCs w:val="28"/>
            </w:rPr>
            <w:fldChar w:fldCharType="begin"/>
          </w:r>
          <w:r>
            <w:rPr>
              <w:b/>
              <w:bCs/>
              <w:color w:val="auto"/>
              <w:sz w:val="28"/>
              <w:szCs w:val="28"/>
            </w:rPr>
            <w:instrText xml:space="preserve"> PAGEREF _Toc2549 \h </w:instrText>
          </w:r>
          <w:r>
            <w:rPr>
              <w:b/>
              <w:bCs/>
              <w:color w:val="auto"/>
              <w:sz w:val="28"/>
              <w:szCs w:val="28"/>
            </w:rPr>
            <w:fldChar w:fldCharType="separate"/>
          </w:r>
          <w:r>
            <w:rPr>
              <w:b/>
              <w:bCs/>
              <w:color w:val="auto"/>
              <w:sz w:val="28"/>
              <w:szCs w:val="28"/>
            </w:rPr>
            <w:t>4</w:t>
          </w:r>
          <w:r>
            <w:rPr>
              <w:b/>
              <w:bCs/>
              <w:color w:val="auto"/>
              <w:sz w:val="28"/>
              <w:szCs w:val="28"/>
            </w:rPr>
            <w:fldChar w:fldCharType="end"/>
          </w:r>
          <w:r>
            <w:rPr>
              <w:rFonts w:hint="eastAsia"/>
              <w:b/>
              <w:bCs/>
              <w:color w:val="auto"/>
              <w:sz w:val="28"/>
              <w:szCs w:val="28"/>
              <w:lang w:val="en-US" w:eastAsia="zh-CN"/>
            </w:rPr>
            <w:fldChar w:fldCharType="end"/>
          </w:r>
        </w:p>
        <w:p w14:paraId="59F716C4">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_Toc21778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rPr>
            <w:tab/>
          </w:r>
          <w:r>
            <w:rPr>
              <w:color w:val="auto"/>
              <w:sz w:val="28"/>
              <w:szCs w:val="28"/>
            </w:rPr>
            <w:fldChar w:fldCharType="begin"/>
          </w:r>
          <w:r>
            <w:rPr>
              <w:color w:val="auto"/>
              <w:sz w:val="28"/>
              <w:szCs w:val="28"/>
            </w:rPr>
            <w:instrText xml:space="preserve"> PAGEREF _Toc21778 \h </w:instrText>
          </w:r>
          <w:r>
            <w:rPr>
              <w:color w:val="auto"/>
              <w:sz w:val="28"/>
              <w:szCs w:val="28"/>
            </w:rPr>
            <w:fldChar w:fldCharType="separate"/>
          </w:r>
          <w:r>
            <w:rPr>
              <w:color w:val="auto"/>
              <w:sz w:val="28"/>
              <w:szCs w:val="28"/>
            </w:rPr>
            <w:t>4</w:t>
          </w:r>
          <w:r>
            <w:rPr>
              <w:color w:val="auto"/>
              <w:sz w:val="28"/>
              <w:szCs w:val="28"/>
            </w:rPr>
            <w:fldChar w:fldCharType="end"/>
          </w:r>
          <w:r>
            <w:rPr>
              <w:rFonts w:hint="eastAsia"/>
              <w:color w:val="auto"/>
              <w:sz w:val="28"/>
              <w:szCs w:val="28"/>
              <w:lang w:val="en-US" w:eastAsia="zh-CN"/>
            </w:rPr>
            <w:fldChar w:fldCharType="end"/>
          </w:r>
        </w:p>
        <w:p w14:paraId="5C54F8C3">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_Toc15902 </w:instrText>
          </w:r>
          <w:r>
            <w:rPr>
              <w:rFonts w:hint="eastAsia"/>
              <w:color w:val="auto"/>
              <w:sz w:val="28"/>
              <w:szCs w:val="28"/>
              <w:lang w:val="en-US" w:eastAsia="zh-CN"/>
            </w:rPr>
            <w:fldChar w:fldCharType="separate"/>
          </w:r>
          <w:r>
            <w:rPr>
              <w:rFonts w:hint="eastAsia" w:ascii="宋体" w:hAnsi="宋体" w:eastAsia="宋体" w:cs="宋体"/>
              <w:color w:val="auto"/>
              <w:sz w:val="28"/>
              <w:szCs w:val="28"/>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rPr>
            <w:tab/>
          </w:r>
          <w:r>
            <w:rPr>
              <w:color w:val="auto"/>
              <w:sz w:val="28"/>
              <w:szCs w:val="28"/>
            </w:rPr>
            <w:fldChar w:fldCharType="begin"/>
          </w:r>
          <w:r>
            <w:rPr>
              <w:color w:val="auto"/>
              <w:sz w:val="28"/>
              <w:szCs w:val="28"/>
            </w:rPr>
            <w:instrText xml:space="preserve"> PAGEREF _Toc15902 \h </w:instrText>
          </w:r>
          <w:r>
            <w:rPr>
              <w:color w:val="auto"/>
              <w:sz w:val="28"/>
              <w:szCs w:val="28"/>
            </w:rPr>
            <w:fldChar w:fldCharType="separate"/>
          </w:r>
          <w:r>
            <w:rPr>
              <w:color w:val="auto"/>
              <w:sz w:val="28"/>
              <w:szCs w:val="28"/>
            </w:rPr>
            <w:t>5</w:t>
          </w:r>
          <w:r>
            <w:rPr>
              <w:color w:val="auto"/>
              <w:sz w:val="28"/>
              <w:szCs w:val="28"/>
            </w:rPr>
            <w:fldChar w:fldCharType="end"/>
          </w:r>
          <w:r>
            <w:rPr>
              <w:rFonts w:hint="eastAsia"/>
              <w:color w:val="auto"/>
              <w:sz w:val="28"/>
              <w:szCs w:val="28"/>
              <w:lang w:val="en-US" w:eastAsia="zh-CN"/>
            </w:rPr>
            <w:fldChar w:fldCharType="end"/>
          </w:r>
        </w:p>
        <w:p w14:paraId="7A9DD630">
          <w:pPr>
            <w:pStyle w:val="20"/>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_Toc1070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rPr>
            <w:tab/>
          </w:r>
          <w:r>
            <w:rPr>
              <w:color w:val="auto"/>
              <w:sz w:val="28"/>
              <w:szCs w:val="28"/>
            </w:rPr>
            <w:fldChar w:fldCharType="begin"/>
          </w:r>
          <w:r>
            <w:rPr>
              <w:color w:val="auto"/>
              <w:sz w:val="28"/>
              <w:szCs w:val="28"/>
            </w:rPr>
            <w:instrText xml:space="preserve"> PAGEREF _Toc1070 \h </w:instrText>
          </w:r>
          <w:r>
            <w:rPr>
              <w:color w:val="auto"/>
              <w:sz w:val="28"/>
              <w:szCs w:val="28"/>
            </w:rPr>
            <w:fldChar w:fldCharType="separate"/>
          </w:r>
          <w:r>
            <w:rPr>
              <w:color w:val="auto"/>
              <w:sz w:val="28"/>
              <w:szCs w:val="28"/>
            </w:rPr>
            <w:t>9</w:t>
          </w:r>
          <w:r>
            <w:rPr>
              <w:color w:val="auto"/>
              <w:sz w:val="28"/>
              <w:szCs w:val="28"/>
            </w:rPr>
            <w:fldChar w:fldCharType="end"/>
          </w:r>
          <w:r>
            <w:rPr>
              <w:rFonts w:hint="eastAsia"/>
              <w:color w:val="auto"/>
              <w:sz w:val="28"/>
              <w:szCs w:val="28"/>
              <w:lang w:val="en-US" w:eastAsia="zh-CN"/>
            </w:rPr>
            <w:fldChar w:fldCharType="end"/>
          </w:r>
        </w:p>
        <w:p w14:paraId="3137DE4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_Toc1100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rPr>
            <w:tab/>
          </w:r>
          <w:r>
            <w:rPr>
              <w:b/>
              <w:bCs/>
              <w:color w:val="auto"/>
              <w:sz w:val="28"/>
              <w:szCs w:val="28"/>
            </w:rPr>
            <w:fldChar w:fldCharType="begin"/>
          </w:r>
          <w:r>
            <w:rPr>
              <w:b/>
              <w:bCs/>
              <w:color w:val="auto"/>
              <w:sz w:val="28"/>
              <w:szCs w:val="28"/>
            </w:rPr>
            <w:instrText xml:space="preserve"> PAGEREF _Toc1100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447ADA62">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_Toc9421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rPr>
            <w:tab/>
          </w:r>
          <w:r>
            <w:rPr>
              <w:b/>
              <w:bCs/>
              <w:color w:val="auto"/>
              <w:sz w:val="28"/>
              <w:szCs w:val="28"/>
            </w:rPr>
            <w:fldChar w:fldCharType="begin"/>
          </w:r>
          <w:r>
            <w:rPr>
              <w:b/>
              <w:bCs/>
              <w:color w:val="auto"/>
              <w:sz w:val="28"/>
              <w:szCs w:val="28"/>
            </w:rPr>
            <w:instrText xml:space="preserve"> PAGEREF _Toc9421 \h </w:instrText>
          </w:r>
          <w:r>
            <w:rPr>
              <w:b/>
              <w:bCs/>
              <w:color w:val="auto"/>
              <w:sz w:val="28"/>
              <w:szCs w:val="28"/>
            </w:rPr>
            <w:fldChar w:fldCharType="separate"/>
          </w:r>
          <w:r>
            <w:rPr>
              <w:b/>
              <w:bCs/>
              <w:color w:val="auto"/>
              <w:sz w:val="28"/>
              <w:szCs w:val="28"/>
            </w:rPr>
            <w:t>11</w:t>
          </w:r>
          <w:r>
            <w:rPr>
              <w:b/>
              <w:bCs/>
              <w:color w:val="auto"/>
              <w:sz w:val="28"/>
              <w:szCs w:val="28"/>
            </w:rPr>
            <w:fldChar w:fldCharType="end"/>
          </w:r>
          <w:r>
            <w:rPr>
              <w:rFonts w:hint="eastAsia"/>
              <w:b/>
              <w:bCs/>
              <w:color w:val="auto"/>
              <w:sz w:val="28"/>
              <w:szCs w:val="28"/>
              <w:lang w:val="en-US" w:eastAsia="zh-CN"/>
            </w:rPr>
            <w:fldChar w:fldCharType="end"/>
          </w:r>
        </w:p>
        <w:p w14:paraId="1E125A65">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_Toc15355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rPr>
            <w:tab/>
          </w:r>
          <w:r>
            <w:rPr>
              <w:color w:val="auto"/>
              <w:sz w:val="28"/>
              <w:szCs w:val="28"/>
            </w:rPr>
            <w:fldChar w:fldCharType="begin"/>
          </w:r>
          <w:r>
            <w:rPr>
              <w:color w:val="auto"/>
              <w:sz w:val="28"/>
              <w:szCs w:val="28"/>
            </w:rPr>
            <w:instrText xml:space="preserve"> PAGEREF _Toc15355 \h </w:instrText>
          </w:r>
          <w:r>
            <w:rPr>
              <w:color w:val="auto"/>
              <w:sz w:val="28"/>
              <w:szCs w:val="28"/>
            </w:rPr>
            <w:fldChar w:fldCharType="separate"/>
          </w:r>
          <w:r>
            <w:rPr>
              <w:color w:val="auto"/>
              <w:sz w:val="28"/>
              <w:szCs w:val="28"/>
            </w:rPr>
            <w:t>11</w:t>
          </w:r>
          <w:r>
            <w:rPr>
              <w:color w:val="auto"/>
              <w:sz w:val="28"/>
              <w:szCs w:val="28"/>
            </w:rPr>
            <w:fldChar w:fldCharType="end"/>
          </w:r>
          <w:r>
            <w:rPr>
              <w:rFonts w:hint="eastAsia"/>
              <w:color w:val="auto"/>
              <w:sz w:val="28"/>
              <w:szCs w:val="28"/>
              <w:lang w:val="en-US" w:eastAsia="zh-CN"/>
            </w:rPr>
            <w:fldChar w:fldCharType="end"/>
          </w:r>
        </w:p>
        <w:p w14:paraId="5A7BCE7B">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_Toc11361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rPr>
            <w:tab/>
          </w:r>
          <w:r>
            <w:rPr>
              <w:color w:val="auto"/>
              <w:sz w:val="28"/>
              <w:szCs w:val="28"/>
            </w:rPr>
            <w:fldChar w:fldCharType="begin"/>
          </w:r>
          <w:r>
            <w:rPr>
              <w:color w:val="auto"/>
              <w:sz w:val="28"/>
              <w:szCs w:val="28"/>
            </w:rPr>
            <w:instrText xml:space="preserve"> PAGEREF _Toc11361 \h </w:instrText>
          </w:r>
          <w:r>
            <w:rPr>
              <w:color w:val="auto"/>
              <w:sz w:val="28"/>
              <w:szCs w:val="28"/>
            </w:rPr>
            <w:fldChar w:fldCharType="separate"/>
          </w:r>
          <w:r>
            <w:rPr>
              <w:color w:val="auto"/>
              <w:sz w:val="28"/>
              <w:szCs w:val="28"/>
            </w:rPr>
            <w:t>13</w:t>
          </w:r>
          <w:r>
            <w:rPr>
              <w:color w:val="auto"/>
              <w:sz w:val="28"/>
              <w:szCs w:val="28"/>
            </w:rPr>
            <w:fldChar w:fldCharType="end"/>
          </w:r>
          <w:r>
            <w:rPr>
              <w:rFonts w:hint="eastAsia"/>
              <w:color w:val="auto"/>
              <w:sz w:val="28"/>
              <w:szCs w:val="28"/>
              <w:lang w:val="en-US" w:eastAsia="zh-CN"/>
            </w:rPr>
            <w:fldChar w:fldCharType="end"/>
          </w:r>
        </w:p>
        <w:p w14:paraId="38F38441">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_Toc16268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rPr>
            <w:tab/>
          </w:r>
          <w:r>
            <w:rPr>
              <w:color w:val="auto"/>
              <w:sz w:val="28"/>
              <w:szCs w:val="28"/>
            </w:rPr>
            <w:fldChar w:fldCharType="begin"/>
          </w:r>
          <w:r>
            <w:rPr>
              <w:color w:val="auto"/>
              <w:sz w:val="28"/>
              <w:szCs w:val="28"/>
            </w:rPr>
            <w:instrText xml:space="preserve"> PAGEREF _Toc16268 \h </w:instrText>
          </w:r>
          <w:r>
            <w:rPr>
              <w:color w:val="auto"/>
              <w:sz w:val="28"/>
              <w:szCs w:val="28"/>
            </w:rPr>
            <w:fldChar w:fldCharType="separate"/>
          </w:r>
          <w:r>
            <w:rPr>
              <w:color w:val="auto"/>
              <w:sz w:val="28"/>
              <w:szCs w:val="28"/>
            </w:rPr>
            <w:t>15</w:t>
          </w:r>
          <w:r>
            <w:rPr>
              <w:color w:val="auto"/>
              <w:sz w:val="28"/>
              <w:szCs w:val="28"/>
            </w:rPr>
            <w:fldChar w:fldCharType="end"/>
          </w:r>
          <w:r>
            <w:rPr>
              <w:rFonts w:hint="eastAsia"/>
              <w:color w:val="auto"/>
              <w:sz w:val="28"/>
              <w:szCs w:val="28"/>
              <w:lang w:val="en-US" w:eastAsia="zh-CN"/>
            </w:rPr>
            <w:fldChar w:fldCharType="end"/>
          </w:r>
        </w:p>
        <w:p w14:paraId="72F7717C">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_Toc18446 </w:instrText>
          </w:r>
          <w:r>
            <w:rPr>
              <w:rFonts w:hint="eastAsia"/>
              <w:color w:val="auto"/>
              <w:sz w:val="28"/>
              <w:szCs w:val="28"/>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rPr>
            <w:tab/>
          </w:r>
          <w:r>
            <w:rPr>
              <w:color w:val="auto"/>
              <w:sz w:val="28"/>
              <w:szCs w:val="28"/>
            </w:rPr>
            <w:fldChar w:fldCharType="begin"/>
          </w:r>
          <w:r>
            <w:rPr>
              <w:color w:val="auto"/>
              <w:sz w:val="28"/>
              <w:szCs w:val="28"/>
            </w:rPr>
            <w:instrText xml:space="preserve"> PAGEREF _Toc18446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14:paraId="6771F764">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_Toc19962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rPr>
            <w:tab/>
          </w:r>
          <w:r>
            <w:rPr>
              <w:b/>
              <w:bCs/>
              <w:color w:val="auto"/>
              <w:sz w:val="28"/>
              <w:szCs w:val="28"/>
            </w:rPr>
            <w:fldChar w:fldCharType="begin"/>
          </w:r>
          <w:r>
            <w:rPr>
              <w:b/>
              <w:bCs/>
              <w:color w:val="auto"/>
              <w:sz w:val="28"/>
              <w:szCs w:val="28"/>
            </w:rPr>
            <w:instrText xml:space="preserve"> PAGEREF _Toc19962 \h </w:instrText>
          </w:r>
          <w:r>
            <w:rPr>
              <w:b/>
              <w:bCs/>
              <w:color w:val="auto"/>
              <w:sz w:val="28"/>
              <w:szCs w:val="28"/>
            </w:rPr>
            <w:fldChar w:fldCharType="separate"/>
          </w:r>
          <w:r>
            <w:rPr>
              <w:b/>
              <w:color w:val="auto"/>
            </w:rPr>
            <w:t>错误！未定义书签。</w:t>
          </w:r>
          <w:r>
            <w:rPr>
              <w:b/>
              <w:bCs/>
              <w:color w:val="auto"/>
              <w:sz w:val="28"/>
              <w:szCs w:val="28"/>
            </w:rPr>
            <w:fldChar w:fldCharType="end"/>
          </w:r>
          <w:r>
            <w:rPr>
              <w:rFonts w:hint="eastAsia"/>
              <w:b/>
              <w:bCs/>
              <w:color w:val="auto"/>
              <w:sz w:val="28"/>
              <w:szCs w:val="28"/>
              <w:lang w:val="en-US" w:eastAsia="zh-CN"/>
            </w:rPr>
            <w:fldChar w:fldCharType="end"/>
          </w:r>
        </w:p>
        <w:p w14:paraId="7C06F0A8">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_Toc29934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rPr>
            <w:tab/>
          </w:r>
          <w:r>
            <w:rPr>
              <w:b/>
              <w:bCs/>
              <w:color w:val="auto"/>
              <w:sz w:val="28"/>
              <w:szCs w:val="28"/>
            </w:rPr>
            <w:fldChar w:fldCharType="begin"/>
          </w:r>
          <w:r>
            <w:rPr>
              <w:b/>
              <w:bCs/>
              <w:color w:val="auto"/>
              <w:sz w:val="28"/>
              <w:szCs w:val="28"/>
            </w:rPr>
            <w:instrText xml:space="preserve"> PAGEREF _Toc29934 \h </w:instrText>
          </w:r>
          <w:r>
            <w:rPr>
              <w:b/>
              <w:bCs/>
              <w:color w:val="auto"/>
              <w:sz w:val="28"/>
              <w:szCs w:val="28"/>
            </w:rPr>
            <w:fldChar w:fldCharType="separate"/>
          </w:r>
          <w:r>
            <w:rPr>
              <w:b/>
              <w:bCs/>
              <w:color w:val="auto"/>
              <w:sz w:val="28"/>
              <w:szCs w:val="28"/>
            </w:rPr>
            <w:t>17</w:t>
          </w:r>
          <w:r>
            <w:rPr>
              <w:b/>
              <w:bCs/>
              <w:color w:val="auto"/>
              <w:sz w:val="28"/>
              <w:szCs w:val="28"/>
            </w:rPr>
            <w:fldChar w:fldCharType="end"/>
          </w:r>
          <w:r>
            <w:rPr>
              <w:rFonts w:hint="eastAsia"/>
              <w:b/>
              <w:bCs/>
              <w:color w:val="auto"/>
              <w:sz w:val="28"/>
              <w:szCs w:val="28"/>
              <w:lang w:val="en-US" w:eastAsia="zh-CN"/>
            </w:rPr>
            <w:fldChar w:fldCharType="end"/>
          </w:r>
        </w:p>
        <w:p w14:paraId="079B151D">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_Toc13160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一</w:t>
          </w:r>
          <w:r>
            <w:rPr>
              <w:rFonts w:hint="eastAsia"/>
              <w:bCs/>
              <w:color w:val="auto"/>
              <w:sz w:val="28"/>
              <w:szCs w:val="28"/>
              <w:lang w:eastAsia="zh-CN"/>
            </w:rPr>
            <w:t>）</w:t>
          </w:r>
          <w:r>
            <w:rPr>
              <w:rFonts w:hint="eastAsia"/>
              <w:bCs/>
              <w:color w:val="auto"/>
              <w:sz w:val="28"/>
              <w:szCs w:val="28"/>
            </w:rPr>
            <w:t>主要经验及做法</w:t>
          </w:r>
          <w:r>
            <w:rPr>
              <w:color w:val="auto"/>
              <w:sz w:val="28"/>
              <w:szCs w:val="28"/>
            </w:rPr>
            <w:tab/>
          </w:r>
          <w:r>
            <w:rPr>
              <w:color w:val="auto"/>
              <w:sz w:val="28"/>
              <w:szCs w:val="28"/>
            </w:rPr>
            <w:fldChar w:fldCharType="begin"/>
          </w:r>
          <w:r>
            <w:rPr>
              <w:color w:val="auto"/>
              <w:sz w:val="28"/>
              <w:szCs w:val="28"/>
            </w:rPr>
            <w:instrText xml:space="preserve"> PAGEREF _Toc13160 \h </w:instrText>
          </w:r>
          <w:r>
            <w:rPr>
              <w:color w:val="auto"/>
              <w:sz w:val="28"/>
              <w:szCs w:val="28"/>
            </w:rPr>
            <w:fldChar w:fldCharType="separate"/>
          </w:r>
          <w:r>
            <w:rPr>
              <w:color w:val="auto"/>
              <w:sz w:val="28"/>
              <w:szCs w:val="28"/>
            </w:rPr>
            <w:t>17</w:t>
          </w:r>
          <w:r>
            <w:rPr>
              <w:color w:val="auto"/>
              <w:sz w:val="28"/>
              <w:szCs w:val="28"/>
            </w:rPr>
            <w:fldChar w:fldCharType="end"/>
          </w:r>
          <w:r>
            <w:rPr>
              <w:rFonts w:hint="eastAsia"/>
              <w:color w:val="auto"/>
              <w:sz w:val="28"/>
              <w:szCs w:val="28"/>
              <w:lang w:val="en-US" w:eastAsia="zh-CN"/>
            </w:rPr>
            <w:fldChar w:fldCharType="end"/>
          </w:r>
        </w:p>
        <w:p w14:paraId="00EAB92A">
          <w:pPr>
            <w:pStyle w:val="19"/>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r>
            <w:rPr>
              <w:rFonts w:hint="eastAsia"/>
              <w:color w:val="auto"/>
              <w:sz w:val="28"/>
              <w:szCs w:val="28"/>
              <w:lang w:val="en-US" w:eastAsia="zh-CN"/>
            </w:rPr>
            <w:fldChar w:fldCharType="begin"/>
          </w:r>
          <w:r>
            <w:rPr>
              <w:rFonts w:hint="eastAsia"/>
              <w:color w:val="auto"/>
              <w:sz w:val="28"/>
              <w:szCs w:val="28"/>
              <w:lang w:val="en-US" w:eastAsia="zh-CN"/>
            </w:rPr>
            <w:instrText xml:space="preserve"> HYPERLINK \l _Toc9582 </w:instrText>
          </w:r>
          <w:r>
            <w:rPr>
              <w:rFonts w:hint="eastAsia"/>
              <w:color w:val="auto"/>
              <w:sz w:val="28"/>
              <w:szCs w:val="28"/>
              <w:lang w:val="en-US" w:eastAsia="zh-CN"/>
            </w:rPr>
            <w:fldChar w:fldCharType="separate"/>
          </w:r>
          <w:r>
            <w:rPr>
              <w:rFonts w:hint="eastAsia"/>
              <w:bCs/>
              <w:color w:val="auto"/>
              <w:sz w:val="28"/>
              <w:szCs w:val="28"/>
              <w:lang w:eastAsia="zh-CN"/>
            </w:rPr>
            <w:t>（</w:t>
          </w:r>
          <w:r>
            <w:rPr>
              <w:rFonts w:hint="eastAsia"/>
              <w:bCs/>
              <w:color w:val="auto"/>
              <w:sz w:val="28"/>
              <w:szCs w:val="28"/>
              <w:lang w:val="en-US" w:eastAsia="zh-CN"/>
            </w:rPr>
            <w:t>二</w:t>
          </w:r>
          <w:r>
            <w:rPr>
              <w:rFonts w:hint="eastAsia"/>
              <w:bCs/>
              <w:color w:val="auto"/>
              <w:sz w:val="28"/>
              <w:szCs w:val="28"/>
              <w:lang w:eastAsia="zh-CN"/>
            </w:rPr>
            <w:t>）</w:t>
          </w:r>
          <w:r>
            <w:rPr>
              <w:rFonts w:hint="eastAsia"/>
              <w:bCs/>
              <w:color w:val="auto"/>
              <w:sz w:val="28"/>
              <w:szCs w:val="28"/>
            </w:rPr>
            <w:t>存在的问题及原因分析</w:t>
          </w:r>
          <w:r>
            <w:rPr>
              <w:color w:val="auto"/>
              <w:sz w:val="28"/>
              <w:szCs w:val="28"/>
            </w:rPr>
            <w:tab/>
          </w:r>
          <w:r>
            <w:rPr>
              <w:color w:val="auto"/>
              <w:sz w:val="28"/>
              <w:szCs w:val="28"/>
            </w:rPr>
            <w:fldChar w:fldCharType="begin"/>
          </w:r>
          <w:r>
            <w:rPr>
              <w:color w:val="auto"/>
              <w:sz w:val="28"/>
              <w:szCs w:val="28"/>
            </w:rPr>
            <w:instrText xml:space="preserve"> PAGEREF _Toc9582 \h </w:instrText>
          </w:r>
          <w:r>
            <w:rPr>
              <w:color w:val="auto"/>
              <w:sz w:val="28"/>
              <w:szCs w:val="28"/>
            </w:rPr>
            <w:fldChar w:fldCharType="separate"/>
          </w:r>
          <w:r>
            <w:rPr>
              <w:color w:val="auto"/>
              <w:sz w:val="28"/>
              <w:szCs w:val="28"/>
            </w:rPr>
            <w:t>18</w:t>
          </w:r>
          <w:r>
            <w:rPr>
              <w:color w:val="auto"/>
              <w:sz w:val="28"/>
              <w:szCs w:val="28"/>
            </w:rPr>
            <w:fldChar w:fldCharType="end"/>
          </w:r>
          <w:r>
            <w:rPr>
              <w:rFonts w:hint="eastAsia"/>
              <w:color w:val="auto"/>
              <w:sz w:val="28"/>
              <w:szCs w:val="28"/>
              <w:lang w:val="en-US" w:eastAsia="zh-CN"/>
            </w:rPr>
            <w:fldChar w:fldCharType="end"/>
          </w:r>
        </w:p>
        <w:p w14:paraId="71273B3E">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_Toc5230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rPr>
            <w:tab/>
          </w:r>
          <w:r>
            <w:rPr>
              <w:b/>
              <w:bCs/>
              <w:color w:val="auto"/>
              <w:sz w:val="28"/>
              <w:szCs w:val="28"/>
            </w:rPr>
            <w:fldChar w:fldCharType="begin"/>
          </w:r>
          <w:r>
            <w:rPr>
              <w:b/>
              <w:bCs/>
              <w:color w:val="auto"/>
              <w:sz w:val="28"/>
              <w:szCs w:val="28"/>
            </w:rPr>
            <w:instrText xml:space="preserve"> PAGEREF _Toc5230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0C70D9F9">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rPr>
          </w:pPr>
          <w:r>
            <w:rPr>
              <w:rFonts w:hint="eastAsia"/>
              <w:b/>
              <w:bCs/>
              <w:color w:val="auto"/>
              <w:sz w:val="28"/>
              <w:szCs w:val="28"/>
              <w:lang w:val="en-US" w:eastAsia="zh-CN"/>
            </w:rPr>
            <w:fldChar w:fldCharType="begin"/>
          </w:r>
          <w:r>
            <w:rPr>
              <w:rFonts w:hint="eastAsia"/>
              <w:b/>
              <w:bCs/>
              <w:color w:val="auto"/>
              <w:sz w:val="28"/>
              <w:szCs w:val="28"/>
              <w:lang w:val="en-US" w:eastAsia="zh-CN"/>
            </w:rPr>
            <w:instrText xml:space="preserve"> HYPERLINK \l _Toc15618 </w:instrText>
          </w:r>
          <w:r>
            <w:rPr>
              <w:rFonts w:hint="eastAsia"/>
              <w:b/>
              <w:bCs/>
              <w:color w:val="auto"/>
              <w:sz w:val="28"/>
              <w:szCs w:val="28"/>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rPr>
            <w:tab/>
          </w:r>
          <w:r>
            <w:rPr>
              <w:b/>
              <w:bCs/>
              <w:color w:val="auto"/>
              <w:sz w:val="28"/>
              <w:szCs w:val="28"/>
            </w:rPr>
            <w:fldChar w:fldCharType="begin"/>
          </w:r>
          <w:r>
            <w:rPr>
              <w:b/>
              <w:bCs/>
              <w:color w:val="auto"/>
              <w:sz w:val="28"/>
              <w:szCs w:val="28"/>
            </w:rPr>
            <w:instrText xml:space="preserve"> PAGEREF _Toc15618 \h </w:instrText>
          </w:r>
          <w:r>
            <w:rPr>
              <w:b/>
              <w:bCs/>
              <w:color w:val="auto"/>
              <w:sz w:val="28"/>
              <w:szCs w:val="28"/>
            </w:rPr>
            <w:fldChar w:fldCharType="separate"/>
          </w:r>
          <w:r>
            <w:rPr>
              <w:b/>
              <w:bCs/>
              <w:color w:val="auto"/>
              <w:sz w:val="28"/>
              <w:szCs w:val="28"/>
            </w:rPr>
            <w:t>18</w:t>
          </w:r>
          <w:r>
            <w:rPr>
              <w:b/>
              <w:bCs/>
              <w:color w:val="auto"/>
              <w:sz w:val="28"/>
              <w:szCs w:val="28"/>
            </w:rPr>
            <w:fldChar w:fldCharType="end"/>
          </w:r>
          <w:r>
            <w:rPr>
              <w:rFonts w:hint="eastAsia"/>
              <w:b/>
              <w:bCs/>
              <w:color w:val="auto"/>
              <w:sz w:val="28"/>
              <w:szCs w:val="28"/>
              <w:lang w:val="en-US" w:eastAsia="zh-CN"/>
            </w:rPr>
            <w:fldChar w:fldCharType="end"/>
          </w:r>
        </w:p>
        <w:p w14:paraId="692B4693">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rPr>
          </w:pPr>
        </w:p>
        <w:p w14:paraId="4B6BE952">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lang w:val="en-US" w:eastAsia="zh-CN"/>
            </w:rPr>
            <w:fldChar w:fldCharType="end"/>
          </w:r>
        </w:p>
      </w:sdtContent>
    </w:sdt>
    <w:p w14:paraId="1F0CCAE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723" w:firstLineChars="200"/>
        <w:jc w:val="center"/>
        <w:textAlignment w:val="auto"/>
        <w:outlineLvl w:val="9"/>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阜康市供销社基层为农社会化服务中心改造提升项目</w:t>
      </w:r>
      <w:r>
        <w:rPr>
          <w:rFonts w:hint="eastAsia" w:ascii="宋体" w:hAnsi="宋体" w:eastAsia="宋体" w:cs="宋体"/>
          <w:b/>
          <w:bCs/>
          <w:color w:val="auto"/>
          <w:sz w:val="36"/>
          <w:szCs w:val="36"/>
          <w:highlight w:val="none"/>
          <w:shd w:val="clear" w:color="auto" w:fill="auto"/>
        </w:rPr>
        <w:t>支出绩效评价报告</w:t>
      </w:r>
      <w:bookmarkEnd w:id="1"/>
    </w:p>
    <w:p w14:paraId="26C9BC71">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35D1EFFE">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402E1D84">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6B424C7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Cs/>
          <w:color w:val="auto"/>
          <w:highlight w:val="none"/>
          <w:shd w:val="clear" w:color="auto" w:fill="auto"/>
          <w:lang w:val="zh-CN" w:eastAsia="zh-CN"/>
        </w:rPr>
        <w:t>为深入贯彻自治区、州农村工作会议精神对“乡村振兴战略”提出的任务和要求，结合昌吉州供销社《全面加强基层供销合作社的实施意见》和《加快推进为农社会化服务中心建设的实施</w:t>
      </w:r>
      <w:r>
        <w:rPr>
          <w:rFonts w:hint="eastAsia" w:ascii="宋体" w:hAnsi="宋体" w:eastAsia="宋体" w:cs="宋体"/>
          <w:bCs/>
          <w:color w:val="auto"/>
          <w:highlight w:val="none"/>
          <w:shd w:val="clear" w:color="auto" w:fill="auto"/>
          <w:lang w:val="en-US" w:eastAsia="zh-CN"/>
        </w:rPr>
        <w:t>方案</w:t>
      </w:r>
      <w:r>
        <w:rPr>
          <w:rFonts w:hint="eastAsia" w:ascii="宋体" w:hAnsi="宋体" w:eastAsia="宋体" w:cs="宋体"/>
          <w:bCs/>
          <w:color w:val="auto"/>
          <w:highlight w:val="none"/>
          <w:shd w:val="clear" w:color="auto" w:fill="auto"/>
          <w:lang w:val="zh-CN" w:eastAsia="zh-CN"/>
        </w:rPr>
        <w:t>》工作要求，阜康市供销社结合阜康市人民政府办公室印发阜康市为农社会化服务中心建设工作实施方案的通知阜政办</w:t>
      </w:r>
      <w:r>
        <w:rPr>
          <w:rFonts w:hint="eastAsia" w:ascii="宋体" w:hAnsi="宋体" w:eastAsia="宋体" w:cs="宋体"/>
          <w:bCs/>
          <w:color w:val="auto"/>
          <w:highlight w:val="none"/>
          <w:shd w:val="clear" w:color="auto" w:fill="auto"/>
          <w:lang w:val="en-US" w:eastAsia="zh-CN"/>
        </w:rPr>
        <w:t>[2018]93号文件，</w:t>
      </w:r>
      <w:r>
        <w:rPr>
          <w:rFonts w:hint="eastAsia" w:ascii="宋体" w:hAnsi="宋体" w:eastAsia="宋体" w:cs="宋体"/>
          <w:bCs/>
          <w:color w:val="auto"/>
          <w:highlight w:val="none"/>
          <w:shd w:val="clear" w:color="auto" w:fill="auto"/>
          <w:lang w:val="zh-CN" w:eastAsia="zh-CN"/>
        </w:rPr>
        <w:t>积极发挥供销社在服务乡村振兴战略中的职能作用，构建农业社会化服务体系，推进农业农村经济快速发展。</w:t>
      </w:r>
    </w:p>
    <w:p w14:paraId="6C0ADE3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bookmarkStart w:id="5" w:name="_Toc27343"/>
      <w:r>
        <w:rPr>
          <w:rFonts w:hint="eastAsia" w:ascii="宋体" w:hAnsi="宋体" w:eastAsia="宋体" w:cs="宋体"/>
          <w:bCs/>
          <w:color w:val="auto"/>
          <w:highlight w:val="none"/>
          <w:shd w:val="clear" w:color="auto" w:fill="auto"/>
          <w:lang w:val="en-US" w:eastAsia="zh-CN"/>
        </w:rPr>
        <w:t>2.</w:t>
      </w:r>
      <w:r>
        <w:rPr>
          <w:rFonts w:hint="eastAsia" w:ascii="宋体" w:hAnsi="宋体" w:eastAsia="宋体" w:cs="宋体"/>
          <w:bCs/>
          <w:color w:val="auto"/>
          <w:highlight w:val="none"/>
          <w:shd w:val="clear" w:color="auto" w:fill="auto"/>
          <w:lang w:eastAsia="zh-CN"/>
        </w:rPr>
        <w:t>主要内容及实施情况</w:t>
      </w:r>
      <w:bookmarkEnd w:id="5"/>
    </w:p>
    <w:p w14:paraId="7FC84F42">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jc w:val="both"/>
        <w:textAlignment w:val="auto"/>
        <w:outlineLvl w:val="9"/>
        <w:rPr>
          <w:rFonts w:hint="default" w:ascii="宋体" w:hAnsi="宋体" w:eastAsia="宋体" w:cs="宋体"/>
          <w:bCs/>
          <w:color w:val="auto"/>
          <w:highlight w:val="yellow"/>
          <w:shd w:val="clear" w:color="auto" w:fill="auto"/>
          <w:lang w:val="en-US" w:eastAsia="zh-CN"/>
        </w:rPr>
      </w:pPr>
      <w:bookmarkStart w:id="6" w:name="_Toc16592"/>
      <w:r>
        <w:rPr>
          <w:rFonts w:hint="eastAsia" w:ascii="宋体" w:hAnsi="宋体" w:eastAsia="宋体" w:cs="宋体"/>
          <w:bCs/>
          <w:color w:val="auto"/>
          <w:highlight w:val="none"/>
          <w:shd w:val="clear" w:color="auto" w:fill="auto"/>
          <w:lang w:val="en-US" w:eastAsia="zh-CN"/>
        </w:rPr>
        <w:t>主要内容：</w:t>
      </w:r>
      <w:bookmarkEnd w:id="6"/>
      <w:r>
        <w:rPr>
          <w:rFonts w:hint="eastAsia" w:ascii="宋体" w:hAnsi="宋体" w:eastAsia="宋体" w:cs="宋体"/>
          <w:bCs/>
          <w:color w:val="auto"/>
          <w:highlight w:val="none"/>
          <w:shd w:val="clear" w:color="auto" w:fill="auto"/>
          <w:lang w:val="en-US" w:eastAsia="zh-CN"/>
        </w:rPr>
        <w:t>阜康市供销社基层为农社会化服务中心建设内容及服务项目建设内容为主要以服务大厅、办公室、会议室面积130平方米，其中：服务大厅90平方米，办公室、会议室40平方米。购置办公设备、制作牌匾等为农服务配套设施。</w:t>
      </w:r>
    </w:p>
    <w:p w14:paraId="7387886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val="en-US" w:eastAsia="zh-CN"/>
        </w:rPr>
      </w:pPr>
      <w:r>
        <w:rPr>
          <w:rFonts w:hint="eastAsia" w:ascii="宋体" w:hAnsi="宋体" w:eastAsia="宋体" w:cs="宋体"/>
          <w:b/>
          <w:bCs w:val="0"/>
          <w:color w:val="auto"/>
          <w:highlight w:val="none"/>
          <w:shd w:val="clear" w:color="auto" w:fill="auto"/>
          <w:lang w:val="en-US" w:eastAsia="zh-CN"/>
        </w:rPr>
        <w:t>组织实施：</w:t>
      </w:r>
      <w:r>
        <w:rPr>
          <w:rFonts w:hint="eastAsia" w:ascii="宋体" w:hAnsi="宋体" w:eastAsia="宋体" w:cs="宋体"/>
          <w:bCs/>
          <w:color w:val="auto"/>
          <w:highlight w:val="none"/>
          <w:shd w:val="clear" w:color="auto" w:fill="auto"/>
          <w:lang w:val="en-US" w:eastAsia="zh-CN"/>
        </w:rPr>
        <w:t>本项目自2022年10月21日经《昌州财农【2022】46号关于拨付2022年自治州第一批农业产业化发展项目资金的通知》文件批复，经供销社党组会议，确定了项目领导小组，明确了责任分工：组长为加尔肯，项目负责人为</w:t>
      </w:r>
      <w:r>
        <w:rPr>
          <w:rFonts w:hint="eastAsia" w:ascii="宋体" w:hAnsi="宋体" w:eastAsia="宋体" w:cs="宋体"/>
          <w:bCs/>
          <w:color w:val="auto"/>
          <w:highlight w:val="none"/>
          <w:shd w:val="clear" w:color="auto" w:fill="auto"/>
          <w:lang w:eastAsia="zh-CN"/>
        </w:rPr>
        <w:t>李永忠</w:t>
      </w:r>
      <w:r>
        <w:rPr>
          <w:rFonts w:hint="eastAsia" w:ascii="宋体" w:hAnsi="宋体" w:eastAsia="宋体" w:cs="宋体"/>
          <w:bCs/>
          <w:color w:val="auto"/>
          <w:highlight w:val="none"/>
          <w:shd w:val="clear" w:color="auto" w:fill="auto"/>
          <w:lang w:val="en-US" w:eastAsia="zh-CN"/>
        </w:rPr>
        <w:t>,组员为许建。其中：加尔肯负责监管工作，李新东负责项目档案资料，马春燕负责资金拨付工作。</w:t>
      </w:r>
    </w:p>
    <w:p w14:paraId="38CD215E">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Cs/>
          <w:color w:val="auto"/>
          <w:highlight w:val="none"/>
          <w:shd w:val="clear" w:color="auto" w:fill="auto"/>
          <w:lang w:val="en-US" w:eastAsia="zh-CN"/>
        </w:rPr>
      </w:pPr>
      <w:r>
        <w:rPr>
          <w:rFonts w:hint="eastAsia" w:cs="宋体"/>
          <w:bCs/>
          <w:color w:val="auto"/>
          <w:highlight w:val="none"/>
          <w:shd w:val="clear" w:color="auto" w:fill="auto"/>
          <w:lang w:val="en-US" w:eastAsia="zh-CN"/>
        </w:rPr>
        <w:t>按照</w:t>
      </w:r>
      <w:r>
        <w:rPr>
          <w:rFonts w:hint="eastAsia" w:ascii="宋体" w:hAnsi="宋体" w:eastAsia="宋体" w:cs="宋体"/>
          <w:bCs/>
          <w:color w:val="auto"/>
          <w:highlight w:val="none"/>
          <w:shd w:val="clear" w:color="auto" w:fill="auto"/>
          <w:lang w:eastAsia="zh-CN"/>
        </w:rPr>
        <w:t>“前厅后院”的模式打造</w:t>
      </w:r>
      <w:r>
        <w:rPr>
          <w:rFonts w:hint="eastAsia" w:cs="宋体"/>
          <w:bCs/>
          <w:color w:val="auto"/>
          <w:highlight w:val="none"/>
          <w:shd w:val="clear" w:color="auto" w:fill="auto"/>
          <w:lang w:val="en-US" w:eastAsia="zh-CN"/>
        </w:rPr>
        <w:t>的</w:t>
      </w:r>
      <w:r>
        <w:rPr>
          <w:rFonts w:hint="eastAsia" w:ascii="宋体" w:hAnsi="宋体" w:eastAsia="宋体" w:cs="宋体"/>
          <w:bCs/>
          <w:color w:val="auto"/>
          <w:highlight w:val="none"/>
          <w:shd w:val="clear" w:color="auto" w:fill="auto"/>
          <w:lang w:eastAsia="zh-CN"/>
        </w:rPr>
        <w:t>面积</w:t>
      </w:r>
      <w:r>
        <w:rPr>
          <w:rFonts w:hint="eastAsia" w:ascii="宋体" w:hAnsi="宋体" w:eastAsia="宋体" w:cs="宋体"/>
          <w:bCs/>
          <w:color w:val="auto"/>
          <w:highlight w:val="none"/>
          <w:shd w:val="clear" w:color="auto" w:fill="auto"/>
          <w:lang w:val="en-US" w:eastAsia="zh-CN"/>
        </w:rPr>
        <w:t>130平方米的</w:t>
      </w:r>
      <w:r>
        <w:rPr>
          <w:rFonts w:hint="eastAsia" w:cs="宋体"/>
          <w:bCs/>
          <w:color w:val="auto"/>
          <w:highlight w:val="none"/>
          <w:shd w:val="clear" w:color="auto" w:fill="auto"/>
          <w:lang w:val="en-US" w:eastAsia="zh-CN"/>
        </w:rPr>
        <w:t>为</w:t>
      </w:r>
      <w:r>
        <w:rPr>
          <w:rFonts w:hint="eastAsia" w:ascii="宋体" w:hAnsi="宋体" w:eastAsia="宋体" w:cs="宋体"/>
          <w:bCs/>
          <w:color w:val="auto"/>
          <w:highlight w:val="none"/>
          <w:shd w:val="clear" w:color="auto" w:fill="auto"/>
          <w:lang w:eastAsia="zh-CN"/>
        </w:rPr>
        <w:t>农社会化服务中心</w:t>
      </w:r>
      <w:r>
        <w:rPr>
          <w:rFonts w:hint="eastAsia" w:cs="宋体"/>
          <w:bCs/>
          <w:color w:val="auto"/>
          <w:highlight w:val="none"/>
          <w:shd w:val="clear" w:color="auto" w:fill="auto"/>
          <w:lang w:eastAsia="zh-CN"/>
        </w:rPr>
        <w:t>，</w:t>
      </w:r>
      <w:r>
        <w:rPr>
          <w:rFonts w:hint="eastAsia" w:cs="宋体"/>
          <w:bCs/>
          <w:color w:val="auto"/>
          <w:highlight w:val="none"/>
          <w:shd w:val="clear" w:color="auto" w:fill="auto"/>
          <w:lang w:val="en-US" w:eastAsia="zh-CN"/>
        </w:rPr>
        <w:t>根据2022年12月8日昌吉州供销系统“为农社会化服务中心建设验收表，该项目已完成。</w:t>
      </w:r>
    </w:p>
    <w:p w14:paraId="71C4C99C">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color w:val="auto"/>
          <w:lang w:val="en-US" w:eastAsia="zh-CN"/>
        </w:rPr>
        <w:t xml:space="preserve"> </w:t>
      </w:r>
      <w:r>
        <w:rPr>
          <w:rFonts w:hint="eastAsia" w:ascii="宋体" w:hAnsi="宋体" w:eastAsia="宋体" w:cs="宋体"/>
          <w:color w:val="auto"/>
          <w:highlight w:val="none"/>
          <w:shd w:val="clear" w:color="auto" w:fill="auto"/>
          <w:lang w:val="en-US" w:eastAsia="zh-CN"/>
        </w:rPr>
        <w:t>3.资金投入和使用情况</w:t>
      </w:r>
      <w:bookmarkEnd w:id="7"/>
    </w:p>
    <w:p w14:paraId="63D893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FD24B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《阜康市供销社基层为农社会化服务中心改造提升项目</w:t>
      </w:r>
      <w:r>
        <w:rPr>
          <w:rFonts w:hint="eastAsia" w:ascii="宋体" w:hAnsi="宋体" w:eastAsia="宋体" w:cs="宋体"/>
          <w:color w:val="auto"/>
          <w:highlight w:val="none"/>
          <w:shd w:val="clear" w:color="auto" w:fill="auto"/>
          <w:lang w:val="en-US" w:eastAsia="zh-CN"/>
        </w:rPr>
        <w:t>项目</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F6369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D32691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截至2023年12月31日，《阜康市供销社基层为农社会化服务中心改造提升项目</w:t>
      </w:r>
      <w:r>
        <w:rPr>
          <w:rFonts w:hint="eastAsia" w:ascii="宋体" w:hAnsi="宋体" w:eastAsia="宋体" w:cs="宋体"/>
          <w:color w:val="auto"/>
          <w:highlight w:val="none"/>
          <w:shd w:val="clear" w:color="auto" w:fill="auto"/>
          <w:lang w:val="en-US" w:eastAsia="zh-CN"/>
        </w:rPr>
        <w:t>项目</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rPr>
        <w:t>项目实际支付资金</w:t>
      </w:r>
      <w:r>
        <w:rPr>
          <w:rFonts w:hint="eastAsia" w:cs="宋体"/>
          <w:color w:val="auto"/>
          <w:highlight w:val="none"/>
          <w:shd w:val="clear" w:color="auto" w:fill="auto"/>
          <w:lang w:val="en-US" w:eastAsia="zh-CN"/>
        </w:rPr>
        <w:t>10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为农社会化服务中心办公设施</w:t>
      </w:r>
      <w:r>
        <w:rPr>
          <w:rFonts w:hint="eastAsia" w:cs="宋体"/>
          <w:color w:val="auto"/>
          <w:highlight w:val="none"/>
          <w:shd w:val="clear" w:color="auto" w:fill="auto"/>
          <w:lang w:val="en-US" w:eastAsia="zh-CN"/>
        </w:rPr>
        <w:t>、办公场所维修费用两方面。</w:t>
      </w:r>
    </w:p>
    <w:p w14:paraId="7684EC90">
      <w:pPr>
        <w:pStyle w:val="5"/>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1E3CE773">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31F2A47">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yellow"/>
          <w:shd w:val="clear" w:color="auto" w:fill="auto"/>
          <w:lang w:val="en-US" w:eastAsia="zh-CN"/>
        </w:rPr>
      </w:pPr>
      <w:r>
        <w:rPr>
          <w:rFonts w:hint="eastAsia" w:cs="宋体"/>
          <w:color w:val="auto"/>
          <w:highlight w:val="none"/>
          <w:shd w:val="clear" w:color="auto" w:fill="auto"/>
          <w:lang w:val="en-US" w:eastAsia="zh-CN"/>
        </w:rPr>
        <w:t>阜康市供销社基层为农社会化服务中心改造提升</w:t>
      </w:r>
      <w:r>
        <w:rPr>
          <w:rFonts w:hint="eastAsia" w:ascii="宋体" w:hAnsi="宋体" w:eastAsia="宋体" w:cs="宋体"/>
          <w:color w:val="auto"/>
          <w:highlight w:val="none"/>
          <w:shd w:val="clear" w:color="auto" w:fill="auto"/>
          <w:lang w:val="en-US" w:eastAsia="zh-CN"/>
        </w:rPr>
        <w:t>项目</w:t>
      </w:r>
      <w:r>
        <w:rPr>
          <w:rFonts w:hint="eastAsia" w:cs="宋体"/>
          <w:color w:val="auto"/>
          <w:highlight w:val="none"/>
          <w:shd w:val="clear" w:color="auto" w:fill="auto"/>
          <w:lang w:val="en-US" w:eastAsia="zh-CN"/>
        </w:rPr>
        <w:t>绩效总体目标为： 根据《自治州关于加快农业全产业链培育发展的实施意见》、《供销合作社“十四五”县域流通服务网络强县标准》《关于公布2026年度供销合作社县域流通服务网络强县培育名单的通知》文件精神，改造供销系统6个村级综合服务社基础设施及配套设施，完善供销系统经营网络服务体系，促进商品便民流通。</w:t>
      </w:r>
    </w:p>
    <w:p w14:paraId="1C3515C8">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837C54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0521F4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5BCD87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1C90EF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支持供销社基层组织建设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1个</w:t>
      </w:r>
      <w:r>
        <w:rPr>
          <w:rFonts w:hint="eastAsia" w:ascii="宋体" w:hAnsi="宋体" w:eastAsia="宋体" w:cs="宋体"/>
          <w:color w:val="auto"/>
          <w:highlight w:val="none"/>
          <w:shd w:val="clear" w:color="auto" w:fill="auto"/>
          <w:lang w:val="en-US" w:eastAsia="zh-CN"/>
        </w:rPr>
        <w:t>；</w:t>
      </w:r>
    </w:p>
    <w:p w14:paraId="4C929034">
      <w:pPr>
        <w:pStyle w:val="5"/>
        <w:rPr>
          <w:rFonts w:hint="eastAsia" w:ascii="宋体" w:hAnsi="宋体" w:eastAsia="宋体" w:cs="宋体"/>
          <w:b w:val="0"/>
          <w:color w:val="auto"/>
          <w:kern w:val="2"/>
          <w:sz w:val="28"/>
          <w:szCs w:val="28"/>
          <w:highlight w:val="none"/>
          <w:shd w:val="clear" w:color="auto" w:fill="auto"/>
          <w:lang w:val="en-US" w:eastAsia="zh-CN" w:bidi="ar-SA"/>
        </w:rPr>
      </w:pPr>
      <w:r>
        <w:rPr>
          <w:rFonts w:hint="eastAsia" w:ascii="宋体" w:hAnsi="宋体" w:eastAsia="宋体" w:cs="宋体"/>
          <w:b w:val="0"/>
          <w:color w:val="auto"/>
          <w:kern w:val="2"/>
          <w:sz w:val="28"/>
          <w:szCs w:val="28"/>
          <w:highlight w:val="none"/>
          <w:shd w:val="clear" w:color="auto" w:fill="auto"/>
          <w:lang w:val="en-US" w:eastAsia="zh-CN" w:bidi="ar-SA"/>
        </w:rPr>
        <w:t>“改造提升基层为农社会化服务中心数量（个）”指标，预期目标值为≥1个；</w:t>
      </w:r>
    </w:p>
    <w:p w14:paraId="3F3C29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71DEC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年终项目验收合格率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14:paraId="57F657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72F682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项目开始时间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为2022</w:t>
      </w:r>
      <w:r>
        <w:rPr>
          <w:rFonts w:hint="eastAsia" w:cs="宋体"/>
          <w:color w:val="auto"/>
          <w:highlight w:val="none"/>
          <w:shd w:val="clear" w:color="auto" w:fill="auto"/>
          <w:lang w:val="en-US" w:eastAsia="zh-CN"/>
        </w:rPr>
        <w:t>年</w:t>
      </w:r>
      <w:r>
        <w:rPr>
          <w:rFonts w:hint="eastAsia" w:ascii="宋体" w:hAnsi="宋体" w:eastAsia="宋体" w:cs="宋体"/>
          <w:color w:val="auto"/>
          <w:highlight w:val="none"/>
          <w:shd w:val="clear" w:color="auto" w:fill="auto"/>
          <w:lang w:val="en-US" w:eastAsia="zh-CN"/>
        </w:rPr>
        <w:t>5</w:t>
      </w:r>
      <w:r>
        <w:rPr>
          <w:rFonts w:hint="eastAsia" w:cs="宋体"/>
          <w:color w:val="auto"/>
          <w:highlight w:val="none"/>
          <w:shd w:val="clear" w:color="auto" w:fill="auto"/>
          <w:lang w:val="en-US" w:eastAsia="zh-CN"/>
        </w:rPr>
        <w:t>月</w:t>
      </w:r>
      <w:r>
        <w:rPr>
          <w:rFonts w:hint="eastAsia" w:ascii="宋体" w:hAnsi="宋体" w:eastAsia="宋体" w:cs="宋体"/>
          <w:color w:val="auto"/>
          <w:highlight w:val="none"/>
          <w:shd w:val="clear" w:color="auto" w:fill="auto"/>
          <w:lang w:val="en-US" w:eastAsia="zh-CN"/>
        </w:rPr>
        <w:t>20</w:t>
      </w:r>
      <w:r>
        <w:rPr>
          <w:rFonts w:hint="eastAsia" w:cs="宋体"/>
          <w:color w:val="auto"/>
          <w:highlight w:val="none"/>
          <w:shd w:val="clear" w:color="auto" w:fill="auto"/>
          <w:lang w:val="en-US" w:eastAsia="zh-CN"/>
        </w:rPr>
        <w:t>日</w:t>
      </w:r>
      <w:r>
        <w:rPr>
          <w:rFonts w:hint="eastAsia" w:ascii="宋体" w:hAnsi="宋体" w:eastAsia="宋体" w:cs="宋体"/>
          <w:color w:val="auto"/>
          <w:highlight w:val="none"/>
          <w:shd w:val="clear" w:color="auto" w:fill="auto"/>
          <w:lang w:val="en-US" w:eastAsia="zh-CN"/>
        </w:rPr>
        <w:t>；</w:t>
      </w:r>
    </w:p>
    <w:p w14:paraId="35913A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“项目完成时间”指标，预期目标值为2022年12月31日；</w:t>
      </w:r>
    </w:p>
    <w:p w14:paraId="15FDAB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57738B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为农社会化服务中心办公设施</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为≤1.9万元；</w:t>
      </w:r>
    </w:p>
    <w:p w14:paraId="041907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lang w:val="en-US" w:eastAsia="zh-CN"/>
        </w:rPr>
        <w:t>“为农社会化服务中心办公场所维修费用”</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8.1</w:t>
      </w:r>
      <w:r>
        <w:rPr>
          <w:rFonts w:hint="eastAsia" w:ascii="宋体" w:hAnsi="宋体" w:eastAsia="宋体" w:cs="宋体"/>
          <w:color w:val="auto"/>
          <w:highlight w:val="none"/>
          <w:shd w:val="clear" w:color="auto" w:fill="auto"/>
          <w:lang w:val="en-US" w:eastAsia="zh-CN"/>
        </w:rPr>
        <w:t>万元；</w:t>
      </w:r>
    </w:p>
    <w:p w14:paraId="59074784">
      <w:pPr>
        <w:pageBreakBefore w:val="0"/>
        <w:widowControl w:val="0"/>
        <w:numPr>
          <w:ilvl w:val="0"/>
          <w:numId w:val="2"/>
        </w:numPr>
        <w:kinsoku/>
        <w:wordWrap/>
        <w:overflowPunct/>
        <w:topLinePunct w:val="0"/>
        <w:autoSpaceDE/>
        <w:autoSpaceDN/>
        <w:bidi w:val="0"/>
        <w:adjustRightInd/>
        <w:snapToGrid/>
        <w:spacing w:line="360" w:lineRule="auto"/>
        <w:ind w:left="0" w:leftChars="0" w:firstLine="280" w:firstLineChars="1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64CF20D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34448163">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本单位不涉及</w:t>
      </w:r>
      <w:r>
        <w:rPr>
          <w:rFonts w:hint="eastAsia" w:cs="宋体"/>
          <w:color w:val="auto"/>
          <w:highlight w:val="none"/>
          <w:shd w:val="clear" w:color="auto" w:fill="auto"/>
          <w:lang w:val="en-US" w:eastAsia="zh-CN"/>
        </w:rPr>
        <w:t>经济效益</w:t>
      </w:r>
      <w:r>
        <w:rPr>
          <w:rFonts w:hint="eastAsia" w:ascii="宋体" w:hAnsi="宋体" w:eastAsia="宋体" w:cs="宋体"/>
          <w:color w:val="auto"/>
          <w:highlight w:val="none"/>
          <w:shd w:val="clear" w:color="auto" w:fill="auto"/>
          <w:lang w:val="en-US" w:eastAsia="zh-CN"/>
        </w:rPr>
        <w:t>指标；</w:t>
      </w:r>
    </w:p>
    <w:p w14:paraId="52FC72BF">
      <w:pPr>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0B4743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为民服务质量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为明显提升；</w:t>
      </w:r>
    </w:p>
    <w:p w14:paraId="79080B49">
      <w:pPr>
        <w:pStyle w:val="5"/>
        <w:rPr>
          <w:rFonts w:hint="eastAsia" w:ascii="宋体" w:hAnsi="宋体" w:eastAsia="宋体" w:cs="宋体"/>
          <w:b w:val="0"/>
          <w:color w:val="auto"/>
          <w:kern w:val="2"/>
          <w:sz w:val="28"/>
          <w:szCs w:val="28"/>
          <w:highlight w:val="none"/>
          <w:shd w:val="clear" w:color="auto" w:fill="auto"/>
          <w:lang w:val="en-US" w:eastAsia="zh-CN" w:bidi="ar-SA"/>
        </w:rPr>
      </w:pPr>
      <w:r>
        <w:rPr>
          <w:rFonts w:hint="eastAsia" w:ascii="宋体" w:hAnsi="宋体" w:eastAsia="宋体" w:cs="宋体"/>
          <w:b w:val="0"/>
          <w:color w:val="auto"/>
          <w:kern w:val="2"/>
          <w:sz w:val="28"/>
          <w:szCs w:val="28"/>
          <w:highlight w:val="none"/>
          <w:shd w:val="clear" w:color="auto" w:fill="auto"/>
          <w:lang w:val="en-US" w:eastAsia="zh-CN" w:bidi="ar-SA"/>
        </w:rPr>
        <w:t>“供销社基层组织建设体系”，预期目标值为完善；</w:t>
      </w:r>
    </w:p>
    <w:p w14:paraId="6E240F6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16214400">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本单位不涉及</w:t>
      </w:r>
      <w:r>
        <w:rPr>
          <w:rFonts w:hint="eastAsia" w:cs="宋体"/>
          <w:color w:val="auto"/>
          <w:highlight w:val="none"/>
          <w:shd w:val="clear" w:color="auto" w:fill="auto"/>
          <w:lang w:val="en-US" w:eastAsia="zh-CN"/>
        </w:rPr>
        <w:t>生态效益指标</w:t>
      </w:r>
      <w:r>
        <w:rPr>
          <w:rFonts w:hint="eastAsia" w:ascii="宋体" w:hAnsi="宋体" w:eastAsia="宋体" w:cs="宋体"/>
          <w:color w:val="auto"/>
          <w:highlight w:val="none"/>
          <w:shd w:val="clear" w:color="auto" w:fill="auto"/>
          <w:lang w:val="en-US" w:eastAsia="zh-CN"/>
        </w:rPr>
        <w:t>；</w:t>
      </w:r>
    </w:p>
    <w:p w14:paraId="2AC345E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r>
        <w:rPr>
          <w:rFonts w:hint="eastAsia" w:cs="宋体"/>
          <w:color w:val="auto"/>
          <w:highlight w:val="none"/>
          <w:shd w:val="clear" w:color="auto" w:fill="auto"/>
          <w:lang w:val="en-US" w:eastAsia="zh-CN"/>
        </w:rPr>
        <w:t>指标</w:t>
      </w:r>
    </w:p>
    <w:p w14:paraId="03139F8B">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本单位不涉及可持续影响</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102E22D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06DA5B8">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本单位不涉及可持续影响</w:t>
      </w:r>
      <w:r>
        <w:rPr>
          <w:rFonts w:hint="eastAsia" w:cs="宋体"/>
          <w:color w:val="auto"/>
          <w:highlight w:val="none"/>
          <w:shd w:val="clear" w:color="auto" w:fill="auto"/>
          <w:lang w:val="en-US" w:eastAsia="zh-CN"/>
        </w:rPr>
        <w:t>指标</w:t>
      </w:r>
      <w:r>
        <w:rPr>
          <w:rFonts w:hint="eastAsia" w:ascii="宋体" w:hAnsi="宋体" w:eastAsia="宋体" w:cs="宋体"/>
          <w:color w:val="auto"/>
          <w:highlight w:val="none"/>
          <w:shd w:val="clear" w:color="auto" w:fill="auto"/>
          <w:lang w:val="en-US" w:eastAsia="zh-CN"/>
        </w:rPr>
        <w:t>；</w:t>
      </w:r>
    </w:p>
    <w:p w14:paraId="57BEEDBC">
      <w:pPr>
        <w:pStyle w:val="4"/>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0807A649">
      <w:pPr>
        <w:pStyle w:val="5"/>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5258"/>
      <w:bookmarkStart w:id="14" w:name="_Toc21664"/>
      <w:bookmarkStart w:id="15" w:name="_Toc480473081"/>
      <w:bookmarkStart w:id="16" w:name="_Toc22169_WPSOffice_Level2"/>
      <w:bookmarkStart w:id="17" w:name="_Toc12868"/>
      <w:bookmarkStart w:id="18" w:name="_Toc22922"/>
      <w:bookmarkStart w:id="19" w:name="_Toc5462343"/>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65194337">
      <w:pPr>
        <w:pStyle w:val="6"/>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3BEC05AF">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39FA7EF6">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583049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年度我单位实施的阜康市供销社基层为农社会化服务中心改造提升项目开展部门绩效评价。</w:t>
      </w:r>
    </w:p>
    <w:p w14:paraId="1DA863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7D965C87">
      <w:pPr>
        <w:pStyle w:val="5"/>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7EACEF7A">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3896704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ascii="宋体" w:hAnsi="宋体" w:eastAsia="宋体" w:cs="宋体"/>
          <w:color w:val="auto"/>
          <w:highlight w:val="none"/>
          <w:shd w:val="clear" w:color="auto" w:fill="auto"/>
          <w:lang w:val="en-US" w:eastAsia="zh-CN"/>
        </w:rPr>
        <w:t>阜康市供销社基层为农社会化服务中心改造提升</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30F49F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3D261A3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5CCA4D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328628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630DAB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2661CDCD">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1913"/>
      <w:bookmarkStart w:id="28" w:name="_Toc419984722"/>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70B462B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28567C8">
      <w:pPr>
        <w:jc w:val="center"/>
        <w:rPr>
          <w:rFonts w:hint="default"/>
          <w:b/>
          <w:bCs/>
          <w:color w:val="auto"/>
          <w:sz w:val="28"/>
          <w:szCs w:val="28"/>
          <w:lang w:val="en-US" w:eastAsia="zh-CN"/>
        </w:rPr>
      </w:pPr>
      <w:r>
        <w:rPr>
          <w:rFonts w:hint="eastAsia"/>
          <w:b/>
          <w:bCs/>
          <w:color w:val="auto"/>
          <w:sz w:val="28"/>
          <w:szCs w:val="28"/>
          <w:lang w:val="zh-TW" w:eastAsia="zh-TW"/>
        </w:rPr>
        <w:t>项目绩效评价指标体系</w:t>
      </w:r>
    </w:p>
    <w:tbl>
      <w:tblPr>
        <w:tblStyle w:val="13"/>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D0FA9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PrEx>
        <w:trPr>
          <w:trHeight w:val="570" w:hRule="atLeast"/>
          <w:tblHeader/>
          <w:jc w:val="center"/>
        </w:trPr>
        <w:tc>
          <w:tcPr>
            <w:tcW w:w="642" w:type="dxa"/>
            <w:shd w:val="clear" w:color="auto" w:fill="auto"/>
            <w:vAlign w:val="center"/>
          </w:tcPr>
          <w:p w14:paraId="7A240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02D5F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5FC7D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29E687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702CB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B3FB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00D5F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12E35C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134048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522E9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39452E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94FD4A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D1803A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50B2AE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59D766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8E9CB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2C0E80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32190E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47B49E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2C3B8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F9759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D0A01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D36C8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81FE19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819AD1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3E9400F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7ECAB37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576B7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D31DF3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09E3F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626650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CBEFF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440A721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0D9C94F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65C859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348817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1F15B4A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7B6D87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78F810B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70F0D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8DB99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0C6C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C4DDE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BE1FC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465B36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01ECC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DB559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0C736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545D2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0F1AA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8049EA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D1B90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3BD26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43DA2E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F3F24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6F509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80FEA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2C85B0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6D98E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63E7A6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1AC7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F4140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77AC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79A1E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6BC4E7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33481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32858A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A521C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5686F0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6FFDF0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2F0A79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730EA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1771EE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70F004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48B171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E5D17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D2B58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4D31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76826F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B4FA84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5813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2CD19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EA8AD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4F3B5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344398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498F0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2F429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302B6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D63F8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24F8BA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39CE04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3739A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E4F7CE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56A3BA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36F417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06B57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7C932D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E5EAA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0A52E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3DF520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3A36A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DF1C2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F085C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E1FB2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270C2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2259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BB443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179A3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E6B9B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37BD17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06BFE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679A8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3AD63E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61DC7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24E89D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F740D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3402F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6172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32EAF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1001D2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46597E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B219E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4F5D5F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BC38F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60968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8C4D1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7CF05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6B7DB31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46FF9E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1E2F11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BF4C6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67C572D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2EEABF3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40126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18A589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0403B9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0D31EF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CC253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25E97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87DCC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A15FD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12BC60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36E30D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6059B87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5A6E5A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E194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42D2CE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15553D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651C1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6C12E03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4D48E3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2148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14194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79C5B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73BBF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2A4A6F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4874F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7AD2B555">
      <w:pPr>
        <w:pStyle w:val="6"/>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276800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与实施情况进行比较，以及采取公众问卷及抽样调查等方式进行评判的方法对阜康市供销社基层为农社会化服务中心改造提升项目进行评价。</w:t>
      </w:r>
    </w:p>
    <w:p w14:paraId="0E949366">
      <w:pPr>
        <w:pStyle w:val="6"/>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0F1102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4F502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7B760F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28F33DD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0F08129A">
      <w:pPr>
        <w:pStyle w:val="6"/>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1DC0156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49615882">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5FC417B1">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79A24700">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4195CBAA">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供销社基层为农社会化服务中心改造提升项目实施内容、目标信息、预算信息以及其他的一些项目基本信息，有了初步了解，为制定绩效评价工作方案做好准备。</w:t>
      </w:r>
      <w:bookmarkEnd w:id="35"/>
    </w:p>
    <w:p w14:paraId="2A93EE5D">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5D6451EB">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57C1F80">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0F4EAB5D">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68A4DF95">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7E894F31">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53A5D0F0">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032DA79">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246FDC56">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4724DE6">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B2A7D16">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2A724744">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7F890A81">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36127831">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3BFB3A97">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0DC6947E">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6211E809">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FE4FA09">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196CB888">
      <w:pPr>
        <w:pStyle w:val="1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4824621F">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5654FA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阜康市供销社基层为农社会化服务中心改造提升项目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99.4</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3"/>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17A52EEA">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729754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color w:val="auto"/>
                <w:kern w:val="2"/>
                <w:sz w:val="28"/>
                <w:szCs w:val="28"/>
                <w:highlight w:val="none"/>
                <w:shd w:val="clear" w:color="auto" w:fill="auto"/>
                <w:lang w:val="en-US" w:eastAsia="zh-CN"/>
              </w:rPr>
              <w:t>阜康市供销社基层为农社会化服务中心改造提升项目</w:t>
            </w:r>
          </w:p>
          <w:p w14:paraId="0BA460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得分表</w:t>
            </w:r>
          </w:p>
        </w:tc>
      </w:tr>
      <w:tr w14:paraId="2093C23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E4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358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535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508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394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5157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318C2CD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8B7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445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8D3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149F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D3C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16F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617D67E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F36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F1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19.4</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381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FF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7B9F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0DB3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w:t>
            </w:r>
          </w:p>
        </w:tc>
      </w:tr>
      <w:tr w14:paraId="296A20F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30F1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4084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FD5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74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80B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0C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99.4</w:t>
            </w:r>
            <w:r>
              <w:rPr>
                <w:rFonts w:hint="eastAsia" w:ascii="宋体" w:hAnsi="宋体" w:eastAsia="宋体" w:cs="宋体"/>
                <w:color w:val="auto"/>
                <w:kern w:val="0"/>
                <w:sz w:val="21"/>
                <w:szCs w:val="21"/>
                <w:highlight w:val="none"/>
                <w:shd w:val="clear" w:color="auto" w:fill="auto"/>
                <w:lang w:val="en-US" w:eastAsia="zh-CN"/>
              </w:rPr>
              <w:t>%</w:t>
            </w:r>
          </w:p>
        </w:tc>
      </w:tr>
    </w:tbl>
    <w:p w14:paraId="2715C2BB">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3B6D34BA">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307B41C6">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19.4</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38FAA00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3"/>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A664923">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7AD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85B0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6B93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DF34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F19D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367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235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5FAE9C1">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B14FF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93A33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B650B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EE588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5E57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D5E9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F8AE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4C100E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3C47C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9891C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DB02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1A7A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DE8D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DAF8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BF8B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2.4</w:t>
            </w:r>
          </w:p>
        </w:tc>
      </w:tr>
      <w:tr w14:paraId="1E05A8C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A6FE6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54E08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0CC1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7ACB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E7EF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742E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AA78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B84CCA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F712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B1B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578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414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A6F3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17D8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8CC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1377A5F">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1827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3BB48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C296B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D1285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3DC5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391D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B6B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64FE5E6">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57F3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1FA0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A76D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D39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0392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9A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37D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1B8C2A6">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C85B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6263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F4F9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DA1E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494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19.4</w:t>
            </w:r>
          </w:p>
        </w:tc>
      </w:tr>
    </w:tbl>
    <w:p w14:paraId="5CF63C35">
      <w:pPr>
        <w:bidi w:val="0"/>
        <w:outlineLvl w:val="2"/>
        <w:rPr>
          <w:rFonts w:hint="default"/>
          <w:b/>
          <w:bCs/>
          <w:color w:val="auto"/>
          <w:lang w:val="en-US" w:eastAsia="zh-CN"/>
        </w:rPr>
      </w:pPr>
      <w:bookmarkStart w:id="58" w:name="_Toc13522"/>
      <w:r>
        <w:rPr>
          <w:rFonts w:hint="eastAsia"/>
          <w:b/>
          <w:bCs/>
          <w:color w:val="auto"/>
          <w:lang w:val="en-US" w:eastAsia="zh-CN"/>
        </w:rPr>
        <w:t>1.立项依据充分性</w:t>
      </w:r>
      <w:bookmarkEnd w:id="58"/>
    </w:p>
    <w:p w14:paraId="1E03B5A7">
      <w:pPr>
        <w:bidi w:val="0"/>
        <w:rPr>
          <w:rFonts w:hint="eastAsia" w:ascii="宋体" w:hAnsi="宋体" w:eastAsia="宋体" w:cs="宋体"/>
          <w:color w:val="auto"/>
          <w:highlight w:val="none"/>
          <w:shd w:val="clear" w:color="auto" w:fill="auto"/>
          <w:lang w:val="en-US" w:eastAsia="zh-CN"/>
        </w:rPr>
      </w:pPr>
      <w:r>
        <w:rPr>
          <w:rFonts w:hint="eastAsia"/>
          <w:color w:val="auto"/>
          <w:lang w:eastAsia="zh-CN"/>
        </w:rPr>
        <w:t>①</w:t>
      </w:r>
      <w:r>
        <w:rPr>
          <w:rFonts w:hint="eastAsia"/>
          <w:color w:val="auto"/>
          <w:highlight w:val="none"/>
          <w:lang w:eastAsia="zh-CN"/>
        </w:rPr>
        <w:t>项</w:t>
      </w:r>
      <w:r>
        <w:rPr>
          <w:rFonts w:hint="eastAsia" w:ascii="宋体" w:hAnsi="宋体" w:eastAsia="宋体" w:cs="宋体"/>
          <w:color w:val="auto"/>
          <w:highlight w:val="none"/>
          <w:shd w:val="clear" w:color="auto" w:fill="auto"/>
          <w:lang w:val="en-US" w:eastAsia="zh-CN"/>
        </w:rPr>
        <w:t>目立项符合昌州财农【2022】46号《关于拨付2022年自治州第一批农业产业化发展项目资金的通知》关于基层组织建设10万元专项资金</w:t>
      </w:r>
      <w:r>
        <w:rPr>
          <w:rFonts w:hint="eastAsia" w:cs="宋体"/>
          <w:color w:val="auto"/>
          <w:highlight w:val="none"/>
          <w:shd w:val="clear" w:color="auto" w:fill="auto"/>
          <w:lang w:val="en-US" w:eastAsia="zh-CN"/>
        </w:rPr>
        <w:t>文件精神</w:t>
      </w:r>
      <w:r>
        <w:rPr>
          <w:rFonts w:hint="eastAsia" w:ascii="宋体" w:hAnsi="宋体" w:eastAsia="宋体" w:cs="宋体"/>
          <w:color w:val="auto"/>
          <w:highlight w:val="none"/>
          <w:shd w:val="clear" w:color="auto" w:fill="auto"/>
          <w:lang w:val="en-US" w:eastAsia="zh-CN"/>
        </w:rPr>
        <w:t>。</w:t>
      </w:r>
    </w:p>
    <w:p w14:paraId="36024ED7">
      <w:pPr>
        <w:bidi w:val="0"/>
        <w:rPr>
          <w:rFonts w:hint="default" w:ascii="宋体" w:hAnsi="宋体" w:eastAsia="宋体" w:cs="宋体"/>
          <w:color w:val="auto"/>
          <w:kern w:val="2"/>
          <w:sz w:val="28"/>
          <w:szCs w:val="28"/>
          <w:highlight w:val="none"/>
          <w:shd w:val="clear" w:color="auto" w:fill="auto"/>
          <w:lang w:val="en-US" w:eastAsia="zh-CN" w:bidi="ar-SA"/>
        </w:rPr>
      </w:pPr>
      <w:r>
        <w:rPr>
          <w:rFonts w:hint="eastAsia"/>
          <w:color w:val="auto"/>
          <w:highlight w:val="none"/>
          <w:lang w:eastAsia="zh-CN"/>
        </w:rPr>
        <w:t>②项目立项符</w:t>
      </w:r>
      <w:r>
        <w:rPr>
          <w:rFonts w:hint="eastAsia" w:ascii="宋体" w:hAnsi="宋体" w:eastAsia="宋体" w:cs="宋体"/>
          <w:color w:val="auto"/>
          <w:kern w:val="2"/>
          <w:sz w:val="28"/>
          <w:szCs w:val="28"/>
          <w:highlight w:val="none"/>
          <w:lang w:val="en-US" w:eastAsia="zh-CN" w:bidi="ar-SA"/>
        </w:rPr>
        <w:t>昌州财农【2022】46号《关于拨付2022年自治州第一批农业产业化发展项目资金的通知》关于基层组织建设10万元专项资金</w:t>
      </w:r>
      <w:r>
        <w:rPr>
          <w:rFonts w:hint="eastAsia" w:cs="宋体"/>
          <w:color w:val="auto"/>
          <w:highlight w:val="none"/>
          <w:shd w:val="clear" w:color="auto" w:fill="auto"/>
          <w:lang w:val="en-US" w:eastAsia="zh-CN"/>
        </w:rPr>
        <w:t>文件精神</w:t>
      </w:r>
      <w:r>
        <w:rPr>
          <w:rFonts w:hint="eastAsia" w:ascii="宋体" w:hAnsi="宋体" w:eastAsia="宋体" w:cs="宋体"/>
          <w:color w:val="auto"/>
          <w:kern w:val="2"/>
          <w:sz w:val="28"/>
          <w:szCs w:val="28"/>
          <w:highlight w:val="none"/>
          <w:lang w:val="en-US" w:eastAsia="zh-CN" w:bidi="ar-SA"/>
        </w:rPr>
        <w:t>。</w:t>
      </w:r>
      <w:r>
        <w:rPr>
          <w:rFonts w:hint="eastAsia" w:cs="宋体"/>
          <w:color w:val="auto"/>
          <w:kern w:val="2"/>
          <w:sz w:val="28"/>
          <w:szCs w:val="28"/>
          <w:highlight w:val="none"/>
          <w:lang w:val="en-US" w:eastAsia="zh-CN" w:bidi="ar-SA"/>
        </w:rPr>
        <w:t>满足供销系统</w:t>
      </w:r>
      <w:r>
        <w:rPr>
          <w:rFonts w:hint="eastAsia" w:ascii="宋体" w:hAnsi="宋体" w:eastAsia="宋体" w:cs="宋体"/>
          <w:color w:val="auto"/>
          <w:kern w:val="2"/>
          <w:sz w:val="28"/>
          <w:szCs w:val="28"/>
          <w:highlight w:val="none"/>
          <w:shd w:val="clear" w:color="auto" w:fill="auto"/>
          <w:lang w:val="en-US" w:eastAsia="zh-CN" w:bidi="ar-SA"/>
        </w:rPr>
        <w:t>围绕构建为农服务综合平台这一主线，建立健全农业社会化服务体系</w:t>
      </w:r>
      <w:r>
        <w:rPr>
          <w:rFonts w:hint="eastAsia" w:cs="宋体"/>
          <w:color w:val="auto"/>
          <w:kern w:val="2"/>
          <w:sz w:val="28"/>
          <w:szCs w:val="28"/>
          <w:highlight w:val="none"/>
          <w:shd w:val="clear" w:color="auto" w:fill="auto"/>
          <w:lang w:val="en-US" w:eastAsia="zh-CN" w:bidi="ar-SA"/>
        </w:rPr>
        <w:t>宗旨建立</w:t>
      </w:r>
      <w:r>
        <w:rPr>
          <w:rFonts w:hint="eastAsia" w:ascii="宋体" w:hAnsi="宋体" w:eastAsia="宋体" w:cs="宋体"/>
          <w:color w:val="auto"/>
          <w:kern w:val="2"/>
          <w:sz w:val="28"/>
          <w:szCs w:val="28"/>
          <w:highlight w:val="none"/>
          <w:shd w:val="clear" w:color="auto" w:fill="auto"/>
          <w:lang w:val="en-US" w:eastAsia="zh-CN" w:bidi="ar-SA"/>
        </w:rPr>
        <w:t>城关镇为农社会化服务中心</w:t>
      </w:r>
      <w:r>
        <w:rPr>
          <w:rFonts w:hint="eastAsia" w:cs="宋体"/>
          <w:color w:val="auto"/>
          <w:kern w:val="2"/>
          <w:sz w:val="28"/>
          <w:szCs w:val="28"/>
          <w:highlight w:val="none"/>
          <w:shd w:val="clear" w:color="auto" w:fill="auto"/>
          <w:lang w:val="en-US" w:eastAsia="zh-CN" w:bidi="ar-SA"/>
        </w:rPr>
        <w:t>。</w:t>
      </w:r>
    </w:p>
    <w:p w14:paraId="4FE3C064">
      <w:pPr>
        <w:bidi w:val="0"/>
        <w:rPr>
          <w:rFonts w:hint="eastAsia" w:ascii="宋体" w:hAnsi="宋体" w:eastAsia="宋体" w:cs="宋体"/>
          <w:color w:val="auto"/>
          <w:kern w:val="2"/>
          <w:sz w:val="28"/>
          <w:szCs w:val="28"/>
          <w:highlight w:val="none"/>
          <w:shd w:val="clear" w:color="auto" w:fill="auto"/>
          <w:lang w:val="en-US" w:eastAsia="zh-CN" w:bidi="ar-SA"/>
        </w:rPr>
      </w:pPr>
      <w:r>
        <w:rPr>
          <w:rFonts w:hint="eastAsia"/>
          <w:color w:val="auto"/>
          <w:lang w:eastAsia="zh-CN"/>
        </w:rPr>
        <w:t>③项目立项与部门职责范围相符，属于部门履职所需；</w:t>
      </w:r>
      <w:r>
        <w:rPr>
          <w:rFonts w:hint="eastAsia" w:cs="宋体"/>
          <w:color w:val="auto"/>
          <w:kern w:val="2"/>
          <w:sz w:val="28"/>
          <w:szCs w:val="28"/>
          <w:highlight w:val="none"/>
          <w:shd w:val="clear" w:color="auto" w:fill="auto"/>
          <w:lang w:val="en-US" w:eastAsia="zh-CN" w:bidi="ar-SA"/>
        </w:rPr>
        <w:t>城关供销合作社</w:t>
      </w:r>
      <w:r>
        <w:rPr>
          <w:rFonts w:hint="eastAsia" w:ascii="宋体" w:hAnsi="宋体" w:eastAsia="宋体" w:cs="宋体"/>
          <w:color w:val="auto"/>
          <w:kern w:val="2"/>
          <w:sz w:val="28"/>
          <w:szCs w:val="28"/>
          <w:highlight w:val="none"/>
          <w:shd w:val="clear" w:color="auto" w:fill="auto"/>
          <w:lang w:val="en-US" w:eastAsia="zh-CN" w:bidi="ar-SA"/>
        </w:rPr>
        <w:t>围绕构建为农服务综合平台这一主线，建立健全农业社会化服务体系，坚持“政府支持、供销主办、社会参与、市场运作”的原则，加快推动为农社会化服务中心建设。根据城关镇地域实际情况，以“前厅后院”的模式进行打造“城关镇为农社会化服务中心”。</w:t>
      </w:r>
    </w:p>
    <w:p w14:paraId="06A68CEA">
      <w:pPr>
        <w:bidi w:val="0"/>
        <w:rPr>
          <w:rFonts w:hint="eastAsia"/>
          <w:color w:val="auto"/>
          <w:lang w:eastAsia="zh-CN"/>
        </w:rPr>
      </w:pPr>
      <w:r>
        <w:rPr>
          <w:rFonts w:hint="eastAsia"/>
          <w:color w:val="auto"/>
          <w:lang w:eastAsia="zh-CN"/>
        </w:rPr>
        <w:t>④项目属于公共财政支持范围，符合中央、地方事权支出责任划分原则；</w:t>
      </w:r>
    </w:p>
    <w:p w14:paraId="1D0F569A">
      <w:pPr>
        <w:bidi w:val="0"/>
        <w:rPr>
          <w:rFonts w:hint="eastAsia"/>
          <w:color w:val="auto"/>
          <w:lang w:eastAsia="zh-CN"/>
        </w:rPr>
      </w:pPr>
      <w:r>
        <w:rPr>
          <w:rFonts w:hint="eastAsia"/>
          <w:color w:val="auto"/>
          <w:lang w:eastAsia="zh-CN"/>
        </w:rPr>
        <w:t>⑤项目与相关部门同类项目或部门内部相关项目</w:t>
      </w:r>
      <w:r>
        <w:rPr>
          <w:rFonts w:hint="eastAsia"/>
          <w:color w:val="auto"/>
          <w:lang w:val="en-US" w:eastAsia="zh-CN"/>
        </w:rPr>
        <w:t>不</w:t>
      </w:r>
      <w:r>
        <w:rPr>
          <w:rFonts w:hint="eastAsia"/>
          <w:color w:val="auto"/>
          <w:lang w:eastAsia="zh-CN"/>
        </w:rPr>
        <w:t>重复。</w:t>
      </w:r>
    </w:p>
    <w:p w14:paraId="221066D1">
      <w:pPr>
        <w:bidi w:val="0"/>
        <w:rPr>
          <w:rFonts w:hint="default"/>
          <w:color w:val="auto"/>
          <w:lang w:val="en-US" w:eastAsia="zh-CN"/>
        </w:rPr>
      </w:pPr>
      <w:r>
        <w:rPr>
          <w:rFonts w:hint="eastAsia"/>
          <w:b/>
          <w:bCs/>
          <w:color w:val="auto"/>
          <w:lang w:val="en-US" w:eastAsia="zh-CN"/>
        </w:rPr>
        <w:t>综上，该项指标满分2分，得分2分。</w:t>
      </w:r>
    </w:p>
    <w:p w14:paraId="4FE70A36">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57700451">
      <w:pPr>
        <w:bidi w:val="0"/>
        <w:rPr>
          <w:rFonts w:hint="eastAsia"/>
          <w:color w:val="auto"/>
          <w:highlight w:val="none"/>
          <w:lang w:eastAsia="zh-CN"/>
        </w:rPr>
      </w:pPr>
      <w:r>
        <w:rPr>
          <w:rFonts w:hint="eastAsia"/>
          <w:color w:val="auto"/>
          <w:highlight w:val="none"/>
          <w:lang w:eastAsia="zh-CN"/>
        </w:rPr>
        <w:t>①项目按照规定的程序申请设立；</w:t>
      </w:r>
    </w:p>
    <w:p w14:paraId="404539F1">
      <w:pPr>
        <w:bidi w:val="0"/>
        <w:rPr>
          <w:rFonts w:hint="eastAsia"/>
          <w:color w:val="auto"/>
          <w:highlight w:val="none"/>
          <w:lang w:eastAsia="zh-CN"/>
        </w:rPr>
      </w:pPr>
      <w:r>
        <w:rPr>
          <w:rFonts w:hint="eastAsia"/>
          <w:color w:val="auto"/>
          <w:highlight w:val="none"/>
          <w:lang w:eastAsia="zh-CN"/>
        </w:rPr>
        <w:t>②审批文件、材料符合相关要求；</w:t>
      </w:r>
    </w:p>
    <w:p w14:paraId="5495BDC9">
      <w:pPr>
        <w:ind w:firstLine="56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已</w:t>
      </w:r>
      <w:r>
        <w:rPr>
          <w:rFonts w:hint="eastAsia"/>
          <w:color w:val="auto"/>
          <w:highlight w:val="none"/>
          <w:lang w:eastAsia="zh-CN"/>
        </w:rPr>
        <w:t>经过必要的可行性研究、集体决策。</w:t>
      </w:r>
      <w:r>
        <w:rPr>
          <w:rFonts w:hint="eastAsia"/>
          <w:color w:val="auto"/>
          <w:highlight w:val="none"/>
          <w:lang w:val="en-US" w:eastAsia="zh-CN"/>
        </w:rPr>
        <w:t>未经过</w:t>
      </w:r>
      <w:r>
        <w:rPr>
          <w:rFonts w:hint="eastAsia"/>
          <w:color w:val="auto"/>
          <w:highlight w:val="none"/>
          <w:lang w:eastAsia="zh-CN"/>
        </w:rPr>
        <w:t>专家论证、风险评估、</w:t>
      </w:r>
      <w:r>
        <w:rPr>
          <w:rFonts w:hint="eastAsia"/>
          <w:color w:val="auto"/>
          <w:highlight w:val="none"/>
          <w:lang w:val="en-US" w:eastAsia="zh-CN"/>
        </w:rPr>
        <w:t>绩效评估</w:t>
      </w:r>
      <w:r>
        <w:rPr>
          <w:rFonts w:hint="eastAsia"/>
          <w:color w:val="auto"/>
          <w:highlight w:val="none"/>
          <w:lang w:eastAsia="zh-CN"/>
        </w:rPr>
        <w:t>。</w:t>
      </w:r>
      <w:r>
        <w:rPr>
          <w:rFonts w:hint="eastAsia"/>
          <w:color w:val="auto"/>
          <w:highlight w:val="none"/>
          <w:lang w:val="en-US" w:eastAsia="zh-CN"/>
        </w:rPr>
        <w:t>扣0.6分</w:t>
      </w:r>
    </w:p>
    <w:p w14:paraId="74B9121C">
      <w:pPr>
        <w:bidi w:val="0"/>
        <w:rPr>
          <w:rFonts w:hint="eastAsia"/>
          <w:color w:val="auto"/>
          <w:highlight w:val="none"/>
          <w:lang w:eastAsia="zh-CN"/>
        </w:rPr>
      </w:pPr>
      <w:r>
        <w:rPr>
          <w:rFonts w:hint="eastAsia"/>
          <w:b/>
          <w:bCs/>
          <w:color w:val="auto"/>
          <w:highlight w:val="none"/>
          <w:lang w:val="en-US" w:eastAsia="zh-CN"/>
        </w:rPr>
        <w:t>综上，该项指标满分3分，得分2.4分。</w:t>
      </w:r>
    </w:p>
    <w:p w14:paraId="72A7D5B1">
      <w:pPr>
        <w:bidi w:val="0"/>
        <w:outlineLvl w:val="2"/>
        <w:rPr>
          <w:rFonts w:hint="default"/>
          <w:b/>
          <w:bCs/>
          <w:color w:val="auto"/>
          <w:lang w:val="en-US" w:eastAsia="zh-CN"/>
        </w:rPr>
      </w:pPr>
      <w:bookmarkStart w:id="60" w:name="_Toc15382"/>
      <w:r>
        <w:rPr>
          <w:rFonts w:hint="eastAsia"/>
          <w:b/>
          <w:bCs/>
          <w:color w:val="auto"/>
          <w:lang w:val="en-US" w:eastAsia="zh-CN"/>
        </w:rPr>
        <w:t>3.绩效目标合理性</w:t>
      </w:r>
      <w:bookmarkEnd w:id="60"/>
    </w:p>
    <w:p w14:paraId="55529BC3">
      <w:pPr>
        <w:bidi w:val="0"/>
        <w:rPr>
          <w:rFonts w:hint="eastAsia"/>
          <w:color w:val="auto"/>
          <w:highlight w:val="none"/>
          <w:lang w:eastAsia="zh-CN"/>
        </w:rPr>
      </w:pPr>
      <w:r>
        <w:rPr>
          <w:rFonts w:hint="eastAsia"/>
          <w:color w:val="auto"/>
          <w:highlight w:val="none"/>
          <w:lang w:eastAsia="zh-CN"/>
        </w:rPr>
        <w:t>①项目有绩效目标；</w:t>
      </w:r>
    </w:p>
    <w:p w14:paraId="227B8ED6">
      <w:pPr>
        <w:bidi w:val="0"/>
        <w:rPr>
          <w:rFonts w:hint="eastAsia"/>
          <w:color w:val="auto"/>
          <w:highlight w:val="none"/>
          <w:lang w:eastAsia="zh-CN"/>
        </w:rPr>
      </w:pPr>
      <w:r>
        <w:rPr>
          <w:rFonts w:hint="eastAsia"/>
          <w:color w:val="auto"/>
          <w:highlight w:val="none"/>
          <w:lang w:eastAsia="zh-CN"/>
        </w:rPr>
        <w:t>②项目绩效目标与实际工作内容阜康市供销社基层为农社会化服务中心建设内容及服务项目建设内容为主要以服务大厅、办公室、会议室面积130平方米，其中：服务大厅90平方米，办公室、会议室40平方米。购置办公设备、制作牌匾等为农服务配套设施具有相关性；</w:t>
      </w:r>
    </w:p>
    <w:p w14:paraId="240CB994">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399A028D">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5D365CFC">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884BA98">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04AA0BC4">
      <w:pPr>
        <w:bidi w:val="0"/>
        <w:rPr>
          <w:rFonts w:hint="eastAsia"/>
          <w:color w:val="auto"/>
          <w:highlight w:val="none"/>
          <w:lang w:eastAsia="zh-CN"/>
        </w:rPr>
      </w:pPr>
      <w:r>
        <w:rPr>
          <w:rFonts w:hint="eastAsia"/>
          <w:color w:val="auto"/>
          <w:highlight w:val="none"/>
          <w:lang w:eastAsia="zh-CN"/>
        </w:rPr>
        <w:t>①将项目绩效目标细化分解为具体的绩效指标；</w:t>
      </w:r>
    </w:p>
    <w:p w14:paraId="16162F3E">
      <w:pPr>
        <w:bidi w:val="0"/>
        <w:rPr>
          <w:rFonts w:hint="eastAsia"/>
          <w:color w:val="auto"/>
          <w:highlight w:val="none"/>
          <w:lang w:eastAsia="zh-CN"/>
        </w:rPr>
      </w:pPr>
      <w:r>
        <w:rPr>
          <w:rFonts w:hint="eastAsia"/>
          <w:color w:val="auto"/>
          <w:highlight w:val="none"/>
          <w:lang w:eastAsia="zh-CN"/>
        </w:rPr>
        <w:t>②通过清晰、可衡量的指标值予以体现；</w:t>
      </w:r>
    </w:p>
    <w:p w14:paraId="6D08BDF7">
      <w:pPr>
        <w:bidi w:val="0"/>
        <w:rPr>
          <w:rFonts w:hint="eastAsia"/>
          <w:color w:val="auto"/>
          <w:highlight w:val="none"/>
          <w:lang w:eastAsia="zh-CN"/>
        </w:rPr>
      </w:pPr>
      <w:r>
        <w:rPr>
          <w:rFonts w:hint="eastAsia"/>
          <w:color w:val="auto"/>
          <w:highlight w:val="none"/>
          <w:lang w:eastAsia="zh-CN"/>
        </w:rPr>
        <w:t>③与项目目标任务数或计划数相对应。</w:t>
      </w:r>
    </w:p>
    <w:p w14:paraId="266710A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28F746EF">
      <w:pPr>
        <w:bidi w:val="0"/>
        <w:outlineLvl w:val="2"/>
        <w:rPr>
          <w:rFonts w:hint="default"/>
          <w:b/>
          <w:bCs/>
          <w:color w:val="auto"/>
          <w:lang w:val="en-US" w:eastAsia="zh-CN"/>
        </w:rPr>
      </w:pPr>
      <w:bookmarkStart w:id="62" w:name="_Toc19401"/>
      <w:r>
        <w:rPr>
          <w:rFonts w:hint="eastAsia"/>
          <w:b/>
          <w:bCs/>
          <w:color w:val="auto"/>
          <w:lang w:val="en-US" w:eastAsia="zh-CN"/>
        </w:rPr>
        <w:t>5.预算编制科学性</w:t>
      </w:r>
      <w:bookmarkEnd w:id="62"/>
    </w:p>
    <w:p w14:paraId="4A0F74D1">
      <w:pPr>
        <w:bidi w:val="0"/>
        <w:rPr>
          <w:rFonts w:hint="eastAsia"/>
          <w:color w:val="auto"/>
          <w:highlight w:val="none"/>
          <w:lang w:eastAsia="zh-CN"/>
        </w:rPr>
      </w:pPr>
      <w:r>
        <w:rPr>
          <w:rFonts w:hint="eastAsia"/>
          <w:color w:val="auto"/>
          <w:highlight w:val="none"/>
          <w:lang w:eastAsia="zh-CN"/>
        </w:rPr>
        <w:t>①预算编制经过科学论证；</w:t>
      </w:r>
    </w:p>
    <w:p w14:paraId="58B3A9F0">
      <w:pPr>
        <w:bidi w:val="0"/>
        <w:rPr>
          <w:rFonts w:hint="eastAsia"/>
          <w:color w:val="auto"/>
          <w:highlight w:val="none"/>
          <w:lang w:eastAsia="zh-CN"/>
        </w:rPr>
      </w:pPr>
      <w:r>
        <w:rPr>
          <w:rFonts w:hint="eastAsia"/>
          <w:color w:val="auto"/>
          <w:highlight w:val="none"/>
          <w:lang w:eastAsia="zh-CN"/>
        </w:rPr>
        <w:t>②预算内容与项目内容</w:t>
      </w:r>
      <w:r>
        <w:rPr>
          <w:rFonts w:hint="eastAsia" w:ascii="仿宋_GB2312" w:hAnsi="仿宋_GB2312" w:eastAsia="仿宋_GB2312" w:cs="仿宋_GB2312"/>
          <w:color w:val="auto"/>
          <w:spacing w:val="-4"/>
          <w:sz w:val="32"/>
          <w:szCs w:val="32"/>
          <w:lang w:val="en-US" w:eastAsia="zh-CN"/>
        </w:rPr>
        <w:t>阜</w:t>
      </w:r>
      <w:r>
        <w:rPr>
          <w:rFonts w:hint="eastAsia"/>
          <w:color w:val="auto"/>
          <w:highlight w:val="none"/>
          <w:lang w:val="en-US" w:eastAsia="zh-CN"/>
        </w:rPr>
        <w:t>康市供销社基层为农社会化服务中心建设内容及服务项目建设内容为主要以服务大厅、办公室、会议室面积130平方米，其中：服务大厅90平方米，办公室、会议室40平方米。购置办公设备、制作牌匾等为农服务配套设施</w:t>
      </w:r>
      <w:r>
        <w:rPr>
          <w:rFonts w:hint="eastAsia"/>
          <w:color w:val="auto"/>
          <w:highlight w:val="none"/>
          <w:lang w:eastAsia="zh-CN"/>
        </w:rPr>
        <w:t>匹配；</w:t>
      </w:r>
    </w:p>
    <w:p w14:paraId="7D7688C4">
      <w:pPr>
        <w:bidi w:val="0"/>
        <w:rPr>
          <w:rFonts w:hint="eastAsia"/>
          <w:color w:val="auto"/>
          <w:highlight w:val="none"/>
          <w:lang w:eastAsia="zh-CN"/>
        </w:rPr>
      </w:pPr>
      <w:r>
        <w:rPr>
          <w:rFonts w:hint="eastAsia"/>
          <w:color w:val="auto"/>
          <w:highlight w:val="none"/>
          <w:lang w:eastAsia="zh-CN"/>
        </w:rPr>
        <w:t>③预算额度测算依据充分，按照标准编制；</w:t>
      </w:r>
    </w:p>
    <w:p w14:paraId="36C3DB50">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60DC53BA">
      <w:pPr>
        <w:bidi w:val="0"/>
        <w:rPr>
          <w:rFonts w:hint="eastAsia"/>
          <w:color w:val="auto"/>
          <w:lang w:eastAsia="zh-CN"/>
        </w:rPr>
      </w:pPr>
      <w:r>
        <w:rPr>
          <w:rFonts w:hint="eastAsia"/>
          <w:b/>
          <w:bCs/>
          <w:color w:val="auto"/>
          <w:lang w:val="en-US" w:eastAsia="zh-CN"/>
        </w:rPr>
        <w:t>综上，该项指标满分2分，得分2分。</w:t>
      </w:r>
    </w:p>
    <w:p w14:paraId="6E45A8E9">
      <w:pPr>
        <w:bidi w:val="0"/>
        <w:outlineLvl w:val="2"/>
        <w:rPr>
          <w:rFonts w:hint="default"/>
          <w:b/>
          <w:bCs/>
          <w:color w:val="auto"/>
          <w:lang w:val="en-US" w:eastAsia="zh-CN"/>
        </w:rPr>
      </w:pPr>
      <w:bookmarkStart w:id="63" w:name="_Toc697"/>
      <w:r>
        <w:rPr>
          <w:rFonts w:hint="eastAsia"/>
          <w:b/>
          <w:bCs/>
          <w:color w:val="auto"/>
          <w:lang w:val="en-US" w:eastAsia="zh-CN"/>
        </w:rPr>
        <w:t>6.资金分配合理性</w:t>
      </w:r>
      <w:bookmarkEnd w:id="63"/>
    </w:p>
    <w:p w14:paraId="64A73BE1">
      <w:pPr>
        <w:bidi w:val="0"/>
        <w:rPr>
          <w:rFonts w:hint="eastAsia"/>
          <w:color w:val="auto"/>
          <w:highlight w:val="none"/>
          <w:lang w:eastAsia="zh-CN"/>
        </w:rPr>
      </w:pPr>
      <w:r>
        <w:rPr>
          <w:rFonts w:hint="eastAsia"/>
          <w:color w:val="auto"/>
          <w:highlight w:val="none"/>
          <w:lang w:eastAsia="zh-CN"/>
        </w:rPr>
        <w:t>①预算资金分配依据充分；</w:t>
      </w:r>
    </w:p>
    <w:p w14:paraId="17DE1C2A">
      <w:pPr>
        <w:bidi w:val="0"/>
        <w:rPr>
          <w:rFonts w:hint="eastAsia"/>
          <w:color w:val="auto"/>
          <w:highlight w:val="none"/>
          <w:lang w:eastAsia="zh-CN"/>
        </w:rPr>
      </w:pPr>
      <w:r>
        <w:rPr>
          <w:rFonts w:hint="eastAsia"/>
          <w:color w:val="auto"/>
          <w:highlight w:val="none"/>
          <w:lang w:eastAsia="zh-CN"/>
        </w:rPr>
        <w:t>②资金分配额度合理，与</w:t>
      </w:r>
      <w:r>
        <w:rPr>
          <w:rFonts w:hint="eastAsia"/>
          <w:color w:val="auto"/>
          <w:highlight w:val="none"/>
          <w:lang w:val="en-US" w:eastAsia="zh-CN"/>
        </w:rPr>
        <w:t>该</w:t>
      </w:r>
      <w:r>
        <w:rPr>
          <w:rFonts w:hint="eastAsia"/>
          <w:color w:val="auto"/>
          <w:highlight w:val="none"/>
          <w:lang w:eastAsia="zh-CN"/>
        </w:rPr>
        <w:t>单位或地方实际相适应。</w:t>
      </w:r>
    </w:p>
    <w:p w14:paraId="6B37E6B5">
      <w:pPr>
        <w:bidi w:val="0"/>
        <w:rPr>
          <w:rFonts w:hint="eastAsia"/>
          <w:color w:val="auto"/>
          <w:lang w:eastAsia="zh-CN"/>
        </w:rPr>
      </w:pPr>
      <w:r>
        <w:rPr>
          <w:rFonts w:hint="eastAsia"/>
          <w:b/>
          <w:bCs/>
          <w:color w:val="auto"/>
          <w:lang w:val="en-US" w:eastAsia="zh-CN"/>
        </w:rPr>
        <w:t>综上，该项指标满分3分，得分3分。</w:t>
      </w:r>
    </w:p>
    <w:p w14:paraId="7512D593">
      <w:pPr>
        <w:pStyle w:val="5"/>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026D4EAC">
      <w:pPr>
        <w:pageBreakBefore w:val="0"/>
        <w:widowControl w:val="0"/>
        <w:kinsoku/>
        <w:wordWrap/>
        <w:overflowPunct/>
        <w:topLinePunct w:val="0"/>
        <w:autoSpaceDE/>
        <w:autoSpaceDN/>
        <w:bidi w:val="0"/>
        <w:adjustRightInd/>
        <w:spacing w:line="360" w:lineRule="auto"/>
        <w:ind w:firstLine="560"/>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F6B4890">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A180DD5">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6D1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87E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D2DD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3366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362B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22D3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E619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34FECCD5">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DDF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414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67E6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A0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4A3B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30E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A9A6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F21AC2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F967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47A8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4A01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C25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6E1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0B17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7A30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A4BA7E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2F64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847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7E85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D8F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522C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1DD5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3C4A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042E9D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99A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1B73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0DE4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38BD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132D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327F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D8B0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5E0BD76">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1AA4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C1E7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D3E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F2AC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9C5E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20F0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5547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8813B1B">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1440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F7EF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E1D6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1570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BAF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2015A64B">
      <w:pPr>
        <w:bidi w:val="0"/>
        <w:outlineLvl w:val="2"/>
        <w:rPr>
          <w:rFonts w:hint="default"/>
          <w:b/>
          <w:bCs/>
          <w:color w:val="auto"/>
          <w:lang w:val="en-US" w:eastAsia="zh-CN"/>
        </w:rPr>
      </w:pPr>
      <w:bookmarkStart w:id="65" w:name="_Toc3886"/>
      <w:r>
        <w:rPr>
          <w:rFonts w:hint="eastAsia"/>
          <w:b/>
          <w:bCs/>
          <w:color w:val="auto"/>
          <w:lang w:val="en-US" w:eastAsia="zh-CN"/>
        </w:rPr>
        <w:t>1.资金到位率</w:t>
      </w:r>
      <w:bookmarkEnd w:id="65"/>
    </w:p>
    <w:p w14:paraId="7D0C8099">
      <w:pPr>
        <w:bidi w:val="0"/>
        <w:rPr>
          <w:rFonts w:hint="default"/>
          <w:b/>
          <w:bCs/>
          <w:color w:val="auto"/>
          <w:highlight w:val="none"/>
          <w:lang w:val="en-US" w:eastAsia="zh-CN"/>
        </w:rPr>
      </w:pPr>
      <w:r>
        <w:rPr>
          <w:rFonts w:hint="eastAsia"/>
          <w:color w:val="auto"/>
          <w:lang w:eastAsia="zh-CN"/>
        </w:rPr>
        <w:t>资金</w:t>
      </w:r>
      <w:r>
        <w:rPr>
          <w:rFonts w:hint="eastAsia"/>
          <w:color w:val="auto"/>
          <w:highlight w:val="none"/>
          <w:lang w:eastAsia="zh-CN"/>
        </w:rPr>
        <w:t>到位率</w:t>
      </w:r>
      <w:r>
        <w:rPr>
          <w:rFonts w:hint="eastAsia"/>
          <w:b/>
          <w:bCs/>
          <w:color w:val="auto"/>
          <w:highlight w:val="none"/>
          <w:lang w:val="en-US" w:eastAsia="zh-CN"/>
        </w:rPr>
        <w:t>=</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）×100%</w:t>
      </w:r>
      <w:r>
        <w:rPr>
          <w:rFonts w:hint="eastAsia"/>
          <w:color w:val="auto"/>
          <w:highlight w:val="none"/>
          <w:lang w:val="en-US" w:eastAsia="zh-CN"/>
        </w:rPr>
        <w:t>=</w:t>
      </w:r>
      <w:r>
        <w:rPr>
          <w:rFonts w:hint="eastAsia"/>
          <w:color w:val="auto"/>
          <w:highlight w:val="none"/>
          <w:lang w:eastAsia="zh-CN"/>
        </w:rPr>
        <w:t>100%。</w:t>
      </w:r>
    </w:p>
    <w:p w14:paraId="3B64BDF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043EECB">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A8B7B7F">
      <w:pPr>
        <w:bidi w:val="0"/>
        <w:rPr>
          <w:rFonts w:hint="default"/>
          <w:color w:val="auto"/>
          <w:highlight w:val="none"/>
          <w:lang w:val="en-US" w:eastAsia="zh-CN"/>
        </w:rPr>
      </w:pPr>
      <w:r>
        <w:rPr>
          <w:rFonts w:hint="eastAsia"/>
          <w:color w:val="auto"/>
          <w:highlight w:val="none"/>
          <w:lang w:eastAsia="zh-CN"/>
        </w:rPr>
        <w:t>预算执行率</w:t>
      </w:r>
      <w:r>
        <w:rPr>
          <w:rFonts w:hint="eastAsia"/>
          <w:b/>
          <w:bCs/>
          <w:color w:val="auto"/>
          <w:highlight w:val="none"/>
          <w:lang w:val="en-US" w:eastAsia="zh-CN"/>
        </w:rPr>
        <w:t>=</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w:t>
      </w:r>
      <w:r>
        <w:rPr>
          <w:rFonts w:hint="eastAsia"/>
          <w:color w:val="auto"/>
          <w:highlight w:val="none"/>
          <w:lang w:val="en-US" w:eastAsia="zh-CN"/>
        </w:rPr>
        <w:t>10万元</w:t>
      </w:r>
      <w:r>
        <w:rPr>
          <w:rFonts w:hint="eastAsia"/>
          <w:color w:val="auto"/>
          <w:highlight w:val="none"/>
          <w:lang w:eastAsia="zh-CN"/>
        </w:rPr>
        <w:t>）×100%</w:t>
      </w:r>
      <w:r>
        <w:rPr>
          <w:rFonts w:hint="eastAsia"/>
          <w:color w:val="auto"/>
          <w:highlight w:val="none"/>
          <w:lang w:val="en-US" w:eastAsia="zh-CN"/>
        </w:rPr>
        <w:t>=</w:t>
      </w:r>
      <w:r>
        <w:rPr>
          <w:rFonts w:hint="eastAsia"/>
          <w:color w:val="auto"/>
          <w:highlight w:val="none"/>
          <w:lang w:eastAsia="zh-CN"/>
        </w:rPr>
        <w:t>100%。</w:t>
      </w:r>
    </w:p>
    <w:p w14:paraId="04DB32D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ED1F568">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443B4D7C">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供销合作社联合社财务管理制度》《供销合作社联合社专项资金管理制度》《供销合作社联合社预决算管理制度》</w:t>
      </w:r>
      <w:r>
        <w:rPr>
          <w:rFonts w:hint="eastAsia"/>
          <w:color w:val="auto"/>
          <w:highlight w:val="none"/>
          <w:lang w:eastAsia="zh-CN"/>
        </w:rPr>
        <w:t>及有关专项资金管理办法的规定；</w:t>
      </w:r>
    </w:p>
    <w:p w14:paraId="11424B45">
      <w:pPr>
        <w:bidi w:val="0"/>
        <w:rPr>
          <w:rFonts w:hint="eastAsia"/>
          <w:color w:val="auto"/>
          <w:highlight w:val="none"/>
          <w:lang w:eastAsia="zh-CN"/>
        </w:rPr>
      </w:pPr>
      <w:r>
        <w:rPr>
          <w:rFonts w:hint="eastAsia"/>
          <w:color w:val="auto"/>
          <w:highlight w:val="none"/>
          <w:lang w:eastAsia="zh-CN"/>
        </w:rPr>
        <w:t>②资金的拨付有完整的审批程序和手续；</w:t>
      </w:r>
    </w:p>
    <w:p w14:paraId="43705F9F">
      <w:pPr>
        <w:bidi w:val="0"/>
        <w:rPr>
          <w:rFonts w:hint="eastAsia"/>
          <w:color w:val="auto"/>
          <w:highlight w:val="none"/>
          <w:lang w:eastAsia="zh-CN"/>
        </w:rPr>
      </w:pPr>
      <w:r>
        <w:rPr>
          <w:rFonts w:hint="eastAsia"/>
          <w:color w:val="auto"/>
          <w:highlight w:val="none"/>
          <w:lang w:eastAsia="zh-CN"/>
        </w:rPr>
        <w:t>③符合项目预算批复或合同规定的用途；</w:t>
      </w:r>
    </w:p>
    <w:p w14:paraId="22426E7C">
      <w:pPr>
        <w:bidi w:val="0"/>
        <w:rPr>
          <w:rFonts w:hint="eastAsia"/>
          <w:color w:val="auto"/>
          <w:lang w:eastAsia="zh-CN"/>
        </w:rPr>
      </w:pPr>
      <w:r>
        <w:rPr>
          <w:rFonts w:hint="eastAsia"/>
          <w:color w:val="auto"/>
          <w:lang w:eastAsia="zh-CN"/>
        </w:rPr>
        <w:t>④</w:t>
      </w:r>
      <w:r>
        <w:rPr>
          <w:rFonts w:hint="eastAsia"/>
          <w:color w:val="auto"/>
          <w:lang w:val="en-US" w:eastAsia="zh-CN"/>
        </w:rPr>
        <w:t>不</w:t>
      </w:r>
      <w:r>
        <w:rPr>
          <w:rFonts w:hint="eastAsia"/>
          <w:color w:val="auto"/>
          <w:lang w:eastAsia="zh-CN"/>
        </w:rPr>
        <w:t>存在截留、挤占、挪用、虚列支出等情况。</w:t>
      </w:r>
    </w:p>
    <w:p w14:paraId="66479CA7">
      <w:pPr>
        <w:bidi w:val="0"/>
        <w:rPr>
          <w:rFonts w:hint="eastAsia"/>
          <w:color w:val="auto"/>
          <w:lang w:eastAsia="zh-CN"/>
        </w:rPr>
      </w:pPr>
      <w:r>
        <w:rPr>
          <w:rFonts w:hint="eastAsia"/>
          <w:b/>
          <w:bCs/>
          <w:color w:val="auto"/>
          <w:lang w:val="en-US" w:eastAsia="zh-CN"/>
        </w:rPr>
        <w:t>综上，该项指标满分4分，得分4分。</w:t>
      </w:r>
    </w:p>
    <w:p w14:paraId="09E6FF06">
      <w:pPr>
        <w:bidi w:val="0"/>
        <w:rPr>
          <w:rFonts w:hint="default"/>
          <w:b/>
          <w:bCs/>
          <w:color w:val="auto"/>
          <w:lang w:val="en-US" w:eastAsia="zh-CN"/>
        </w:rPr>
      </w:pPr>
      <w:r>
        <w:rPr>
          <w:rFonts w:hint="eastAsia"/>
          <w:b/>
          <w:bCs/>
          <w:color w:val="auto"/>
          <w:lang w:val="en-US" w:eastAsia="zh-CN"/>
        </w:rPr>
        <w:t>4.管理制度健全性</w:t>
      </w:r>
    </w:p>
    <w:p w14:paraId="4FEF55A0">
      <w:pPr>
        <w:ind w:firstLine="560"/>
        <w:rPr>
          <w:color w:val="auto"/>
          <w:highlight w:val="none"/>
        </w:rPr>
      </w:pPr>
      <w:r>
        <w:rPr>
          <w:rFonts w:hint="eastAsia"/>
          <w:color w:val="auto"/>
          <w:highlight w:val="none"/>
        </w:rPr>
        <w:t>①已制定</w:t>
      </w:r>
      <w:r>
        <w:rPr>
          <w:rFonts w:hint="eastAsia"/>
          <w:color w:val="auto"/>
          <w:highlight w:val="none"/>
          <w:lang w:eastAsia="zh-CN"/>
        </w:rPr>
        <w:t>《</w:t>
      </w:r>
      <w:r>
        <w:rPr>
          <w:rFonts w:hint="eastAsia"/>
          <w:color w:val="auto"/>
          <w:highlight w:val="none"/>
          <w:lang w:val="en-US" w:eastAsia="zh-CN"/>
        </w:rPr>
        <w:t>供销合作社联合社</w:t>
      </w:r>
      <w:r>
        <w:rPr>
          <w:rFonts w:hint="eastAsia"/>
          <w:color w:val="auto"/>
          <w:highlight w:val="none"/>
        </w:rPr>
        <w:t>财务管理制度</w:t>
      </w:r>
      <w:r>
        <w:rPr>
          <w:rFonts w:hint="eastAsia"/>
          <w:color w:val="auto"/>
          <w:highlight w:val="none"/>
          <w:lang w:eastAsia="zh-CN"/>
        </w:rPr>
        <w:t>》、《</w:t>
      </w:r>
      <w:r>
        <w:rPr>
          <w:rFonts w:hint="eastAsia"/>
          <w:color w:val="auto"/>
          <w:highlight w:val="none"/>
          <w:lang w:val="en-US" w:eastAsia="zh-CN"/>
        </w:rPr>
        <w:t>供销合作社联合社</w:t>
      </w:r>
      <w:r>
        <w:rPr>
          <w:rFonts w:hint="eastAsia"/>
          <w:color w:val="auto"/>
          <w:highlight w:val="none"/>
        </w:rPr>
        <w:t>专项资金管理制度</w:t>
      </w:r>
      <w:r>
        <w:rPr>
          <w:rFonts w:hint="eastAsia"/>
          <w:color w:val="auto"/>
          <w:highlight w:val="none"/>
          <w:lang w:eastAsia="zh-CN"/>
        </w:rPr>
        <w:t>》、《</w:t>
      </w:r>
      <w:r>
        <w:rPr>
          <w:rFonts w:hint="eastAsia"/>
          <w:color w:val="auto"/>
          <w:highlight w:val="none"/>
          <w:lang w:val="en-US" w:eastAsia="zh-CN"/>
        </w:rPr>
        <w:t>供销合作社联合社</w:t>
      </w:r>
      <w:r>
        <w:rPr>
          <w:rFonts w:hint="eastAsia"/>
          <w:color w:val="auto"/>
          <w:highlight w:val="none"/>
        </w:rPr>
        <w:t>财经管理制度</w:t>
      </w:r>
      <w:r>
        <w:rPr>
          <w:rFonts w:hint="eastAsia"/>
          <w:color w:val="auto"/>
          <w:highlight w:val="none"/>
          <w:lang w:eastAsia="zh-CN"/>
        </w:rPr>
        <w:t>、《</w:t>
      </w:r>
      <w:r>
        <w:rPr>
          <w:rFonts w:hint="eastAsia"/>
          <w:color w:val="auto"/>
          <w:highlight w:val="none"/>
          <w:lang w:val="en-US" w:eastAsia="zh-CN"/>
        </w:rPr>
        <w:t>供销合作社联合社</w:t>
      </w:r>
      <w:r>
        <w:rPr>
          <w:rFonts w:hint="eastAsia"/>
          <w:color w:val="auto"/>
          <w:highlight w:val="none"/>
        </w:rPr>
        <w:t>资产管理制度</w:t>
      </w:r>
      <w:r>
        <w:rPr>
          <w:rFonts w:hint="eastAsia"/>
          <w:color w:val="auto"/>
          <w:highlight w:val="none"/>
          <w:lang w:eastAsia="zh-CN"/>
        </w:rPr>
        <w:t>》、《</w:t>
      </w:r>
      <w:r>
        <w:rPr>
          <w:rFonts w:hint="eastAsia"/>
          <w:color w:val="auto"/>
          <w:highlight w:val="none"/>
          <w:lang w:val="en-US" w:eastAsia="zh-CN"/>
        </w:rPr>
        <w:t>供销合作社联合社</w:t>
      </w:r>
      <w:r>
        <w:rPr>
          <w:rFonts w:hint="eastAsia"/>
          <w:color w:val="auto"/>
          <w:highlight w:val="none"/>
        </w:rPr>
        <w:t>内部控制制度</w:t>
      </w:r>
      <w:r>
        <w:rPr>
          <w:rFonts w:hint="eastAsia"/>
          <w:color w:val="auto"/>
          <w:highlight w:val="none"/>
          <w:lang w:eastAsia="zh-CN"/>
        </w:rPr>
        <w:t>》</w:t>
      </w:r>
      <w:r>
        <w:rPr>
          <w:rFonts w:hint="eastAsia"/>
          <w:color w:val="auto"/>
          <w:highlight w:val="none"/>
        </w:rPr>
        <w:t>等。</w:t>
      </w:r>
    </w:p>
    <w:p w14:paraId="197A5F85">
      <w:pPr>
        <w:bidi w:val="0"/>
        <w:ind w:left="0" w:leftChars="0" w:firstLine="560" w:firstLineChars="200"/>
        <w:rPr>
          <w:rFonts w:hint="eastAsia"/>
          <w:color w:val="auto"/>
          <w:lang w:eastAsia="zh-CN"/>
        </w:rPr>
      </w:pPr>
      <w:r>
        <w:rPr>
          <w:rFonts w:hint="eastAsia"/>
          <w:color w:val="auto"/>
          <w:highlight w:val="none"/>
          <w:lang w:eastAsia="zh-CN"/>
        </w:rPr>
        <w:t>②财务和业务管理制</w:t>
      </w:r>
      <w:r>
        <w:rPr>
          <w:rFonts w:hint="eastAsia"/>
          <w:color w:val="auto"/>
          <w:lang w:eastAsia="zh-CN"/>
        </w:rPr>
        <w:t>度</w:t>
      </w:r>
      <w:r>
        <w:rPr>
          <w:rFonts w:hint="eastAsia"/>
          <w:color w:val="auto"/>
          <w:lang w:val="en-US" w:eastAsia="zh-CN"/>
        </w:rPr>
        <w:t>是</w:t>
      </w:r>
      <w:r>
        <w:rPr>
          <w:rFonts w:hint="eastAsia"/>
          <w:color w:val="auto"/>
          <w:lang w:eastAsia="zh-CN"/>
        </w:rPr>
        <w:t>合法、合规、完整。</w:t>
      </w:r>
    </w:p>
    <w:p w14:paraId="3B5E0A6C">
      <w:pPr>
        <w:bidi w:val="0"/>
        <w:rPr>
          <w:rFonts w:hint="eastAsia"/>
          <w:color w:val="auto"/>
          <w:lang w:eastAsia="zh-CN"/>
        </w:rPr>
      </w:pPr>
      <w:r>
        <w:rPr>
          <w:rFonts w:hint="eastAsia"/>
          <w:b/>
          <w:bCs/>
          <w:color w:val="auto"/>
          <w:lang w:val="en-US" w:eastAsia="zh-CN"/>
        </w:rPr>
        <w:t>综上，该项指标满分4分，得分4分。</w:t>
      </w:r>
    </w:p>
    <w:p w14:paraId="4E10901B">
      <w:pPr>
        <w:bidi w:val="0"/>
        <w:ind w:left="1403" w:leftChars="200" w:hanging="843" w:hangingChars="300"/>
        <w:outlineLvl w:val="2"/>
        <w:rPr>
          <w:rFonts w:hint="eastAsia"/>
          <w:b/>
          <w:bCs/>
          <w:color w:val="auto"/>
          <w:lang w:val="en-US" w:eastAsia="zh-CN"/>
        </w:rPr>
      </w:pPr>
      <w:bookmarkStart w:id="68" w:name="_Toc31684"/>
      <w:r>
        <w:rPr>
          <w:rFonts w:hint="eastAsia"/>
          <w:b/>
          <w:bCs/>
          <w:color w:val="auto"/>
          <w:lang w:val="en-US" w:eastAsia="zh-CN"/>
        </w:rPr>
        <w:t>5.制度执行有效性</w:t>
      </w:r>
      <w:bookmarkEnd w:id="68"/>
    </w:p>
    <w:p w14:paraId="37F600E2">
      <w:pPr>
        <w:bidi w:val="0"/>
        <w:rPr>
          <w:rFonts w:hint="eastAsia"/>
          <w:color w:val="auto"/>
          <w:highlight w:val="none"/>
          <w:lang w:eastAsia="zh-CN"/>
        </w:rPr>
      </w:pPr>
      <w:r>
        <w:rPr>
          <w:rFonts w:hint="eastAsia"/>
          <w:color w:val="auto"/>
          <w:highlight w:val="none"/>
          <w:lang w:eastAsia="zh-CN"/>
        </w:rPr>
        <w:t>①遵守相关法律法规和相关管理规定；</w:t>
      </w:r>
    </w:p>
    <w:p w14:paraId="32CAF869">
      <w:pPr>
        <w:ind w:firstLine="560"/>
        <w:rPr>
          <w:color w:val="auto"/>
          <w:highlight w:val="none"/>
        </w:rPr>
      </w:pPr>
      <w:r>
        <w:rPr>
          <w:rFonts w:hint="eastAsia"/>
          <w:color w:val="auto"/>
          <w:lang w:eastAsia="zh-CN"/>
        </w:rPr>
        <w:t>②</w:t>
      </w:r>
      <w:r>
        <w:rPr>
          <w:rFonts w:hint="eastAsia"/>
          <w:color w:val="auto"/>
          <w:highlight w:val="none"/>
          <w:lang w:val="en-US" w:eastAsia="zh-CN"/>
        </w:rPr>
        <w:t>阜康市供销社基层为农社会化服务中心改造提升项目未</w:t>
      </w:r>
      <w:r>
        <w:rPr>
          <w:rFonts w:hint="eastAsia"/>
          <w:color w:val="auto"/>
          <w:highlight w:val="none"/>
        </w:rPr>
        <w:t>调整</w:t>
      </w:r>
      <w:r>
        <w:rPr>
          <w:rFonts w:hint="eastAsia"/>
          <w:color w:val="auto"/>
          <w:highlight w:val="none"/>
          <w:lang w:val="en-US" w:eastAsia="zh-CN"/>
        </w:rPr>
        <w:t>项目和支出</w:t>
      </w:r>
      <w:r>
        <w:rPr>
          <w:rFonts w:hint="eastAsia"/>
          <w:color w:val="auto"/>
          <w:highlight w:val="none"/>
        </w:rPr>
        <w:t>；</w:t>
      </w:r>
    </w:p>
    <w:p w14:paraId="53F394E8">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阜康市供销合作社为农社会化服务中心协议》</w:t>
      </w:r>
      <w:r>
        <w:rPr>
          <w:rFonts w:hint="eastAsia"/>
          <w:color w:val="auto"/>
          <w:highlight w:val="none"/>
          <w:lang w:eastAsia="zh-CN"/>
        </w:rPr>
        <w:t>、《</w:t>
      </w:r>
      <w:r>
        <w:rPr>
          <w:rFonts w:hint="eastAsia"/>
          <w:color w:val="auto"/>
          <w:highlight w:val="none"/>
          <w:lang w:val="en-US" w:eastAsia="zh-CN"/>
        </w:rPr>
        <w:t>阜康市供销合作社为农社会化服务中心实施方案》</w:t>
      </w:r>
      <w:r>
        <w:rPr>
          <w:rFonts w:hint="eastAsia"/>
          <w:color w:val="auto"/>
          <w:highlight w:val="none"/>
          <w:lang w:eastAsia="zh-CN"/>
        </w:rPr>
        <w:t>《</w:t>
      </w:r>
      <w:r>
        <w:rPr>
          <w:rFonts w:hint="eastAsia" w:ascii="宋体" w:hAnsi="宋体" w:eastAsia="宋体" w:cs="宋体"/>
          <w:b w:val="0"/>
          <w:bCs w:val="0"/>
          <w:color w:val="auto"/>
          <w:kern w:val="2"/>
          <w:sz w:val="28"/>
          <w:szCs w:val="24"/>
          <w:highlight w:val="none"/>
          <w:shd w:val="clear" w:color="auto" w:fill="auto"/>
          <w:lang w:val="en-US" w:eastAsia="zh-CN" w:bidi="ar-SA"/>
        </w:rPr>
        <w:t>昌吉州</w:t>
      </w:r>
      <w:r>
        <w:rPr>
          <w:rFonts w:hint="eastAsia" w:cs="宋体"/>
          <w:b w:val="0"/>
          <w:bCs w:val="0"/>
          <w:color w:val="auto"/>
          <w:kern w:val="2"/>
          <w:sz w:val="28"/>
          <w:szCs w:val="24"/>
          <w:highlight w:val="none"/>
          <w:shd w:val="clear" w:color="auto" w:fill="auto"/>
          <w:lang w:val="en-US" w:eastAsia="zh-CN" w:bidi="ar-SA"/>
        </w:rPr>
        <w:t>供销系统为农社会化服务中心建设验收表</w:t>
      </w:r>
      <w:r>
        <w:rPr>
          <w:rFonts w:hint="eastAsia"/>
          <w:color w:val="auto"/>
          <w:highlight w:val="none"/>
          <w:lang w:eastAsia="zh-CN"/>
        </w:rPr>
        <w:t>》等资料齐全并及时归档；</w:t>
      </w:r>
    </w:p>
    <w:p w14:paraId="1EAF308F">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为确保项目顺利实施，</w:t>
      </w:r>
      <w:r>
        <w:rPr>
          <w:rFonts w:hint="eastAsia" w:ascii="宋体" w:hAnsi="宋体" w:eastAsia="宋体" w:cs="宋体"/>
          <w:bCs/>
          <w:color w:val="auto"/>
          <w:highlight w:val="none"/>
          <w:shd w:val="clear" w:color="auto" w:fill="auto"/>
          <w:lang w:val="en-US" w:eastAsia="zh-CN"/>
        </w:rPr>
        <w:t>确定了项目领导小组，明确了责任分工</w:t>
      </w:r>
      <w:r>
        <w:rPr>
          <w:rFonts w:hint="eastAsia" w:cs="宋体"/>
          <w:bCs/>
          <w:color w:val="auto"/>
          <w:highlight w:val="none"/>
          <w:shd w:val="clear" w:color="auto" w:fill="auto"/>
          <w:lang w:val="en-US" w:eastAsia="zh-CN"/>
        </w:rPr>
        <w:t>；</w:t>
      </w:r>
      <w:r>
        <w:rPr>
          <w:rFonts w:hint="eastAsia" w:ascii="仿宋" w:hAnsi="仿宋" w:eastAsia="仿宋" w:cs="仿宋"/>
          <w:b w:val="0"/>
          <w:bCs/>
          <w:color w:val="auto"/>
          <w:sz w:val="32"/>
          <w:szCs w:val="32"/>
          <w:highlight w:val="none"/>
          <w:lang w:eastAsia="zh-CN"/>
        </w:rPr>
        <w:t>根据</w:t>
      </w:r>
      <w:r>
        <w:rPr>
          <w:rFonts w:hint="eastAsia" w:ascii="仿宋" w:hAnsi="仿宋" w:eastAsia="仿宋" w:cs="仿宋"/>
          <w:b w:val="0"/>
          <w:bCs/>
          <w:color w:val="auto"/>
          <w:sz w:val="32"/>
          <w:szCs w:val="32"/>
          <w:highlight w:val="none"/>
          <w:lang w:val="en-US" w:eastAsia="zh-CN"/>
        </w:rPr>
        <w:t>城关镇</w:t>
      </w:r>
      <w:r>
        <w:rPr>
          <w:rFonts w:hint="eastAsia" w:ascii="仿宋" w:hAnsi="仿宋" w:eastAsia="仿宋" w:cs="仿宋"/>
          <w:b w:val="0"/>
          <w:bCs/>
          <w:color w:val="auto"/>
          <w:sz w:val="32"/>
          <w:szCs w:val="32"/>
          <w:highlight w:val="none"/>
          <w:lang w:eastAsia="zh-CN"/>
        </w:rPr>
        <w:t>地域实际情况，</w:t>
      </w:r>
      <w:r>
        <w:rPr>
          <w:rFonts w:hint="eastAsia" w:cs="宋体"/>
          <w:bCs/>
          <w:color w:val="auto"/>
          <w:highlight w:val="none"/>
          <w:shd w:val="clear" w:color="auto" w:fill="auto"/>
          <w:lang w:val="en-US" w:eastAsia="zh-CN"/>
        </w:rPr>
        <w:t>确定</w:t>
      </w:r>
      <w:r>
        <w:rPr>
          <w:rFonts w:hint="eastAsia" w:ascii="宋体" w:hAnsi="宋体" w:eastAsia="宋体" w:cs="宋体"/>
          <w:bCs/>
          <w:color w:val="auto"/>
          <w:highlight w:val="none"/>
          <w:shd w:val="clear" w:color="auto" w:fill="auto"/>
          <w:lang w:eastAsia="zh-CN"/>
        </w:rPr>
        <w:t>面积</w:t>
      </w:r>
      <w:r>
        <w:rPr>
          <w:rFonts w:hint="eastAsia" w:ascii="宋体" w:hAnsi="宋体" w:eastAsia="宋体" w:cs="宋体"/>
          <w:bCs/>
          <w:color w:val="auto"/>
          <w:highlight w:val="none"/>
          <w:shd w:val="clear" w:color="auto" w:fill="auto"/>
          <w:lang w:val="en-US" w:eastAsia="zh-CN"/>
        </w:rPr>
        <w:t>130平方米</w:t>
      </w:r>
      <w:r>
        <w:rPr>
          <w:rFonts w:hint="eastAsia" w:cs="宋体"/>
          <w:bCs/>
          <w:color w:val="auto"/>
          <w:highlight w:val="none"/>
          <w:shd w:val="clear" w:color="auto" w:fill="auto"/>
          <w:lang w:val="en-US" w:eastAsia="zh-CN"/>
        </w:rPr>
        <w:t>为</w:t>
      </w:r>
      <w:r>
        <w:rPr>
          <w:rFonts w:hint="eastAsia" w:ascii="宋体" w:hAnsi="宋体" w:eastAsia="宋体" w:cs="宋体"/>
          <w:bCs/>
          <w:color w:val="auto"/>
          <w:highlight w:val="none"/>
          <w:shd w:val="clear" w:color="auto" w:fill="auto"/>
          <w:lang w:eastAsia="zh-CN"/>
        </w:rPr>
        <w:t>农社会化服务中心</w:t>
      </w:r>
      <w:r>
        <w:rPr>
          <w:rFonts w:hint="eastAsia" w:cs="宋体"/>
          <w:bCs/>
          <w:color w:val="auto"/>
          <w:highlight w:val="none"/>
          <w:shd w:val="clear" w:color="auto" w:fill="auto"/>
          <w:lang w:val="en-US" w:eastAsia="zh-CN"/>
        </w:rPr>
        <w:t>为打造场地，</w:t>
      </w:r>
      <w:r>
        <w:rPr>
          <w:rFonts w:hint="eastAsia"/>
          <w:color w:val="auto"/>
          <w:highlight w:val="none"/>
          <w:lang w:val="en-US" w:eastAsia="zh-CN"/>
        </w:rPr>
        <w:t>通过公开招标方式确定施工单位及监理单位，在项目实施过程中项目经理及安全员等配备齐全、与此同时委托全过程造价咨询公司进行全流程跟踪审计，确保项目的安全有序推进。</w:t>
      </w:r>
    </w:p>
    <w:p w14:paraId="73AE50D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AE4530C">
      <w:pPr>
        <w:pStyle w:val="5"/>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41A398D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ED7D48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71D96A8">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CDF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BE6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C69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D13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B5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B0D6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129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47752936">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BF9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756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82C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支持供销社基层组织建设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D83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740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3C3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42B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14:paraId="77B434B9">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F8D6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BF1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8EB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改造提升基层为农社会化服务中心数量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E05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164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366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ED2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14:paraId="21E4E230">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E6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588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B59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年终项目验收合格率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660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E5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29D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CE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E69A874">
        <w:tblPrEx>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704D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085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92D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项目开始时间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40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2022年5月20日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6AB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DA1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2022年5月20日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316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0D098CD">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0E2F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1DD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8A3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D4B4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2022年12月31日</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CF0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795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2023年12月31日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BBD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F800A96">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FE0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12ED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C1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为农社会化服务中心办公设施</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599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≤1.9万元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0B3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032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1CB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A787670">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B49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D32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612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为农社会化服务中心办公场所维修费用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FFD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≤8.1万元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E78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37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8.1万元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8A2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0302F77">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019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CDD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48E3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352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527B4877">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r>
        <w:rPr>
          <w:rFonts w:hint="eastAsia"/>
          <w:b/>
          <w:bCs/>
          <w:color w:val="auto"/>
          <w:highlight w:val="none"/>
          <w:lang w:val="en-US" w:eastAsia="zh-CN"/>
        </w:rPr>
        <w:t xml:space="preserve"> </w:t>
      </w:r>
    </w:p>
    <w:p w14:paraId="19E4FD9C">
      <w:pPr>
        <w:bidi w:val="0"/>
        <w:rPr>
          <w:rFonts w:hint="default"/>
          <w:color w:val="auto"/>
          <w:highlight w:val="none"/>
          <w:lang w:val="en-US" w:eastAsia="zh-CN"/>
        </w:rPr>
      </w:pPr>
      <w:r>
        <w:rPr>
          <w:rFonts w:hint="eastAsia"/>
          <w:color w:val="auto"/>
          <w:highlight w:val="none"/>
          <w:lang w:val="en-US" w:eastAsia="zh-CN"/>
        </w:rPr>
        <w:t>“支持供销社基层组织建设”指标，该指标预期目标值为≥1个，实际完成为1个。实际完成率=（1个/1个）×100%=100%</w:t>
      </w:r>
      <w:r>
        <w:rPr>
          <w:rFonts w:hint="eastAsia"/>
          <w:b/>
          <w:bCs/>
          <w:color w:val="auto"/>
          <w:highlight w:val="none"/>
          <w:lang w:val="en-US" w:eastAsia="zh-CN"/>
        </w:rPr>
        <w:t>。</w:t>
      </w:r>
    </w:p>
    <w:p w14:paraId="68AEBBF8">
      <w:pPr>
        <w:bidi w:val="0"/>
        <w:rPr>
          <w:rFonts w:hint="eastAsia"/>
          <w:b/>
          <w:bCs/>
          <w:color w:val="auto"/>
          <w:highlight w:val="none"/>
          <w:lang w:val="en-US" w:eastAsia="zh-CN"/>
        </w:rPr>
      </w:pPr>
      <w:r>
        <w:rPr>
          <w:rFonts w:hint="eastAsia"/>
          <w:b/>
          <w:bCs/>
          <w:color w:val="auto"/>
          <w:highlight w:val="none"/>
          <w:lang w:val="en-US" w:eastAsia="zh-CN"/>
        </w:rPr>
        <w:t>综上，该项指标满分6分，得分6分。</w:t>
      </w:r>
    </w:p>
    <w:p w14:paraId="75193C76">
      <w:pPr>
        <w:bidi w:val="0"/>
        <w:rPr>
          <w:rFonts w:hint="default"/>
          <w:b/>
          <w:bCs/>
          <w:color w:val="auto"/>
          <w:highlight w:val="none"/>
          <w:lang w:val="en-US" w:eastAsia="zh-CN"/>
        </w:rPr>
      </w:pPr>
      <w:r>
        <w:rPr>
          <w:rFonts w:hint="eastAsia"/>
          <w:b/>
          <w:bCs/>
          <w:color w:val="auto"/>
          <w:highlight w:val="none"/>
          <w:lang w:val="en-US" w:eastAsia="zh-CN"/>
        </w:rPr>
        <w:t xml:space="preserve">1.项目完成数量 </w:t>
      </w:r>
    </w:p>
    <w:p w14:paraId="36335326">
      <w:pPr>
        <w:bidi w:val="0"/>
        <w:ind w:left="0" w:leftChars="0" w:firstLine="280" w:firstLineChars="100"/>
        <w:rPr>
          <w:rFonts w:hint="default"/>
          <w:color w:val="auto"/>
          <w:highlight w:val="none"/>
          <w:lang w:val="en-US" w:eastAsia="zh-CN"/>
        </w:rPr>
      </w:pPr>
      <w:r>
        <w:rPr>
          <w:rFonts w:hint="eastAsia"/>
          <w:color w:val="auto"/>
          <w:highlight w:val="none"/>
          <w:lang w:val="en-US" w:eastAsia="zh-CN"/>
        </w:rPr>
        <w:t>“改造提升基层为农社会化服务中心数量”指标，预期目标值为≥1个，实际完成为1个。实际完成率=（1个/1个）×100%=100%</w:t>
      </w:r>
      <w:r>
        <w:rPr>
          <w:rFonts w:hint="eastAsia"/>
          <w:b/>
          <w:bCs/>
          <w:color w:val="auto"/>
          <w:highlight w:val="none"/>
          <w:lang w:val="en-US" w:eastAsia="zh-CN"/>
        </w:rPr>
        <w:t>。</w:t>
      </w:r>
    </w:p>
    <w:p w14:paraId="2C3E44E7">
      <w:pPr>
        <w:bidi w:val="0"/>
        <w:rPr>
          <w:rFonts w:hint="eastAsia"/>
          <w:color w:val="auto"/>
          <w:highlight w:val="none"/>
          <w:lang w:val="en-US" w:eastAsia="zh-CN"/>
        </w:rPr>
      </w:pPr>
      <w:r>
        <w:rPr>
          <w:rFonts w:hint="eastAsia"/>
          <w:b/>
          <w:bCs/>
          <w:color w:val="auto"/>
          <w:highlight w:val="none"/>
          <w:lang w:val="en-US" w:eastAsia="zh-CN"/>
        </w:rPr>
        <w:t>综上，该项指标满分6分，得分6分。</w:t>
      </w:r>
    </w:p>
    <w:p w14:paraId="34C7A9FF">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r>
        <w:rPr>
          <w:rFonts w:hint="eastAsia"/>
          <w:b/>
          <w:bCs/>
          <w:color w:val="auto"/>
          <w:highlight w:val="none"/>
          <w:lang w:val="en-US" w:eastAsia="zh-CN"/>
        </w:rPr>
        <w:t xml:space="preserve"> </w:t>
      </w:r>
    </w:p>
    <w:p w14:paraId="318402A9">
      <w:pPr>
        <w:bidi w:val="0"/>
        <w:rPr>
          <w:rFonts w:hint="eastAsia"/>
          <w:color w:val="auto"/>
          <w:highlight w:val="none"/>
          <w:lang w:val="en-US" w:eastAsia="zh-CN"/>
        </w:rPr>
      </w:pPr>
      <w:r>
        <w:rPr>
          <w:rFonts w:hint="eastAsia"/>
          <w:color w:val="auto"/>
          <w:highlight w:val="none"/>
          <w:lang w:val="en-US" w:eastAsia="zh-CN"/>
        </w:rPr>
        <w:t>“年终项目验收合格率”指标，预期目标值为≥90%，实际完成为90%。</w:t>
      </w:r>
    </w:p>
    <w:p w14:paraId="45AD783B">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5AD82D3C">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r>
        <w:rPr>
          <w:rFonts w:hint="eastAsia"/>
          <w:b/>
          <w:bCs/>
          <w:color w:val="auto"/>
          <w:highlight w:val="none"/>
          <w:lang w:val="en-US" w:eastAsia="zh-CN"/>
        </w:rPr>
        <w:t xml:space="preserve"> </w:t>
      </w:r>
    </w:p>
    <w:p w14:paraId="5A16B2F8">
      <w:pPr>
        <w:bidi w:val="0"/>
        <w:rPr>
          <w:rFonts w:hint="eastAsia"/>
          <w:color w:val="auto"/>
          <w:highlight w:val="none"/>
          <w:lang w:val="en-US" w:eastAsia="zh-CN"/>
        </w:rPr>
      </w:pPr>
      <w:r>
        <w:rPr>
          <w:rFonts w:hint="eastAsia"/>
          <w:color w:val="auto"/>
          <w:highlight w:val="none"/>
          <w:lang w:val="en-US" w:eastAsia="zh-CN"/>
        </w:rPr>
        <w:t>“项目开始时间”指标，预期目标值为2022年5月20日，实际完成为2022年5月20日，实际完成率100%。</w:t>
      </w:r>
    </w:p>
    <w:p w14:paraId="026B2B32">
      <w:pPr>
        <w:pStyle w:val="2"/>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14:paraId="73434BE5">
      <w:pPr>
        <w:bidi w:val="0"/>
        <w:outlineLvl w:val="2"/>
        <w:rPr>
          <w:rFonts w:hint="default"/>
          <w:b/>
          <w:bCs/>
          <w:color w:val="auto"/>
          <w:highlight w:val="none"/>
          <w:lang w:val="en-US" w:eastAsia="zh-CN"/>
        </w:rPr>
      </w:pPr>
      <w:r>
        <w:rPr>
          <w:rFonts w:hint="eastAsia"/>
          <w:b/>
          <w:bCs/>
          <w:color w:val="auto"/>
          <w:highlight w:val="none"/>
          <w:lang w:val="en-US" w:eastAsia="zh-CN"/>
        </w:rPr>
        <w:t xml:space="preserve">3.项目完成时效 </w:t>
      </w:r>
    </w:p>
    <w:p w14:paraId="147216AA">
      <w:pPr>
        <w:bidi w:val="0"/>
        <w:ind w:left="0" w:leftChars="0" w:firstLine="280" w:firstLineChars="100"/>
        <w:rPr>
          <w:rFonts w:hint="eastAsia"/>
          <w:color w:val="auto"/>
          <w:highlight w:val="none"/>
          <w:lang w:val="en-US" w:eastAsia="zh-CN"/>
        </w:rPr>
      </w:pPr>
      <w:r>
        <w:rPr>
          <w:rFonts w:hint="eastAsia"/>
          <w:color w:val="auto"/>
          <w:highlight w:val="none"/>
          <w:lang w:val="en-US" w:eastAsia="zh-CN"/>
        </w:rPr>
        <w:t>“项目完成时间”指标，预期目标值为2022年12月31日，实际完成为2023年12月31日。实际完成率100%。</w:t>
      </w:r>
    </w:p>
    <w:p w14:paraId="63167728">
      <w:pPr>
        <w:bidi w:val="0"/>
        <w:rPr>
          <w:rFonts w:hint="eastAsia"/>
          <w:b/>
          <w:bCs/>
          <w:color w:val="auto"/>
          <w:highlight w:val="none"/>
          <w:lang w:val="en-US" w:eastAsia="zh-CN"/>
        </w:rPr>
      </w:pPr>
      <w:r>
        <w:rPr>
          <w:rFonts w:hint="eastAsia"/>
          <w:b/>
          <w:bCs/>
          <w:color w:val="auto"/>
          <w:highlight w:val="none"/>
          <w:lang w:val="en-US" w:eastAsia="zh-CN"/>
        </w:rPr>
        <w:t>综上，该项指标满分4分，得分4分。</w:t>
      </w:r>
    </w:p>
    <w:p w14:paraId="2A07616D">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5A3E61C4">
      <w:pPr>
        <w:bidi w:val="0"/>
        <w:rPr>
          <w:rFonts w:hint="eastAsia"/>
          <w:color w:val="auto"/>
          <w:highlight w:val="none"/>
          <w:lang w:val="en-US" w:eastAsia="zh-CN"/>
        </w:rPr>
      </w:pPr>
      <w:r>
        <w:rPr>
          <w:rFonts w:hint="eastAsia"/>
          <w:color w:val="auto"/>
          <w:highlight w:val="none"/>
          <w:lang w:val="en-US" w:eastAsia="zh-CN"/>
        </w:rPr>
        <w:t>“为农社会化服务中心办公设施”指标，预期目标值为≤1.9万元，实际完成为1.9万元。实际完成率=（1.9万元/1.9万元）×100%=100%。</w:t>
      </w:r>
    </w:p>
    <w:p w14:paraId="761C6621">
      <w:pPr>
        <w:pStyle w:val="2"/>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14:paraId="2C03BEEC">
      <w:pPr>
        <w:bidi w:val="0"/>
        <w:outlineLvl w:val="2"/>
        <w:rPr>
          <w:rFonts w:hint="default"/>
          <w:b/>
          <w:bCs/>
          <w:color w:val="auto"/>
          <w:highlight w:val="none"/>
          <w:lang w:val="en-US" w:eastAsia="zh-CN"/>
        </w:rPr>
      </w:pPr>
      <w:r>
        <w:rPr>
          <w:rFonts w:hint="eastAsia"/>
          <w:b/>
          <w:bCs/>
          <w:color w:val="auto"/>
          <w:highlight w:val="none"/>
          <w:lang w:val="en-US" w:eastAsia="zh-CN"/>
        </w:rPr>
        <w:t>4.项目完成成本</w:t>
      </w:r>
    </w:p>
    <w:p w14:paraId="694724A8">
      <w:pPr>
        <w:bidi w:val="0"/>
        <w:rPr>
          <w:rFonts w:hint="eastAsia"/>
          <w:color w:val="auto"/>
          <w:highlight w:val="none"/>
          <w:lang w:val="en-US" w:eastAsia="zh-CN"/>
        </w:rPr>
      </w:pPr>
      <w:r>
        <w:rPr>
          <w:rFonts w:hint="eastAsia"/>
          <w:color w:val="auto"/>
          <w:highlight w:val="none"/>
          <w:lang w:val="en-US" w:eastAsia="zh-CN"/>
        </w:rPr>
        <w:t>“为农社会化服务中心办公场所维修费用”指标，预期目标值为≤8.1万元万元，实际完成为8.1万元。实际完成率=（8.1万元/8.1万元）×100%=100%。</w:t>
      </w:r>
    </w:p>
    <w:p w14:paraId="79C92596">
      <w:pPr>
        <w:bidi w:val="0"/>
        <w:ind w:left="0" w:leftChars="0" w:firstLine="562" w:firstLineChars="200"/>
        <w:rPr>
          <w:rFonts w:hint="eastAsia"/>
          <w:b/>
          <w:bCs/>
          <w:color w:val="auto"/>
          <w:highlight w:val="none"/>
          <w:lang w:val="en-US" w:eastAsia="zh-CN"/>
        </w:rPr>
      </w:pPr>
      <w:r>
        <w:rPr>
          <w:rFonts w:hint="eastAsia"/>
          <w:b/>
          <w:bCs/>
          <w:color w:val="auto"/>
          <w:highlight w:val="none"/>
          <w:lang w:val="en-US" w:eastAsia="zh-CN"/>
        </w:rPr>
        <w:t>综上，该项指标满分3分，得分3分。</w:t>
      </w:r>
    </w:p>
    <w:p w14:paraId="52BCC6E4">
      <w:pPr>
        <w:pStyle w:val="5"/>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4C7B2DF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F6696D7">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3"/>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909C4A8">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945F4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0DEF38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C0495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66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78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4795C3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12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63EA3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76F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1EED6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6F2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6A9C1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46DC310">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42BB4D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673C8C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C0F4E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F00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27B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989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E7D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92886B1">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01902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D9E19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F5953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为民服务质量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4DF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明显提升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CD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9BB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631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r>
      <w:tr w14:paraId="22D65A0D">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67E4B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76DBD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3925B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供销社基层组织建设体系</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6D53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完善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F03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713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D3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12</w:t>
            </w:r>
          </w:p>
        </w:tc>
      </w:tr>
      <w:tr w14:paraId="2A6DAE4E">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3027F2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D45A1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5D8F54B">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27064E">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58A3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7DE3">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F43C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22CE0DEB">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4CE3B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411775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DA0C741">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AF06B">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39A35">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FD720">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51A73">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812DC91">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F099B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DE7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B3DF1">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农民满意度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3DA04">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2EFBE">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9210C">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BB02F">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both"/>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14:paraId="47B4EF13">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BAB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E63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AF5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527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425EBC16">
      <w:pPr>
        <w:bidi w:val="0"/>
        <w:outlineLvl w:val="2"/>
        <w:rPr>
          <w:rFonts w:hint="default"/>
          <w:b/>
          <w:bCs/>
          <w:color w:val="auto"/>
          <w:lang w:val="en-US" w:eastAsia="zh-CN"/>
        </w:rPr>
      </w:pPr>
      <w:bookmarkStart w:id="75" w:name="_Toc8010"/>
      <w:bookmarkStart w:id="76" w:name="_Toc27006"/>
      <w:r>
        <w:rPr>
          <w:rFonts w:hint="eastAsia"/>
          <w:b/>
          <w:bCs/>
          <w:color w:val="auto"/>
          <w:lang w:val="en-US" w:eastAsia="zh-CN"/>
        </w:rPr>
        <w:t>1.经济效益指标</w:t>
      </w:r>
      <w:bookmarkEnd w:id="75"/>
    </w:p>
    <w:p w14:paraId="40EB7FF1">
      <w:pPr>
        <w:bidi w:val="0"/>
        <w:outlineLvl w:val="2"/>
        <w:rPr>
          <w:rFonts w:hint="eastAsia"/>
          <w:color w:val="auto"/>
          <w:lang w:val="en-US" w:eastAsia="zh-CN"/>
        </w:rPr>
      </w:pPr>
      <w:r>
        <w:rPr>
          <w:rFonts w:hint="eastAsia"/>
          <w:color w:val="auto"/>
          <w:lang w:val="en-US" w:eastAsia="zh-CN"/>
        </w:rPr>
        <w:t>本单位不涉及</w:t>
      </w:r>
      <w:r>
        <w:rPr>
          <w:rFonts w:hint="eastAsia"/>
          <w:b/>
          <w:bCs/>
          <w:color w:val="auto"/>
          <w:lang w:val="en-US" w:eastAsia="zh-CN"/>
        </w:rPr>
        <w:t>经济效益指标。</w:t>
      </w:r>
    </w:p>
    <w:p w14:paraId="45CCF0E5">
      <w:pPr>
        <w:bidi w:val="0"/>
        <w:ind w:left="0" w:leftChars="0" w:firstLine="562" w:firstLineChars="200"/>
        <w:outlineLvl w:val="2"/>
        <w:rPr>
          <w:rFonts w:hint="eastAsia"/>
          <w:b/>
          <w:bCs/>
          <w:color w:val="auto"/>
          <w:lang w:val="en-US" w:eastAsia="zh-CN"/>
        </w:rPr>
      </w:pPr>
      <w:r>
        <w:rPr>
          <w:rFonts w:hint="eastAsia"/>
          <w:b/>
          <w:bCs/>
          <w:color w:val="auto"/>
          <w:lang w:val="en-US" w:eastAsia="zh-CN"/>
        </w:rPr>
        <w:t>2.社会效益指标</w:t>
      </w:r>
      <w:bookmarkEnd w:id="76"/>
    </w:p>
    <w:p w14:paraId="553E41E9">
      <w:pPr>
        <w:bidi w:val="0"/>
        <w:rPr>
          <w:rFonts w:hint="eastAsia"/>
          <w:color w:val="auto"/>
          <w:highlight w:val="none"/>
          <w:lang w:val="en-US" w:eastAsia="zh-CN"/>
        </w:rPr>
      </w:pPr>
      <w:r>
        <w:rPr>
          <w:rFonts w:hint="eastAsia"/>
          <w:color w:val="auto"/>
          <w:highlight w:val="none"/>
          <w:lang w:val="en-US" w:eastAsia="zh-CN"/>
        </w:rPr>
        <w:t>“为民服务质量”指标，预期目标值为</w:t>
      </w:r>
      <w:r>
        <w:rPr>
          <w:rFonts w:hint="default"/>
          <w:color w:val="auto"/>
          <w:highlight w:val="none"/>
          <w:lang w:val="en-US" w:eastAsia="zh-CN"/>
        </w:rPr>
        <w:t>明显提升</w:t>
      </w:r>
      <w:r>
        <w:rPr>
          <w:rFonts w:hint="eastAsia"/>
          <w:color w:val="auto"/>
          <w:highlight w:val="none"/>
          <w:lang w:val="en-US" w:eastAsia="zh-CN"/>
        </w:rPr>
        <w:t>，实际完成为100%。</w:t>
      </w:r>
    </w:p>
    <w:p w14:paraId="2595FC9C">
      <w:pPr>
        <w:bidi w:val="0"/>
        <w:rPr>
          <w:rFonts w:hint="eastAsia"/>
          <w:color w:val="auto"/>
          <w:highlight w:val="none"/>
          <w:lang w:val="en-US" w:eastAsia="zh-CN"/>
        </w:rPr>
      </w:pPr>
      <w:r>
        <w:rPr>
          <w:rFonts w:hint="eastAsia"/>
          <w:color w:val="auto"/>
          <w:highlight w:val="none"/>
          <w:lang w:val="en-US" w:eastAsia="zh-CN"/>
        </w:rPr>
        <w:t>通过项目的实施，为民服务质量</w:t>
      </w:r>
      <w:r>
        <w:rPr>
          <w:rFonts w:hint="default"/>
          <w:color w:val="auto"/>
          <w:highlight w:val="none"/>
          <w:lang w:val="en-US" w:eastAsia="zh-CN"/>
        </w:rPr>
        <w:t>明显提升</w:t>
      </w:r>
      <w:r>
        <w:rPr>
          <w:rFonts w:hint="eastAsia"/>
          <w:color w:val="auto"/>
          <w:highlight w:val="none"/>
          <w:lang w:val="en-US" w:eastAsia="zh-CN"/>
        </w:rPr>
        <w:t>，供销社基层组织建设体系完善。</w:t>
      </w:r>
    </w:p>
    <w:p w14:paraId="03C8B3E2">
      <w:pPr>
        <w:pStyle w:val="2"/>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综上，该项指标满分12分，得分12分。</w:t>
      </w:r>
    </w:p>
    <w:p w14:paraId="0C7082B2">
      <w:pPr>
        <w:pStyle w:val="2"/>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“供销社基层组织建设体系”指标，预期目标值为完善，实际完成为100%。</w:t>
      </w:r>
    </w:p>
    <w:p w14:paraId="33E5F7B3">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w:t>
      </w:r>
      <w:r>
        <w:rPr>
          <w:rFonts w:hint="eastAsia" w:ascii="宋体" w:hAnsi="宋体" w:eastAsia="宋体" w:cs="宋体"/>
          <w:b w:val="0"/>
          <w:bCs w:val="0"/>
          <w:color w:val="auto"/>
          <w:kern w:val="2"/>
          <w:sz w:val="28"/>
          <w:szCs w:val="28"/>
          <w:highlight w:val="none"/>
          <w:lang w:val="en-US" w:eastAsia="zh-CN" w:bidi="ar-SA"/>
        </w:rPr>
        <w:t>供销社基层组织建设体系完善</w:t>
      </w:r>
      <w:r>
        <w:rPr>
          <w:rFonts w:hint="eastAsia"/>
          <w:b w:val="0"/>
          <w:bCs w:val="0"/>
          <w:color w:val="auto"/>
          <w:highlight w:val="none"/>
          <w:lang w:val="en-US" w:eastAsia="zh-CN"/>
        </w:rPr>
        <w:t>，为民服务质量</w:t>
      </w:r>
      <w:r>
        <w:rPr>
          <w:rFonts w:hint="default"/>
          <w:b w:val="0"/>
          <w:bCs w:val="0"/>
          <w:color w:val="auto"/>
          <w:highlight w:val="none"/>
          <w:lang w:val="en-US" w:eastAsia="zh-CN"/>
        </w:rPr>
        <w:t>明显提升</w:t>
      </w:r>
      <w:r>
        <w:rPr>
          <w:rFonts w:hint="eastAsia"/>
          <w:b w:val="0"/>
          <w:bCs w:val="0"/>
          <w:color w:val="auto"/>
          <w:highlight w:val="none"/>
          <w:lang w:val="en-US" w:eastAsia="zh-CN"/>
        </w:rPr>
        <w:t>。</w:t>
      </w:r>
    </w:p>
    <w:p w14:paraId="6A63EA13">
      <w:pPr>
        <w:bidi w:val="0"/>
        <w:rPr>
          <w:rFonts w:hint="eastAsia"/>
          <w:b/>
          <w:bCs/>
          <w:color w:val="auto"/>
          <w:highlight w:val="none"/>
          <w:lang w:val="en-US" w:eastAsia="zh-CN"/>
        </w:rPr>
      </w:pPr>
      <w:r>
        <w:rPr>
          <w:rFonts w:hint="eastAsia"/>
          <w:b/>
          <w:bCs/>
          <w:color w:val="auto"/>
          <w:highlight w:val="none"/>
          <w:lang w:val="en-US" w:eastAsia="zh-CN"/>
        </w:rPr>
        <w:t>综上，该项指标满分12分，得分12分。</w:t>
      </w:r>
    </w:p>
    <w:p w14:paraId="0AF057C3">
      <w:pPr>
        <w:bidi w:val="0"/>
        <w:outlineLvl w:val="2"/>
        <w:rPr>
          <w:rFonts w:hint="eastAsia"/>
          <w:color w:val="auto"/>
          <w:lang w:val="en-US" w:eastAsia="zh-CN"/>
        </w:rPr>
      </w:pPr>
      <w:bookmarkStart w:id="77" w:name="_Toc23106"/>
      <w:r>
        <w:rPr>
          <w:rFonts w:hint="eastAsia"/>
          <w:b/>
          <w:bCs/>
          <w:color w:val="auto"/>
          <w:lang w:val="en-US" w:eastAsia="zh-CN"/>
        </w:rPr>
        <w:t>3.生态效益指标</w:t>
      </w:r>
      <w:bookmarkEnd w:id="77"/>
    </w:p>
    <w:p w14:paraId="54C4D440">
      <w:pPr>
        <w:bidi w:val="0"/>
        <w:rPr>
          <w:rFonts w:hint="eastAsia"/>
          <w:b w:val="0"/>
          <w:bCs w:val="0"/>
          <w:color w:val="auto"/>
          <w:lang w:val="en-US" w:eastAsia="zh-CN"/>
        </w:rPr>
      </w:pPr>
      <w:r>
        <w:rPr>
          <w:rFonts w:hint="eastAsia"/>
          <w:b w:val="0"/>
          <w:bCs w:val="0"/>
          <w:color w:val="auto"/>
          <w:lang w:val="en-US" w:eastAsia="zh-CN"/>
        </w:rPr>
        <w:t>本单位不涉及生态效益指标。</w:t>
      </w:r>
    </w:p>
    <w:p w14:paraId="13A81D3A">
      <w:pPr>
        <w:bidi w:val="0"/>
        <w:rPr>
          <w:rFonts w:hint="eastAsia"/>
          <w:color w:val="auto"/>
          <w:lang w:val="en-US" w:eastAsia="zh-CN"/>
        </w:rPr>
      </w:pPr>
      <w:r>
        <w:rPr>
          <w:rFonts w:hint="eastAsia"/>
          <w:b/>
          <w:bCs/>
          <w:color w:val="auto"/>
          <w:lang w:val="en-US" w:eastAsia="zh-CN"/>
        </w:rPr>
        <w:t>综上，该项指标满分0分，得分0分。</w:t>
      </w:r>
    </w:p>
    <w:p w14:paraId="5D536BAB">
      <w:pPr>
        <w:bidi w:val="0"/>
        <w:ind w:left="0" w:leftChars="0" w:firstLine="562" w:firstLine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4.可持续影响指标</w:t>
      </w:r>
    </w:p>
    <w:p w14:paraId="3497C2A3">
      <w:pPr>
        <w:bidi w:val="0"/>
        <w:rPr>
          <w:rFonts w:hint="default"/>
          <w:color w:val="auto"/>
          <w:lang w:val="en-US" w:eastAsia="zh-CN"/>
        </w:rPr>
      </w:pPr>
      <w:r>
        <w:rPr>
          <w:rFonts w:hint="eastAsia"/>
          <w:b w:val="0"/>
          <w:bCs w:val="0"/>
          <w:color w:val="auto"/>
          <w:lang w:val="en-US" w:eastAsia="zh-CN"/>
        </w:rPr>
        <w:t>本单位不涉及可持续影响指标。</w:t>
      </w:r>
    </w:p>
    <w:p w14:paraId="359D2B31">
      <w:pPr>
        <w:bidi w:val="0"/>
        <w:ind w:left="0" w:leftChars="0" w:firstLine="562" w:firstLineChars="200"/>
        <w:outlineLvl w:val="2"/>
        <w:rPr>
          <w:rFonts w:hint="eastAsia"/>
          <w:b/>
          <w:bCs/>
          <w:color w:val="auto"/>
          <w:highlight w:val="none"/>
          <w:lang w:val="en-US" w:eastAsia="zh-CN"/>
        </w:rPr>
      </w:pPr>
      <w:r>
        <w:rPr>
          <w:rFonts w:hint="eastAsia"/>
          <w:b/>
          <w:bCs/>
          <w:color w:val="auto"/>
          <w:highlight w:val="none"/>
          <w:lang w:val="en-US" w:eastAsia="zh-CN"/>
        </w:rPr>
        <w:t>5.满意度指标</w:t>
      </w:r>
      <w:bookmarkEnd w:id="78"/>
    </w:p>
    <w:p w14:paraId="4513D405">
      <w:pPr>
        <w:bidi w:val="0"/>
        <w:rPr>
          <w:rFonts w:hint="eastAsia"/>
          <w:color w:val="auto"/>
          <w:highlight w:val="none"/>
          <w:lang w:val="en-US" w:eastAsia="zh-CN"/>
        </w:rPr>
      </w:pPr>
      <w:r>
        <w:rPr>
          <w:rFonts w:hint="eastAsia"/>
          <w:color w:val="auto"/>
          <w:highlight w:val="none"/>
          <w:lang w:val="en-US" w:eastAsia="zh-CN"/>
        </w:rPr>
        <w:t xml:space="preserve"> </w:t>
      </w:r>
      <w:r>
        <w:rPr>
          <w:rFonts w:hint="eastAsia"/>
          <w:color w:val="auto"/>
          <w:highlight w:val="none"/>
          <w:lang w:eastAsia="zh-CN"/>
        </w:rPr>
        <w:t>“</w:t>
      </w:r>
      <w:r>
        <w:rPr>
          <w:rFonts w:hint="eastAsia"/>
          <w:color w:val="auto"/>
          <w:highlight w:val="none"/>
          <w:lang w:val="en-US" w:eastAsia="zh-CN"/>
        </w:rPr>
        <w:t>农民群众满意度</w:t>
      </w:r>
      <w:r>
        <w:rPr>
          <w:rFonts w:hint="eastAsia"/>
          <w:color w:val="auto"/>
          <w:highlight w:val="none"/>
          <w:lang w:eastAsia="zh-CN"/>
        </w:rPr>
        <w:t>”</w:t>
      </w:r>
      <w:r>
        <w:rPr>
          <w:rFonts w:hint="eastAsia"/>
          <w:color w:val="auto"/>
          <w:highlight w:val="none"/>
          <w:lang w:val="en-US" w:eastAsia="zh-CN"/>
        </w:rPr>
        <w:t>指标，预期目标值为≥95%，实际完成为100%。</w:t>
      </w:r>
    </w:p>
    <w:p w14:paraId="178118E4">
      <w:pPr>
        <w:bidi w:val="0"/>
        <w:rPr>
          <w:rFonts w:hint="eastAsia"/>
          <w:b/>
          <w:bCs/>
          <w:color w:val="auto"/>
          <w:highlight w:val="none"/>
          <w:lang w:val="en-US" w:eastAsia="zh-CN"/>
        </w:rPr>
      </w:pPr>
      <w:r>
        <w:rPr>
          <w:rFonts w:hint="eastAsia"/>
          <w:b/>
          <w:bCs/>
          <w:color w:val="auto"/>
          <w:highlight w:val="none"/>
          <w:lang w:val="en-US" w:eastAsia="zh-CN"/>
        </w:rPr>
        <w:t>综上，该项指标满分6分，得分6分。</w:t>
      </w:r>
    </w:p>
    <w:p w14:paraId="7DD3EBC6">
      <w:pPr>
        <w:pStyle w:val="4"/>
        <w:pageBreakBefore w:val="0"/>
        <w:numPr>
          <w:ilvl w:val="0"/>
          <w:numId w:val="0"/>
        </w:numPr>
        <w:kinsoku/>
        <w:wordWrap/>
        <w:overflowPunct/>
        <w:topLinePunct w:val="0"/>
        <w:autoSpaceDE/>
        <w:autoSpaceDN/>
        <w:bidi w:val="0"/>
        <w:adjustRightInd/>
        <w:spacing w:beforeLines="0" w:afterLines="0" w:line="360" w:lineRule="auto"/>
        <w:ind w:firstLine="643" w:firstLineChars="200"/>
        <w:textAlignment w:val="auto"/>
        <w:rPr>
          <w:rFonts w:hint="eastAsia" w:ascii="仿宋_GB2312" w:hAnsi="仿宋_GB2312" w:cs="仿宋_GB2312"/>
          <w:color w:val="auto"/>
          <w:sz w:val="28"/>
          <w:szCs w:val="28"/>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785DE71E">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lang w:val="en-US" w:eastAsia="zh-CN"/>
        </w:rPr>
        <w:t>该</w:t>
      </w:r>
      <w:r>
        <w:rPr>
          <w:rFonts w:hint="eastAsia" w:cs="仿宋_GB2312"/>
          <w:color w:val="auto"/>
          <w:sz w:val="28"/>
          <w:szCs w:val="28"/>
          <w:lang w:eastAsia="zh-CN"/>
        </w:rPr>
        <w:t>项目</w:t>
      </w:r>
      <w:r>
        <w:rPr>
          <w:rFonts w:hint="eastAsia" w:cs="仿宋_GB2312"/>
          <w:color w:val="auto"/>
          <w:sz w:val="28"/>
          <w:szCs w:val="28"/>
          <w:highlight w:val="none"/>
          <w:lang w:eastAsia="zh-CN"/>
        </w:rPr>
        <w:t>预算资金总额为</w:t>
      </w:r>
      <w:r>
        <w:rPr>
          <w:rFonts w:hint="eastAsia"/>
          <w:b/>
          <w:bCs/>
          <w:color w:val="auto"/>
          <w:highlight w:val="none"/>
          <w:lang w:val="en-US" w:eastAsia="zh-CN"/>
        </w:rPr>
        <w:t>10.00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10.00</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66FEB25A">
      <w:pPr>
        <w:pStyle w:val="4"/>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31682226">
      <w:pPr>
        <w:numPr>
          <w:ilvl w:val="0"/>
          <w:numId w:val="0"/>
        </w:numPr>
        <w:bidi w:val="0"/>
        <w:ind w:left="560" w:leftChars="0"/>
        <w:outlineLvl w:val="1"/>
        <w:rPr>
          <w:rFonts w:hint="eastAsia"/>
          <w:b/>
          <w:bCs/>
          <w:color w:val="auto"/>
          <w:lang w:eastAsia="zh-CN"/>
        </w:rPr>
      </w:pPr>
      <w:bookmarkStart w:id="81" w:name="_Toc13160"/>
      <w:bookmarkStart w:id="82" w:name="_Toc1921"/>
      <w:bookmarkStart w:id="83" w:name="_Toc28290"/>
      <w:r>
        <w:rPr>
          <w:rFonts w:hint="eastAsia"/>
          <w:b/>
          <w:bCs/>
          <w:color w:val="auto"/>
          <w:lang w:eastAsia="zh-CN"/>
        </w:rPr>
        <w:t>（</w:t>
      </w:r>
      <w:r>
        <w:rPr>
          <w:rFonts w:hint="eastAsia"/>
          <w:b/>
          <w:bCs/>
          <w:color w:val="auto"/>
          <w:lang w:val="en-US" w:eastAsia="zh-CN"/>
        </w:rPr>
        <w:t>一</w:t>
      </w:r>
      <w:r>
        <w:rPr>
          <w:rFonts w:hint="eastAsia"/>
          <w:b/>
          <w:bCs/>
          <w:color w:val="auto"/>
          <w:lang w:eastAsia="zh-CN"/>
        </w:rPr>
        <w:t>）</w:t>
      </w:r>
      <w:r>
        <w:rPr>
          <w:rFonts w:hint="eastAsia"/>
          <w:b/>
          <w:bCs/>
          <w:color w:val="auto"/>
        </w:rPr>
        <w:t>主要经验及做法</w:t>
      </w:r>
      <w:bookmarkEnd w:id="81"/>
    </w:p>
    <w:p w14:paraId="3FB59F09">
      <w:pPr>
        <w:bidi w:val="0"/>
        <w:rPr>
          <w:rFonts w:hint="eastAsia"/>
          <w:color w:val="auto"/>
          <w:lang w:eastAsia="zh-CN"/>
        </w:rPr>
      </w:pPr>
      <w:r>
        <w:rPr>
          <w:rFonts w:hint="eastAsia"/>
          <w:color w:val="auto"/>
          <w:lang w:val="en-US" w:eastAsia="zh-CN"/>
        </w:rPr>
        <w:t>《阜康市供销社基层为农社会化服务中心改造提升项目》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10</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10</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624F4BEC">
      <w:pPr>
        <w:bidi w:val="0"/>
        <w:rPr>
          <w:rFonts w:hint="eastAsia"/>
          <w:color w:val="auto"/>
          <w:lang w:eastAsia="zh-CN"/>
        </w:rPr>
      </w:pPr>
      <w:r>
        <w:rPr>
          <w:rFonts w:hint="eastAsia"/>
          <w:color w:val="auto"/>
          <w:lang w:val="en-US" w:eastAsia="zh-CN"/>
        </w:rPr>
        <w:t>阜康市城关供销合作社</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lang w:val="en-US" w:eastAsia="zh-CN"/>
        </w:rPr>
        <w:t>阜康市城关供销合作社</w:t>
      </w:r>
      <w:r>
        <w:rPr>
          <w:rFonts w:hint="eastAsia"/>
          <w:color w:val="auto"/>
          <w:lang w:eastAsia="zh-CN"/>
        </w:rPr>
        <w:t>事业发展中关系民生与稳定的项目，切实优化资源配置，提高了资金使用的效率和效果。</w:t>
      </w:r>
    </w:p>
    <w:bookmarkEnd w:id="82"/>
    <w:bookmarkEnd w:id="83"/>
    <w:p w14:paraId="2F41E391">
      <w:pPr>
        <w:bidi w:val="0"/>
        <w:outlineLvl w:val="1"/>
        <w:rPr>
          <w:rFonts w:hint="eastAsia"/>
          <w:b/>
          <w:bCs/>
          <w:color w:val="auto"/>
          <w:lang w:eastAsia="zh-CN"/>
        </w:rPr>
      </w:pPr>
      <w:bookmarkStart w:id="84" w:name="_Toc9582"/>
      <w:r>
        <w:rPr>
          <w:rFonts w:hint="eastAsia"/>
          <w:b/>
          <w:bCs/>
          <w:color w:val="auto"/>
          <w:lang w:eastAsia="zh-CN"/>
        </w:rPr>
        <w:t>（</w:t>
      </w:r>
      <w:r>
        <w:rPr>
          <w:rFonts w:hint="eastAsia"/>
          <w:b/>
          <w:bCs/>
          <w:color w:val="auto"/>
          <w:lang w:val="en-US" w:eastAsia="zh-CN"/>
        </w:rPr>
        <w:t>二</w:t>
      </w:r>
      <w:r>
        <w:rPr>
          <w:rFonts w:hint="eastAsia"/>
          <w:b/>
          <w:bCs/>
          <w:color w:val="auto"/>
          <w:lang w:eastAsia="zh-CN"/>
        </w:rPr>
        <w:t>）</w:t>
      </w:r>
      <w:r>
        <w:rPr>
          <w:rFonts w:hint="eastAsia"/>
          <w:b/>
          <w:bCs/>
          <w:color w:val="auto"/>
        </w:rPr>
        <w:t>存在的问题及原因分析</w:t>
      </w:r>
      <w:bookmarkEnd w:id="84"/>
    </w:p>
    <w:p w14:paraId="7F1079A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s="Times New Roman"/>
          <w:color w:val="auto"/>
          <w:highlight w:val="none"/>
          <w:lang w:val="en-US" w:eastAsia="zh-CN"/>
        </w:rPr>
      </w:pPr>
      <w:bookmarkStart w:id="85" w:name="_Toc5230"/>
      <w:r>
        <w:rPr>
          <w:rFonts w:hint="eastAsia" w:cs="Times New Roman"/>
          <w:color w:val="auto"/>
          <w:highlight w:val="none"/>
        </w:rPr>
        <w:t>1、</w:t>
      </w:r>
      <w:r>
        <w:rPr>
          <w:rFonts w:hint="eastAsia" w:cs="Times New Roman"/>
          <w:color w:val="auto"/>
          <w:highlight w:val="none"/>
          <w:lang w:val="en-US" w:eastAsia="zh-CN"/>
        </w:rPr>
        <w:t>团队沟通不畅，项目实施过程中需要各方之间的密切沟通，因沟通不畅会有各方矛盾和问题导致项目不能按期完成。</w:t>
      </w:r>
    </w:p>
    <w:p w14:paraId="40B51076">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5"/>
          <w:rFonts w:hint="eastAsia" w:ascii="Times New Roman" w:hAnsi="Times New Roman" w:eastAsia="仿宋"/>
          <w:b w:val="0"/>
          <w:bCs w:val="0"/>
          <w:color w:val="auto"/>
          <w:spacing w:val="-4"/>
          <w:sz w:val="32"/>
          <w:szCs w:val="32"/>
          <w:highlight w:val="none"/>
          <w:lang w:val="en-US" w:eastAsia="zh-CN"/>
        </w:rPr>
      </w:pPr>
      <w:r>
        <w:rPr>
          <w:rFonts w:hint="eastAsia" w:cs="Times New Roman"/>
          <w:color w:val="auto"/>
          <w:highlight w:val="none"/>
        </w:rPr>
        <w:t>2、</w:t>
      </w:r>
      <w:r>
        <w:rPr>
          <w:rFonts w:hint="eastAsia" w:cs="Times New Roman"/>
          <w:color w:val="auto"/>
          <w:highlight w:val="none"/>
          <w:lang w:val="en-US" w:eastAsia="zh-CN"/>
        </w:rPr>
        <w:t>对预算的监督管理不够重视，财务人员的专业技能、理论水平等综合素质还不够高，缺乏专业性的经验积累，知识不能及时更新。</w:t>
      </w:r>
    </w:p>
    <w:p w14:paraId="49BF69B2">
      <w:pPr>
        <w:pStyle w:val="4"/>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有关建议</w:t>
      </w:r>
      <w:bookmarkEnd w:id="85"/>
    </w:p>
    <w:p w14:paraId="0DCA3EE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eastAsia="宋体" w:cs="Times New Roman"/>
          <w:color w:val="auto"/>
          <w:highlight w:val="none"/>
          <w:lang w:val="en-US" w:eastAsia="zh-CN"/>
        </w:rPr>
      </w:pPr>
      <w:bookmarkStart w:id="86" w:name="_Toc15618"/>
      <w:r>
        <w:rPr>
          <w:rFonts w:hint="eastAsia" w:cs="Times New Roman"/>
          <w:color w:val="auto"/>
          <w:highlight w:val="none"/>
          <w:lang w:eastAsia="zh-CN"/>
        </w:rPr>
        <w:t>（</w:t>
      </w:r>
      <w:r>
        <w:rPr>
          <w:rFonts w:hint="eastAsia" w:cs="Times New Roman"/>
          <w:color w:val="auto"/>
          <w:highlight w:val="none"/>
          <w:lang w:val="en-US" w:eastAsia="zh-CN"/>
        </w:rPr>
        <w:t>一</w:t>
      </w:r>
      <w:r>
        <w:rPr>
          <w:rFonts w:hint="eastAsia" w:cs="Times New Roman"/>
          <w:color w:val="auto"/>
          <w:highlight w:val="none"/>
          <w:lang w:eastAsia="zh-CN"/>
        </w:rPr>
        <w:t>）</w:t>
      </w:r>
      <w:r>
        <w:rPr>
          <w:rFonts w:hint="eastAsia" w:cs="Times New Roman"/>
          <w:color w:val="auto"/>
          <w:highlight w:val="none"/>
          <w:lang w:val="en-US" w:eastAsia="zh-CN"/>
        </w:rPr>
        <w:t>要建立良好的沟通机制，包括定期开会和定期汇报及项目进展情况，同时也要注意加强沟通技巧和心理素质的训练，增强彼此之间的信任和理解，让沟通变得更加畅快。</w:t>
      </w:r>
    </w:p>
    <w:p w14:paraId="3A07008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s="Times New Roman"/>
          <w:color w:val="auto"/>
          <w:highlight w:val="none"/>
        </w:rPr>
      </w:pPr>
      <w:r>
        <w:rPr>
          <w:rFonts w:hint="eastAsia" w:cs="Times New Roman"/>
          <w:color w:val="auto"/>
          <w:highlight w:val="none"/>
          <w:lang w:eastAsia="zh-CN"/>
        </w:rPr>
        <w:t>（</w:t>
      </w:r>
      <w:r>
        <w:rPr>
          <w:rFonts w:hint="eastAsia" w:cs="Times New Roman"/>
          <w:color w:val="auto"/>
          <w:highlight w:val="none"/>
          <w:lang w:val="en-US" w:eastAsia="zh-CN"/>
        </w:rPr>
        <w:t>二</w:t>
      </w:r>
      <w:r>
        <w:rPr>
          <w:rFonts w:hint="eastAsia" w:cs="Times New Roman"/>
          <w:color w:val="auto"/>
          <w:highlight w:val="none"/>
          <w:lang w:eastAsia="zh-CN"/>
        </w:rPr>
        <w:t>）是</w:t>
      </w:r>
      <w:r>
        <w:rPr>
          <w:rFonts w:hint="eastAsia" w:cs="Times New Roman"/>
          <w:color w:val="auto"/>
          <w:highlight w:val="none"/>
          <w:lang w:val="en-US" w:eastAsia="zh-CN"/>
        </w:rPr>
        <w:t>资金管理方面，</w:t>
      </w:r>
      <w:r>
        <w:rPr>
          <w:rFonts w:hint="eastAsia" w:cs="Times New Roman"/>
          <w:color w:val="auto"/>
          <w:highlight w:val="none"/>
        </w:rPr>
        <w:t>严格各项支出标准的控制，按照年初绩效考核目标，合理安排支出进度，合理利用资金，提高资金使用效率。</w:t>
      </w:r>
    </w:p>
    <w:p w14:paraId="18D1E79C">
      <w:pPr>
        <w:pStyle w:val="4"/>
        <w:pageBreakBefore w:val="0"/>
        <w:numPr>
          <w:ilvl w:val="0"/>
          <w:numId w:val="4"/>
        </w:numPr>
        <w:kinsoku/>
        <w:wordWrap/>
        <w:overflowPunct/>
        <w:topLinePunct w:val="0"/>
        <w:autoSpaceDE/>
        <w:autoSpaceDN/>
        <w:bidi w:val="0"/>
        <w:adjustRightInd/>
        <w:spacing w:beforeLines="0" w:afterLines="0" w:line="360" w:lineRule="auto"/>
        <w:textAlignment w:val="auto"/>
        <w:rPr>
          <w:rFonts w:hint="default"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其他需要说明的问</w:t>
      </w:r>
      <w:bookmarkEnd w:id="86"/>
      <w:r>
        <w:rPr>
          <w:rFonts w:hint="eastAsia" w:ascii="宋体" w:hAnsi="宋体" w:eastAsia="宋体" w:cs="宋体"/>
          <w:b/>
          <w:bCs/>
          <w:color w:val="auto"/>
          <w:highlight w:val="none"/>
          <w:shd w:val="clear" w:color="auto" w:fill="auto"/>
          <w:lang w:val="en-US" w:eastAsia="zh-CN"/>
        </w:rPr>
        <w:t>提</w:t>
      </w:r>
    </w:p>
    <w:p w14:paraId="788548F5">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无</w:t>
      </w:r>
    </w:p>
    <w:p w14:paraId="5DD27804">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7" w:name="_Toc11349"/>
    </w:p>
    <w:p w14:paraId="61CE7262">
      <w:pPr>
        <w:ind w:left="0" w:leftChars="0" w:firstLine="0" w:firstLineChars="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96"/>
        <w:gridCol w:w="697"/>
        <w:gridCol w:w="905"/>
        <w:gridCol w:w="1297"/>
        <w:gridCol w:w="1169"/>
        <w:gridCol w:w="1079"/>
        <w:gridCol w:w="917"/>
        <w:gridCol w:w="995"/>
        <w:gridCol w:w="995"/>
        <w:gridCol w:w="1110"/>
        <w:gridCol w:w="1062"/>
        <w:gridCol w:w="994"/>
        <w:gridCol w:w="1239"/>
        <w:gridCol w:w="1019"/>
      </w:tblGrid>
      <w:tr w14:paraId="15124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6BB82EEE">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54FF6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3FEA3CB7">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02B4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93" w:type="dxa"/>
            <w:gridSpan w:val="2"/>
            <w:tcBorders>
              <w:top w:val="single" w:color="auto" w:sz="4" w:space="0"/>
              <w:tl2br w:val="nil"/>
              <w:tr2bl w:val="nil"/>
            </w:tcBorders>
            <w:shd w:val="clear" w:color="auto" w:fill="auto"/>
            <w:vAlign w:val="center"/>
          </w:tcPr>
          <w:p w14:paraId="04E63E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81" w:type="dxa"/>
            <w:gridSpan w:val="12"/>
            <w:tcBorders>
              <w:top w:val="single" w:color="auto" w:sz="4" w:space="0"/>
              <w:tl2br w:val="nil"/>
              <w:tr2bl w:val="nil"/>
            </w:tcBorders>
            <w:shd w:val="clear" w:color="auto" w:fill="auto"/>
            <w:vAlign w:val="center"/>
          </w:tcPr>
          <w:p w14:paraId="72410A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阜康市供销社基层为农社会化服务中心改造提升项目</w:t>
            </w:r>
          </w:p>
        </w:tc>
      </w:tr>
      <w:tr w14:paraId="31D50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93" w:type="dxa"/>
            <w:gridSpan w:val="2"/>
            <w:tcBorders>
              <w:tl2br w:val="nil"/>
              <w:tr2bl w:val="nil"/>
            </w:tcBorders>
            <w:shd w:val="clear" w:color="auto" w:fill="auto"/>
            <w:vAlign w:val="center"/>
          </w:tcPr>
          <w:p w14:paraId="309556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67" w:type="dxa"/>
            <w:gridSpan w:val="5"/>
            <w:tcBorders>
              <w:tl2br w:val="nil"/>
              <w:tr2bl w:val="nil"/>
            </w:tcBorders>
            <w:shd w:val="clear" w:color="auto" w:fill="auto"/>
            <w:vAlign w:val="center"/>
          </w:tcPr>
          <w:p w14:paraId="7074DA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阜康市供销合作社联合社</w:t>
            </w:r>
          </w:p>
        </w:tc>
        <w:tc>
          <w:tcPr>
            <w:tcW w:w="1990" w:type="dxa"/>
            <w:gridSpan w:val="2"/>
            <w:tcBorders>
              <w:tl2br w:val="nil"/>
              <w:tr2bl w:val="nil"/>
            </w:tcBorders>
            <w:shd w:val="clear" w:color="auto" w:fill="auto"/>
            <w:vAlign w:val="center"/>
          </w:tcPr>
          <w:p w14:paraId="33064B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24" w:type="dxa"/>
            <w:gridSpan w:val="5"/>
            <w:tcBorders>
              <w:tl2br w:val="nil"/>
              <w:tr2bl w:val="nil"/>
            </w:tcBorders>
            <w:shd w:val="clear" w:color="auto" w:fill="auto"/>
            <w:vAlign w:val="center"/>
          </w:tcPr>
          <w:p w14:paraId="7B24F0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阜康市供销合作社联合社</w:t>
            </w:r>
          </w:p>
        </w:tc>
      </w:tr>
      <w:tr w14:paraId="0C8B0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93" w:type="dxa"/>
            <w:gridSpan w:val="2"/>
            <w:vMerge w:val="restart"/>
            <w:tcBorders>
              <w:tl2br w:val="nil"/>
              <w:tr2bl w:val="nil"/>
            </w:tcBorders>
            <w:shd w:val="clear" w:color="auto" w:fill="auto"/>
            <w:vAlign w:val="center"/>
          </w:tcPr>
          <w:p w14:paraId="6D18EB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202" w:type="dxa"/>
            <w:gridSpan w:val="2"/>
            <w:tcBorders>
              <w:tl2br w:val="nil"/>
              <w:tr2bl w:val="nil"/>
            </w:tcBorders>
            <w:shd w:val="clear" w:color="auto" w:fill="auto"/>
            <w:vAlign w:val="center"/>
          </w:tcPr>
          <w:p w14:paraId="1D9B34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69" w:type="dxa"/>
            <w:tcBorders>
              <w:tl2br w:val="nil"/>
              <w:tr2bl w:val="nil"/>
            </w:tcBorders>
            <w:shd w:val="clear" w:color="auto" w:fill="auto"/>
            <w:vAlign w:val="center"/>
          </w:tcPr>
          <w:p w14:paraId="6E02D4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96" w:type="dxa"/>
            <w:gridSpan w:val="2"/>
            <w:tcBorders>
              <w:tl2br w:val="nil"/>
              <w:tr2bl w:val="nil"/>
            </w:tcBorders>
            <w:shd w:val="clear" w:color="auto" w:fill="auto"/>
            <w:vAlign w:val="center"/>
          </w:tcPr>
          <w:p w14:paraId="0A3FC6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90" w:type="dxa"/>
            <w:gridSpan w:val="2"/>
            <w:tcBorders>
              <w:tl2br w:val="nil"/>
              <w:tr2bl w:val="nil"/>
            </w:tcBorders>
            <w:shd w:val="clear" w:color="auto" w:fill="auto"/>
            <w:vAlign w:val="center"/>
          </w:tcPr>
          <w:p w14:paraId="1FE9A3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172" w:type="dxa"/>
            <w:gridSpan w:val="2"/>
            <w:tcBorders>
              <w:tl2br w:val="nil"/>
              <w:tr2bl w:val="nil"/>
            </w:tcBorders>
            <w:shd w:val="clear" w:color="auto" w:fill="auto"/>
            <w:vAlign w:val="center"/>
          </w:tcPr>
          <w:p w14:paraId="0D6E10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233" w:type="dxa"/>
            <w:gridSpan w:val="2"/>
            <w:tcBorders>
              <w:tl2br w:val="nil"/>
              <w:tr2bl w:val="nil"/>
            </w:tcBorders>
            <w:shd w:val="clear" w:color="auto" w:fill="auto"/>
            <w:vAlign w:val="center"/>
          </w:tcPr>
          <w:p w14:paraId="65B890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19" w:type="dxa"/>
            <w:tcBorders>
              <w:tl2br w:val="nil"/>
              <w:tr2bl w:val="nil"/>
            </w:tcBorders>
            <w:shd w:val="clear" w:color="auto" w:fill="auto"/>
            <w:vAlign w:val="center"/>
          </w:tcPr>
          <w:p w14:paraId="5B6A64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0D452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93" w:type="dxa"/>
            <w:gridSpan w:val="2"/>
            <w:vMerge w:val="continue"/>
            <w:tcBorders>
              <w:tl2br w:val="nil"/>
              <w:tr2bl w:val="nil"/>
            </w:tcBorders>
            <w:shd w:val="clear" w:color="auto" w:fill="auto"/>
            <w:vAlign w:val="center"/>
          </w:tcPr>
          <w:p w14:paraId="0005A039">
            <w:pPr>
              <w:jc w:val="center"/>
              <w:rPr>
                <w:rFonts w:hint="eastAsia" w:ascii="宋体" w:hAnsi="宋体" w:eastAsia="宋体" w:cs="宋体"/>
                <w:i w:val="0"/>
                <w:iCs w:val="0"/>
                <w:color w:val="000000"/>
                <w:sz w:val="20"/>
                <w:szCs w:val="20"/>
                <w:u w:val="none"/>
              </w:rPr>
            </w:pPr>
          </w:p>
        </w:tc>
        <w:tc>
          <w:tcPr>
            <w:tcW w:w="2202" w:type="dxa"/>
            <w:gridSpan w:val="2"/>
            <w:tcBorders>
              <w:tl2br w:val="nil"/>
              <w:tr2bl w:val="nil"/>
            </w:tcBorders>
            <w:shd w:val="clear" w:color="auto" w:fill="auto"/>
            <w:vAlign w:val="center"/>
          </w:tcPr>
          <w:p w14:paraId="729F86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69" w:type="dxa"/>
            <w:tcBorders>
              <w:tl2br w:val="nil"/>
              <w:tr2bl w:val="nil"/>
            </w:tcBorders>
            <w:shd w:val="clear" w:color="auto" w:fill="auto"/>
            <w:vAlign w:val="center"/>
          </w:tcPr>
          <w:p w14:paraId="4B59A9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996" w:type="dxa"/>
            <w:gridSpan w:val="2"/>
            <w:tcBorders>
              <w:tl2br w:val="nil"/>
              <w:tr2bl w:val="nil"/>
            </w:tcBorders>
            <w:shd w:val="clear" w:color="auto" w:fill="auto"/>
            <w:vAlign w:val="center"/>
          </w:tcPr>
          <w:p w14:paraId="37E54D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990" w:type="dxa"/>
            <w:gridSpan w:val="2"/>
            <w:tcBorders>
              <w:tl2br w:val="nil"/>
              <w:tr2bl w:val="nil"/>
            </w:tcBorders>
            <w:shd w:val="clear" w:color="auto" w:fill="auto"/>
            <w:vAlign w:val="center"/>
          </w:tcPr>
          <w:p w14:paraId="4AE852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172" w:type="dxa"/>
            <w:gridSpan w:val="2"/>
            <w:tcBorders>
              <w:tl2br w:val="nil"/>
              <w:tr2bl w:val="nil"/>
            </w:tcBorders>
            <w:shd w:val="clear" w:color="auto" w:fill="auto"/>
            <w:vAlign w:val="center"/>
          </w:tcPr>
          <w:p w14:paraId="626FE1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33" w:type="dxa"/>
            <w:gridSpan w:val="2"/>
            <w:tcBorders>
              <w:tl2br w:val="nil"/>
              <w:tr2bl w:val="nil"/>
            </w:tcBorders>
            <w:shd w:val="clear" w:color="auto" w:fill="auto"/>
            <w:vAlign w:val="center"/>
          </w:tcPr>
          <w:p w14:paraId="1AAC5F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019" w:type="dxa"/>
            <w:tcBorders>
              <w:tl2br w:val="nil"/>
              <w:tr2bl w:val="nil"/>
            </w:tcBorders>
            <w:shd w:val="clear" w:color="auto" w:fill="auto"/>
            <w:vAlign w:val="center"/>
          </w:tcPr>
          <w:p w14:paraId="2459BA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2DFA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393" w:type="dxa"/>
            <w:gridSpan w:val="2"/>
            <w:vMerge w:val="continue"/>
            <w:tcBorders>
              <w:tl2br w:val="nil"/>
              <w:tr2bl w:val="nil"/>
            </w:tcBorders>
            <w:shd w:val="clear" w:color="auto" w:fill="auto"/>
            <w:vAlign w:val="center"/>
          </w:tcPr>
          <w:p w14:paraId="00CAD9F3">
            <w:pPr>
              <w:jc w:val="center"/>
              <w:rPr>
                <w:rFonts w:hint="eastAsia" w:ascii="宋体" w:hAnsi="宋体" w:eastAsia="宋体" w:cs="宋体"/>
                <w:i w:val="0"/>
                <w:iCs w:val="0"/>
                <w:color w:val="000000"/>
                <w:sz w:val="20"/>
                <w:szCs w:val="20"/>
                <w:u w:val="none"/>
              </w:rPr>
            </w:pPr>
          </w:p>
        </w:tc>
        <w:tc>
          <w:tcPr>
            <w:tcW w:w="2202" w:type="dxa"/>
            <w:gridSpan w:val="2"/>
            <w:tcBorders>
              <w:tl2br w:val="nil"/>
              <w:tr2bl w:val="nil"/>
            </w:tcBorders>
            <w:shd w:val="clear" w:color="auto" w:fill="auto"/>
            <w:vAlign w:val="center"/>
          </w:tcPr>
          <w:p w14:paraId="56ED52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69" w:type="dxa"/>
            <w:tcBorders>
              <w:tl2br w:val="nil"/>
              <w:tr2bl w:val="nil"/>
            </w:tcBorders>
            <w:shd w:val="clear" w:color="auto" w:fill="auto"/>
            <w:vAlign w:val="center"/>
          </w:tcPr>
          <w:p w14:paraId="20670E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996" w:type="dxa"/>
            <w:gridSpan w:val="2"/>
            <w:tcBorders>
              <w:tl2br w:val="nil"/>
              <w:tr2bl w:val="nil"/>
            </w:tcBorders>
            <w:shd w:val="clear" w:color="auto" w:fill="auto"/>
            <w:vAlign w:val="center"/>
          </w:tcPr>
          <w:p w14:paraId="119996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990" w:type="dxa"/>
            <w:gridSpan w:val="2"/>
            <w:tcBorders>
              <w:tl2br w:val="nil"/>
              <w:tr2bl w:val="nil"/>
            </w:tcBorders>
            <w:shd w:val="clear" w:color="auto" w:fill="auto"/>
            <w:vAlign w:val="center"/>
          </w:tcPr>
          <w:p w14:paraId="34F3DB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172" w:type="dxa"/>
            <w:gridSpan w:val="2"/>
            <w:tcBorders>
              <w:tl2br w:val="nil"/>
              <w:tr2bl w:val="nil"/>
            </w:tcBorders>
            <w:shd w:val="clear" w:color="auto" w:fill="auto"/>
            <w:vAlign w:val="center"/>
          </w:tcPr>
          <w:p w14:paraId="3DD9B8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33" w:type="dxa"/>
            <w:gridSpan w:val="2"/>
            <w:tcBorders>
              <w:tl2br w:val="nil"/>
              <w:tr2bl w:val="nil"/>
            </w:tcBorders>
            <w:shd w:val="clear" w:color="auto" w:fill="auto"/>
            <w:vAlign w:val="center"/>
          </w:tcPr>
          <w:p w14:paraId="0BBD06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7336D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D5ED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1393" w:type="dxa"/>
            <w:gridSpan w:val="2"/>
            <w:vMerge w:val="continue"/>
            <w:tcBorders>
              <w:tl2br w:val="nil"/>
              <w:tr2bl w:val="nil"/>
            </w:tcBorders>
            <w:shd w:val="clear" w:color="auto" w:fill="auto"/>
            <w:vAlign w:val="center"/>
          </w:tcPr>
          <w:p w14:paraId="3C5D5BED">
            <w:pPr>
              <w:jc w:val="center"/>
              <w:rPr>
                <w:rFonts w:hint="eastAsia" w:ascii="宋体" w:hAnsi="宋体" w:eastAsia="宋体" w:cs="宋体"/>
                <w:i w:val="0"/>
                <w:iCs w:val="0"/>
                <w:color w:val="000000"/>
                <w:sz w:val="20"/>
                <w:szCs w:val="20"/>
                <w:u w:val="none"/>
              </w:rPr>
            </w:pPr>
          </w:p>
        </w:tc>
        <w:tc>
          <w:tcPr>
            <w:tcW w:w="2202" w:type="dxa"/>
            <w:gridSpan w:val="2"/>
            <w:tcBorders>
              <w:tl2br w:val="nil"/>
              <w:tr2bl w:val="nil"/>
            </w:tcBorders>
            <w:shd w:val="clear" w:color="auto" w:fill="auto"/>
            <w:vAlign w:val="center"/>
          </w:tcPr>
          <w:p w14:paraId="312482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69" w:type="dxa"/>
            <w:tcBorders>
              <w:tl2br w:val="nil"/>
              <w:tr2bl w:val="nil"/>
            </w:tcBorders>
            <w:shd w:val="clear" w:color="auto" w:fill="auto"/>
            <w:vAlign w:val="center"/>
          </w:tcPr>
          <w:p w14:paraId="79332F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6" w:type="dxa"/>
            <w:gridSpan w:val="2"/>
            <w:tcBorders>
              <w:tl2br w:val="nil"/>
              <w:tr2bl w:val="nil"/>
            </w:tcBorders>
            <w:shd w:val="clear" w:color="auto" w:fill="auto"/>
            <w:vAlign w:val="center"/>
          </w:tcPr>
          <w:p w14:paraId="31D72E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0" w:type="dxa"/>
            <w:gridSpan w:val="2"/>
            <w:tcBorders>
              <w:tl2br w:val="nil"/>
              <w:tr2bl w:val="nil"/>
            </w:tcBorders>
            <w:shd w:val="clear" w:color="auto" w:fill="auto"/>
            <w:vAlign w:val="center"/>
          </w:tcPr>
          <w:p w14:paraId="6C3770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72" w:type="dxa"/>
            <w:gridSpan w:val="2"/>
            <w:tcBorders>
              <w:tl2br w:val="nil"/>
              <w:tr2bl w:val="nil"/>
            </w:tcBorders>
            <w:shd w:val="clear" w:color="auto" w:fill="auto"/>
            <w:vAlign w:val="center"/>
          </w:tcPr>
          <w:p w14:paraId="7AD461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33" w:type="dxa"/>
            <w:gridSpan w:val="2"/>
            <w:tcBorders>
              <w:tl2br w:val="nil"/>
              <w:tr2bl w:val="nil"/>
            </w:tcBorders>
            <w:shd w:val="clear" w:color="auto" w:fill="auto"/>
            <w:vAlign w:val="center"/>
          </w:tcPr>
          <w:p w14:paraId="7DD41F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3C3607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56005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0" w:hRule="atLeast"/>
        </w:trPr>
        <w:tc>
          <w:tcPr>
            <w:tcW w:w="696" w:type="dxa"/>
            <w:vMerge w:val="restart"/>
            <w:tcBorders>
              <w:tl2br w:val="nil"/>
              <w:tr2bl w:val="nil"/>
            </w:tcBorders>
            <w:shd w:val="clear" w:color="auto" w:fill="auto"/>
            <w:vAlign w:val="center"/>
          </w:tcPr>
          <w:p w14:paraId="17DA95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54" w:type="dxa"/>
            <w:gridSpan w:val="8"/>
            <w:tcBorders>
              <w:tl2br w:val="nil"/>
              <w:tr2bl w:val="nil"/>
            </w:tcBorders>
            <w:shd w:val="clear" w:color="auto" w:fill="auto"/>
            <w:vAlign w:val="center"/>
          </w:tcPr>
          <w:p w14:paraId="15AB23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24" w:type="dxa"/>
            <w:gridSpan w:val="5"/>
            <w:tcBorders>
              <w:tl2br w:val="nil"/>
              <w:tr2bl w:val="nil"/>
            </w:tcBorders>
            <w:shd w:val="clear" w:color="auto" w:fill="auto"/>
            <w:vAlign w:val="center"/>
          </w:tcPr>
          <w:p w14:paraId="7AFEBB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7BEF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00" w:hRule="atLeast"/>
        </w:trPr>
        <w:tc>
          <w:tcPr>
            <w:tcW w:w="696" w:type="dxa"/>
            <w:vMerge w:val="continue"/>
            <w:tcBorders>
              <w:tl2br w:val="nil"/>
              <w:tr2bl w:val="nil"/>
            </w:tcBorders>
            <w:shd w:val="clear" w:color="auto" w:fill="auto"/>
            <w:vAlign w:val="center"/>
          </w:tcPr>
          <w:p w14:paraId="422C3946">
            <w:pPr>
              <w:jc w:val="center"/>
              <w:rPr>
                <w:rFonts w:hint="eastAsia" w:ascii="宋体" w:hAnsi="宋体" w:eastAsia="宋体" w:cs="宋体"/>
                <w:i w:val="0"/>
                <w:iCs w:val="0"/>
                <w:color w:val="000000"/>
                <w:sz w:val="20"/>
                <w:szCs w:val="20"/>
                <w:u w:val="none"/>
              </w:rPr>
            </w:pPr>
          </w:p>
        </w:tc>
        <w:tc>
          <w:tcPr>
            <w:tcW w:w="8054" w:type="dxa"/>
            <w:gridSpan w:val="8"/>
            <w:tcBorders>
              <w:tl2br w:val="nil"/>
              <w:tr2bl w:val="nil"/>
            </w:tcBorders>
            <w:shd w:val="clear" w:color="auto" w:fill="auto"/>
            <w:vAlign w:val="top"/>
          </w:tcPr>
          <w:p w14:paraId="41BBB192">
            <w:pPr>
              <w:keepNext w:val="0"/>
              <w:keepLines w:val="0"/>
              <w:widowControl/>
              <w:suppressLineNumbers w:val="0"/>
              <w:ind w:firstLine="400" w:firstLineChars="20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自治州关于加快农业全产业链培育发展的实施意见》、《供销合作社“十四五”县域流通服务网络强县标准》《关于公布2026年度供销合作社县域流通服务网络强县培育名单的通知》文件精神，改造供销系统6个村级综合服务社基础设施及配套设施，完善供销系统经营网络服务体系，促进商品便民流通。与绩效目标表一致。</w:t>
            </w:r>
          </w:p>
        </w:tc>
        <w:tc>
          <w:tcPr>
            <w:tcW w:w="5424" w:type="dxa"/>
            <w:gridSpan w:val="5"/>
            <w:tcBorders>
              <w:tl2br w:val="nil"/>
              <w:tr2bl w:val="nil"/>
            </w:tcBorders>
            <w:shd w:val="clear" w:color="auto" w:fill="auto"/>
            <w:vAlign w:val="top"/>
          </w:tcPr>
          <w:p w14:paraId="2896F16B">
            <w:pPr>
              <w:keepNext w:val="0"/>
              <w:keepLines w:val="0"/>
              <w:widowControl/>
              <w:suppressLineNumbers w:val="0"/>
              <w:ind w:firstLine="400" w:firstLineChars="20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本项目完成100%，此项目的实施为2022年5月-12月，阜康市供销社基层为农社会化服务中心改造提升项目，已于2023年4月20日全额支付完毕。支持供销社基层组织建设1个，改造提升基层为农社会化服务中心数量1个，年终项目验收合格率达到90%，完成率100%，为民服务质量明显提升，供销社基层组织建设体系完善。</w:t>
            </w:r>
          </w:p>
        </w:tc>
      </w:tr>
      <w:tr w14:paraId="53162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696" w:type="dxa"/>
            <w:tcBorders>
              <w:tl2br w:val="nil"/>
              <w:tr2bl w:val="nil"/>
            </w:tcBorders>
            <w:shd w:val="clear" w:color="auto" w:fill="auto"/>
            <w:vAlign w:val="center"/>
          </w:tcPr>
          <w:p w14:paraId="1746F017">
            <w:pPr>
              <w:jc w:val="center"/>
              <w:rPr>
                <w:rFonts w:hint="eastAsia" w:ascii="宋体" w:hAnsi="宋体" w:eastAsia="宋体" w:cs="宋体"/>
                <w:i w:val="0"/>
                <w:iCs w:val="0"/>
                <w:color w:val="000000"/>
                <w:sz w:val="20"/>
                <w:szCs w:val="20"/>
                <w:u w:val="none"/>
              </w:rPr>
            </w:pPr>
          </w:p>
        </w:tc>
        <w:tc>
          <w:tcPr>
            <w:tcW w:w="697" w:type="dxa"/>
            <w:tcBorders>
              <w:tl2br w:val="nil"/>
              <w:tr2bl w:val="nil"/>
            </w:tcBorders>
            <w:shd w:val="clear" w:color="auto" w:fill="auto"/>
            <w:vAlign w:val="center"/>
          </w:tcPr>
          <w:p w14:paraId="0A794A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05" w:type="dxa"/>
            <w:tcBorders>
              <w:tl2br w:val="nil"/>
              <w:tr2bl w:val="nil"/>
            </w:tcBorders>
            <w:shd w:val="clear" w:color="auto" w:fill="auto"/>
            <w:vAlign w:val="center"/>
          </w:tcPr>
          <w:p w14:paraId="6E995A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97" w:type="dxa"/>
            <w:tcBorders>
              <w:tl2br w:val="nil"/>
              <w:tr2bl w:val="nil"/>
            </w:tcBorders>
            <w:shd w:val="clear" w:color="auto" w:fill="auto"/>
            <w:vAlign w:val="center"/>
          </w:tcPr>
          <w:p w14:paraId="6CD2D3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69" w:type="dxa"/>
            <w:tcBorders>
              <w:tl2br w:val="nil"/>
              <w:tr2bl w:val="nil"/>
            </w:tcBorders>
            <w:shd w:val="clear" w:color="auto" w:fill="auto"/>
            <w:vAlign w:val="center"/>
          </w:tcPr>
          <w:p w14:paraId="411A1F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79" w:type="dxa"/>
            <w:tcBorders>
              <w:tl2br w:val="nil"/>
              <w:tr2bl w:val="nil"/>
            </w:tcBorders>
            <w:shd w:val="clear" w:color="auto" w:fill="auto"/>
            <w:vAlign w:val="center"/>
          </w:tcPr>
          <w:p w14:paraId="7371B9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17" w:type="dxa"/>
            <w:tcBorders>
              <w:tl2br w:val="nil"/>
              <w:tr2bl w:val="nil"/>
            </w:tcBorders>
            <w:shd w:val="clear" w:color="auto" w:fill="auto"/>
            <w:vAlign w:val="center"/>
          </w:tcPr>
          <w:p w14:paraId="3DA6BD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95" w:type="dxa"/>
            <w:tcBorders>
              <w:tl2br w:val="nil"/>
              <w:tr2bl w:val="nil"/>
            </w:tcBorders>
            <w:shd w:val="clear" w:color="auto" w:fill="auto"/>
            <w:vAlign w:val="center"/>
          </w:tcPr>
          <w:p w14:paraId="08D128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95" w:type="dxa"/>
            <w:tcBorders>
              <w:tl2br w:val="nil"/>
              <w:tr2bl w:val="nil"/>
            </w:tcBorders>
            <w:shd w:val="clear" w:color="auto" w:fill="auto"/>
            <w:vAlign w:val="center"/>
          </w:tcPr>
          <w:p w14:paraId="5637E5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110" w:type="dxa"/>
            <w:tcBorders>
              <w:tl2br w:val="nil"/>
              <w:tr2bl w:val="nil"/>
            </w:tcBorders>
            <w:shd w:val="clear" w:color="auto" w:fill="auto"/>
            <w:vAlign w:val="center"/>
          </w:tcPr>
          <w:p w14:paraId="1D3F85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62" w:type="dxa"/>
            <w:tcBorders>
              <w:tl2br w:val="nil"/>
              <w:tr2bl w:val="nil"/>
            </w:tcBorders>
            <w:shd w:val="clear" w:color="auto" w:fill="auto"/>
            <w:vAlign w:val="center"/>
          </w:tcPr>
          <w:p w14:paraId="5D55E9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94" w:type="dxa"/>
            <w:tcBorders>
              <w:tl2br w:val="nil"/>
              <w:tr2bl w:val="nil"/>
            </w:tcBorders>
            <w:shd w:val="clear" w:color="auto" w:fill="auto"/>
            <w:vAlign w:val="center"/>
          </w:tcPr>
          <w:p w14:paraId="073A28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239" w:type="dxa"/>
            <w:tcBorders>
              <w:tl2br w:val="nil"/>
              <w:tr2bl w:val="nil"/>
            </w:tcBorders>
            <w:shd w:val="clear" w:color="auto" w:fill="auto"/>
            <w:vAlign w:val="center"/>
          </w:tcPr>
          <w:p w14:paraId="6E296B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19" w:type="dxa"/>
            <w:tcBorders>
              <w:tl2br w:val="nil"/>
              <w:tr2bl w:val="nil"/>
            </w:tcBorders>
            <w:shd w:val="clear" w:color="auto" w:fill="auto"/>
            <w:vAlign w:val="center"/>
          </w:tcPr>
          <w:p w14:paraId="35FE94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062B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696" w:type="dxa"/>
            <w:vMerge w:val="restart"/>
            <w:tcBorders>
              <w:tl2br w:val="nil"/>
              <w:tr2bl w:val="nil"/>
            </w:tcBorders>
            <w:shd w:val="clear" w:color="auto" w:fill="auto"/>
            <w:vAlign w:val="center"/>
          </w:tcPr>
          <w:p w14:paraId="75DC4D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7" w:type="dxa"/>
            <w:vMerge w:val="restart"/>
            <w:tcBorders>
              <w:tl2br w:val="nil"/>
              <w:tr2bl w:val="nil"/>
            </w:tcBorders>
            <w:shd w:val="clear" w:color="auto" w:fill="auto"/>
            <w:vAlign w:val="center"/>
          </w:tcPr>
          <w:p w14:paraId="1A1842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05" w:type="dxa"/>
            <w:vMerge w:val="restart"/>
            <w:tcBorders>
              <w:tl2br w:val="nil"/>
              <w:tr2bl w:val="nil"/>
            </w:tcBorders>
            <w:shd w:val="clear" w:color="auto" w:fill="auto"/>
            <w:vAlign w:val="center"/>
          </w:tcPr>
          <w:p w14:paraId="7CDA38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97" w:type="dxa"/>
            <w:tcBorders>
              <w:tl2br w:val="nil"/>
              <w:tr2bl w:val="nil"/>
            </w:tcBorders>
            <w:shd w:val="clear" w:color="auto" w:fill="auto"/>
            <w:vAlign w:val="center"/>
          </w:tcPr>
          <w:p w14:paraId="5D121F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支持供销社基层组织建设</w:t>
            </w:r>
          </w:p>
        </w:tc>
        <w:tc>
          <w:tcPr>
            <w:tcW w:w="1169" w:type="dxa"/>
            <w:tcBorders>
              <w:tl2br w:val="nil"/>
              <w:tr2bl w:val="nil"/>
            </w:tcBorders>
            <w:shd w:val="clear" w:color="auto" w:fill="auto"/>
            <w:vAlign w:val="center"/>
          </w:tcPr>
          <w:p w14:paraId="521E73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79" w:type="dxa"/>
            <w:tcBorders>
              <w:tl2br w:val="nil"/>
              <w:tr2bl w:val="nil"/>
            </w:tcBorders>
            <w:shd w:val="clear" w:color="auto" w:fill="auto"/>
            <w:vAlign w:val="center"/>
          </w:tcPr>
          <w:p w14:paraId="004E5D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7" w:type="dxa"/>
            <w:tcBorders>
              <w:tl2br w:val="nil"/>
              <w:tr2bl w:val="nil"/>
            </w:tcBorders>
            <w:shd w:val="clear" w:color="auto" w:fill="auto"/>
            <w:vAlign w:val="center"/>
          </w:tcPr>
          <w:p w14:paraId="5CF69F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128457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995" w:type="dxa"/>
            <w:tcBorders>
              <w:tl2br w:val="nil"/>
              <w:tr2bl w:val="nil"/>
            </w:tcBorders>
            <w:shd w:val="clear" w:color="auto" w:fill="auto"/>
            <w:vAlign w:val="center"/>
          </w:tcPr>
          <w:p w14:paraId="6BFB7F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10" w:type="dxa"/>
            <w:tcBorders>
              <w:tl2br w:val="nil"/>
              <w:tr2bl w:val="nil"/>
            </w:tcBorders>
            <w:shd w:val="clear" w:color="auto" w:fill="auto"/>
            <w:vAlign w:val="center"/>
          </w:tcPr>
          <w:p w14:paraId="37B7C1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062" w:type="dxa"/>
            <w:tcBorders>
              <w:tl2br w:val="nil"/>
              <w:tr2bl w:val="nil"/>
            </w:tcBorders>
            <w:shd w:val="clear" w:color="auto" w:fill="auto"/>
            <w:vAlign w:val="center"/>
          </w:tcPr>
          <w:p w14:paraId="43E188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94" w:type="dxa"/>
            <w:tcBorders>
              <w:tl2br w:val="nil"/>
              <w:tr2bl w:val="nil"/>
            </w:tcBorders>
            <w:shd w:val="clear" w:color="auto" w:fill="auto"/>
            <w:vAlign w:val="center"/>
          </w:tcPr>
          <w:p w14:paraId="733E5E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58EF97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19" w:type="dxa"/>
            <w:tcBorders>
              <w:tl2br w:val="nil"/>
              <w:tr2bl w:val="nil"/>
            </w:tcBorders>
            <w:shd w:val="clear" w:color="auto" w:fill="auto"/>
            <w:vAlign w:val="center"/>
          </w:tcPr>
          <w:p w14:paraId="7455B3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r>
      <w:tr w14:paraId="7DCD8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696" w:type="dxa"/>
            <w:vMerge w:val="continue"/>
            <w:tcBorders>
              <w:tl2br w:val="nil"/>
              <w:tr2bl w:val="nil"/>
            </w:tcBorders>
            <w:shd w:val="clear" w:color="auto" w:fill="auto"/>
            <w:vAlign w:val="center"/>
          </w:tcPr>
          <w:p w14:paraId="1B4F3C0F">
            <w:pPr>
              <w:jc w:val="center"/>
              <w:rPr>
                <w:rFonts w:hint="eastAsia" w:ascii="宋体" w:hAnsi="宋体" w:eastAsia="宋体" w:cs="宋体"/>
                <w:i w:val="0"/>
                <w:iCs w:val="0"/>
                <w:color w:val="000000"/>
                <w:sz w:val="20"/>
                <w:szCs w:val="20"/>
                <w:u w:val="none"/>
              </w:rPr>
            </w:pPr>
          </w:p>
        </w:tc>
        <w:tc>
          <w:tcPr>
            <w:tcW w:w="697" w:type="dxa"/>
            <w:vMerge w:val="continue"/>
            <w:tcBorders>
              <w:tl2br w:val="nil"/>
              <w:tr2bl w:val="nil"/>
            </w:tcBorders>
            <w:shd w:val="clear" w:color="auto" w:fill="auto"/>
            <w:vAlign w:val="center"/>
          </w:tcPr>
          <w:p w14:paraId="44BA4DC3">
            <w:pPr>
              <w:jc w:val="center"/>
              <w:rPr>
                <w:rFonts w:hint="eastAsia" w:ascii="宋体" w:hAnsi="宋体" w:eastAsia="宋体" w:cs="宋体"/>
                <w:i w:val="0"/>
                <w:iCs w:val="0"/>
                <w:color w:val="000000"/>
                <w:sz w:val="20"/>
                <w:szCs w:val="20"/>
                <w:u w:val="none"/>
              </w:rPr>
            </w:pPr>
          </w:p>
        </w:tc>
        <w:tc>
          <w:tcPr>
            <w:tcW w:w="905" w:type="dxa"/>
            <w:vMerge w:val="continue"/>
            <w:tcBorders>
              <w:tl2br w:val="nil"/>
              <w:tr2bl w:val="nil"/>
            </w:tcBorders>
            <w:shd w:val="clear" w:color="auto" w:fill="auto"/>
            <w:vAlign w:val="center"/>
          </w:tcPr>
          <w:p w14:paraId="3334D557">
            <w:pPr>
              <w:jc w:val="center"/>
              <w:rPr>
                <w:rFonts w:hint="eastAsia" w:ascii="宋体" w:hAnsi="宋体" w:eastAsia="宋体" w:cs="宋体"/>
                <w:i w:val="0"/>
                <w:iCs w:val="0"/>
                <w:color w:val="000000"/>
                <w:sz w:val="20"/>
                <w:szCs w:val="20"/>
                <w:u w:val="none"/>
              </w:rPr>
            </w:pPr>
          </w:p>
        </w:tc>
        <w:tc>
          <w:tcPr>
            <w:tcW w:w="1297" w:type="dxa"/>
            <w:tcBorders>
              <w:tl2br w:val="nil"/>
              <w:tr2bl w:val="nil"/>
            </w:tcBorders>
            <w:shd w:val="clear" w:color="auto" w:fill="auto"/>
            <w:vAlign w:val="center"/>
          </w:tcPr>
          <w:p w14:paraId="47B2B7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改造提升基层为农社会化服务中心数量（个）</w:t>
            </w:r>
          </w:p>
        </w:tc>
        <w:tc>
          <w:tcPr>
            <w:tcW w:w="1169" w:type="dxa"/>
            <w:tcBorders>
              <w:tl2br w:val="nil"/>
              <w:tr2bl w:val="nil"/>
            </w:tcBorders>
            <w:shd w:val="clear" w:color="auto" w:fill="auto"/>
            <w:vAlign w:val="center"/>
          </w:tcPr>
          <w:p w14:paraId="4A5D87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79" w:type="dxa"/>
            <w:tcBorders>
              <w:tl2br w:val="nil"/>
              <w:tr2bl w:val="nil"/>
            </w:tcBorders>
            <w:shd w:val="clear" w:color="auto" w:fill="auto"/>
            <w:vAlign w:val="center"/>
          </w:tcPr>
          <w:p w14:paraId="0E39DB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7" w:type="dxa"/>
            <w:tcBorders>
              <w:tl2br w:val="nil"/>
              <w:tr2bl w:val="nil"/>
            </w:tcBorders>
            <w:shd w:val="clear" w:color="auto" w:fill="auto"/>
            <w:vAlign w:val="center"/>
          </w:tcPr>
          <w:p w14:paraId="3BB740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5F14F0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995" w:type="dxa"/>
            <w:tcBorders>
              <w:tl2br w:val="nil"/>
              <w:tr2bl w:val="nil"/>
            </w:tcBorders>
            <w:shd w:val="clear" w:color="auto" w:fill="auto"/>
            <w:vAlign w:val="center"/>
          </w:tcPr>
          <w:p w14:paraId="32BF9A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10" w:type="dxa"/>
            <w:tcBorders>
              <w:tl2br w:val="nil"/>
              <w:tr2bl w:val="nil"/>
            </w:tcBorders>
            <w:shd w:val="clear" w:color="auto" w:fill="auto"/>
            <w:vAlign w:val="center"/>
          </w:tcPr>
          <w:p w14:paraId="2D16B5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2" w:type="dxa"/>
            <w:tcBorders>
              <w:tl2br w:val="nil"/>
              <w:tr2bl w:val="nil"/>
            </w:tcBorders>
            <w:shd w:val="clear" w:color="auto" w:fill="auto"/>
            <w:vAlign w:val="center"/>
          </w:tcPr>
          <w:p w14:paraId="58C8D6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94" w:type="dxa"/>
            <w:tcBorders>
              <w:tl2br w:val="nil"/>
              <w:tr2bl w:val="nil"/>
            </w:tcBorders>
            <w:shd w:val="clear" w:color="auto" w:fill="auto"/>
            <w:vAlign w:val="center"/>
          </w:tcPr>
          <w:p w14:paraId="3BF8B0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64D202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19" w:type="dxa"/>
            <w:tcBorders>
              <w:tl2br w:val="nil"/>
              <w:tr2bl w:val="nil"/>
            </w:tcBorders>
            <w:shd w:val="clear" w:color="auto" w:fill="auto"/>
            <w:vAlign w:val="center"/>
          </w:tcPr>
          <w:p w14:paraId="4A831373">
            <w:pPr>
              <w:jc w:val="center"/>
              <w:rPr>
                <w:rFonts w:hint="eastAsia" w:ascii="宋体" w:hAnsi="宋体" w:eastAsia="宋体" w:cs="宋体"/>
                <w:i w:val="0"/>
                <w:iCs w:val="0"/>
                <w:color w:val="000000"/>
                <w:sz w:val="20"/>
                <w:szCs w:val="20"/>
                <w:u w:val="none"/>
              </w:rPr>
            </w:pPr>
          </w:p>
        </w:tc>
      </w:tr>
      <w:tr w14:paraId="7377E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40" w:hRule="atLeast"/>
        </w:trPr>
        <w:tc>
          <w:tcPr>
            <w:tcW w:w="696" w:type="dxa"/>
            <w:vMerge w:val="continue"/>
            <w:tcBorders>
              <w:tl2br w:val="nil"/>
              <w:tr2bl w:val="nil"/>
            </w:tcBorders>
            <w:shd w:val="clear" w:color="auto" w:fill="auto"/>
            <w:vAlign w:val="center"/>
          </w:tcPr>
          <w:p w14:paraId="45A5D6EB">
            <w:pPr>
              <w:jc w:val="center"/>
              <w:rPr>
                <w:rFonts w:hint="eastAsia" w:ascii="宋体" w:hAnsi="宋体" w:eastAsia="宋体" w:cs="宋体"/>
                <w:i w:val="0"/>
                <w:iCs w:val="0"/>
                <w:color w:val="000000"/>
                <w:sz w:val="20"/>
                <w:szCs w:val="20"/>
                <w:u w:val="none"/>
              </w:rPr>
            </w:pPr>
          </w:p>
        </w:tc>
        <w:tc>
          <w:tcPr>
            <w:tcW w:w="697" w:type="dxa"/>
            <w:vMerge w:val="continue"/>
            <w:tcBorders>
              <w:tl2br w:val="nil"/>
              <w:tr2bl w:val="nil"/>
            </w:tcBorders>
            <w:shd w:val="clear" w:color="auto" w:fill="auto"/>
            <w:vAlign w:val="center"/>
          </w:tcPr>
          <w:p w14:paraId="266B9692">
            <w:pPr>
              <w:jc w:val="center"/>
              <w:rPr>
                <w:rFonts w:hint="eastAsia" w:ascii="宋体" w:hAnsi="宋体" w:eastAsia="宋体" w:cs="宋体"/>
                <w:i w:val="0"/>
                <w:iCs w:val="0"/>
                <w:color w:val="000000"/>
                <w:sz w:val="20"/>
                <w:szCs w:val="20"/>
                <w:u w:val="none"/>
              </w:rPr>
            </w:pPr>
          </w:p>
        </w:tc>
        <w:tc>
          <w:tcPr>
            <w:tcW w:w="905" w:type="dxa"/>
            <w:tcBorders>
              <w:tl2br w:val="nil"/>
              <w:tr2bl w:val="nil"/>
            </w:tcBorders>
            <w:shd w:val="clear" w:color="auto" w:fill="auto"/>
            <w:vAlign w:val="center"/>
          </w:tcPr>
          <w:p w14:paraId="30CF08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97" w:type="dxa"/>
            <w:tcBorders>
              <w:tl2br w:val="nil"/>
              <w:tr2bl w:val="nil"/>
            </w:tcBorders>
            <w:shd w:val="clear" w:color="auto" w:fill="auto"/>
            <w:vAlign w:val="center"/>
          </w:tcPr>
          <w:p w14:paraId="07561A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年终项目验收合格率</w:t>
            </w:r>
          </w:p>
        </w:tc>
        <w:tc>
          <w:tcPr>
            <w:tcW w:w="1169" w:type="dxa"/>
            <w:tcBorders>
              <w:tl2br w:val="nil"/>
              <w:tr2bl w:val="nil"/>
            </w:tcBorders>
            <w:shd w:val="clear" w:color="auto" w:fill="auto"/>
            <w:vAlign w:val="center"/>
          </w:tcPr>
          <w:p w14:paraId="2DBBC9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79" w:type="dxa"/>
            <w:tcBorders>
              <w:tl2br w:val="nil"/>
              <w:tr2bl w:val="nil"/>
            </w:tcBorders>
            <w:shd w:val="clear" w:color="auto" w:fill="auto"/>
            <w:vAlign w:val="center"/>
          </w:tcPr>
          <w:p w14:paraId="1EA143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7" w:type="dxa"/>
            <w:tcBorders>
              <w:tl2br w:val="nil"/>
              <w:tr2bl w:val="nil"/>
            </w:tcBorders>
            <w:shd w:val="clear" w:color="auto" w:fill="auto"/>
            <w:vAlign w:val="center"/>
          </w:tcPr>
          <w:p w14:paraId="6CA162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627383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5" w:type="dxa"/>
            <w:tcBorders>
              <w:tl2br w:val="nil"/>
              <w:tr2bl w:val="nil"/>
            </w:tcBorders>
            <w:shd w:val="clear" w:color="auto" w:fill="auto"/>
            <w:vAlign w:val="center"/>
          </w:tcPr>
          <w:p w14:paraId="01EE1E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10" w:type="dxa"/>
            <w:tcBorders>
              <w:tl2br w:val="nil"/>
              <w:tr2bl w:val="nil"/>
            </w:tcBorders>
            <w:shd w:val="clear" w:color="auto" w:fill="auto"/>
            <w:vAlign w:val="center"/>
          </w:tcPr>
          <w:p w14:paraId="37A77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2" w:type="dxa"/>
            <w:tcBorders>
              <w:tl2br w:val="nil"/>
              <w:tr2bl w:val="nil"/>
            </w:tcBorders>
            <w:shd w:val="clear" w:color="auto" w:fill="auto"/>
            <w:vAlign w:val="center"/>
          </w:tcPr>
          <w:p w14:paraId="7E5777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94" w:type="dxa"/>
            <w:tcBorders>
              <w:tl2br w:val="nil"/>
              <w:tr2bl w:val="nil"/>
            </w:tcBorders>
            <w:shd w:val="clear" w:color="auto" w:fill="auto"/>
            <w:vAlign w:val="center"/>
          </w:tcPr>
          <w:p w14:paraId="0DB14A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3ACE58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9" w:type="dxa"/>
            <w:tcBorders>
              <w:tl2br w:val="nil"/>
              <w:tr2bl w:val="nil"/>
            </w:tcBorders>
            <w:shd w:val="clear" w:color="auto" w:fill="auto"/>
            <w:vAlign w:val="center"/>
          </w:tcPr>
          <w:p w14:paraId="7783A7E6">
            <w:pPr>
              <w:jc w:val="center"/>
              <w:rPr>
                <w:rFonts w:hint="eastAsia" w:ascii="宋体" w:hAnsi="宋体" w:eastAsia="宋体" w:cs="宋体"/>
                <w:i w:val="0"/>
                <w:iCs w:val="0"/>
                <w:color w:val="000000"/>
                <w:sz w:val="20"/>
                <w:szCs w:val="20"/>
                <w:u w:val="none"/>
              </w:rPr>
            </w:pPr>
          </w:p>
        </w:tc>
      </w:tr>
      <w:tr w14:paraId="532B3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40" w:hRule="atLeast"/>
        </w:trPr>
        <w:tc>
          <w:tcPr>
            <w:tcW w:w="696" w:type="dxa"/>
            <w:vMerge w:val="continue"/>
            <w:tcBorders>
              <w:tl2br w:val="nil"/>
              <w:tr2bl w:val="nil"/>
            </w:tcBorders>
            <w:shd w:val="clear" w:color="auto" w:fill="auto"/>
            <w:vAlign w:val="center"/>
          </w:tcPr>
          <w:p w14:paraId="35806B81">
            <w:pPr>
              <w:jc w:val="center"/>
              <w:rPr>
                <w:rFonts w:hint="eastAsia" w:ascii="宋体" w:hAnsi="宋体" w:eastAsia="宋体" w:cs="宋体"/>
                <w:i w:val="0"/>
                <w:iCs w:val="0"/>
                <w:color w:val="000000"/>
                <w:sz w:val="20"/>
                <w:szCs w:val="20"/>
                <w:u w:val="none"/>
              </w:rPr>
            </w:pPr>
          </w:p>
        </w:tc>
        <w:tc>
          <w:tcPr>
            <w:tcW w:w="697" w:type="dxa"/>
            <w:vMerge w:val="continue"/>
            <w:tcBorders>
              <w:tl2br w:val="nil"/>
              <w:tr2bl w:val="nil"/>
            </w:tcBorders>
            <w:shd w:val="clear" w:color="auto" w:fill="auto"/>
            <w:vAlign w:val="center"/>
          </w:tcPr>
          <w:p w14:paraId="42AEAE5F">
            <w:pPr>
              <w:jc w:val="center"/>
              <w:rPr>
                <w:rFonts w:hint="eastAsia" w:ascii="宋体" w:hAnsi="宋体" w:eastAsia="宋体" w:cs="宋体"/>
                <w:i w:val="0"/>
                <w:iCs w:val="0"/>
                <w:color w:val="000000"/>
                <w:sz w:val="20"/>
                <w:szCs w:val="20"/>
                <w:u w:val="none"/>
              </w:rPr>
            </w:pPr>
          </w:p>
        </w:tc>
        <w:tc>
          <w:tcPr>
            <w:tcW w:w="905" w:type="dxa"/>
            <w:vMerge w:val="restart"/>
            <w:tcBorders>
              <w:tl2br w:val="nil"/>
              <w:tr2bl w:val="nil"/>
            </w:tcBorders>
            <w:shd w:val="clear" w:color="auto" w:fill="auto"/>
            <w:vAlign w:val="center"/>
          </w:tcPr>
          <w:p w14:paraId="75C20C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97" w:type="dxa"/>
            <w:tcBorders>
              <w:tl2br w:val="nil"/>
              <w:tr2bl w:val="nil"/>
            </w:tcBorders>
            <w:shd w:val="clear" w:color="auto" w:fill="auto"/>
            <w:vAlign w:val="center"/>
          </w:tcPr>
          <w:p w14:paraId="1768C0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项目开始时间</w:t>
            </w:r>
          </w:p>
        </w:tc>
        <w:tc>
          <w:tcPr>
            <w:tcW w:w="1169" w:type="dxa"/>
            <w:tcBorders>
              <w:tl2br w:val="nil"/>
              <w:tr2bl w:val="nil"/>
            </w:tcBorders>
            <w:shd w:val="clear" w:color="auto" w:fill="auto"/>
            <w:vAlign w:val="center"/>
          </w:tcPr>
          <w:p w14:paraId="082780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2022年5月20日</w:t>
            </w:r>
          </w:p>
        </w:tc>
        <w:tc>
          <w:tcPr>
            <w:tcW w:w="1079" w:type="dxa"/>
            <w:tcBorders>
              <w:tl2br w:val="nil"/>
              <w:tr2bl w:val="nil"/>
            </w:tcBorders>
            <w:shd w:val="clear" w:color="auto" w:fill="auto"/>
            <w:vAlign w:val="center"/>
          </w:tcPr>
          <w:p w14:paraId="443D55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7" w:type="dxa"/>
            <w:tcBorders>
              <w:tl2br w:val="nil"/>
              <w:tr2bl w:val="nil"/>
            </w:tcBorders>
            <w:shd w:val="clear" w:color="auto" w:fill="auto"/>
            <w:vAlign w:val="center"/>
          </w:tcPr>
          <w:p w14:paraId="33F50E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3405DF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95" w:type="dxa"/>
            <w:tcBorders>
              <w:tl2br w:val="nil"/>
              <w:tr2bl w:val="nil"/>
            </w:tcBorders>
            <w:shd w:val="clear" w:color="auto" w:fill="auto"/>
            <w:vAlign w:val="center"/>
          </w:tcPr>
          <w:p w14:paraId="6AA4E2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10" w:type="dxa"/>
            <w:tcBorders>
              <w:tl2br w:val="nil"/>
              <w:tr2bl w:val="nil"/>
            </w:tcBorders>
            <w:shd w:val="clear" w:color="auto" w:fill="auto"/>
            <w:vAlign w:val="center"/>
          </w:tcPr>
          <w:p w14:paraId="19CF0A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2" w:type="dxa"/>
            <w:tcBorders>
              <w:tl2br w:val="nil"/>
              <w:tr2bl w:val="nil"/>
            </w:tcBorders>
            <w:shd w:val="clear" w:color="auto" w:fill="auto"/>
            <w:vAlign w:val="center"/>
          </w:tcPr>
          <w:p w14:paraId="492274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2022年5月20日</w:t>
            </w:r>
          </w:p>
        </w:tc>
        <w:tc>
          <w:tcPr>
            <w:tcW w:w="994" w:type="dxa"/>
            <w:tcBorders>
              <w:tl2br w:val="nil"/>
              <w:tr2bl w:val="nil"/>
            </w:tcBorders>
            <w:shd w:val="clear" w:color="auto" w:fill="auto"/>
            <w:vAlign w:val="center"/>
          </w:tcPr>
          <w:p w14:paraId="6AF33C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55DAEC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19" w:type="dxa"/>
            <w:tcBorders>
              <w:tl2br w:val="nil"/>
              <w:tr2bl w:val="nil"/>
            </w:tcBorders>
            <w:shd w:val="clear" w:color="auto" w:fill="auto"/>
            <w:vAlign w:val="center"/>
          </w:tcPr>
          <w:p w14:paraId="7BA18011">
            <w:pPr>
              <w:jc w:val="center"/>
              <w:rPr>
                <w:rFonts w:hint="eastAsia" w:ascii="宋体" w:hAnsi="宋体" w:eastAsia="宋体" w:cs="宋体"/>
                <w:i w:val="0"/>
                <w:iCs w:val="0"/>
                <w:color w:val="000000"/>
                <w:sz w:val="20"/>
                <w:szCs w:val="20"/>
                <w:u w:val="none"/>
              </w:rPr>
            </w:pPr>
          </w:p>
        </w:tc>
      </w:tr>
      <w:tr w14:paraId="15FA5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80" w:hRule="atLeast"/>
        </w:trPr>
        <w:tc>
          <w:tcPr>
            <w:tcW w:w="696" w:type="dxa"/>
            <w:vMerge w:val="continue"/>
            <w:tcBorders>
              <w:tl2br w:val="nil"/>
              <w:tr2bl w:val="nil"/>
            </w:tcBorders>
            <w:shd w:val="clear" w:color="auto" w:fill="auto"/>
            <w:vAlign w:val="center"/>
          </w:tcPr>
          <w:p w14:paraId="6B4C9534">
            <w:pPr>
              <w:jc w:val="center"/>
              <w:rPr>
                <w:rFonts w:hint="eastAsia" w:ascii="宋体" w:hAnsi="宋体" w:eastAsia="宋体" w:cs="宋体"/>
                <w:i w:val="0"/>
                <w:iCs w:val="0"/>
                <w:color w:val="000000"/>
                <w:sz w:val="20"/>
                <w:szCs w:val="20"/>
                <w:u w:val="none"/>
              </w:rPr>
            </w:pPr>
          </w:p>
        </w:tc>
        <w:tc>
          <w:tcPr>
            <w:tcW w:w="697" w:type="dxa"/>
            <w:vMerge w:val="continue"/>
            <w:tcBorders>
              <w:tl2br w:val="nil"/>
              <w:tr2bl w:val="nil"/>
            </w:tcBorders>
            <w:shd w:val="clear" w:color="auto" w:fill="auto"/>
            <w:vAlign w:val="center"/>
          </w:tcPr>
          <w:p w14:paraId="563F825C">
            <w:pPr>
              <w:jc w:val="center"/>
              <w:rPr>
                <w:rFonts w:hint="eastAsia" w:ascii="宋体" w:hAnsi="宋体" w:eastAsia="宋体" w:cs="宋体"/>
                <w:i w:val="0"/>
                <w:iCs w:val="0"/>
                <w:color w:val="000000"/>
                <w:sz w:val="20"/>
                <w:szCs w:val="20"/>
                <w:u w:val="none"/>
              </w:rPr>
            </w:pPr>
          </w:p>
        </w:tc>
        <w:tc>
          <w:tcPr>
            <w:tcW w:w="905" w:type="dxa"/>
            <w:vMerge w:val="continue"/>
            <w:tcBorders>
              <w:tl2br w:val="nil"/>
              <w:tr2bl w:val="nil"/>
            </w:tcBorders>
            <w:shd w:val="clear" w:color="auto" w:fill="auto"/>
            <w:vAlign w:val="center"/>
          </w:tcPr>
          <w:p w14:paraId="314A83BD">
            <w:pPr>
              <w:jc w:val="center"/>
              <w:rPr>
                <w:rFonts w:hint="eastAsia" w:ascii="宋体" w:hAnsi="宋体" w:eastAsia="宋体" w:cs="宋体"/>
                <w:i w:val="0"/>
                <w:iCs w:val="0"/>
                <w:color w:val="000000"/>
                <w:sz w:val="20"/>
                <w:szCs w:val="20"/>
                <w:u w:val="none"/>
              </w:rPr>
            </w:pPr>
          </w:p>
        </w:tc>
        <w:tc>
          <w:tcPr>
            <w:tcW w:w="1297" w:type="dxa"/>
            <w:tcBorders>
              <w:tl2br w:val="nil"/>
              <w:tr2bl w:val="nil"/>
            </w:tcBorders>
            <w:shd w:val="clear" w:color="auto" w:fill="auto"/>
            <w:vAlign w:val="center"/>
          </w:tcPr>
          <w:p w14:paraId="54383C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1169" w:type="dxa"/>
            <w:tcBorders>
              <w:tl2br w:val="nil"/>
              <w:tr2bl w:val="nil"/>
            </w:tcBorders>
            <w:shd w:val="clear" w:color="auto" w:fill="auto"/>
            <w:noWrap/>
            <w:vAlign w:val="center"/>
          </w:tcPr>
          <w:p w14:paraId="7B1AFF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2022年12月31日</w:t>
            </w:r>
          </w:p>
        </w:tc>
        <w:tc>
          <w:tcPr>
            <w:tcW w:w="1079" w:type="dxa"/>
            <w:tcBorders>
              <w:tl2br w:val="nil"/>
              <w:tr2bl w:val="nil"/>
            </w:tcBorders>
            <w:shd w:val="clear" w:color="auto" w:fill="auto"/>
            <w:vAlign w:val="center"/>
          </w:tcPr>
          <w:p w14:paraId="3EBC00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7" w:type="dxa"/>
            <w:tcBorders>
              <w:tl2br w:val="nil"/>
              <w:tr2bl w:val="nil"/>
            </w:tcBorders>
            <w:shd w:val="clear" w:color="auto" w:fill="auto"/>
            <w:vAlign w:val="center"/>
          </w:tcPr>
          <w:p w14:paraId="2C2CE6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19688F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95" w:type="dxa"/>
            <w:tcBorders>
              <w:tl2br w:val="nil"/>
              <w:tr2bl w:val="nil"/>
            </w:tcBorders>
            <w:shd w:val="clear" w:color="auto" w:fill="auto"/>
            <w:vAlign w:val="center"/>
          </w:tcPr>
          <w:p w14:paraId="0479BA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10" w:type="dxa"/>
            <w:tcBorders>
              <w:tl2br w:val="nil"/>
              <w:tr2bl w:val="nil"/>
            </w:tcBorders>
            <w:shd w:val="clear" w:color="auto" w:fill="auto"/>
            <w:vAlign w:val="center"/>
          </w:tcPr>
          <w:p w14:paraId="114146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2" w:type="dxa"/>
            <w:tcBorders>
              <w:tl2br w:val="nil"/>
              <w:tr2bl w:val="nil"/>
            </w:tcBorders>
            <w:shd w:val="clear" w:color="auto" w:fill="auto"/>
            <w:noWrap/>
            <w:vAlign w:val="center"/>
          </w:tcPr>
          <w:p w14:paraId="1A40CD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994" w:type="dxa"/>
            <w:tcBorders>
              <w:tl2br w:val="nil"/>
              <w:tr2bl w:val="nil"/>
            </w:tcBorders>
            <w:shd w:val="clear" w:color="auto" w:fill="auto"/>
            <w:vAlign w:val="center"/>
          </w:tcPr>
          <w:p w14:paraId="4C4988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60D048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19" w:type="dxa"/>
            <w:tcBorders>
              <w:tl2br w:val="nil"/>
              <w:tr2bl w:val="nil"/>
            </w:tcBorders>
            <w:shd w:val="clear" w:color="auto" w:fill="auto"/>
            <w:vAlign w:val="center"/>
          </w:tcPr>
          <w:p w14:paraId="57973935">
            <w:pPr>
              <w:jc w:val="center"/>
              <w:rPr>
                <w:rFonts w:hint="eastAsia" w:ascii="宋体" w:hAnsi="宋体" w:eastAsia="宋体" w:cs="宋体"/>
                <w:b/>
                <w:bCs/>
                <w:i w:val="0"/>
                <w:iCs w:val="0"/>
                <w:color w:val="000000"/>
                <w:sz w:val="20"/>
                <w:szCs w:val="20"/>
                <w:u w:val="none"/>
              </w:rPr>
            </w:pPr>
          </w:p>
        </w:tc>
      </w:tr>
      <w:tr w14:paraId="3D74C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696" w:type="dxa"/>
            <w:vMerge w:val="continue"/>
            <w:tcBorders>
              <w:tl2br w:val="nil"/>
              <w:tr2bl w:val="nil"/>
            </w:tcBorders>
            <w:shd w:val="clear" w:color="auto" w:fill="auto"/>
            <w:vAlign w:val="center"/>
          </w:tcPr>
          <w:p w14:paraId="7017ED80">
            <w:pPr>
              <w:jc w:val="center"/>
              <w:rPr>
                <w:rFonts w:hint="eastAsia" w:ascii="宋体" w:hAnsi="宋体" w:eastAsia="宋体" w:cs="宋体"/>
                <w:i w:val="0"/>
                <w:iCs w:val="0"/>
                <w:color w:val="000000"/>
                <w:sz w:val="20"/>
                <w:szCs w:val="20"/>
                <w:u w:val="none"/>
              </w:rPr>
            </w:pPr>
          </w:p>
        </w:tc>
        <w:tc>
          <w:tcPr>
            <w:tcW w:w="697" w:type="dxa"/>
            <w:vMerge w:val="restart"/>
            <w:tcBorders>
              <w:tl2br w:val="nil"/>
              <w:tr2bl w:val="nil"/>
            </w:tcBorders>
            <w:shd w:val="clear" w:color="auto" w:fill="auto"/>
            <w:vAlign w:val="center"/>
          </w:tcPr>
          <w:p w14:paraId="03BC03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05" w:type="dxa"/>
            <w:vMerge w:val="restart"/>
            <w:tcBorders>
              <w:tl2br w:val="nil"/>
              <w:tr2bl w:val="nil"/>
            </w:tcBorders>
            <w:shd w:val="clear" w:color="auto" w:fill="auto"/>
            <w:vAlign w:val="center"/>
          </w:tcPr>
          <w:p w14:paraId="4854CB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97" w:type="dxa"/>
            <w:tcBorders>
              <w:tl2br w:val="nil"/>
              <w:tr2bl w:val="nil"/>
            </w:tcBorders>
            <w:shd w:val="clear" w:color="auto" w:fill="auto"/>
            <w:vAlign w:val="center"/>
          </w:tcPr>
          <w:p w14:paraId="3A8262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为农社会化服务中心办公设施</w:t>
            </w:r>
          </w:p>
        </w:tc>
        <w:tc>
          <w:tcPr>
            <w:tcW w:w="1169" w:type="dxa"/>
            <w:tcBorders>
              <w:tl2br w:val="nil"/>
              <w:tr2bl w:val="nil"/>
            </w:tcBorders>
            <w:shd w:val="clear" w:color="auto" w:fill="auto"/>
            <w:vAlign w:val="center"/>
          </w:tcPr>
          <w:p w14:paraId="14703B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≤1.9万元</w:t>
            </w:r>
          </w:p>
        </w:tc>
        <w:tc>
          <w:tcPr>
            <w:tcW w:w="1079" w:type="dxa"/>
            <w:tcBorders>
              <w:tl2br w:val="nil"/>
              <w:tr2bl w:val="nil"/>
            </w:tcBorders>
            <w:shd w:val="clear" w:color="auto" w:fill="auto"/>
            <w:vAlign w:val="center"/>
          </w:tcPr>
          <w:p w14:paraId="754680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17" w:type="dxa"/>
            <w:tcBorders>
              <w:tl2br w:val="nil"/>
              <w:tr2bl w:val="nil"/>
            </w:tcBorders>
            <w:shd w:val="clear" w:color="auto" w:fill="auto"/>
            <w:vAlign w:val="center"/>
          </w:tcPr>
          <w:p w14:paraId="18B504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2E12A8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95" w:type="dxa"/>
            <w:tcBorders>
              <w:tl2br w:val="nil"/>
              <w:tr2bl w:val="nil"/>
            </w:tcBorders>
            <w:shd w:val="clear" w:color="auto" w:fill="auto"/>
            <w:vAlign w:val="center"/>
          </w:tcPr>
          <w:p w14:paraId="4FE294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10" w:type="dxa"/>
            <w:tcBorders>
              <w:tl2br w:val="nil"/>
              <w:tr2bl w:val="nil"/>
            </w:tcBorders>
            <w:shd w:val="clear" w:color="auto" w:fill="auto"/>
            <w:vAlign w:val="center"/>
          </w:tcPr>
          <w:p w14:paraId="66896A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62" w:type="dxa"/>
            <w:tcBorders>
              <w:tl2br w:val="nil"/>
              <w:tr2bl w:val="nil"/>
            </w:tcBorders>
            <w:shd w:val="clear" w:color="auto" w:fill="auto"/>
            <w:vAlign w:val="center"/>
          </w:tcPr>
          <w:p w14:paraId="0D3A93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1.9万元</w:t>
            </w:r>
          </w:p>
        </w:tc>
        <w:tc>
          <w:tcPr>
            <w:tcW w:w="994" w:type="dxa"/>
            <w:tcBorders>
              <w:tl2br w:val="nil"/>
              <w:tr2bl w:val="nil"/>
            </w:tcBorders>
            <w:shd w:val="clear" w:color="auto" w:fill="auto"/>
            <w:vAlign w:val="center"/>
          </w:tcPr>
          <w:p w14:paraId="7B1D2E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479025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19" w:type="dxa"/>
            <w:tcBorders>
              <w:tl2br w:val="nil"/>
              <w:tr2bl w:val="nil"/>
            </w:tcBorders>
            <w:shd w:val="clear" w:color="auto" w:fill="auto"/>
            <w:vAlign w:val="center"/>
          </w:tcPr>
          <w:p w14:paraId="46541B06">
            <w:pPr>
              <w:jc w:val="center"/>
              <w:rPr>
                <w:rFonts w:hint="eastAsia" w:ascii="宋体" w:hAnsi="宋体" w:eastAsia="宋体" w:cs="宋体"/>
                <w:i w:val="0"/>
                <w:iCs w:val="0"/>
                <w:color w:val="000000"/>
                <w:sz w:val="20"/>
                <w:szCs w:val="20"/>
                <w:u w:val="none"/>
              </w:rPr>
            </w:pPr>
          </w:p>
        </w:tc>
      </w:tr>
      <w:tr w14:paraId="58842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696" w:type="dxa"/>
            <w:vMerge w:val="continue"/>
            <w:tcBorders>
              <w:tl2br w:val="nil"/>
              <w:tr2bl w:val="nil"/>
            </w:tcBorders>
            <w:shd w:val="clear" w:color="auto" w:fill="auto"/>
            <w:vAlign w:val="center"/>
          </w:tcPr>
          <w:p w14:paraId="63461ADD">
            <w:pPr>
              <w:jc w:val="center"/>
              <w:rPr>
                <w:rFonts w:hint="eastAsia" w:ascii="宋体" w:hAnsi="宋体" w:eastAsia="宋体" w:cs="宋体"/>
                <w:i w:val="0"/>
                <w:iCs w:val="0"/>
                <w:color w:val="000000"/>
                <w:sz w:val="20"/>
                <w:szCs w:val="20"/>
                <w:u w:val="none"/>
              </w:rPr>
            </w:pPr>
          </w:p>
        </w:tc>
        <w:tc>
          <w:tcPr>
            <w:tcW w:w="697" w:type="dxa"/>
            <w:vMerge w:val="continue"/>
            <w:tcBorders>
              <w:tl2br w:val="nil"/>
              <w:tr2bl w:val="nil"/>
            </w:tcBorders>
            <w:shd w:val="clear" w:color="auto" w:fill="auto"/>
            <w:vAlign w:val="center"/>
          </w:tcPr>
          <w:p w14:paraId="36ABE790">
            <w:pPr>
              <w:jc w:val="center"/>
              <w:rPr>
                <w:rFonts w:hint="eastAsia" w:ascii="宋体" w:hAnsi="宋体" w:eastAsia="宋体" w:cs="宋体"/>
                <w:i w:val="0"/>
                <w:iCs w:val="0"/>
                <w:color w:val="000000"/>
                <w:sz w:val="20"/>
                <w:szCs w:val="20"/>
                <w:u w:val="none"/>
              </w:rPr>
            </w:pPr>
          </w:p>
        </w:tc>
        <w:tc>
          <w:tcPr>
            <w:tcW w:w="905" w:type="dxa"/>
            <w:vMerge w:val="continue"/>
            <w:tcBorders>
              <w:tl2br w:val="nil"/>
              <w:tr2bl w:val="nil"/>
            </w:tcBorders>
            <w:shd w:val="clear" w:color="auto" w:fill="auto"/>
            <w:vAlign w:val="center"/>
          </w:tcPr>
          <w:p w14:paraId="5F6C4602">
            <w:pPr>
              <w:jc w:val="center"/>
              <w:rPr>
                <w:rFonts w:hint="eastAsia" w:ascii="宋体" w:hAnsi="宋体" w:eastAsia="宋体" w:cs="宋体"/>
                <w:i w:val="0"/>
                <w:iCs w:val="0"/>
                <w:color w:val="000000"/>
                <w:sz w:val="20"/>
                <w:szCs w:val="20"/>
                <w:u w:val="none"/>
              </w:rPr>
            </w:pPr>
          </w:p>
        </w:tc>
        <w:tc>
          <w:tcPr>
            <w:tcW w:w="1297" w:type="dxa"/>
            <w:tcBorders>
              <w:tl2br w:val="nil"/>
              <w:tr2bl w:val="nil"/>
            </w:tcBorders>
            <w:shd w:val="clear" w:color="auto" w:fill="auto"/>
            <w:vAlign w:val="center"/>
          </w:tcPr>
          <w:p w14:paraId="2C2235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为农社会化服务中心办公场所维修费用</w:t>
            </w:r>
          </w:p>
        </w:tc>
        <w:tc>
          <w:tcPr>
            <w:tcW w:w="1169" w:type="dxa"/>
            <w:tcBorders>
              <w:tl2br w:val="nil"/>
              <w:tr2bl w:val="nil"/>
            </w:tcBorders>
            <w:shd w:val="clear" w:color="auto" w:fill="auto"/>
            <w:vAlign w:val="center"/>
          </w:tcPr>
          <w:p w14:paraId="7CE5FE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≤8.1万元</w:t>
            </w:r>
          </w:p>
        </w:tc>
        <w:tc>
          <w:tcPr>
            <w:tcW w:w="1079" w:type="dxa"/>
            <w:tcBorders>
              <w:tl2br w:val="nil"/>
              <w:tr2bl w:val="nil"/>
            </w:tcBorders>
            <w:shd w:val="clear" w:color="auto" w:fill="auto"/>
            <w:vAlign w:val="center"/>
          </w:tcPr>
          <w:p w14:paraId="28B975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17" w:type="dxa"/>
            <w:tcBorders>
              <w:tl2br w:val="nil"/>
              <w:tr2bl w:val="nil"/>
            </w:tcBorders>
            <w:shd w:val="clear" w:color="auto" w:fill="auto"/>
            <w:vAlign w:val="center"/>
          </w:tcPr>
          <w:p w14:paraId="2651E8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5EDF59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95" w:type="dxa"/>
            <w:tcBorders>
              <w:tl2br w:val="nil"/>
              <w:tr2bl w:val="nil"/>
            </w:tcBorders>
            <w:shd w:val="clear" w:color="auto" w:fill="auto"/>
            <w:vAlign w:val="center"/>
          </w:tcPr>
          <w:p w14:paraId="0AAB6F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110" w:type="dxa"/>
            <w:tcBorders>
              <w:tl2br w:val="nil"/>
              <w:tr2bl w:val="nil"/>
            </w:tcBorders>
            <w:shd w:val="clear" w:color="auto" w:fill="auto"/>
            <w:vAlign w:val="center"/>
          </w:tcPr>
          <w:p w14:paraId="2BBD4D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62" w:type="dxa"/>
            <w:tcBorders>
              <w:tl2br w:val="nil"/>
              <w:tr2bl w:val="nil"/>
            </w:tcBorders>
            <w:shd w:val="clear" w:color="auto" w:fill="auto"/>
            <w:vAlign w:val="center"/>
          </w:tcPr>
          <w:p w14:paraId="69CB7F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8.1万元</w:t>
            </w:r>
          </w:p>
        </w:tc>
        <w:tc>
          <w:tcPr>
            <w:tcW w:w="994" w:type="dxa"/>
            <w:tcBorders>
              <w:tl2br w:val="nil"/>
              <w:tr2bl w:val="nil"/>
            </w:tcBorders>
            <w:shd w:val="clear" w:color="auto" w:fill="auto"/>
            <w:vAlign w:val="center"/>
          </w:tcPr>
          <w:p w14:paraId="41FCE4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73605B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9" w:type="dxa"/>
            <w:tcBorders>
              <w:tl2br w:val="nil"/>
              <w:tr2bl w:val="nil"/>
            </w:tcBorders>
            <w:shd w:val="clear" w:color="auto" w:fill="auto"/>
            <w:vAlign w:val="center"/>
          </w:tcPr>
          <w:p w14:paraId="03C6968E">
            <w:pPr>
              <w:jc w:val="center"/>
              <w:rPr>
                <w:rFonts w:hint="eastAsia" w:ascii="宋体" w:hAnsi="宋体" w:eastAsia="宋体" w:cs="宋体"/>
                <w:i w:val="0"/>
                <w:iCs w:val="0"/>
                <w:color w:val="000000"/>
                <w:sz w:val="20"/>
                <w:szCs w:val="20"/>
                <w:u w:val="none"/>
              </w:rPr>
            </w:pPr>
          </w:p>
        </w:tc>
      </w:tr>
      <w:tr w14:paraId="748DB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520" w:hRule="atLeast"/>
        </w:trPr>
        <w:tc>
          <w:tcPr>
            <w:tcW w:w="696" w:type="dxa"/>
            <w:vMerge w:val="continue"/>
            <w:tcBorders>
              <w:tl2br w:val="nil"/>
              <w:tr2bl w:val="nil"/>
            </w:tcBorders>
            <w:shd w:val="clear" w:color="auto" w:fill="auto"/>
            <w:vAlign w:val="center"/>
          </w:tcPr>
          <w:p w14:paraId="5AA741FB">
            <w:pPr>
              <w:jc w:val="center"/>
              <w:rPr>
                <w:rFonts w:hint="eastAsia" w:ascii="宋体" w:hAnsi="宋体" w:eastAsia="宋体" w:cs="宋体"/>
                <w:i w:val="0"/>
                <w:iCs w:val="0"/>
                <w:color w:val="000000"/>
                <w:sz w:val="20"/>
                <w:szCs w:val="20"/>
                <w:u w:val="none"/>
              </w:rPr>
            </w:pPr>
          </w:p>
        </w:tc>
        <w:tc>
          <w:tcPr>
            <w:tcW w:w="697" w:type="dxa"/>
            <w:vMerge w:val="restart"/>
            <w:tcBorders>
              <w:tl2br w:val="nil"/>
              <w:tr2bl w:val="nil"/>
            </w:tcBorders>
            <w:shd w:val="clear" w:color="auto" w:fill="auto"/>
            <w:vAlign w:val="center"/>
          </w:tcPr>
          <w:p w14:paraId="5D5539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05" w:type="dxa"/>
            <w:vMerge w:val="restart"/>
            <w:tcBorders>
              <w:tl2br w:val="nil"/>
              <w:tr2bl w:val="nil"/>
            </w:tcBorders>
            <w:shd w:val="clear" w:color="auto" w:fill="auto"/>
            <w:vAlign w:val="center"/>
          </w:tcPr>
          <w:p w14:paraId="0E5306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97" w:type="dxa"/>
            <w:tcBorders>
              <w:tl2br w:val="nil"/>
              <w:tr2bl w:val="nil"/>
            </w:tcBorders>
            <w:shd w:val="clear" w:color="auto" w:fill="auto"/>
            <w:vAlign w:val="center"/>
          </w:tcPr>
          <w:p w14:paraId="3EB73E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为民服务质量</w:t>
            </w:r>
          </w:p>
        </w:tc>
        <w:tc>
          <w:tcPr>
            <w:tcW w:w="1169" w:type="dxa"/>
            <w:tcBorders>
              <w:tl2br w:val="nil"/>
              <w:tr2bl w:val="nil"/>
            </w:tcBorders>
            <w:shd w:val="clear" w:color="auto" w:fill="auto"/>
            <w:vAlign w:val="center"/>
          </w:tcPr>
          <w:p w14:paraId="47C171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明显提升</w:t>
            </w:r>
          </w:p>
        </w:tc>
        <w:tc>
          <w:tcPr>
            <w:tcW w:w="1079" w:type="dxa"/>
            <w:tcBorders>
              <w:tl2br w:val="nil"/>
              <w:tr2bl w:val="nil"/>
            </w:tcBorders>
            <w:shd w:val="clear" w:color="auto" w:fill="auto"/>
            <w:vAlign w:val="center"/>
          </w:tcPr>
          <w:p w14:paraId="2D6456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7" w:type="dxa"/>
            <w:tcBorders>
              <w:tl2br w:val="nil"/>
              <w:tr2bl w:val="nil"/>
            </w:tcBorders>
            <w:shd w:val="clear" w:color="auto" w:fill="auto"/>
            <w:vAlign w:val="center"/>
          </w:tcPr>
          <w:p w14:paraId="5DCC8C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254E71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95" w:type="dxa"/>
            <w:tcBorders>
              <w:tl2br w:val="nil"/>
              <w:tr2bl w:val="nil"/>
            </w:tcBorders>
            <w:shd w:val="clear" w:color="auto" w:fill="auto"/>
            <w:vAlign w:val="center"/>
          </w:tcPr>
          <w:p w14:paraId="420D76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10" w:type="dxa"/>
            <w:tcBorders>
              <w:tl2br w:val="nil"/>
              <w:tr2bl w:val="nil"/>
            </w:tcBorders>
            <w:shd w:val="clear" w:color="auto" w:fill="auto"/>
            <w:vAlign w:val="center"/>
          </w:tcPr>
          <w:p w14:paraId="287290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2" w:type="dxa"/>
            <w:tcBorders>
              <w:tl2br w:val="nil"/>
              <w:tr2bl w:val="nil"/>
            </w:tcBorders>
            <w:shd w:val="clear" w:color="auto" w:fill="auto"/>
            <w:vAlign w:val="center"/>
          </w:tcPr>
          <w:p w14:paraId="5BE1E4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4" w:type="dxa"/>
            <w:tcBorders>
              <w:tl2br w:val="nil"/>
              <w:tr2bl w:val="nil"/>
            </w:tcBorders>
            <w:shd w:val="clear" w:color="auto" w:fill="auto"/>
            <w:vAlign w:val="center"/>
          </w:tcPr>
          <w:p w14:paraId="0D5792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256393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19" w:type="dxa"/>
            <w:tcBorders>
              <w:tl2br w:val="nil"/>
              <w:tr2bl w:val="nil"/>
            </w:tcBorders>
            <w:shd w:val="clear" w:color="auto" w:fill="auto"/>
            <w:vAlign w:val="center"/>
          </w:tcPr>
          <w:p w14:paraId="3A833F33">
            <w:pPr>
              <w:jc w:val="center"/>
              <w:rPr>
                <w:rFonts w:hint="eastAsia" w:ascii="宋体" w:hAnsi="宋体" w:eastAsia="宋体" w:cs="宋体"/>
                <w:i w:val="0"/>
                <w:iCs w:val="0"/>
                <w:color w:val="000000"/>
                <w:sz w:val="20"/>
                <w:szCs w:val="20"/>
                <w:u w:val="none"/>
              </w:rPr>
            </w:pPr>
          </w:p>
        </w:tc>
      </w:tr>
      <w:tr w14:paraId="2D96B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740" w:hRule="atLeast"/>
        </w:trPr>
        <w:tc>
          <w:tcPr>
            <w:tcW w:w="696" w:type="dxa"/>
            <w:vMerge w:val="continue"/>
            <w:tcBorders>
              <w:tl2br w:val="nil"/>
              <w:tr2bl w:val="nil"/>
            </w:tcBorders>
            <w:shd w:val="clear" w:color="auto" w:fill="auto"/>
            <w:vAlign w:val="center"/>
          </w:tcPr>
          <w:p w14:paraId="0171A6EC">
            <w:pPr>
              <w:jc w:val="center"/>
              <w:rPr>
                <w:rFonts w:hint="eastAsia" w:ascii="宋体" w:hAnsi="宋体" w:eastAsia="宋体" w:cs="宋体"/>
                <w:i w:val="0"/>
                <w:iCs w:val="0"/>
                <w:color w:val="000000"/>
                <w:sz w:val="20"/>
                <w:szCs w:val="20"/>
                <w:u w:val="none"/>
              </w:rPr>
            </w:pPr>
          </w:p>
        </w:tc>
        <w:tc>
          <w:tcPr>
            <w:tcW w:w="697" w:type="dxa"/>
            <w:vMerge w:val="continue"/>
            <w:tcBorders>
              <w:tl2br w:val="nil"/>
              <w:tr2bl w:val="nil"/>
            </w:tcBorders>
            <w:shd w:val="clear" w:color="auto" w:fill="auto"/>
            <w:vAlign w:val="center"/>
          </w:tcPr>
          <w:p w14:paraId="16CD7799">
            <w:pPr>
              <w:jc w:val="center"/>
              <w:rPr>
                <w:rFonts w:hint="eastAsia" w:ascii="宋体" w:hAnsi="宋体" w:eastAsia="宋体" w:cs="宋体"/>
                <w:i w:val="0"/>
                <w:iCs w:val="0"/>
                <w:color w:val="000000"/>
                <w:sz w:val="20"/>
                <w:szCs w:val="20"/>
                <w:u w:val="none"/>
              </w:rPr>
            </w:pPr>
          </w:p>
        </w:tc>
        <w:tc>
          <w:tcPr>
            <w:tcW w:w="905" w:type="dxa"/>
            <w:vMerge w:val="continue"/>
            <w:tcBorders>
              <w:tl2br w:val="nil"/>
              <w:tr2bl w:val="nil"/>
            </w:tcBorders>
            <w:shd w:val="clear" w:color="auto" w:fill="auto"/>
            <w:vAlign w:val="center"/>
          </w:tcPr>
          <w:p w14:paraId="0D0401B9">
            <w:pPr>
              <w:jc w:val="center"/>
              <w:rPr>
                <w:rFonts w:hint="eastAsia" w:ascii="宋体" w:hAnsi="宋体" w:eastAsia="宋体" w:cs="宋体"/>
                <w:i w:val="0"/>
                <w:iCs w:val="0"/>
                <w:color w:val="000000"/>
                <w:sz w:val="20"/>
                <w:szCs w:val="20"/>
                <w:u w:val="none"/>
              </w:rPr>
            </w:pPr>
          </w:p>
        </w:tc>
        <w:tc>
          <w:tcPr>
            <w:tcW w:w="1297" w:type="dxa"/>
            <w:tcBorders>
              <w:tl2br w:val="nil"/>
              <w:tr2bl w:val="nil"/>
            </w:tcBorders>
            <w:shd w:val="clear" w:color="auto" w:fill="auto"/>
            <w:vAlign w:val="center"/>
          </w:tcPr>
          <w:p w14:paraId="495800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供销社基层组织建设体系</w:t>
            </w:r>
          </w:p>
        </w:tc>
        <w:tc>
          <w:tcPr>
            <w:tcW w:w="1169" w:type="dxa"/>
            <w:tcBorders>
              <w:tl2br w:val="nil"/>
              <w:tr2bl w:val="nil"/>
            </w:tcBorders>
            <w:shd w:val="clear" w:color="auto" w:fill="auto"/>
            <w:vAlign w:val="center"/>
          </w:tcPr>
          <w:p w14:paraId="251269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w:t>
            </w:r>
          </w:p>
        </w:tc>
        <w:tc>
          <w:tcPr>
            <w:tcW w:w="1079" w:type="dxa"/>
            <w:tcBorders>
              <w:tl2br w:val="nil"/>
              <w:tr2bl w:val="nil"/>
            </w:tcBorders>
            <w:shd w:val="clear" w:color="auto" w:fill="auto"/>
            <w:vAlign w:val="center"/>
          </w:tcPr>
          <w:p w14:paraId="597ADC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17" w:type="dxa"/>
            <w:tcBorders>
              <w:tl2br w:val="nil"/>
              <w:tr2bl w:val="nil"/>
            </w:tcBorders>
            <w:shd w:val="clear" w:color="auto" w:fill="auto"/>
            <w:vAlign w:val="center"/>
          </w:tcPr>
          <w:p w14:paraId="60A02B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5" w:type="dxa"/>
            <w:tcBorders>
              <w:tl2br w:val="nil"/>
              <w:tr2bl w:val="nil"/>
            </w:tcBorders>
            <w:shd w:val="clear" w:color="auto" w:fill="auto"/>
            <w:vAlign w:val="center"/>
          </w:tcPr>
          <w:p w14:paraId="5E9383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95" w:type="dxa"/>
            <w:tcBorders>
              <w:tl2br w:val="nil"/>
              <w:tr2bl w:val="nil"/>
            </w:tcBorders>
            <w:shd w:val="clear" w:color="auto" w:fill="auto"/>
            <w:vAlign w:val="center"/>
          </w:tcPr>
          <w:p w14:paraId="5F280D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110" w:type="dxa"/>
            <w:tcBorders>
              <w:tl2br w:val="nil"/>
              <w:tr2bl w:val="nil"/>
            </w:tcBorders>
            <w:shd w:val="clear" w:color="auto" w:fill="auto"/>
            <w:vAlign w:val="center"/>
          </w:tcPr>
          <w:p w14:paraId="5EBA39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2" w:type="dxa"/>
            <w:tcBorders>
              <w:tl2br w:val="nil"/>
              <w:tr2bl w:val="nil"/>
            </w:tcBorders>
            <w:shd w:val="clear" w:color="auto" w:fill="auto"/>
            <w:vAlign w:val="center"/>
          </w:tcPr>
          <w:p w14:paraId="67DF99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94" w:type="dxa"/>
            <w:tcBorders>
              <w:tl2br w:val="nil"/>
              <w:tr2bl w:val="nil"/>
            </w:tcBorders>
            <w:shd w:val="clear" w:color="auto" w:fill="auto"/>
            <w:vAlign w:val="center"/>
          </w:tcPr>
          <w:p w14:paraId="3E2C1C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9" w:type="dxa"/>
            <w:tcBorders>
              <w:tl2br w:val="nil"/>
              <w:tr2bl w:val="nil"/>
            </w:tcBorders>
            <w:shd w:val="clear" w:color="auto" w:fill="auto"/>
            <w:vAlign w:val="center"/>
          </w:tcPr>
          <w:p w14:paraId="0111CD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19" w:type="dxa"/>
            <w:tcBorders>
              <w:tl2br w:val="nil"/>
              <w:tr2bl w:val="nil"/>
            </w:tcBorders>
            <w:shd w:val="clear" w:color="auto" w:fill="auto"/>
            <w:vAlign w:val="center"/>
          </w:tcPr>
          <w:p w14:paraId="2BE90EB4">
            <w:pPr>
              <w:jc w:val="center"/>
              <w:rPr>
                <w:rFonts w:hint="eastAsia" w:ascii="宋体" w:hAnsi="宋体" w:eastAsia="宋体" w:cs="宋体"/>
                <w:i w:val="0"/>
                <w:iCs w:val="0"/>
                <w:color w:val="000000"/>
                <w:sz w:val="20"/>
                <w:szCs w:val="20"/>
                <w:u w:val="none"/>
              </w:rPr>
            </w:pPr>
          </w:p>
        </w:tc>
      </w:tr>
      <w:tr w14:paraId="15468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20" w:hRule="atLeast"/>
        </w:trPr>
        <w:tc>
          <w:tcPr>
            <w:tcW w:w="3595" w:type="dxa"/>
            <w:gridSpan w:val="4"/>
            <w:tcBorders>
              <w:tl2br w:val="nil"/>
              <w:tr2bl w:val="nil"/>
            </w:tcBorders>
            <w:shd w:val="clear" w:color="auto" w:fill="auto"/>
            <w:vAlign w:val="center"/>
          </w:tcPr>
          <w:p w14:paraId="3C5E02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69" w:type="dxa"/>
            <w:tcBorders>
              <w:tl2br w:val="nil"/>
              <w:tr2bl w:val="nil"/>
            </w:tcBorders>
            <w:shd w:val="clear" w:color="auto" w:fill="auto"/>
            <w:vAlign w:val="center"/>
          </w:tcPr>
          <w:p w14:paraId="1014FED6">
            <w:pPr>
              <w:jc w:val="center"/>
              <w:rPr>
                <w:rFonts w:hint="eastAsia" w:ascii="宋体" w:hAnsi="宋体" w:eastAsia="宋体" w:cs="宋体"/>
                <w:i w:val="0"/>
                <w:iCs w:val="0"/>
                <w:color w:val="000000"/>
                <w:sz w:val="20"/>
                <w:szCs w:val="20"/>
                <w:u w:val="none"/>
              </w:rPr>
            </w:pPr>
          </w:p>
        </w:tc>
        <w:tc>
          <w:tcPr>
            <w:tcW w:w="1079" w:type="dxa"/>
            <w:tcBorders>
              <w:tl2br w:val="nil"/>
              <w:tr2bl w:val="nil"/>
            </w:tcBorders>
            <w:shd w:val="clear" w:color="auto" w:fill="auto"/>
            <w:vAlign w:val="center"/>
          </w:tcPr>
          <w:p w14:paraId="0011D1AC">
            <w:pPr>
              <w:jc w:val="center"/>
              <w:rPr>
                <w:rFonts w:hint="eastAsia" w:ascii="宋体" w:hAnsi="宋体" w:eastAsia="宋体" w:cs="宋体"/>
                <w:b/>
                <w:bCs/>
                <w:i w:val="0"/>
                <w:iCs w:val="0"/>
                <w:color w:val="000000"/>
                <w:sz w:val="20"/>
                <w:szCs w:val="20"/>
                <w:u w:val="none"/>
              </w:rPr>
            </w:pPr>
          </w:p>
        </w:tc>
        <w:tc>
          <w:tcPr>
            <w:tcW w:w="917" w:type="dxa"/>
            <w:tcBorders>
              <w:tl2br w:val="nil"/>
              <w:tr2bl w:val="nil"/>
            </w:tcBorders>
            <w:shd w:val="clear" w:color="auto" w:fill="auto"/>
            <w:vAlign w:val="center"/>
          </w:tcPr>
          <w:p w14:paraId="3839B7D2">
            <w:pPr>
              <w:jc w:val="center"/>
              <w:rPr>
                <w:rFonts w:hint="eastAsia" w:ascii="宋体" w:hAnsi="宋体" w:eastAsia="宋体" w:cs="宋体"/>
                <w:i w:val="0"/>
                <w:iCs w:val="0"/>
                <w:color w:val="000000"/>
                <w:sz w:val="20"/>
                <w:szCs w:val="20"/>
                <w:u w:val="none"/>
              </w:rPr>
            </w:pPr>
          </w:p>
        </w:tc>
        <w:tc>
          <w:tcPr>
            <w:tcW w:w="995" w:type="dxa"/>
            <w:tcBorders>
              <w:tl2br w:val="nil"/>
              <w:tr2bl w:val="nil"/>
            </w:tcBorders>
            <w:shd w:val="clear" w:color="auto" w:fill="auto"/>
            <w:vAlign w:val="center"/>
          </w:tcPr>
          <w:p w14:paraId="133EA7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95" w:type="dxa"/>
            <w:tcBorders>
              <w:tl2br w:val="nil"/>
              <w:tr2bl w:val="nil"/>
            </w:tcBorders>
            <w:shd w:val="clear" w:color="auto" w:fill="auto"/>
            <w:vAlign w:val="center"/>
          </w:tcPr>
          <w:p w14:paraId="19CD327F">
            <w:pPr>
              <w:jc w:val="center"/>
              <w:rPr>
                <w:rFonts w:hint="eastAsia" w:ascii="宋体" w:hAnsi="宋体" w:eastAsia="宋体" w:cs="宋体"/>
                <w:i w:val="0"/>
                <w:iCs w:val="0"/>
                <w:color w:val="000000"/>
                <w:sz w:val="20"/>
                <w:szCs w:val="20"/>
                <w:u w:val="none"/>
              </w:rPr>
            </w:pPr>
          </w:p>
        </w:tc>
        <w:tc>
          <w:tcPr>
            <w:tcW w:w="1110" w:type="dxa"/>
            <w:tcBorders>
              <w:tl2br w:val="nil"/>
              <w:tr2bl w:val="nil"/>
            </w:tcBorders>
            <w:shd w:val="clear" w:color="auto" w:fill="auto"/>
            <w:vAlign w:val="center"/>
          </w:tcPr>
          <w:p w14:paraId="4FF5D573">
            <w:pPr>
              <w:jc w:val="center"/>
              <w:rPr>
                <w:rFonts w:hint="eastAsia" w:ascii="宋体" w:hAnsi="宋体" w:eastAsia="宋体" w:cs="宋体"/>
                <w:i w:val="0"/>
                <w:iCs w:val="0"/>
                <w:color w:val="000000"/>
                <w:sz w:val="20"/>
                <w:szCs w:val="20"/>
                <w:u w:val="none"/>
              </w:rPr>
            </w:pPr>
          </w:p>
        </w:tc>
        <w:tc>
          <w:tcPr>
            <w:tcW w:w="1062" w:type="dxa"/>
            <w:tcBorders>
              <w:tl2br w:val="nil"/>
              <w:tr2bl w:val="nil"/>
            </w:tcBorders>
            <w:shd w:val="clear" w:color="auto" w:fill="auto"/>
            <w:vAlign w:val="center"/>
          </w:tcPr>
          <w:p w14:paraId="7E49781B">
            <w:pPr>
              <w:jc w:val="center"/>
              <w:rPr>
                <w:rFonts w:hint="eastAsia" w:ascii="宋体" w:hAnsi="宋体" w:eastAsia="宋体" w:cs="宋体"/>
                <w:i w:val="0"/>
                <w:iCs w:val="0"/>
                <w:color w:val="000000"/>
                <w:sz w:val="20"/>
                <w:szCs w:val="20"/>
                <w:u w:val="none"/>
              </w:rPr>
            </w:pPr>
          </w:p>
        </w:tc>
        <w:tc>
          <w:tcPr>
            <w:tcW w:w="994" w:type="dxa"/>
            <w:tcBorders>
              <w:tl2br w:val="nil"/>
              <w:tr2bl w:val="nil"/>
            </w:tcBorders>
            <w:shd w:val="clear" w:color="auto" w:fill="auto"/>
            <w:vAlign w:val="center"/>
          </w:tcPr>
          <w:p w14:paraId="68316C47">
            <w:pPr>
              <w:jc w:val="center"/>
              <w:rPr>
                <w:rFonts w:hint="eastAsia" w:ascii="宋体" w:hAnsi="宋体" w:eastAsia="宋体" w:cs="宋体"/>
                <w:i w:val="0"/>
                <w:iCs w:val="0"/>
                <w:color w:val="000000"/>
                <w:sz w:val="20"/>
                <w:szCs w:val="20"/>
                <w:u w:val="none"/>
              </w:rPr>
            </w:pPr>
          </w:p>
        </w:tc>
        <w:tc>
          <w:tcPr>
            <w:tcW w:w="1239" w:type="dxa"/>
            <w:tcBorders>
              <w:tl2br w:val="nil"/>
              <w:tr2bl w:val="nil"/>
            </w:tcBorders>
            <w:shd w:val="clear" w:color="auto" w:fill="auto"/>
            <w:vAlign w:val="center"/>
          </w:tcPr>
          <w:p w14:paraId="74E7A6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9" w:type="dxa"/>
            <w:tcBorders>
              <w:tl2br w:val="nil"/>
              <w:tr2bl w:val="nil"/>
            </w:tcBorders>
            <w:shd w:val="clear" w:color="auto" w:fill="auto"/>
            <w:vAlign w:val="center"/>
          </w:tcPr>
          <w:p w14:paraId="2DA712EA">
            <w:pPr>
              <w:rPr>
                <w:rFonts w:hint="eastAsia" w:ascii="宋体" w:hAnsi="宋体" w:eastAsia="宋体" w:cs="宋体"/>
                <w:i w:val="0"/>
                <w:iCs w:val="0"/>
                <w:color w:val="000000"/>
                <w:sz w:val="20"/>
                <w:szCs w:val="20"/>
                <w:u w:val="none"/>
              </w:rPr>
            </w:pPr>
          </w:p>
        </w:tc>
      </w:tr>
    </w:tbl>
    <w:p w14:paraId="0F7A1CE2">
      <w:pPr>
        <w:ind w:left="0" w:leftChars="0" w:firstLine="0" w:firstLineChars="0"/>
        <w:rPr>
          <w:rFonts w:hint="default"/>
          <w:color w:val="auto"/>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33279158">
      <w:pPr>
        <w:pStyle w:val="4"/>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3"/>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5EBC1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5B74D7E2">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一级指标</w:t>
            </w:r>
          </w:p>
        </w:tc>
        <w:tc>
          <w:tcPr>
            <w:tcW w:w="727" w:type="dxa"/>
            <w:shd w:val="clear" w:color="auto" w:fill="auto"/>
            <w:noWrap w:val="0"/>
            <w:vAlign w:val="center"/>
          </w:tcPr>
          <w:p w14:paraId="35BAB571">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二级指标</w:t>
            </w:r>
          </w:p>
        </w:tc>
        <w:tc>
          <w:tcPr>
            <w:tcW w:w="820" w:type="dxa"/>
            <w:shd w:val="clear" w:color="auto" w:fill="auto"/>
            <w:noWrap w:val="0"/>
            <w:vAlign w:val="center"/>
          </w:tcPr>
          <w:p w14:paraId="4BF2201C">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三级指标</w:t>
            </w:r>
          </w:p>
        </w:tc>
        <w:tc>
          <w:tcPr>
            <w:tcW w:w="2141" w:type="dxa"/>
            <w:shd w:val="clear" w:color="auto" w:fill="auto"/>
            <w:noWrap w:val="0"/>
            <w:vAlign w:val="center"/>
          </w:tcPr>
          <w:p w14:paraId="2EAF5D30">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指标解释</w:t>
            </w:r>
          </w:p>
        </w:tc>
        <w:tc>
          <w:tcPr>
            <w:tcW w:w="7821" w:type="dxa"/>
            <w:shd w:val="clear" w:color="auto" w:fill="auto"/>
            <w:noWrap w:val="0"/>
            <w:vAlign w:val="center"/>
          </w:tcPr>
          <w:p w14:paraId="6009AF73">
            <w:pPr>
              <w:widowControl/>
              <w:spacing w:line="0" w:lineRule="atLeast"/>
              <w:ind w:firstLine="0" w:firstLineChars="0"/>
              <w:jc w:val="center"/>
              <w:rPr>
                <w:rFonts w:ascii="宋体" w:hAnsi="宋体" w:eastAsia="宋体" w:cs="宋体"/>
                <w:b/>
                <w:bCs/>
                <w:color w:val="auto"/>
                <w:kern w:val="0"/>
                <w:sz w:val="22"/>
                <w:szCs w:val="22"/>
              </w:rPr>
            </w:pPr>
            <w:r>
              <w:rPr>
                <w:rFonts w:hint="eastAsia" w:ascii="宋体" w:hAnsi="宋体" w:eastAsia="宋体" w:cs="宋体"/>
                <w:b/>
                <w:bCs/>
                <w:color w:val="auto"/>
                <w:kern w:val="0"/>
                <w:sz w:val="22"/>
                <w:szCs w:val="22"/>
              </w:rPr>
              <w:t>指标说明</w:t>
            </w:r>
          </w:p>
        </w:tc>
        <w:tc>
          <w:tcPr>
            <w:tcW w:w="785" w:type="dxa"/>
            <w:shd w:val="clear" w:color="auto" w:fill="auto"/>
            <w:noWrap w:val="0"/>
            <w:vAlign w:val="center"/>
          </w:tcPr>
          <w:p w14:paraId="1DF90509">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分值</w:t>
            </w:r>
          </w:p>
        </w:tc>
        <w:tc>
          <w:tcPr>
            <w:tcW w:w="769" w:type="dxa"/>
            <w:shd w:val="clear" w:color="auto" w:fill="auto"/>
            <w:noWrap w:val="0"/>
            <w:vAlign w:val="center"/>
          </w:tcPr>
          <w:p w14:paraId="37647F4B">
            <w:pPr>
              <w:widowControl/>
              <w:spacing w:line="0" w:lineRule="atLeast"/>
              <w:ind w:firstLine="0" w:firstLineChars="0"/>
              <w:jc w:val="center"/>
              <w:rPr>
                <w:rFonts w:hint="eastAsia" w:ascii="宋体" w:hAnsi="宋体" w:eastAsia="宋体" w:cs="宋体"/>
                <w:b/>
                <w:bCs/>
                <w:color w:val="auto"/>
                <w:kern w:val="0"/>
                <w:sz w:val="22"/>
                <w:szCs w:val="22"/>
                <w:lang w:val="en-US" w:eastAsia="zh-CN"/>
              </w:rPr>
            </w:pPr>
            <w:r>
              <w:rPr>
                <w:rFonts w:hint="eastAsia" w:ascii="宋体" w:hAnsi="宋体" w:eastAsia="宋体" w:cs="宋体"/>
                <w:b/>
                <w:bCs/>
                <w:color w:val="auto"/>
                <w:kern w:val="0"/>
                <w:sz w:val="22"/>
                <w:szCs w:val="22"/>
                <w:lang w:val="en-US" w:eastAsia="zh-CN"/>
              </w:rPr>
              <w:t>得分</w:t>
            </w:r>
          </w:p>
        </w:tc>
      </w:tr>
      <w:tr w14:paraId="5AE2C6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BCB27B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p w14:paraId="6FEC2AD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4257CFC7">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727" w:type="dxa"/>
            <w:vMerge w:val="restart"/>
            <w:shd w:val="clear" w:color="auto" w:fill="auto"/>
            <w:noWrap w:val="0"/>
            <w:vAlign w:val="center"/>
          </w:tcPr>
          <w:p w14:paraId="76017546">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　</w:t>
            </w:r>
          </w:p>
        </w:tc>
        <w:tc>
          <w:tcPr>
            <w:tcW w:w="820" w:type="dxa"/>
            <w:shd w:val="clear" w:color="auto" w:fill="auto"/>
            <w:noWrap w:val="0"/>
            <w:vAlign w:val="center"/>
          </w:tcPr>
          <w:p w14:paraId="43FD99B8">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立项依据</w:t>
            </w:r>
          </w:p>
          <w:p w14:paraId="5613D78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充分性</w:t>
            </w:r>
          </w:p>
        </w:tc>
        <w:tc>
          <w:tcPr>
            <w:tcW w:w="2141" w:type="dxa"/>
            <w:shd w:val="clear" w:color="auto" w:fill="auto"/>
            <w:noWrap w:val="0"/>
            <w:vAlign w:val="center"/>
          </w:tcPr>
          <w:p w14:paraId="6F12604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511D0FFA">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173EA10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①项目立项是否符合国家法律法规、国民经济发展规划和相关政策；</w:t>
            </w:r>
          </w:p>
          <w:p w14:paraId="1598D3BA">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②项目立项是否符合行业发展规划和政策要求；</w:t>
            </w:r>
          </w:p>
          <w:p w14:paraId="1BEC7DF9">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③项目立项是否与部门职责范围相符，属于部门履职所需；</w:t>
            </w:r>
          </w:p>
          <w:p w14:paraId="797F3FB6">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④项目是否属于公共财政支持范围，是否符合中央、地方事权支出责任划分原则；</w:t>
            </w:r>
          </w:p>
          <w:p w14:paraId="51D0032B">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⑤项目是否与相关部门同类项目或部门内部相关项目重复。</w:t>
            </w:r>
          </w:p>
        </w:tc>
        <w:tc>
          <w:tcPr>
            <w:tcW w:w="785" w:type="dxa"/>
            <w:shd w:val="clear" w:color="auto" w:fill="auto"/>
            <w:noWrap w:val="0"/>
            <w:vAlign w:val="center"/>
          </w:tcPr>
          <w:p w14:paraId="1E988A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48689739">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415AA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070FAD5">
            <w:pPr>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6B8C9AEE">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2992496C">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立项程序</w:t>
            </w:r>
          </w:p>
          <w:p w14:paraId="2CF68E5E">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规范性</w:t>
            </w:r>
          </w:p>
        </w:tc>
        <w:tc>
          <w:tcPr>
            <w:tcW w:w="2141" w:type="dxa"/>
            <w:shd w:val="clear" w:color="auto" w:fill="auto"/>
            <w:noWrap w:val="0"/>
            <w:vAlign w:val="center"/>
          </w:tcPr>
          <w:p w14:paraId="6B99D3D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项目申请、设立过程是否符合相关要求，用以反映和考核项目立项的规范情况。</w:t>
            </w:r>
          </w:p>
        </w:tc>
        <w:tc>
          <w:tcPr>
            <w:tcW w:w="7821" w:type="dxa"/>
            <w:shd w:val="clear" w:color="auto" w:fill="auto"/>
            <w:noWrap w:val="0"/>
            <w:vAlign w:val="center"/>
          </w:tcPr>
          <w:p w14:paraId="15FAABB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12A8671">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①项目是否按照规定的程序申请设立；</w:t>
            </w:r>
          </w:p>
          <w:p w14:paraId="2BCF4C01">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②审批文件、材料是否符合相关要求；</w:t>
            </w:r>
          </w:p>
          <w:p w14:paraId="70F25EDD">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③事前是否已经过必要的可行性研究、专家论证、风险评估、绩效评估、集体决策。</w:t>
            </w:r>
          </w:p>
        </w:tc>
        <w:tc>
          <w:tcPr>
            <w:tcW w:w="785" w:type="dxa"/>
            <w:shd w:val="clear" w:color="auto" w:fill="auto"/>
            <w:noWrap w:val="0"/>
            <w:vAlign w:val="center"/>
          </w:tcPr>
          <w:p w14:paraId="55C86B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A9E5F3E">
            <w:pPr>
              <w:widowControl/>
              <w:spacing w:line="0" w:lineRule="atLeast"/>
              <w:ind w:firstLine="0" w:firstLineChars="0"/>
              <w:jc w:val="left"/>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2.4</w:t>
            </w:r>
          </w:p>
        </w:tc>
      </w:tr>
      <w:tr w14:paraId="56B0F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44FE5E7">
            <w:pPr>
              <w:spacing w:line="0" w:lineRule="atLeast"/>
              <w:ind w:firstLine="0" w:firstLineChars="0"/>
              <w:jc w:val="center"/>
              <w:rPr>
                <w:rFonts w:ascii="宋体" w:hAnsi="宋体" w:eastAsia="宋体" w:cs="宋体"/>
                <w:color w:val="auto"/>
                <w:kern w:val="0"/>
                <w:sz w:val="22"/>
                <w:szCs w:val="22"/>
              </w:rPr>
            </w:pPr>
          </w:p>
        </w:tc>
        <w:tc>
          <w:tcPr>
            <w:tcW w:w="727" w:type="dxa"/>
            <w:shd w:val="clear" w:color="auto" w:fill="auto"/>
            <w:noWrap w:val="0"/>
            <w:vAlign w:val="center"/>
          </w:tcPr>
          <w:p w14:paraId="623A55BC">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绩效目标　</w:t>
            </w:r>
          </w:p>
        </w:tc>
        <w:tc>
          <w:tcPr>
            <w:tcW w:w="820" w:type="dxa"/>
            <w:shd w:val="clear" w:color="auto" w:fill="auto"/>
            <w:noWrap w:val="0"/>
            <w:vAlign w:val="center"/>
          </w:tcPr>
          <w:p w14:paraId="474BDD7A">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p w14:paraId="5B46E510">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0D5C4610">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1468660D">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48AFC49E">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（如未设定预算绩效目标，也可考核其他工作任务目标）</w:t>
            </w:r>
          </w:p>
          <w:p w14:paraId="12B09EA2">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①项目是否有绩效目标；</w:t>
            </w:r>
          </w:p>
          <w:p w14:paraId="161157ED">
            <w:pPr>
              <w:widowControl/>
              <w:spacing w:line="0" w:lineRule="atLeast"/>
              <w:ind w:firstLine="0" w:firstLineChars="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②项目绩效目标与实际工作内容是否具有相关性；</w:t>
            </w:r>
          </w:p>
          <w:p w14:paraId="1E4B90AC">
            <w:pPr>
              <w:widowControl/>
              <w:spacing w:line="0" w:lineRule="atLeast"/>
              <w:ind w:firstLine="0" w:firstLineChars="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③项目预期产出效益和效果是否符合正常的业绩水平；</w:t>
            </w:r>
          </w:p>
          <w:p w14:paraId="29A2EECC">
            <w:pPr>
              <w:widowControl/>
              <w:spacing w:line="0" w:lineRule="atLeast"/>
              <w:ind w:firstLine="0" w:firstLineChars="0"/>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④是否与预算确定的项目投资额或资金量相匹配。</w:t>
            </w:r>
          </w:p>
        </w:tc>
        <w:tc>
          <w:tcPr>
            <w:tcW w:w="785" w:type="dxa"/>
            <w:shd w:val="clear" w:color="auto" w:fill="auto"/>
            <w:noWrap w:val="0"/>
            <w:vAlign w:val="center"/>
          </w:tcPr>
          <w:p w14:paraId="416630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481052C3">
            <w:pPr>
              <w:widowControl/>
              <w:spacing w:line="0" w:lineRule="atLeast"/>
              <w:ind w:firstLine="0" w:firstLineChars="0"/>
              <w:jc w:val="left"/>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436E1A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ABAD2A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决策　</w:t>
            </w:r>
          </w:p>
        </w:tc>
        <w:tc>
          <w:tcPr>
            <w:tcW w:w="727" w:type="dxa"/>
            <w:shd w:val="clear" w:color="auto" w:fill="auto"/>
            <w:noWrap w:val="0"/>
            <w:vAlign w:val="center"/>
          </w:tcPr>
          <w:p w14:paraId="7001B35C">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绩效目标</w:t>
            </w:r>
          </w:p>
        </w:tc>
        <w:tc>
          <w:tcPr>
            <w:tcW w:w="820" w:type="dxa"/>
            <w:shd w:val="clear" w:color="auto" w:fill="auto"/>
            <w:noWrap w:val="0"/>
            <w:vAlign w:val="center"/>
          </w:tcPr>
          <w:p w14:paraId="2B1EDC60">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绩效指标</w:t>
            </w:r>
          </w:p>
          <w:p w14:paraId="40EC3C2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明确性</w:t>
            </w:r>
          </w:p>
        </w:tc>
        <w:tc>
          <w:tcPr>
            <w:tcW w:w="2141" w:type="dxa"/>
            <w:shd w:val="clear" w:color="auto" w:fill="auto"/>
            <w:noWrap w:val="0"/>
            <w:vAlign w:val="center"/>
          </w:tcPr>
          <w:p w14:paraId="64A1DA8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4D840AF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64C1B77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①是否将项目绩效目标细化分解为具体的绩效指标；</w:t>
            </w:r>
          </w:p>
          <w:p w14:paraId="12BC190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②是否通过清晰、可衡量的指标值予以体现；</w:t>
            </w:r>
          </w:p>
          <w:p w14:paraId="1D4FA46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③是否与项目目标任务数或计划数相对应。</w:t>
            </w:r>
          </w:p>
          <w:p w14:paraId="1FC783AB">
            <w:pPr>
              <w:widowControl/>
              <w:spacing w:line="0" w:lineRule="atLeast"/>
              <w:ind w:firstLine="0" w:firstLineChars="0"/>
              <w:rPr>
                <w:rFonts w:hint="eastAsia" w:ascii="宋体" w:hAnsi="宋体" w:eastAsia="宋体" w:cs="宋体"/>
                <w:color w:val="auto"/>
                <w:kern w:val="0"/>
                <w:sz w:val="22"/>
                <w:szCs w:val="22"/>
                <w:lang w:eastAsia="zh-CN"/>
              </w:rPr>
            </w:pPr>
          </w:p>
        </w:tc>
        <w:tc>
          <w:tcPr>
            <w:tcW w:w="785" w:type="dxa"/>
            <w:shd w:val="clear" w:color="auto" w:fill="auto"/>
            <w:noWrap w:val="0"/>
            <w:vAlign w:val="center"/>
          </w:tcPr>
          <w:p w14:paraId="695AD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4876B86">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5</w:t>
            </w:r>
          </w:p>
        </w:tc>
      </w:tr>
      <w:tr w14:paraId="05F02D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169F37E2">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7316304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资金投入</w:t>
            </w:r>
          </w:p>
          <w:p w14:paraId="2696FEE2">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6EB235DC">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预算编制</w:t>
            </w:r>
          </w:p>
          <w:p w14:paraId="2EBE4967">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科学性</w:t>
            </w:r>
          </w:p>
        </w:tc>
        <w:tc>
          <w:tcPr>
            <w:tcW w:w="2141" w:type="dxa"/>
            <w:shd w:val="clear" w:color="auto" w:fill="auto"/>
            <w:noWrap w:val="0"/>
            <w:vAlign w:val="center"/>
          </w:tcPr>
          <w:p w14:paraId="4D54BA06">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37DD73E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D91330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①预算编制是否经过科学论证；</w:t>
            </w:r>
          </w:p>
          <w:p w14:paraId="4635D3C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②预算内容与项目内容是否匹配；</w:t>
            </w:r>
          </w:p>
          <w:p w14:paraId="058CF31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③预算额度测算依据是否充分，是否按照标准编制；</w:t>
            </w:r>
          </w:p>
          <w:p w14:paraId="463648CE">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④预算确定的项目投资额或资金量是否与工作任务相匹配。</w:t>
            </w:r>
          </w:p>
        </w:tc>
        <w:tc>
          <w:tcPr>
            <w:tcW w:w="785" w:type="dxa"/>
            <w:shd w:val="clear" w:color="auto" w:fill="auto"/>
            <w:noWrap w:val="0"/>
            <w:vAlign w:val="center"/>
          </w:tcPr>
          <w:p w14:paraId="16D452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93A86CD">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2</w:t>
            </w:r>
          </w:p>
        </w:tc>
      </w:tr>
      <w:tr w14:paraId="47075B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1EF0CF82">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1B02A067">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04016821">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资金分配</w:t>
            </w:r>
          </w:p>
          <w:p w14:paraId="159B9FD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合理性</w:t>
            </w:r>
          </w:p>
        </w:tc>
        <w:tc>
          <w:tcPr>
            <w:tcW w:w="2141" w:type="dxa"/>
            <w:shd w:val="clear" w:color="auto" w:fill="auto"/>
            <w:noWrap w:val="0"/>
            <w:vAlign w:val="center"/>
          </w:tcPr>
          <w:p w14:paraId="366A3B0B">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374253E">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40BAE09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①预算资金分配依据是否充分；</w:t>
            </w:r>
          </w:p>
          <w:p w14:paraId="2CA4F56A">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②资金分配额度是否合理，与项目单位或地方实际是否相适应。</w:t>
            </w:r>
          </w:p>
        </w:tc>
        <w:tc>
          <w:tcPr>
            <w:tcW w:w="785" w:type="dxa"/>
            <w:shd w:val="clear" w:color="auto" w:fill="auto"/>
            <w:noWrap w:val="0"/>
            <w:vAlign w:val="center"/>
          </w:tcPr>
          <w:p w14:paraId="23733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9EDAFB1">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14:paraId="215328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099B0F52">
            <w:pPr>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过程</w:t>
            </w:r>
          </w:p>
        </w:tc>
        <w:tc>
          <w:tcPr>
            <w:tcW w:w="727" w:type="dxa"/>
            <w:vMerge w:val="restart"/>
            <w:shd w:val="clear" w:color="auto" w:fill="auto"/>
            <w:noWrap w:val="0"/>
            <w:vAlign w:val="center"/>
          </w:tcPr>
          <w:p w14:paraId="21037AA2">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0EFD4DCA">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资金到位率</w:t>
            </w:r>
          </w:p>
        </w:tc>
        <w:tc>
          <w:tcPr>
            <w:tcW w:w="2141" w:type="dxa"/>
            <w:shd w:val="clear" w:color="auto" w:fill="auto"/>
            <w:noWrap w:val="0"/>
            <w:vAlign w:val="center"/>
          </w:tcPr>
          <w:p w14:paraId="35067F4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43BCCD7B">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资金到位率=（实际到位资金/预算资金）×100%。</w:t>
            </w:r>
          </w:p>
          <w:p w14:paraId="0CC58951">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实际到位资金：一定时期（本年度或项目期）内落实到具体项目的资金。</w:t>
            </w:r>
          </w:p>
          <w:p w14:paraId="2FCE817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预算资金：一定时期（本年度或项目期）内预算安排到具体项目的资金。</w:t>
            </w:r>
          </w:p>
        </w:tc>
        <w:tc>
          <w:tcPr>
            <w:tcW w:w="785" w:type="dxa"/>
            <w:shd w:val="clear" w:color="auto" w:fill="auto"/>
            <w:noWrap w:val="0"/>
            <w:vAlign w:val="center"/>
          </w:tcPr>
          <w:p w14:paraId="1E70D8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BE90153">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3D1A7C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4EAA0229">
            <w:pPr>
              <w:spacing w:line="0" w:lineRule="atLeast"/>
              <w:ind w:firstLine="0" w:firstLineChars="0"/>
              <w:jc w:val="center"/>
              <w:rPr>
                <w:rFonts w:hint="eastAsia" w:ascii="宋体" w:hAnsi="宋体" w:eastAsia="宋体" w:cs="宋体"/>
                <w:color w:val="auto"/>
                <w:kern w:val="0"/>
                <w:sz w:val="22"/>
                <w:szCs w:val="22"/>
              </w:rPr>
            </w:pPr>
          </w:p>
        </w:tc>
        <w:tc>
          <w:tcPr>
            <w:tcW w:w="727" w:type="dxa"/>
            <w:vMerge w:val="continue"/>
            <w:shd w:val="clear" w:color="auto" w:fill="auto"/>
            <w:noWrap w:val="0"/>
            <w:vAlign w:val="center"/>
          </w:tcPr>
          <w:p w14:paraId="15C4D34A">
            <w:pPr>
              <w:spacing w:line="0" w:lineRule="atLeast"/>
              <w:ind w:firstLine="0" w:firstLineChars="0"/>
              <w:jc w:val="center"/>
              <w:rPr>
                <w:rFonts w:hint="eastAsia" w:ascii="宋体" w:hAnsi="宋体" w:eastAsia="宋体" w:cs="宋体"/>
                <w:color w:val="auto"/>
                <w:kern w:val="0"/>
                <w:sz w:val="22"/>
                <w:szCs w:val="22"/>
              </w:rPr>
            </w:pPr>
          </w:p>
        </w:tc>
        <w:tc>
          <w:tcPr>
            <w:tcW w:w="820" w:type="dxa"/>
            <w:shd w:val="clear" w:color="auto" w:fill="auto"/>
            <w:noWrap w:val="0"/>
            <w:vAlign w:val="center"/>
          </w:tcPr>
          <w:p w14:paraId="1C7D2A1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预算执行率</w:t>
            </w:r>
          </w:p>
        </w:tc>
        <w:tc>
          <w:tcPr>
            <w:tcW w:w="2141" w:type="dxa"/>
            <w:shd w:val="clear" w:color="auto" w:fill="auto"/>
            <w:noWrap w:val="0"/>
            <w:vAlign w:val="center"/>
          </w:tcPr>
          <w:p w14:paraId="4FFD2D69">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项目预算资金是否按照计划执行，用以反映或考核项目预算执行情况。</w:t>
            </w:r>
          </w:p>
        </w:tc>
        <w:tc>
          <w:tcPr>
            <w:tcW w:w="7821" w:type="dxa"/>
            <w:shd w:val="clear" w:color="auto" w:fill="auto"/>
            <w:noWrap w:val="0"/>
            <w:vAlign w:val="center"/>
          </w:tcPr>
          <w:p w14:paraId="1E4ADE1B">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预算执行率=（实际支出资金/实际到位资金）×100%。</w:t>
            </w:r>
          </w:p>
          <w:p w14:paraId="11FECA1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实际支出资金：一定时期（本年度或项目期）内项目实际拨付的资金。</w:t>
            </w:r>
          </w:p>
        </w:tc>
        <w:tc>
          <w:tcPr>
            <w:tcW w:w="785" w:type="dxa"/>
            <w:shd w:val="clear" w:color="auto" w:fill="auto"/>
            <w:noWrap w:val="0"/>
            <w:vAlign w:val="center"/>
          </w:tcPr>
          <w:p w14:paraId="6BA7C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0A61238">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619DE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4275F86F">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p w14:paraId="01A3F236">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过程　</w:t>
            </w:r>
          </w:p>
        </w:tc>
        <w:tc>
          <w:tcPr>
            <w:tcW w:w="727" w:type="dxa"/>
            <w:shd w:val="clear" w:color="auto" w:fill="auto"/>
            <w:noWrap w:val="0"/>
            <w:vAlign w:val="center"/>
          </w:tcPr>
          <w:p w14:paraId="639D08CD">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资金管理</w:t>
            </w:r>
          </w:p>
        </w:tc>
        <w:tc>
          <w:tcPr>
            <w:tcW w:w="820" w:type="dxa"/>
            <w:shd w:val="clear" w:color="auto" w:fill="auto"/>
            <w:noWrap w:val="0"/>
            <w:vAlign w:val="center"/>
          </w:tcPr>
          <w:p w14:paraId="6C4FCAB6">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资金使用</w:t>
            </w:r>
          </w:p>
          <w:p w14:paraId="7B97E58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合规性</w:t>
            </w:r>
          </w:p>
        </w:tc>
        <w:tc>
          <w:tcPr>
            <w:tcW w:w="2141" w:type="dxa"/>
            <w:shd w:val="clear" w:color="auto" w:fill="auto"/>
            <w:noWrap w:val="0"/>
            <w:vAlign w:val="center"/>
          </w:tcPr>
          <w:p w14:paraId="5DD5CCCF">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2569C1D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287266ED">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①是否符合国家财经法规和财务管理制度以及有关专项资金管理办法的规定；</w:t>
            </w:r>
          </w:p>
          <w:p w14:paraId="4F7A1BF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②资金的拨付是否有完整的审批程序和手续；</w:t>
            </w:r>
          </w:p>
          <w:p w14:paraId="5FD0D66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③是否符合项目预算批复或合同规定的用途；</w:t>
            </w:r>
          </w:p>
          <w:p w14:paraId="02388633">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④是否存在截留、挤占、挪用、虚列支出等情况。</w:t>
            </w:r>
          </w:p>
        </w:tc>
        <w:tc>
          <w:tcPr>
            <w:tcW w:w="785" w:type="dxa"/>
            <w:shd w:val="clear" w:color="auto" w:fill="auto"/>
            <w:noWrap w:val="0"/>
            <w:vAlign w:val="center"/>
          </w:tcPr>
          <w:p w14:paraId="5BA7FB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12BF32B">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259B04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4945BC7D">
            <w:pPr>
              <w:spacing w:line="0" w:lineRule="atLeast"/>
              <w:ind w:firstLine="0" w:firstLineChars="0"/>
              <w:jc w:val="center"/>
              <w:rPr>
                <w:rFonts w:ascii="宋体" w:hAnsi="宋体" w:eastAsia="宋体" w:cs="宋体"/>
                <w:color w:val="auto"/>
                <w:kern w:val="0"/>
                <w:sz w:val="22"/>
                <w:szCs w:val="22"/>
              </w:rPr>
            </w:pPr>
          </w:p>
        </w:tc>
        <w:tc>
          <w:tcPr>
            <w:tcW w:w="727" w:type="dxa"/>
            <w:vMerge w:val="restart"/>
            <w:shd w:val="clear" w:color="auto" w:fill="auto"/>
            <w:noWrap w:val="0"/>
            <w:vAlign w:val="center"/>
          </w:tcPr>
          <w:p w14:paraId="3FC886F8">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组织实施</w:t>
            </w:r>
          </w:p>
          <w:p w14:paraId="11285FEB">
            <w:pPr>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w:t>
            </w:r>
          </w:p>
        </w:tc>
        <w:tc>
          <w:tcPr>
            <w:tcW w:w="820" w:type="dxa"/>
            <w:shd w:val="clear" w:color="auto" w:fill="auto"/>
            <w:noWrap w:val="0"/>
            <w:vAlign w:val="center"/>
          </w:tcPr>
          <w:p w14:paraId="08EBE789">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管理制度</w:t>
            </w:r>
          </w:p>
          <w:p w14:paraId="0A376B5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健全性</w:t>
            </w:r>
          </w:p>
        </w:tc>
        <w:tc>
          <w:tcPr>
            <w:tcW w:w="2141" w:type="dxa"/>
            <w:shd w:val="clear" w:color="auto" w:fill="auto"/>
            <w:noWrap w:val="0"/>
            <w:vAlign w:val="center"/>
          </w:tcPr>
          <w:p w14:paraId="2D54AB94">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069352C5">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57B3226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①是否已制定或具有相应的财务和业务管理制度；</w:t>
            </w:r>
          </w:p>
          <w:p w14:paraId="5D8AF406">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②财务和业务管理制度是否合法、合规、完整。</w:t>
            </w:r>
          </w:p>
        </w:tc>
        <w:tc>
          <w:tcPr>
            <w:tcW w:w="785" w:type="dxa"/>
            <w:shd w:val="clear" w:color="auto" w:fill="auto"/>
            <w:noWrap w:val="0"/>
            <w:vAlign w:val="center"/>
          </w:tcPr>
          <w:p w14:paraId="342C2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E2B603F">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2B17A6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518E0B6">
            <w:pPr>
              <w:widowControl/>
              <w:spacing w:line="0" w:lineRule="atLeast"/>
              <w:ind w:firstLine="0" w:firstLineChars="0"/>
              <w:jc w:val="center"/>
              <w:rPr>
                <w:rFonts w:ascii="宋体" w:hAnsi="宋体" w:eastAsia="宋体" w:cs="宋体"/>
                <w:color w:val="auto"/>
                <w:kern w:val="0"/>
                <w:sz w:val="22"/>
                <w:szCs w:val="22"/>
              </w:rPr>
            </w:pPr>
          </w:p>
        </w:tc>
        <w:tc>
          <w:tcPr>
            <w:tcW w:w="727" w:type="dxa"/>
            <w:vMerge w:val="continue"/>
            <w:shd w:val="clear" w:color="auto" w:fill="auto"/>
            <w:noWrap w:val="0"/>
            <w:vAlign w:val="center"/>
          </w:tcPr>
          <w:p w14:paraId="250BA3A8">
            <w:pPr>
              <w:widowControl/>
              <w:spacing w:line="0" w:lineRule="atLeast"/>
              <w:ind w:firstLine="0" w:firstLineChars="0"/>
              <w:jc w:val="center"/>
              <w:rPr>
                <w:rFonts w:ascii="宋体" w:hAnsi="宋体" w:eastAsia="宋体" w:cs="宋体"/>
                <w:color w:val="auto"/>
                <w:kern w:val="0"/>
                <w:sz w:val="22"/>
                <w:szCs w:val="22"/>
              </w:rPr>
            </w:pPr>
          </w:p>
        </w:tc>
        <w:tc>
          <w:tcPr>
            <w:tcW w:w="820" w:type="dxa"/>
            <w:shd w:val="clear" w:color="auto" w:fill="auto"/>
            <w:noWrap w:val="0"/>
            <w:vAlign w:val="center"/>
          </w:tcPr>
          <w:p w14:paraId="7E4FF625">
            <w:pPr>
              <w:widowControl/>
              <w:spacing w:line="0" w:lineRule="atLeast"/>
              <w:ind w:firstLine="0" w:firstLineChars="0"/>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制度执行</w:t>
            </w:r>
          </w:p>
          <w:p w14:paraId="6C314692">
            <w:pPr>
              <w:widowControl/>
              <w:spacing w:line="0" w:lineRule="atLeast"/>
              <w:ind w:firstLine="0" w:firstLineChars="0"/>
              <w:jc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有效性</w:t>
            </w:r>
          </w:p>
        </w:tc>
        <w:tc>
          <w:tcPr>
            <w:tcW w:w="2141" w:type="dxa"/>
            <w:shd w:val="clear" w:color="auto" w:fill="auto"/>
            <w:noWrap w:val="0"/>
            <w:vAlign w:val="center"/>
          </w:tcPr>
          <w:p w14:paraId="2E37A415">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项目实施是否符合相关管理规定，用以反映和考核相关管理制度的有效执行情况。</w:t>
            </w:r>
          </w:p>
        </w:tc>
        <w:tc>
          <w:tcPr>
            <w:tcW w:w="7821" w:type="dxa"/>
            <w:shd w:val="clear" w:color="auto" w:fill="auto"/>
            <w:noWrap w:val="0"/>
            <w:vAlign w:val="center"/>
          </w:tcPr>
          <w:p w14:paraId="74790E70">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评价要点：</w:t>
            </w:r>
          </w:p>
          <w:p w14:paraId="07B72173">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①是否遵守相关法律法规和相关管理规定；</w:t>
            </w:r>
          </w:p>
          <w:p w14:paraId="38E5B9C2">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②项目调整及支出调整手续是否完备；</w:t>
            </w:r>
          </w:p>
          <w:p w14:paraId="394A6D0A">
            <w:pPr>
              <w:widowControl/>
              <w:spacing w:line="0" w:lineRule="atLeast"/>
              <w:ind w:firstLine="0" w:firstLineChars="0"/>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③项目合同书、验收报告、技术鉴定等资料是否齐全并及时归档；</w:t>
            </w:r>
          </w:p>
          <w:p w14:paraId="11BDC368">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④项目实施的人员条件、场地设备、信息支撑等是否落实到位。</w:t>
            </w:r>
          </w:p>
        </w:tc>
        <w:tc>
          <w:tcPr>
            <w:tcW w:w="785" w:type="dxa"/>
            <w:shd w:val="clear" w:color="auto" w:fill="auto"/>
            <w:noWrap w:val="0"/>
            <w:vAlign w:val="center"/>
          </w:tcPr>
          <w:p w14:paraId="2B3027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D1C71FE">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2BC49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74158D5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4C5A6A5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649C62B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支持供销社基层组织建设</w:t>
            </w:r>
          </w:p>
        </w:tc>
        <w:tc>
          <w:tcPr>
            <w:tcW w:w="2141" w:type="dxa"/>
            <w:shd w:val="clear" w:color="auto" w:fill="auto"/>
            <w:noWrap w:val="0"/>
            <w:vAlign w:val="center"/>
          </w:tcPr>
          <w:p w14:paraId="77DF507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833DE4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227ADC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011A74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649EC3B">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c>
          <w:tcPr>
            <w:tcW w:w="769" w:type="dxa"/>
            <w:shd w:val="clear" w:color="auto" w:fill="auto"/>
            <w:noWrap w:val="0"/>
            <w:vAlign w:val="center"/>
          </w:tcPr>
          <w:p w14:paraId="74F62961">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r>
      <w:tr w14:paraId="70EE15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0B14A9C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61C53C5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7DD3915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改造提升基层为农社会化服务中心数量（个）</w:t>
            </w:r>
          </w:p>
        </w:tc>
        <w:tc>
          <w:tcPr>
            <w:tcW w:w="2141" w:type="dxa"/>
            <w:shd w:val="clear" w:color="auto" w:fill="auto"/>
            <w:noWrap w:val="0"/>
            <w:vAlign w:val="center"/>
          </w:tcPr>
          <w:p w14:paraId="6635792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2944E4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C93555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411CCF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777C56F">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c>
          <w:tcPr>
            <w:tcW w:w="769" w:type="dxa"/>
            <w:shd w:val="clear" w:color="auto" w:fill="auto"/>
            <w:noWrap w:val="0"/>
            <w:vAlign w:val="center"/>
          </w:tcPr>
          <w:p w14:paraId="4789E806">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r>
      <w:tr w14:paraId="617B69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45847A5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5F699B1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6C7C5A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年终项目验收合格率</w:t>
            </w:r>
          </w:p>
        </w:tc>
        <w:tc>
          <w:tcPr>
            <w:tcW w:w="2141" w:type="dxa"/>
            <w:shd w:val="clear" w:color="auto" w:fill="auto"/>
            <w:noWrap w:val="0"/>
            <w:vAlign w:val="center"/>
          </w:tcPr>
          <w:p w14:paraId="67D6F0E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020BA974">
            <w:pPr>
              <w:widowControl/>
              <w:spacing w:line="0" w:lineRule="atLeast"/>
              <w:ind w:firstLine="0" w:firstLineChars="0"/>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质量达标率=（质量达标产出数/实际产出数）×100%。</w:t>
            </w:r>
          </w:p>
          <w:p w14:paraId="35F9D7BC">
            <w:pPr>
              <w:widowControl/>
              <w:spacing w:line="0" w:lineRule="atLeast"/>
              <w:ind w:firstLine="0" w:firstLineChars="0"/>
              <w:rPr>
                <w:rFonts w:ascii="宋体" w:hAnsi="宋体" w:eastAsia="宋体" w:cs="宋体"/>
                <w:color w:val="auto"/>
                <w:kern w:val="0"/>
                <w:sz w:val="22"/>
                <w:szCs w:val="22"/>
              </w:rPr>
            </w:pPr>
            <w:r>
              <w:rPr>
                <w:rFonts w:hint="eastAsia" w:ascii="宋体" w:hAnsi="宋体" w:eastAsia="宋体" w:cs="宋体"/>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543973A">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c>
          <w:tcPr>
            <w:tcW w:w="769" w:type="dxa"/>
            <w:shd w:val="clear" w:color="auto" w:fill="auto"/>
            <w:noWrap w:val="0"/>
            <w:vAlign w:val="center"/>
          </w:tcPr>
          <w:p w14:paraId="3898B533">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37294A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DD5045E">
            <w:pPr>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382520D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366FBF9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项目开始时间</w:t>
            </w:r>
          </w:p>
        </w:tc>
        <w:tc>
          <w:tcPr>
            <w:tcW w:w="2141" w:type="dxa"/>
            <w:shd w:val="clear" w:color="auto" w:fill="auto"/>
            <w:noWrap w:val="0"/>
            <w:vAlign w:val="center"/>
          </w:tcPr>
          <w:p w14:paraId="4872E5E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0F61212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88DE5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2F859F0">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c>
          <w:tcPr>
            <w:tcW w:w="769" w:type="dxa"/>
            <w:shd w:val="clear" w:color="auto" w:fill="auto"/>
            <w:noWrap w:val="0"/>
            <w:vAlign w:val="center"/>
          </w:tcPr>
          <w:p w14:paraId="374CD86E">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1582A6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9BCA192">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223A532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280AF62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项目完成时间</w:t>
            </w:r>
          </w:p>
        </w:tc>
        <w:tc>
          <w:tcPr>
            <w:tcW w:w="2141" w:type="dxa"/>
            <w:shd w:val="clear" w:color="auto" w:fill="auto"/>
            <w:noWrap w:val="0"/>
            <w:vAlign w:val="center"/>
          </w:tcPr>
          <w:p w14:paraId="5FCE082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0F9521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787B89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5F50374B">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c>
          <w:tcPr>
            <w:tcW w:w="769" w:type="dxa"/>
            <w:shd w:val="clear" w:color="auto" w:fill="auto"/>
            <w:noWrap w:val="0"/>
            <w:vAlign w:val="center"/>
          </w:tcPr>
          <w:p w14:paraId="0D1CF13A">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4</w:t>
            </w:r>
          </w:p>
        </w:tc>
      </w:tr>
      <w:tr w14:paraId="47419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F6C083E">
            <w:pPr>
              <w:widowControl/>
              <w:spacing w:line="0" w:lineRule="atLeast"/>
              <w:ind w:firstLine="0" w:firstLineChars="0"/>
              <w:jc w:val="center"/>
              <w:rPr>
                <w:rFonts w:ascii="宋体" w:hAnsi="宋体" w:eastAsia="宋体" w:cs="宋体"/>
                <w:color w:val="auto"/>
                <w:kern w:val="0"/>
                <w:sz w:val="22"/>
                <w:szCs w:val="22"/>
                <w:highlight w:val="yellow"/>
              </w:rPr>
            </w:pPr>
          </w:p>
        </w:tc>
        <w:tc>
          <w:tcPr>
            <w:tcW w:w="727" w:type="dxa"/>
            <w:shd w:val="clear" w:color="auto" w:fill="auto"/>
            <w:noWrap w:val="0"/>
            <w:vAlign w:val="center"/>
          </w:tcPr>
          <w:p w14:paraId="102CB58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820" w:type="dxa"/>
            <w:shd w:val="clear" w:color="auto" w:fill="auto"/>
            <w:noWrap w:val="0"/>
            <w:vAlign w:val="center"/>
          </w:tcPr>
          <w:p w14:paraId="51DBB5B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为农社会化服务中心办公设施</w:t>
            </w:r>
          </w:p>
        </w:tc>
        <w:tc>
          <w:tcPr>
            <w:tcW w:w="2141" w:type="dxa"/>
            <w:shd w:val="clear" w:color="auto" w:fill="auto"/>
            <w:noWrap w:val="0"/>
            <w:vAlign w:val="center"/>
          </w:tcPr>
          <w:p w14:paraId="0299A4E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8FE3A2C">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9A33CF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4A4C7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42BF38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546D2D4">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auto" w:fill="auto"/>
            <w:noWrap w:val="0"/>
            <w:vAlign w:val="center"/>
          </w:tcPr>
          <w:p w14:paraId="58BE3B0D">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14:paraId="689EFB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85" w:hRule="atLeast"/>
          <w:jc w:val="center"/>
        </w:trPr>
        <w:tc>
          <w:tcPr>
            <w:tcW w:w="861" w:type="dxa"/>
            <w:shd w:val="clear" w:color="auto" w:fill="auto"/>
            <w:noWrap w:val="0"/>
            <w:vAlign w:val="center"/>
          </w:tcPr>
          <w:p w14:paraId="074F5D3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7460876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820" w:type="dxa"/>
            <w:shd w:val="clear" w:color="auto" w:fill="auto"/>
            <w:noWrap w:val="0"/>
            <w:vAlign w:val="center"/>
          </w:tcPr>
          <w:p w14:paraId="163B4D7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为农社会化服务中心办公场所维修费用</w:t>
            </w:r>
          </w:p>
        </w:tc>
        <w:tc>
          <w:tcPr>
            <w:tcW w:w="2141" w:type="dxa"/>
            <w:shd w:val="clear" w:color="auto" w:fill="auto"/>
            <w:noWrap w:val="0"/>
            <w:vAlign w:val="center"/>
          </w:tcPr>
          <w:p w14:paraId="6139CD5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57105FC">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CD1509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B4CA1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44FD51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89DA59B">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c>
          <w:tcPr>
            <w:tcW w:w="769" w:type="dxa"/>
            <w:shd w:val="clear" w:color="auto" w:fill="auto"/>
            <w:noWrap w:val="0"/>
            <w:vAlign w:val="center"/>
          </w:tcPr>
          <w:p w14:paraId="0B00D9B8">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3</w:t>
            </w:r>
          </w:p>
        </w:tc>
      </w:tr>
      <w:tr w14:paraId="28E69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3556BD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7C2827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820" w:type="dxa"/>
            <w:shd w:val="clear" w:color="auto" w:fill="auto"/>
            <w:noWrap w:val="0"/>
            <w:vAlign w:val="center"/>
          </w:tcPr>
          <w:p w14:paraId="675019E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为民服务质量</w:t>
            </w:r>
          </w:p>
        </w:tc>
        <w:tc>
          <w:tcPr>
            <w:tcW w:w="2141" w:type="dxa"/>
            <w:shd w:val="clear" w:color="auto" w:fill="auto"/>
            <w:noWrap w:val="0"/>
            <w:vAlign w:val="center"/>
          </w:tcPr>
          <w:p w14:paraId="0AC1AA5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C7B11E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69C453D7">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12</w:t>
            </w:r>
          </w:p>
        </w:tc>
        <w:tc>
          <w:tcPr>
            <w:tcW w:w="769" w:type="dxa"/>
            <w:shd w:val="clear" w:color="auto" w:fill="auto"/>
            <w:noWrap w:val="0"/>
            <w:vAlign w:val="center"/>
          </w:tcPr>
          <w:p w14:paraId="2999C709">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12</w:t>
            </w:r>
          </w:p>
        </w:tc>
      </w:tr>
      <w:tr w14:paraId="3C7BD7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15C3952B">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DC4657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FB74E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供销社基层组织建设体系</w:t>
            </w:r>
          </w:p>
        </w:tc>
        <w:tc>
          <w:tcPr>
            <w:tcW w:w="2141" w:type="dxa"/>
            <w:shd w:val="clear" w:color="auto" w:fill="auto"/>
            <w:noWrap w:val="0"/>
            <w:vAlign w:val="center"/>
          </w:tcPr>
          <w:p w14:paraId="09767726">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2013B36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48877C90">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12</w:t>
            </w:r>
          </w:p>
        </w:tc>
        <w:tc>
          <w:tcPr>
            <w:tcW w:w="769" w:type="dxa"/>
            <w:shd w:val="clear" w:color="auto" w:fill="auto"/>
            <w:noWrap w:val="0"/>
            <w:vAlign w:val="center"/>
          </w:tcPr>
          <w:p w14:paraId="6F26BAF3">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12</w:t>
            </w:r>
          </w:p>
        </w:tc>
      </w:tr>
      <w:tr w14:paraId="746D2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39C18E6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0B0C8AB">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78EB67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47CDF755">
            <w:pPr>
              <w:widowControl/>
              <w:spacing w:line="0" w:lineRule="atLeast"/>
              <w:ind w:firstLine="0" w:firstLineChars="0"/>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农民满意度</w:t>
            </w:r>
            <w:r>
              <w:rPr>
                <w:rFonts w:hint="eastAsia" w:ascii="宋体" w:hAnsi="宋体" w:eastAsia="宋体" w:cs="宋体"/>
                <w:color w:val="auto"/>
                <w:kern w:val="0"/>
                <w:sz w:val="22"/>
                <w:szCs w:val="22"/>
                <w:highlight w:val="none"/>
              </w:rPr>
              <w:t>。</w:t>
            </w:r>
          </w:p>
        </w:tc>
        <w:tc>
          <w:tcPr>
            <w:tcW w:w="7821" w:type="dxa"/>
            <w:shd w:val="clear" w:color="auto" w:fill="auto"/>
            <w:noWrap w:val="0"/>
            <w:vAlign w:val="center"/>
          </w:tcPr>
          <w:p w14:paraId="023127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184ABD49">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c>
          <w:tcPr>
            <w:tcW w:w="769" w:type="dxa"/>
            <w:shd w:val="clear" w:color="auto" w:fill="auto"/>
            <w:noWrap w:val="0"/>
            <w:vAlign w:val="center"/>
          </w:tcPr>
          <w:p w14:paraId="40D45AA7">
            <w:pPr>
              <w:widowControl/>
              <w:spacing w:line="0" w:lineRule="atLeast"/>
              <w:ind w:firstLine="0" w:firstLineChars="0"/>
              <w:rPr>
                <w:rFonts w:hint="eastAsia" w:ascii="宋体" w:hAnsi="宋体" w:eastAsia="宋体" w:cs="宋体"/>
                <w:color w:val="auto"/>
                <w:kern w:val="0"/>
                <w:sz w:val="22"/>
                <w:szCs w:val="22"/>
                <w:lang w:val="en-US" w:eastAsia="zh-CN"/>
              </w:rPr>
            </w:pPr>
            <w:r>
              <w:rPr>
                <w:rFonts w:hint="eastAsia" w:cs="宋体"/>
                <w:color w:val="auto"/>
                <w:kern w:val="0"/>
                <w:sz w:val="22"/>
                <w:szCs w:val="22"/>
                <w:lang w:val="en-US" w:eastAsia="zh-CN"/>
              </w:rPr>
              <w:t>6</w:t>
            </w:r>
          </w:p>
        </w:tc>
      </w:tr>
      <w:tr w14:paraId="50C8B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124F3201">
            <w:pPr>
              <w:widowControl/>
              <w:spacing w:line="0" w:lineRule="atLeast"/>
              <w:ind w:firstLine="0" w:firstLineChars="0"/>
              <w:jc w:val="center"/>
              <w:rPr>
                <w:rFonts w:hint="eastAsia" w:ascii="宋体" w:hAnsi="宋体" w:eastAsia="宋体" w:cs="宋体"/>
                <w:color w:val="auto"/>
                <w:kern w:val="0"/>
                <w:sz w:val="22"/>
                <w:szCs w:val="22"/>
                <w:lang w:val="en-US" w:eastAsia="zh-CN"/>
              </w:rPr>
            </w:pPr>
            <w:r>
              <w:rPr>
                <w:rFonts w:hint="eastAsia" w:ascii="宋体" w:hAnsi="宋体" w:eastAsia="宋体" w:cs="宋体"/>
                <w:color w:val="auto"/>
                <w:kern w:val="0"/>
                <w:sz w:val="22"/>
                <w:szCs w:val="22"/>
                <w:lang w:val="en-US" w:eastAsia="zh-CN"/>
              </w:rPr>
              <w:t>合计</w:t>
            </w:r>
          </w:p>
        </w:tc>
        <w:tc>
          <w:tcPr>
            <w:tcW w:w="7821" w:type="dxa"/>
            <w:shd w:val="clear" w:color="auto" w:fill="auto"/>
            <w:noWrap w:val="0"/>
            <w:vAlign w:val="center"/>
          </w:tcPr>
          <w:p w14:paraId="32C63572">
            <w:pPr>
              <w:widowControl/>
              <w:spacing w:line="0" w:lineRule="atLeast"/>
              <w:ind w:firstLine="0" w:firstLineChars="0"/>
              <w:rPr>
                <w:rFonts w:hint="eastAsia" w:ascii="宋体" w:hAnsi="宋体" w:eastAsia="宋体" w:cs="宋体"/>
                <w:color w:val="auto"/>
                <w:kern w:val="0"/>
                <w:sz w:val="22"/>
                <w:szCs w:val="22"/>
              </w:rPr>
            </w:pPr>
          </w:p>
        </w:tc>
        <w:tc>
          <w:tcPr>
            <w:tcW w:w="785" w:type="dxa"/>
            <w:shd w:val="clear" w:color="auto" w:fill="auto"/>
            <w:noWrap w:val="0"/>
            <w:vAlign w:val="center"/>
          </w:tcPr>
          <w:p w14:paraId="74AF54FF">
            <w:pPr>
              <w:widowControl/>
              <w:spacing w:line="0" w:lineRule="atLeast"/>
              <w:ind w:firstLine="0" w:firstLineChars="0"/>
              <w:jc w:val="center"/>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100</w:t>
            </w:r>
          </w:p>
        </w:tc>
        <w:tc>
          <w:tcPr>
            <w:tcW w:w="769" w:type="dxa"/>
            <w:shd w:val="clear" w:color="auto" w:fill="auto"/>
            <w:noWrap w:val="0"/>
            <w:vAlign w:val="center"/>
          </w:tcPr>
          <w:p w14:paraId="505AA497">
            <w:pPr>
              <w:widowControl/>
              <w:spacing w:line="0" w:lineRule="atLeast"/>
              <w:ind w:firstLine="0" w:firstLineChars="0"/>
              <w:rPr>
                <w:rFonts w:hint="default" w:ascii="宋体" w:hAnsi="宋体" w:eastAsia="宋体" w:cs="宋体"/>
                <w:color w:val="auto"/>
                <w:kern w:val="0"/>
                <w:sz w:val="22"/>
                <w:szCs w:val="22"/>
                <w:lang w:val="en-US" w:eastAsia="zh-CN"/>
              </w:rPr>
            </w:pPr>
            <w:r>
              <w:rPr>
                <w:rFonts w:hint="eastAsia" w:cs="宋体"/>
                <w:color w:val="auto"/>
                <w:kern w:val="0"/>
                <w:sz w:val="22"/>
                <w:szCs w:val="22"/>
                <w:lang w:val="en-US" w:eastAsia="zh-CN"/>
              </w:rPr>
              <w:t>99.4</w:t>
            </w:r>
          </w:p>
        </w:tc>
      </w:tr>
    </w:tbl>
    <w:p w14:paraId="7652B4F1">
      <w:pPr>
        <w:spacing w:line="240" w:lineRule="auto"/>
        <w:ind w:firstLine="0" w:firstLineChars="0"/>
        <w:rPr>
          <w:rFonts w:ascii="Times New Roman" w:hAnsi="Times New Roman" w:eastAsia="仿宋_GB2312" w:cs="Times New Roman"/>
          <w:color w:val="auto"/>
          <w:sz w:val="30"/>
          <w:szCs w:val="24"/>
        </w:rPr>
      </w:pPr>
    </w:p>
    <w:p w14:paraId="6269E96E">
      <w:pPr>
        <w:rPr>
          <w:rFonts w:hint="default"/>
          <w:color w:val="auto"/>
          <w:lang w:val="en-US" w:eastAsia="zh-CN"/>
        </w:rPr>
      </w:pPr>
      <w:bookmarkStart w:id="89" w:name="_GoBack"/>
      <w:bookmarkEnd w:id="89"/>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22D82">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1FAE31">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91FAE31">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A76F01BB"/>
    <w:multiLevelType w:val="singleLevel"/>
    <w:tmpl w:val="A76F01BB"/>
    <w:lvl w:ilvl="0" w:tentative="0">
      <w:start w:val="7"/>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BF8C2E"/>
    <w:multiLevelType w:val="singleLevel"/>
    <w:tmpl w:val="3ABF8C2E"/>
    <w:lvl w:ilvl="0" w:tentative="0">
      <w:start w:val="3"/>
      <w:numFmt w:val="decimal"/>
      <w:suff w:val="nothing"/>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172A27"/>
    <w:rsid w:val="007D6A04"/>
    <w:rsid w:val="00E23C81"/>
    <w:rsid w:val="01253350"/>
    <w:rsid w:val="01282E62"/>
    <w:rsid w:val="014029CF"/>
    <w:rsid w:val="01470C4C"/>
    <w:rsid w:val="02200440"/>
    <w:rsid w:val="02284B43"/>
    <w:rsid w:val="02734036"/>
    <w:rsid w:val="02B015E2"/>
    <w:rsid w:val="02DC08FA"/>
    <w:rsid w:val="033B569D"/>
    <w:rsid w:val="039C3BA0"/>
    <w:rsid w:val="03A845BB"/>
    <w:rsid w:val="03B45AD1"/>
    <w:rsid w:val="04D12EE4"/>
    <w:rsid w:val="04D63993"/>
    <w:rsid w:val="072D014C"/>
    <w:rsid w:val="07890F4F"/>
    <w:rsid w:val="07985672"/>
    <w:rsid w:val="08892439"/>
    <w:rsid w:val="08EB30F3"/>
    <w:rsid w:val="09237408"/>
    <w:rsid w:val="09781BD6"/>
    <w:rsid w:val="09F359DF"/>
    <w:rsid w:val="0A045FBC"/>
    <w:rsid w:val="0A575E65"/>
    <w:rsid w:val="0ACA0AB6"/>
    <w:rsid w:val="0C032502"/>
    <w:rsid w:val="0C27698C"/>
    <w:rsid w:val="0D4452F3"/>
    <w:rsid w:val="0D765461"/>
    <w:rsid w:val="0F5E5042"/>
    <w:rsid w:val="0FE95707"/>
    <w:rsid w:val="10510571"/>
    <w:rsid w:val="10787A20"/>
    <w:rsid w:val="108672DE"/>
    <w:rsid w:val="10EC685A"/>
    <w:rsid w:val="11FA6155"/>
    <w:rsid w:val="12CF0947"/>
    <w:rsid w:val="12F1313F"/>
    <w:rsid w:val="136C678E"/>
    <w:rsid w:val="13EB2FF5"/>
    <w:rsid w:val="15A46B04"/>
    <w:rsid w:val="15A672BF"/>
    <w:rsid w:val="165825BC"/>
    <w:rsid w:val="167D5C7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228286B"/>
    <w:rsid w:val="22C41CB5"/>
    <w:rsid w:val="23031BEB"/>
    <w:rsid w:val="23917691"/>
    <w:rsid w:val="244D65B8"/>
    <w:rsid w:val="245E1E24"/>
    <w:rsid w:val="25AD5E5D"/>
    <w:rsid w:val="2732478D"/>
    <w:rsid w:val="27661469"/>
    <w:rsid w:val="27900EAD"/>
    <w:rsid w:val="279B538A"/>
    <w:rsid w:val="286F545C"/>
    <w:rsid w:val="29314FBC"/>
    <w:rsid w:val="2A023396"/>
    <w:rsid w:val="2C024B86"/>
    <w:rsid w:val="2C927671"/>
    <w:rsid w:val="2D7C5CD6"/>
    <w:rsid w:val="2E483E7E"/>
    <w:rsid w:val="2E690493"/>
    <w:rsid w:val="2E9854BD"/>
    <w:rsid w:val="2F0D407F"/>
    <w:rsid w:val="2F454B19"/>
    <w:rsid w:val="310224D9"/>
    <w:rsid w:val="31B4621C"/>
    <w:rsid w:val="31E3230A"/>
    <w:rsid w:val="32732B0C"/>
    <w:rsid w:val="330957E0"/>
    <w:rsid w:val="33356F64"/>
    <w:rsid w:val="334F780D"/>
    <w:rsid w:val="33944516"/>
    <w:rsid w:val="343548E0"/>
    <w:rsid w:val="34B62907"/>
    <w:rsid w:val="36BD137C"/>
    <w:rsid w:val="385D37E7"/>
    <w:rsid w:val="38782EDD"/>
    <w:rsid w:val="3B42664A"/>
    <w:rsid w:val="3D836A4E"/>
    <w:rsid w:val="3EA37E97"/>
    <w:rsid w:val="3FBE0BC5"/>
    <w:rsid w:val="4048103A"/>
    <w:rsid w:val="40736643"/>
    <w:rsid w:val="40D24A7A"/>
    <w:rsid w:val="42621029"/>
    <w:rsid w:val="435241E2"/>
    <w:rsid w:val="43975C51"/>
    <w:rsid w:val="439E3FA7"/>
    <w:rsid w:val="44B32266"/>
    <w:rsid w:val="44FC64F4"/>
    <w:rsid w:val="45D43B6C"/>
    <w:rsid w:val="467F4585"/>
    <w:rsid w:val="470628CB"/>
    <w:rsid w:val="47555BD4"/>
    <w:rsid w:val="47E96399"/>
    <w:rsid w:val="48E12B50"/>
    <w:rsid w:val="491F2E2C"/>
    <w:rsid w:val="499441BE"/>
    <w:rsid w:val="499A6C1C"/>
    <w:rsid w:val="4A205CA4"/>
    <w:rsid w:val="4A2138F0"/>
    <w:rsid w:val="4A583887"/>
    <w:rsid w:val="4A9B250E"/>
    <w:rsid w:val="4B23203B"/>
    <w:rsid w:val="4B9F6E02"/>
    <w:rsid w:val="4C1A082E"/>
    <w:rsid w:val="4C89637B"/>
    <w:rsid w:val="4E1652A6"/>
    <w:rsid w:val="4E6E48A8"/>
    <w:rsid w:val="4EEC036B"/>
    <w:rsid w:val="501D2673"/>
    <w:rsid w:val="50C80BF1"/>
    <w:rsid w:val="51852833"/>
    <w:rsid w:val="52F11AC8"/>
    <w:rsid w:val="534F49D9"/>
    <w:rsid w:val="53555F0F"/>
    <w:rsid w:val="535D23D5"/>
    <w:rsid w:val="565B747B"/>
    <w:rsid w:val="56F4341A"/>
    <w:rsid w:val="575A7321"/>
    <w:rsid w:val="580C3AB9"/>
    <w:rsid w:val="583455E4"/>
    <w:rsid w:val="583C7AE0"/>
    <w:rsid w:val="586C1E9A"/>
    <w:rsid w:val="586E0800"/>
    <w:rsid w:val="59216F96"/>
    <w:rsid w:val="598C4145"/>
    <w:rsid w:val="59957D1B"/>
    <w:rsid w:val="59D4294E"/>
    <w:rsid w:val="5B634312"/>
    <w:rsid w:val="5B9D2CCD"/>
    <w:rsid w:val="5B9E71EA"/>
    <w:rsid w:val="5E226FBC"/>
    <w:rsid w:val="5FE72BD2"/>
    <w:rsid w:val="60120613"/>
    <w:rsid w:val="618D5292"/>
    <w:rsid w:val="61CA39F2"/>
    <w:rsid w:val="622E78FA"/>
    <w:rsid w:val="63343F70"/>
    <w:rsid w:val="64296E1C"/>
    <w:rsid w:val="649E64A2"/>
    <w:rsid w:val="65E5270A"/>
    <w:rsid w:val="663D3C54"/>
    <w:rsid w:val="66862C89"/>
    <w:rsid w:val="66BB486D"/>
    <w:rsid w:val="67394C7D"/>
    <w:rsid w:val="68126B38"/>
    <w:rsid w:val="68291A1A"/>
    <w:rsid w:val="68352BB8"/>
    <w:rsid w:val="691B1594"/>
    <w:rsid w:val="693A016B"/>
    <w:rsid w:val="6A17429C"/>
    <w:rsid w:val="6A567EA3"/>
    <w:rsid w:val="6B4B4368"/>
    <w:rsid w:val="6B79100E"/>
    <w:rsid w:val="6C844C00"/>
    <w:rsid w:val="6E10212C"/>
    <w:rsid w:val="6E43561A"/>
    <w:rsid w:val="6E557973"/>
    <w:rsid w:val="6E9568DB"/>
    <w:rsid w:val="6F0D6C22"/>
    <w:rsid w:val="6F47657F"/>
    <w:rsid w:val="6FAF23D9"/>
    <w:rsid w:val="70635CF6"/>
    <w:rsid w:val="70670707"/>
    <w:rsid w:val="720E3691"/>
    <w:rsid w:val="724E244C"/>
    <w:rsid w:val="72B67E34"/>
    <w:rsid w:val="72DA6946"/>
    <w:rsid w:val="732764B3"/>
    <w:rsid w:val="74026044"/>
    <w:rsid w:val="74746410"/>
    <w:rsid w:val="75E5007C"/>
    <w:rsid w:val="77813724"/>
    <w:rsid w:val="77861774"/>
    <w:rsid w:val="78244B59"/>
    <w:rsid w:val="78F31435"/>
    <w:rsid w:val="79300B45"/>
    <w:rsid w:val="794D3E18"/>
    <w:rsid w:val="79F3729A"/>
    <w:rsid w:val="7A880722"/>
    <w:rsid w:val="7ACB0498"/>
    <w:rsid w:val="7AED0B4D"/>
    <w:rsid w:val="7C082F51"/>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4">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5">
    <w:name w:val="heading 2"/>
    <w:basedOn w:val="1"/>
    <w:next w:val="1"/>
    <w:link w:val="17"/>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6">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4">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 w:val="21"/>
    </w:rPr>
  </w:style>
  <w:style w:type="paragraph" w:styleId="3">
    <w:name w:val="toc 4"/>
    <w:basedOn w:val="1"/>
    <w:next w:val="1"/>
    <w:autoRedefine/>
    <w:qFormat/>
    <w:uiPriority w:val="0"/>
    <w:pPr>
      <w:ind w:left="1260" w:leftChars="600"/>
    </w:pPr>
  </w:style>
  <w:style w:type="paragraph" w:styleId="7">
    <w:name w:val="annotation text"/>
    <w:basedOn w:val="1"/>
    <w:autoRedefine/>
    <w:qFormat/>
    <w:uiPriority w:val="0"/>
    <w:pPr>
      <w:jc w:val="left"/>
    </w:pPr>
  </w:style>
  <w:style w:type="paragraph" w:styleId="8">
    <w:name w:val="Body Text"/>
    <w:basedOn w:val="1"/>
    <w:next w:val="9"/>
    <w:autoRedefine/>
    <w:qFormat/>
    <w:uiPriority w:val="0"/>
    <w:pPr>
      <w:spacing w:before="240" w:after="240" w:line="360" w:lineRule="auto"/>
      <w:jc w:val="center"/>
    </w:pPr>
    <w:rPr>
      <w:b/>
      <w:sz w:val="44"/>
    </w:rPr>
  </w:style>
  <w:style w:type="paragraph" w:styleId="9">
    <w:name w:val="Body Text 2"/>
    <w:basedOn w:val="1"/>
    <w:autoRedefine/>
    <w:qFormat/>
    <w:uiPriority w:val="0"/>
    <w:pPr>
      <w:spacing w:after="120" w:line="480" w:lineRule="auto"/>
    </w:pPr>
    <w:rPr>
      <w:rFonts w:ascii="Times New Roman" w:hAnsi="Times New Roman" w:eastAsia="宋体" w:cs="Times New Roman"/>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5">
    <w:name w:val="Strong"/>
    <w:basedOn w:val="14"/>
    <w:autoRedefine/>
    <w:qFormat/>
    <w:uiPriority w:val="0"/>
    <w:rPr>
      <w:b/>
      <w:bCs/>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标题 2 Char"/>
    <w:link w:val="5"/>
    <w:autoRedefine/>
    <w:qFormat/>
    <w:uiPriority w:val="0"/>
    <w:rPr>
      <w:rFonts w:ascii="Arial" w:hAnsi="Arial" w:eastAsia="楷体"/>
      <w:b/>
      <w:sz w:val="32"/>
    </w:rPr>
  </w:style>
  <w:style w:type="paragraph" w:customStyle="1" w:styleId="18">
    <w:name w:val="WPSOffice手动目录 1"/>
    <w:autoRedefine/>
    <w:qFormat/>
    <w:uiPriority w:val="0"/>
    <w:pPr>
      <w:ind w:leftChars="0"/>
    </w:pPr>
    <w:rPr>
      <w:rFonts w:ascii="Times New Roman" w:hAnsi="Times New Roman" w:eastAsia="宋体" w:cs="Times New Roman"/>
      <w:sz w:val="20"/>
      <w:szCs w:val="20"/>
    </w:rPr>
  </w:style>
  <w:style w:type="paragraph" w:customStyle="1" w:styleId="19">
    <w:name w:val="WPSOffice手动目录 2"/>
    <w:autoRedefine/>
    <w:qFormat/>
    <w:uiPriority w:val="0"/>
    <w:pPr>
      <w:ind w:leftChars="200"/>
    </w:pPr>
    <w:rPr>
      <w:rFonts w:ascii="Times New Roman" w:hAnsi="Times New Roman" w:eastAsia="宋体" w:cs="Times New Roman"/>
      <w:sz w:val="20"/>
      <w:szCs w:val="20"/>
    </w:rPr>
  </w:style>
  <w:style w:type="paragraph" w:customStyle="1" w:styleId="20">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10197</Words>
  <Characters>10664</Characters>
  <Lines>0</Lines>
  <Paragraphs>0</Paragraphs>
  <TotalTime>3</TotalTime>
  <ScaleCrop>false</ScaleCrop>
  <LinksUpToDate>false</LinksUpToDate>
  <CharactersWithSpaces>10729</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想不到的瑞</cp:lastModifiedBy>
  <dcterms:modified xsi:type="dcterms:W3CDTF">2024-10-10T06:28:23Z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