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公共体育场馆免费或低收费开放补助资金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项目名称：公共体育场馆免费或低收费开放补助资金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公共体育场馆免费或低收费开放补助资金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highlight w:val="none"/>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落实国家体育总局《大型体育场馆基本公共服务规范》、《大型体育场馆运营管理综合评价体系》要求，完善基本设施、健全管理制度、加强经营管理、做好基本服务、落实开放要求。做好提供与体育健身相关的配套服务，开展科学健身推广、体育健身技能培训等服务，开展国民体质测试服务，承接专业运动队训练任务，举办或承办各类体育赛事，群众体育及文化等活动。</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主要内容：补助资金主要用于体育场馆免费或低收费开展基本公共体育服务项目所需支出，包括体育场馆日常维护、能源费用、公益性体育活动举办、设施设备更新、运营环境改善等。</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w:t>
      </w:r>
      <w:r>
        <w:rPr>
          <w:rFonts w:hint="eastAsia" w:cs="宋体"/>
          <w:color w:val="auto"/>
          <w:highlight w:val="none"/>
          <w:shd w:val="clear" w:color="auto" w:fill="auto"/>
          <w:lang w:val="en-US" w:eastAsia="zh-CN"/>
        </w:rPr>
        <w:t>根据昌州财教【2022】64号提前下达2023年地方公共体育馆免费开放补助资金</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要求</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范惠玉</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杜建江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项目负责人为张玉柱,</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吴彦龙</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张磊、袁桂萍</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张玉柱</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吴彦龙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袁桂萍</w:t>
      </w:r>
      <w:r>
        <w:rPr>
          <w:rFonts w:hint="eastAsia" w:ascii="宋体" w:hAnsi="宋体" w:eastAsia="宋体" w:cs="宋体"/>
          <w:color w:val="auto"/>
          <w:highlight w:val="none"/>
          <w:shd w:val="clear" w:color="auto" w:fill="auto"/>
          <w:lang w:val="en-US" w:eastAsia="zh-CN"/>
        </w:rPr>
        <w:t>负责资金拨付工作。</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val="en-US" w:eastAsia="zh-CN"/>
        </w:rPr>
        <w:t>项目预算安排总额为65.14万元，其中财政资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65.14万元，其他资金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年实际收到预算资金100.98万元，预算资金到位率为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截至2023年12月31日，公共体育场馆免费或低收费开放补助资金</w:t>
      </w:r>
      <w:r>
        <w:rPr>
          <w:rFonts w:hint="eastAsia" w:ascii="宋体" w:hAnsi="宋体" w:eastAsia="宋体" w:cs="宋体"/>
          <w:color w:val="auto"/>
          <w:highlight w:val="none"/>
          <w:shd w:val="clear" w:color="auto" w:fill="auto"/>
        </w:rPr>
        <w:t>项目实际支付资金</w:t>
      </w:r>
      <w:r>
        <w:rPr>
          <w:rFonts w:hint="eastAsia" w:ascii="宋体" w:hAnsi="宋体" w:eastAsia="宋体" w:cs="宋体"/>
          <w:color w:val="auto"/>
          <w:highlight w:val="none"/>
          <w:shd w:val="clear" w:color="auto" w:fill="auto"/>
          <w:lang w:val="en-US" w:eastAsia="zh-CN"/>
        </w:rPr>
        <w:t>98.68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97.72</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1、体</w:t>
      </w:r>
      <w:r>
        <w:rPr>
          <w:rFonts w:hint="eastAsia" w:ascii="宋体" w:hAnsi="宋体" w:eastAsia="宋体" w:cs="宋体"/>
          <w:color w:val="auto"/>
          <w:highlight w:val="none"/>
          <w:shd w:val="clear" w:color="auto" w:fill="auto"/>
          <w:lang w:val="en-US" w:eastAsia="zh-CN"/>
        </w:rPr>
        <w:t>育场馆免费或低收费开放服务</w:t>
      </w:r>
      <w:r>
        <w:rPr>
          <w:rFonts w:hint="eastAsia" w:cs="宋体"/>
          <w:color w:val="auto"/>
          <w:highlight w:val="none"/>
          <w:shd w:val="clear" w:color="auto" w:fill="auto"/>
          <w:lang w:val="en-US" w:eastAsia="zh-CN"/>
        </w:rPr>
        <w:t>；2、满足人民群众日益增长的体育健身需求；3、群众赛事活动、健身设施等方面。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公共体育场馆免费或低收费开放补助资金项目绩效总体目标为：2023年计划完成全年对外开放大于等于330天、每周开放时间大于等于35小时、国家法定节假日、全民健身日和学校假期间每天开放时间大于等于8小时，积极落实体育场馆免费或低收费开放服务，不断提高运营管理能力和公共服务水平，满足人民群众日益增长的体育健身需求；严格落实《服务规范》《资金管理办法》等各项要求，信息填报精准、做好场馆免费低收费开放时间、卫生、群众赛事活动、健身设施、运动损伤和舆论信息等安全保障。</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全年对外开放天数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每周开放时间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每天开放时间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基础设施符合《大型体育场馆基本公共服务规范》标准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基本管理符合《大型体育场馆基本公共服务规范》标准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基本服务符合《大型体育场馆基本公共服务规范》标准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开放时间达标率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场馆所属户外公共区域及户外健身器材全年免费开放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全民健身日全年免费开放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健身群众满意度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22169_WPSOffice_Level2"/>
      <w:bookmarkStart w:id="14" w:name="_Toc5462343"/>
      <w:bookmarkStart w:id="15" w:name="_Toc26632"/>
      <w:bookmarkStart w:id="16" w:name="_Toc22922"/>
      <w:bookmarkStart w:id="17" w:name="_Toc480473081"/>
      <w:bookmarkStart w:id="18" w:name="_Toc5258"/>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年度我单位实施的公共体育场馆免费或低收费开放补助资金项目开展部门绩效评价。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val="en-US" w:eastAsia="zh-CN"/>
        </w:rPr>
        <w:t>项目进行评价。</w:t>
      </w:r>
    </w:p>
    <w:p>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公共体育场馆免费或低收费开放补助资金</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表3-1：公共体育场馆免费或低收费开放补助资金项目得分表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一级指标3个，二级指标5个，三级指标10个；</w:t>
      </w:r>
      <w:r>
        <w:rPr>
          <w:rFonts w:hint="eastAsia"/>
          <w:color w:val="auto"/>
          <w:highlight w:val="none"/>
          <w:lang w:eastAsia="zh-CN"/>
        </w:rPr>
        <w:t>具体的绩效指标；</w:t>
      </w:r>
    </w:p>
    <w:p>
      <w:pPr>
        <w:bidi w:val="0"/>
        <w:rPr>
          <w:rFonts w:hint="default"/>
          <w:color w:val="auto"/>
          <w:highlight w:val="none"/>
          <w:lang w:val="en-US" w:eastAsia="zh-CN"/>
        </w:rPr>
      </w:pPr>
      <w:r>
        <w:rPr>
          <w:rFonts w:hint="eastAsia"/>
          <w:color w:val="auto"/>
          <w:highlight w:val="none"/>
          <w:lang w:eastAsia="zh-CN"/>
        </w:rPr>
        <w:t>②</w:t>
      </w:r>
      <w:r>
        <w:rPr>
          <w:rFonts w:hint="eastAsia"/>
          <w:color w:val="auto"/>
          <w:highlight w:val="none"/>
          <w:lang w:val="en-US" w:eastAsia="zh-CN"/>
        </w:rPr>
        <w:t>本项目定量指标10个，定性指标0个，指标量化率为：100%；</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19.9</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资金到位率=（100.98</w:t>
      </w:r>
      <w:r>
        <w:rPr>
          <w:rFonts w:hint="eastAsia"/>
          <w:color w:val="auto"/>
          <w:highlight w:val="none"/>
          <w:lang w:val="en-US" w:eastAsia="zh-CN"/>
        </w:rPr>
        <w:t>万元</w:t>
      </w:r>
      <w:r>
        <w:rPr>
          <w:rFonts w:hint="eastAsia"/>
          <w:color w:val="auto"/>
          <w:highlight w:val="none"/>
          <w:lang w:eastAsia="zh-CN"/>
        </w:rPr>
        <w:t>/100.98</w:t>
      </w:r>
      <w:r>
        <w:rPr>
          <w:rFonts w:hint="eastAsia"/>
          <w:color w:val="auto"/>
          <w:highlight w:val="none"/>
          <w:lang w:val="en-US" w:eastAsia="zh-CN"/>
        </w:rPr>
        <w:t>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预算执行率=（98.68</w:t>
      </w:r>
      <w:r>
        <w:rPr>
          <w:rFonts w:hint="eastAsia"/>
          <w:color w:val="auto"/>
          <w:highlight w:val="none"/>
          <w:lang w:val="en-US" w:eastAsia="zh-CN"/>
        </w:rPr>
        <w:t>万元</w:t>
      </w:r>
      <w:r>
        <w:rPr>
          <w:rFonts w:hint="eastAsia"/>
          <w:color w:val="auto"/>
          <w:highlight w:val="none"/>
          <w:lang w:eastAsia="zh-CN"/>
        </w:rPr>
        <w:t>/100.98</w:t>
      </w:r>
      <w:r>
        <w:rPr>
          <w:rFonts w:hint="eastAsia"/>
          <w:color w:val="auto"/>
          <w:highlight w:val="none"/>
          <w:lang w:val="en-US" w:eastAsia="zh-CN"/>
        </w:rPr>
        <w:t>万元</w:t>
      </w:r>
      <w:r>
        <w:rPr>
          <w:rFonts w:hint="eastAsia"/>
          <w:color w:val="auto"/>
          <w:highlight w:val="none"/>
          <w:lang w:eastAsia="zh-CN"/>
        </w:rPr>
        <w:t>）×100%</w:t>
      </w:r>
      <w:r>
        <w:rPr>
          <w:rFonts w:hint="eastAsia"/>
          <w:b/>
          <w:bCs/>
          <w:color w:val="auto"/>
          <w:highlight w:val="none"/>
          <w:lang w:val="en-US" w:eastAsia="zh-CN"/>
        </w:rPr>
        <w:t>=97.72%</w:t>
      </w:r>
    </w:p>
    <w:p>
      <w:pPr>
        <w:bidi w:val="0"/>
        <w:rPr>
          <w:rFonts w:hint="eastAsia"/>
          <w:color w:val="auto"/>
          <w:highlight w:val="none"/>
          <w:lang w:eastAsia="zh-CN"/>
        </w:rPr>
      </w:pPr>
      <w:r>
        <w:rPr>
          <w:rFonts w:hint="eastAsia"/>
          <w:b/>
          <w:bCs/>
          <w:color w:val="auto"/>
          <w:highlight w:val="none"/>
          <w:lang w:val="en-US" w:eastAsia="zh-CN"/>
        </w:rPr>
        <w:t>综上，该项指标满分4分，得分3.9分。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olor w:val="auto"/>
          <w:highlight w:val="none"/>
          <w:lang w:val="en-US" w:eastAsia="zh-CN"/>
        </w:rPr>
        <w:t>昌州财教【2022】64号《2023年地方公共体育馆免费开放补助资金管理使用办法》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①已制定或具有相应的《阜康市公共文化体育事业发展服务中心财务管理制度》；</w:t>
      </w:r>
    </w:p>
    <w:p>
      <w:pPr>
        <w:bidi w:val="0"/>
        <w:rPr>
          <w:rFonts w:hint="eastAsia"/>
          <w:color w:val="auto"/>
          <w:highlight w:val="none"/>
          <w:lang w:eastAsia="zh-CN"/>
        </w:rPr>
      </w:pPr>
      <w:r>
        <w:rPr>
          <w:rFonts w:hint="eastAsia"/>
          <w:color w:val="auto"/>
          <w:highlight w:val="none"/>
          <w:lang w:eastAsia="zh-CN"/>
        </w:rPr>
        <w:t>②《阜康市公共文化体育事业发展服务中心财务管理制度》合法、合规、完整。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及支出未</w:t>
      </w:r>
      <w:r>
        <w:rPr>
          <w:rFonts w:hint="eastAsia"/>
          <w:color w:val="auto"/>
          <w:highlight w:val="none"/>
          <w:lang w:eastAsia="zh-CN"/>
        </w:rPr>
        <w:t>调整；</w:t>
      </w:r>
    </w:p>
    <w:p>
      <w:pPr>
        <w:bidi w:val="0"/>
        <w:rPr>
          <w:rFonts w:hint="eastAsia"/>
          <w:color w:val="auto"/>
          <w:highlight w:val="none"/>
          <w:lang w:eastAsia="zh-CN"/>
        </w:rPr>
      </w:pPr>
      <w:r>
        <w:rPr>
          <w:rFonts w:hint="eastAsia"/>
          <w:color w:val="auto"/>
          <w:highlight w:val="none"/>
          <w:lang w:eastAsia="zh-CN"/>
        </w:rPr>
        <w:t>③体育器材项目合同书、体育器材验收报告、场馆运行项目合同书、场馆免费开放活动项目合同书等资料齐全并及时归档；</w:t>
      </w:r>
    </w:p>
    <w:p>
      <w:pPr>
        <w:pStyle w:val="5"/>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82"/>
        <w:gridCol w:w="2590"/>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全年对外开放天数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≥330天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330天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每周开放时间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59.5小时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每天开放时间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基础设施符合《大型体育场馆基本公共服务规范》标准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基本管理符合《大型体育场馆基本公共服务规范》标准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基本服务符合《大型体育场馆基本公共服务规范》标准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开放时间达标率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sz w:val="28"/>
          <w:szCs w:val="28"/>
          <w:highlight w:val="none"/>
          <w:lang w:val="en-US" w:eastAsia="zh-CN"/>
        </w:rPr>
        <w:t>全年对外开放天数</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≥330天</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330天</w:t>
      </w:r>
      <w:r>
        <w:rPr>
          <w:rFonts w:hint="eastAsia"/>
          <w:color w:val="auto"/>
          <w:sz w:val="28"/>
          <w:szCs w:val="28"/>
          <w:highlight w:val="none"/>
          <w:lang w:val="en-US" w:eastAsia="zh-CN"/>
        </w:rPr>
        <w:t>。实际完成率=（330天/330天）×100%=100%。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每周开放时间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≥50小时</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59.5小时</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50小时</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59.5小时</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每天开放时间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≥8小时</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8.5小时</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8小时</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8.5小时</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综上，该项指标满分11分，得分11分。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基础设施符合《大型体育场馆基本公共服务规范》标准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基础管理符合《大型体育场馆基本公共服务规范》标准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基础服务符合《大型体育场馆基本公共服务规范》标准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综上，该项指标满分9分，得分9分。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开放时间达标率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场馆所属户外公共区域及户外健身器材全年免费开放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603"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全民健身日全年免费开放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健身群众满意度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4" w:name="_Toc8010"/>
      <w:r>
        <w:rPr>
          <w:rFonts w:hint="eastAsia"/>
          <w:b/>
          <w:bCs/>
          <w:color w:val="auto"/>
          <w:highlight w:val="none"/>
          <w:lang w:val="en-US" w:eastAsia="zh-CN"/>
        </w:rPr>
        <w:t>1.</w:t>
      </w:r>
      <w:bookmarkEnd w:id="74"/>
      <w:bookmarkStart w:id="75" w:name="_Toc27006"/>
      <w:r>
        <w:rPr>
          <w:rFonts w:hint="eastAsia"/>
          <w:b/>
          <w:bCs/>
          <w:color w:val="auto"/>
          <w:highlight w:val="none"/>
          <w:lang w:val="en-US" w:eastAsia="zh-CN"/>
        </w:rPr>
        <w:t>社会效益指标</w:t>
      </w:r>
      <w:bookmarkEnd w:id="75"/>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场馆所属户外公共区域及户外健身器材全年免费开放</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全民健身日全年免费开放</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通过项目的实施，不断提高运营管理能力和公共服务水平，满足人民群众日益增长的体育健身需求。</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b/>
          <w:bCs/>
          <w:color w:val="auto"/>
          <w:highlight w:val="none"/>
          <w:lang w:val="en-US" w:eastAsia="zh-CN"/>
        </w:rPr>
      </w:pPr>
      <w:bookmarkStart w:id="76" w:name="_Toc23106"/>
      <w:r>
        <w:rPr>
          <w:rFonts w:hint="eastAsia"/>
          <w:b/>
          <w:bCs/>
          <w:color w:val="auto"/>
          <w:highlight w:val="none"/>
          <w:lang w:val="en-US" w:eastAsia="zh-CN"/>
        </w:rPr>
        <w:t>2.</w:t>
      </w:r>
      <w:bookmarkEnd w:id="76"/>
      <w:bookmarkStart w:id="77" w:name="_Toc3271"/>
      <w:r>
        <w:rPr>
          <w:rFonts w:hint="eastAsia"/>
          <w:b/>
          <w:bCs/>
          <w:color w:val="auto"/>
          <w:highlight w:val="none"/>
          <w:lang w:val="en-US" w:eastAsia="zh-CN"/>
        </w:rPr>
        <w:t>满意度指标</w:t>
      </w:r>
      <w:bookmarkEnd w:id="77"/>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健身群众满意度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100.98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98.68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97.72</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2.3</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2023年年末，由于机构改革，导致资金未能及时支付。</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pPr>
        <w:bidi w:val="0"/>
        <w:rPr>
          <w:rFonts w:hint="eastAsia"/>
          <w:color w:val="auto"/>
          <w:highlight w:val="none"/>
          <w:lang w:eastAsia="zh-CN"/>
        </w:rPr>
      </w:pPr>
      <w:r>
        <w:rPr>
          <w:rFonts w:hint="eastAsia"/>
          <w:color w:val="auto"/>
          <w:highlight w:val="none"/>
          <w:lang w:val="en-US" w:eastAsia="zh-CN"/>
        </w:rPr>
        <w:t>公共体育场馆免费或低收费开放补助资金项目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100.98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98.68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97.72</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1"/>
    <w:bookmarkEnd w:id="82"/>
    <w:p>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pPr>
        <w:bidi w:val="0"/>
        <w:rPr>
          <w:rFonts w:hint="eastAsia"/>
          <w:color w:val="auto"/>
          <w:highlight w:val="none"/>
          <w:lang w:val="en-US" w:eastAsia="zh-CN"/>
        </w:rPr>
      </w:pPr>
      <w:bookmarkStart w:id="84" w:name="_Toc5230"/>
      <w:r>
        <w:rPr>
          <w:rFonts w:hint="eastAsia"/>
          <w:color w:val="auto"/>
          <w:highlight w:val="none"/>
          <w:lang w:val="en-US" w:eastAsia="zh-CN"/>
        </w:rPr>
        <w:t>1.财务工作繁多，对此项工作具体专业知识欠缺，财务人员与具体项目负责人工作共融性太弱，影响工作进度。</w:t>
      </w:r>
    </w:p>
    <w:p>
      <w:pPr>
        <w:bidi w:val="0"/>
        <w:rPr>
          <w:rFonts w:hint="eastAsia"/>
          <w:color w:val="auto"/>
          <w:highlight w:val="none"/>
          <w:lang w:val="en-US" w:eastAsia="zh-CN"/>
        </w:rPr>
      </w:pPr>
      <w:r>
        <w:rPr>
          <w:rFonts w:hint="eastAsia"/>
          <w:color w:val="auto"/>
          <w:highlight w:val="none"/>
          <w:lang w:val="en-US" w:eastAsia="zh-CN"/>
        </w:rPr>
        <w:t>2.单位岗位设置上，上级各部门未能真正重视事业单位的内部控制制度建设，职能划分未能落实到人。</w:t>
      </w:r>
    </w:p>
    <w:p>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pPr>
        <w:bidi w:val="0"/>
        <w:rPr>
          <w:rFonts w:hint="eastAsia"/>
          <w:color w:val="auto"/>
          <w:highlight w:val="none"/>
          <w:lang w:val="en-US" w:eastAsia="zh-CN"/>
        </w:rPr>
      </w:pPr>
      <w:r>
        <w:rPr>
          <w:rFonts w:hint="eastAsia"/>
          <w:color w:val="auto"/>
          <w:highlight w:val="none"/>
          <w:lang w:val="en-US" w:eastAsia="zh-CN"/>
        </w:rPr>
        <w:t>1.进一步提升工作水平，总结经验，加强对财务人员、项目负责人职业道德、业务技能的提升，更好的完成工作。</w:t>
      </w:r>
    </w:p>
    <w:p>
      <w:pPr>
        <w:bidi w:val="0"/>
        <w:rPr>
          <w:rFonts w:hint="eastAsia"/>
          <w:color w:val="auto"/>
          <w:highlight w:val="none"/>
          <w:lang w:val="en-US" w:eastAsia="zh-CN"/>
        </w:rPr>
      </w:pPr>
      <w:r>
        <w:rPr>
          <w:rFonts w:hint="eastAsia"/>
          <w:color w:val="auto"/>
          <w:highlight w:val="none"/>
          <w:lang w:val="en-US" w:eastAsia="zh-CN"/>
        </w:rPr>
        <w:t>2.岗位职责方面，部门应内部控制制度建设，落实到人，做到事事有方法，事事有回应，从而更快更好的提高业务水平和能力。</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pPr>
        <w:bidi w:val="0"/>
        <w:rPr>
          <w:rFonts w:hint="eastAsia" w:ascii="宋体" w:hAnsi="宋体" w:eastAsia="宋体" w:cs="宋体"/>
          <w:color w:val="auto"/>
          <w:highlight w:val="none"/>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1"/>
        <w:gridCol w:w="747"/>
        <w:gridCol w:w="773"/>
        <w:gridCol w:w="1093"/>
        <w:gridCol w:w="1087"/>
        <w:gridCol w:w="852"/>
        <w:gridCol w:w="852"/>
        <w:gridCol w:w="924"/>
        <w:gridCol w:w="925"/>
        <w:gridCol w:w="1031"/>
        <w:gridCol w:w="987"/>
        <w:gridCol w:w="1093"/>
        <w:gridCol w:w="1364"/>
        <w:gridCol w:w="17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96"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公共体育场馆免费或低收费开放补助资金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57"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65.14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100.98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98.68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97.72%</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65.14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100.98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98.68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0" w:hRule="atLeast"/>
        </w:trPr>
        <w:tc>
          <w:tcPr>
            <w:tcW w:w="73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53"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53"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完成全年对外开放大于等于330天、每周开放时间大于等于35小时、国家法定节假日、全民健身日和学校假期间每天开放时间大于等于8小时，积极落实体育场馆免费或低收费开放服务，不断提高运营管理能力和公共服务水平，满足人民群众日益增长的体育健身需求；严格落实《服务规范》《资金管理办法》等各项要求，信息填报精准、做好场馆免费低收费开放时间、卫生、群众赛事活动、健身设施、运动损伤和舆论信息等安全保障。</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全年对外开放330天、每周开放时间59.5小时、国家法定节假日、全民健身日和学校假期间每天开放时间8.5小时，积极落实体育场馆免费或低收费开放服务，不断提高运营管理能力和公共服务水平，满足人民群众日益增长的体育健身需求；严格落实《服务规范》《资金管理办法》等各项要求，达到信息填报精准、做好场馆免费低收费开放时间、卫生、群众赛事活动、健身设施、运动损伤和舆论信息等安全保障的效益，健身群众满意度达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3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全年对外开放天数</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≥330天</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330天</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每周开放时间</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≥50小时</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59.5小时</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每天开放时间</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≥8小时</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8.5小时</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基本管理符合《大型体育场馆基本公共服务规范》标准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基本服务符合《大型体育场馆基本公共服务规范》标准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开放时间达标率</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场馆所属户外公共区域及户外健身器材全年免费开放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全民健身日全年免费开放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健身群众满意度</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工作资料 </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0" w:hRule="atLeast"/>
        </w:trPr>
        <w:tc>
          <w:tcPr>
            <w:tcW w:w="3344"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8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2"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5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pPr>
    </w:p>
    <w:p>
      <w:pPr>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713"/>
        <w:gridCol w:w="2250"/>
        <w:gridCol w:w="6819"/>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25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819"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全年对外开放天数</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每周开放时间</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每天开放时间</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基础设施符合《大型体育场馆基本公共服务规范》标准</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基本管理符合《大型体育场馆基本公共服务规范》标准</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基本服务符合《大型体育场馆基本公共服务规范》标准</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开放时间达标率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场馆所属户外公共区域及户外健身器材全年免费开放</w:t>
            </w:r>
          </w:p>
        </w:tc>
        <w:tc>
          <w:tcPr>
            <w:tcW w:w="2250"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8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全民健身日全年免费开放</w:t>
            </w:r>
          </w:p>
        </w:tc>
        <w:tc>
          <w:tcPr>
            <w:tcW w:w="2250"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健身群众满意度</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8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551"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7C35693"/>
    <w:rsid w:val="080C71DB"/>
    <w:rsid w:val="08892439"/>
    <w:rsid w:val="08EB30F3"/>
    <w:rsid w:val="09237408"/>
    <w:rsid w:val="09781BD6"/>
    <w:rsid w:val="09F359DF"/>
    <w:rsid w:val="0A575E65"/>
    <w:rsid w:val="0ABA2D7D"/>
    <w:rsid w:val="0ACA0AB6"/>
    <w:rsid w:val="0AD6735C"/>
    <w:rsid w:val="0B457892"/>
    <w:rsid w:val="0C032502"/>
    <w:rsid w:val="0C264442"/>
    <w:rsid w:val="0C27698C"/>
    <w:rsid w:val="0D4452F3"/>
    <w:rsid w:val="0F5E5042"/>
    <w:rsid w:val="0FE95707"/>
    <w:rsid w:val="10510571"/>
    <w:rsid w:val="10787A20"/>
    <w:rsid w:val="108672DE"/>
    <w:rsid w:val="10EC685A"/>
    <w:rsid w:val="11FA6155"/>
    <w:rsid w:val="12CF0947"/>
    <w:rsid w:val="12F1313F"/>
    <w:rsid w:val="12FA02FD"/>
    <w:rsid w:val="136C678E"/>
    <w:rsid w:val="13EB2FF5"/>
    <w:rsid w:val="156E4AC7"/>
    <w:rsid w:val="15A46B04"/>
    <w:rsid w:val="165825BC"/>
    <w:rsid w:val="16BC5D73"/>
    <w:rsid w:val="173206C4"/>
    <w:rsid w:val="176F36D7"/>
    <w:rsid w:val="1795226D"/>
    <w:rsid w:val="18456B1E"/>
    <w:rsid w:val="18B73F70"/>
    <w:rsid w:val="1BD63BB0"/>
    <w:rsid w:val="1C1171C5"/>
    <w:rsid w:val="1D265138"/>
    <w:rsid w:val="1D7B6BCA"/>
    <w:rsid w:val="1DA41A79"/>
    <w:rsid w:val="1DF53469"/>
    <w:rsid w:val="1E2F24F2"/>
    <w:rsid w:val="1E58492F"/>
    <w:rsid w:val="1E5B6757"/>
    <w:rsid w:val="1ED10AC6"/>
    <w:rsid w:val="1F89225F"/>
    <w:rsid w:val="1F900A1F"/>
    <w:rsid w:val="1FC0575D"/>
    <w:rsid w:val="206132C7"/>
    <w:rsid w:val="21B00C1D"/>
    <w:rsid w:val="22AA1015"/>
    <w:rsid w:val="22F3331D"/>
    <w:rsid w:val="23031BEB"/>
    <w:rsid w:val="23445615"/>
    <w:rsid w:val="23917691"/>
    <w:rsid w:val="244D65B8"/>
    <w:rsid w:val="245E1E24"/>
    <w:rsid w:val="257D2ECD"/>
    <w:rsid w:val="25AD5E5D"/>
    <w:rsid w:val="2732478D"/>
    <w:rsid w:val="27661469"/>
    <w:rsid w:val="27900EAD"/>
    <w:rsid w:val="279B538A"/>
    <w:rsid w:val="286F545C"/>
    <w:rsid w:val="29314FBC"/>
    <w:rsid w:val="2A8F2D6A"/>
    <w:rsid w:val="2C024B86"/>
    <w:rsid w:val="2C5F332D"/>
    <w:rsid w:val="2C927671"/>
    <w:rsid w:val="2D7C5CD6"/>
    <w:rsid w:val="2E483E7E"/>
    <w:rsid w:val="2E690493"/>
    <w:rsid w:val="2E9854BD"/>
    <w:rsid w:val="2F0D407F"/>
    <w:rsid w:val="2F454B19"/>
    <w:rsid w:val="30FF2A88"/>
    <w:rsid w:val="310224D9"/>
    <w:rsid w:val="31B4621C"/>
    <w:rsid w:val="31E3230A"/>
    <w:rsid w:val="32E860D4"/>
    <w:rsid w:val="330957E0"/>
    <w:rsid w:val="33356F64"/>
    <w:rsid w:val="33944516"/>
    <w:rsid w:val="34B62907"/>
    <w:rsid w:val="35232251"/>
    <w:rsid w:val="36BD137C"/>
    <w:rsid w:val="385D37E7"/>
    <w:rsid w:val="38782EDD"/>
    <w:rsid w:val="3B42664A"/>
    <w:rsid w:val="3D836A4E"/>
    <w:rsid w:val="3EA37E97"/>
    <w:rsid w:val="3EA41760"/>
    <w:rsid w:val="3FBE0BC5"/>
    <w:rsid w:val="402A69BE"/>
    <w:rsid w:val="4048103A"/>
    <w:rsid w:val="40736643"/>
    <w:rsid w:val="40D24A7A"/>
    <w:rsid w:val="411F01D1"/>
    <w:rsid w:val="42621029"/>
    <w:rsid w:val="435241E2"/>
    <w:rsid w:val="43975C51"/>
    <w:rsid w:val="439E3FA7"/>
    <w:rsid w:val="43D22FD4"/>
    <w:rsid w:val="44B32266"/>
    <w:rsid w:val="44FC64F4"/>
    <w:rsid w:val="467F4585"/>
    <w:rsid w:val="470628CB"/>
    <w:rsid w:val="472D15F9"/>
    <w:rsid w:val="47555BD4"/>
    <w:rsid w:val="47D209FF"/>
    <w:rsid w:val="47E96399"/>
    <w:rsid w:val="488241D3"/>
    <w:rsid w:val="48E12B50"/>
    <w:rsid w:val="499441BE"/>
    <w:rsid w:val="499A6C1C"/>
    <w:rsid w:val="4A2138F0"/>
    <w:rsid w:val="4A583887"/>
    <w:rsid w:val="4A86418D"/>
    <w:rsid w:val="4B9F6E02"/>
    <w:rsid w:val="4C89637B"/>
    <w:rsid w:val="4E6E48A8"/>
    <w:rsid w:val="4EEC036B"/>
    <w:rsid w:val="501D2673"/>
    <w:rsid w:val="50C80BF1"/>
    <w:rsid w:val="51852833"/>
    <w:rsid w:val="51E51DC0"/>
    <w:rsid w:val="52642B9B"/>
    <w:rsid w:val="529B17F5"/>
    <w:rsid w:val="52E30FED"/>
    <w:rsid w:val="52F11AC8"/>
    <w:rsid w:val="534F49D9"/>
    <w:rsid w:val="53555F0F"/>
    <w:rsid w:val="535D23D5"/>
    <w:rsid w:val="56F4341A"/>
    <w:rsid w:val="575A7321"/>
    <w:rsid w:val="57A6643F"/>
    <w:rsid w:val="580C3AB9"/>
    <w:rsid w:val="583C7AE0"/>
    <w:rsid w:val="586C1E9A"/>
    <w:rsid w:val="586E0800"/>
    <w:rsid w:val="59216F96"/>
    <w:rsid w:val="598C4145"/>
    <w:rsid w:val="59957D1B"/>
    <w:rsid w:val="59D4294E"/>
    <w:rsid w:val="5AEB72B5"/>
    <w:rsid w:val="5B634312"/>
    <w:rsid w:val="5B9D2CCD"/>
    <w:rsid w:val="5B9E71EA"/>
    <w:rsid w:val="5B9F249E"/>
    <w:rsid w:val="5E226FBC"/>
    <w:rsid w:val="5F181F54"/>
    <w:rsid w:val="5FE72BD2"/>
    <w:rsid w:val="60120613"/>
    <w:rsid w:val="61501D4A"/>
    <w:rsid w:val="618D5292"/>
    <w:rsid w:val="622E78FA"/>
    <w:rsid w:val="63343F70"/>
    <w:rsid w:val="64296E1C"/>
    <w:rsid w:val="649E64A2"/>
    <w:rsid w:val="65E5270A"/>
    <w:rsid w:val="663D3C54"/>
    <w:rsid w:val="66862C89"/>
    <w:rsid w:val="66BB486D"/>
    <w:rsid w:val="67394C7D"/>
    <w:rsid w:val="68126B38"/>
    <w:rsid w:val="68291A1A"/>
    <w:rsid w:val="68352BB8"/>
    <w:rsid w:val="685C0145"/>
    <w:rsid w:val="691B1594"/>
    <w:rsid w:val="693A016B"/>
    <w:rsid w:val="6A17429C"/>
    <w:rsid w:val="6A567EA3"/>
    <w:rsid w:val="6B4B4368"/>
    <w:rsid w:val="6B79100E"/>
    <w:rsid w:val="6C6A0D3C"/>
    <w:rsid w:val="6C844C00"/>
    <w:rsid w:val="6E10212C"/>
    <w:rsid w:val="6E43561A"/>
    <w:rsid w:val="6E557973"/>
    <w:rsid w:val="6E9568DB"/>
    <w:rsid w:val="6F0D6C22"/>
    <w:rsid w:val="6F47657F"/>
    <w:rsid w:val="6FAF23D9"/>
    <w:rsid w:val="70635CF6"/>
    <w:rsid w:val="70670707"/>
    <w:rsid w:val="71406F01"/>
    <w:rsid w:val="720E3691"/>
    <w:rsid w:val="724E244C"/>
    <w:rsid w:val="72B26388"/>
    <w:rsid w:val="72DA6946"/>
    <w:rsid w:val="732764B3"/>
    <w:rsid w:val="74026044"/>
    <w:rsid w:val="74746410"/>
    <w:rsid w:val="75E5007C"/>
    <w:rsid w:val="76BD4B81"/>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13556</Words>
  <Characters>14272</Characters>
  <Lines>0</Lines>
  <Paragraphs>0</Paragraphs>
  <TotalTime>2</TotalTime>
  <ScaleCrop>false</ScaleCrop>
  <LinksUpToDate>false</LinksUpToDate>
  <CharactersWithSpaces>14351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0AB4CA6D88C14B72841251048BD9E590_13</vt:lpwstr>
  </property>
</Properties>
</file>